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D9D63">
      <w:pPr>
        <w:rPr>
          <w:sz w:val="36"/>
          <w:szCs w:val="36"/>
        </w:rPr>
      </w:pPr>
    </w:p>
    <w:p w14:paraId="386C3B1D">
      <w:pPr>
        <w:rPr>
          <w:sz w:val="36"/>
          <w:szCs w:val="36"/>
        </w:rPr>
      </w:pPr>
    </w:p>
    <w:p w14:paraId="2832D60C">
      <w:pPr>
        <w:rPr>
          <w:sz w:val="36"/>
          <w:szCs w:val="36"/>
        </w:rPr>
      </w:pPr>
    </w:p>
    <w:p w14:paraId="43C08557">
      <w:pPr>
        <w:rPr>
          <w:sz w:val="36"/>
          <w:szCs w:val="36"/>
        </w:rPr>
      </w:pPr>
    </w:p>
    <w:p w14:paraId="02E2F026">
      <w:pPr>
        <w:rPr>
          <w:sz w:val="36"/>
          <w:szCs w:val="36"/>
        </w:rPr>
      </w:pPr>
    </w:p>
    <w:p w14:paraId="0EE1E553">
      <w:pPr>
        <w:adjustRightInd w:val="0"/>
        <w:snapToGrid w:val="0"/>
        <w:jc w:val="center"/>
        <w:outlineLvl w:val="0"/>
        <w:rPr>
          <w:bCs/>
          <w:sz w:val="72"/>
          <w:szCs w:val="72"/>
        </w:rPr>
      </w:pPr>
      <w:bookmarkStart w:id="0" w:name="_Toc83393929"/>
      <w:r>
        <w:rPr>
          <w:bCs/>
          <w:sz w:val="72"/>
          <w:szCs w:val="72"/>
        </w:rPr>
        <w:t>建设项目环境影响报告表</w:t>
      </w:r>
      <w:bookmarkEnd w:id="0"/>
    </w:p>
    <w:p w14:paraId="35FD2F23">
      <w:pPr>
        <w:adjustRightInd w:val="0"/>
        <w:snapToGrid w:val="0"/>
        <w:spacing w:before="192" w:beforeLines="80"/>
        <w:jc w:val="center"/>
        <w:rPr>
          <w:rFonts w:hint="eastAsia" w:eastAsia="宋体"/>
          <w:bCs/>
          <w:sz w:val="48"/>
          <w:szCs w:val="48"/>
          <w:lang w:val="en-US" w:eastAsia="zh-CN"/>
        </w:rPr>
      </w:pPr>
      <w:r>
        <w:rPr>
          <w:bCs/>
          <w:sz w:val="48"/>
          <w:szCs w:val="48"/>
        </w:rPr>
        <w:t>（污染影响类）</w:t>
      </w:r>
    </w:p>
    <w:p w14:paraId="0ED1D064">
      <w:pPr>
        <w:adjustRightInd w:val="0"/>
        <w:snapToGrid w:val="0"/>
        <w:spacing w:line="288" w:lineRule="auto"/>
        <w:jc w:val="center"/>
        <w:rPr>
          <w:kern w:val="44"/>
          <w:sz w:val="44"/>
          <w:szCs w:val="44"/>
        </w:rPr>
      </w:pPr>
    </w:p>
    <w:p w14:paraId="03051E98">
      <w:pPr>
        <w:jc w:val="center"/>
        <w:rPr>
          <w:sz w:val="52"/>
          <w:szCs w:val="52"/>
        </w:rPr>
      </w:pPr>
    </w:p>
    <w:p w14:paraId="64CFE7C2">
      <w:pPr>
        <w:ind w:firstLine="1040"/>
        <w:rPr>
          <w:sz w:val="44"/>
          <w:szCs w:val="44"/>
        </w:rPr>
      </w:pPr>
    </w:p>
    <w:p w14:paraId="2BA7CEB5">
      <w:pPr>
        <w:ind w:firstLine="1040"/>
        <w:rPr>
          <w:sz w:val="44"/>
          <w:szCs w:val="44"/>
        </w:rPr>
      </w:pPr>
    </w:p>
    <w:p w14:paraId="40E3AD3A">
      <w:pPr>
        <w:ind w:firstLine="1040"/>
        <w:rPr>
          <w:sz w:val="44"/>
          <w:szCs w:val="44"/>
        </w:rPr>
      </w:pPr>
    </w:p>
    <w:p w14:paraId="7DFEAC2D">
      <w:pPr>
        <w:ind w:firstLine="1040"/>
        <w:rPr>
          <w:sz w:val="44"/>
          <w:szCs w:val="44"/>
        </w:rPr>
      </w:pPr>
    </w:p>
    <w:p w14:paraId="550BC476">
      <w:pPr>
        <w:adjustRightInd w:val="0"/>
        <w:snapToGrid w:val="0"/>
        <w:spacing w:line="360" w:lineRule="auto"/>
        <w:rPr>
          <w:sz w:val="36"/>
          <w:szCs w:val="36"/>
          <w:u w:val="single"/>
        </w:rPr>
      </w:pPr>
      <w:r>
        <w:rPr>
          <w:sz w:val="36"/>
          <w:szCs w:val="36"/>
        </w:rPr>
        <w:t>项目名称：</w:t>
      </w:r>
      <w:r>
        <w:rPr>
          <w:rFonts w:hint="eastAsia" w:eastAsia="仿宋_GB2312"/>
          <w:sz w:val="36"/>
          <w:szCs w:val="36"/>
          <w:u w:val="single"/>
        </w:rPr>
        <w:t>鸡西市合世源再生物资回收有限公司破碎项目</w:t>
      </w:r>
    </w:p>
    <w:p w14:paraId="29A731D1">
      <w:pPr>
        <w:adjustRightInd w:val="0"/>
        <w:snapToGrid w:val="0"/>
        <w:spacing w:line="360" w:lineRule="auto"/>
        <w:rPr>
          <w:sz w:val="36"/>
          <w:szCs w:val="36"/>
          <w:u w:val="single"/>
        </w:rPr>
      </w:pPr>
      <w:r>
        <w:rPr>
          <w:sz w:val="36"/>
          <w:szCs w:val="36"/>
        </w:rPr>
        <w:t>建设单位（盖章）：</w:t>
      </w:r>
      <w:r>
        <w:rPr>
          <w:rFonts w:hint="eastAsia" w:eastAsia="仿宋_GB2312"/>
          <w:sz w:val="36"/>
          <w:szCs w:val="36"/>
          <w:u w:val="single"/>
        </w:rPr>
        <w:t>鸡西市合世源再生物资回收有限公司</w:t>
      </w:r>
    </w:p>
    <w:p w14:paraId="5700525E">
      <w:pPr>
        <w:adjustRightInd w:val="0"/>
        <w:snapToGrid w:val="0"/>
        <w:spacing w:line="360" w:lineRule="auto"/>
        <w:rPr>
          <w:sz w:val="36"/>
          <w:szCs w:val="36"/>
          <w:u w:val="single"/>
        </w:rPr>
      </w:pPr>
      <w:r>
        <w:rPr>
          <w:sz w:val="36"/>
          <w:szCs w:val="36"/>
        </w:rPr>
        <w:t>编制日期：</w:t>
      </w:r>
      <w:r>
        <w:rPr>
          <w:sz w:val="36"/>
          <w:szCs w:val="36"/>
          <w:u w:val="single"/>
        </w:rPr>
        <w:t>202</w:t>
      </w:r>
      <w:r>
        <w:rPr>
          <w:rFonts w:hint="eastAsia"/>
          <w:sz w:val="36"/>
          <w:szCs w:val="36"/>
          <w:u w:val="single"/>
        </w:rPr>
        <w:t>6</w:t>
      </w:r>
      <w:r>
        <w:rPr>
          <w:sz w:val="36"/>
          <w:szCs w:val="36"/>
          <w:u w:val="single"/>
        </w:rPr>
        <w:t>年</w:t>
      </w:r>
      <w:r>
        <w:rPr>
          <w:rFonts w:hint="eastAsia"/>
          <w:sz w:val="36"/>
          <w:szCs w:val="36"/>
          <w:u w:val="single"/>
        </w:rPr>
        <w:t>1</w:t>
      </w:r>
      <w:r>
        <w:rPr>
          <w:sz w:val="36"/>
          <w:szCs w:val="36"/>
          <w:u w:val="single"/>
        </w:rPr>
        <w:t xml:space="preserve">月 </w:t>
      </w:r>
    </w:p>
    <w:p w14:paraId="76B6B3A3">
      <w:bookmarkStart w:id="1" w:name="_Hlk57884087"/>
    </w:p>
    <w:p w14:paraId="6B089BFF">
      <w:pPr>
        <w:adjustRightInd w:val="0"/>
        <w:snapToGrid w:val="0"/>
        <w:spacing w:line="288" w:lineRule="auto"/>
        <w:ind w:firstLine="1040"/>
        <w:rPr>
          <w:sz w:val="36"/>
          <w:szCs w:val="36"/>
        </w:rPr>
      </w:pPr>
    </w:p>
    <w:p w14:paraId="669840E0">
      <w:pPr>
        <w:adjustRightInd w:val="0"/>
        <w:snapToGrid w:val="0"/>
        <w:spacing w:line="288" w:lineRule="auto"/>
        <w:ind w:firstLine="1040"/>
        <w:rPr>
          <w:sz w:val="36"/>
          <w:szCs w:val="36"/>
        </w:rPr>
      </w:pPr>
    </w:p>
    <w:p w14:paraId="152BED7B">
      <w:pPr>
        <w:adjustRightInd w:val="0"/>
        <w:snapToGrid w:val="0"/>
        <w:spacing w:line="288" w:lineRule="auto"/>
        <w:ind w:firstLine="1040"/>
        <w:rPr>
          <w:sz w:val="36"/>
          <w:szCs w:val="36"/>
        </w:rPr>
      </w:pPr>
    </w:p>
    <w:p w14:paraId="33DBE951">
      <w:pPr>
        <w:adjustRightInd w:val="0"/>
        <w:snapToGrid w:val="0"/>
        <w:spacing w:line="288" w:lineRule="auto"/>
        <w:ind w:firstLine="1040"/>
        <w:rPr>
          <w:sz w:val="36"/>
          <w:szCs w:val="36"/>
        </w:rPr>
      </w:pPr>
    </w:p>
    <w:bookmarkEnd w:id="1"/>
    <w:p w14:paraId="1FD8729F">
      <w:pPr>
        <w:adjustRightInd w:val="0"/>
        <w:snapToGrid w:val="0"/>
        <w:spacing w:line="288" w:lineRule="auto"/>
        <w:jc w:val="center"/>
        <w:rPr>
          <w:sz w:val="36"/>
          <w:szCs w:val="36"/>
        </w:rPr>
      </w:pPr>
      <w:r>
        <w:rPr>
          <w:sz w:val="36"/>
          <w:szCs w:val="36"/>
        </w:rPr>
        <w:t>中华人民共和国生态环境部制</w:t>
      </w:r>
    </w:p>
    <w:p w14:paraId="5408B1F5">
      <w:pPr>
        <w:adjustRightInd w:val="0"/>
        <w:snapToGrid w:val="0"/>
        <w:spacing w:line="288" w:lineRule="auto"/>
        <w:jc w:val="center"/>
        <w:rPr>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50DE6A44">
      <w:pPr>
        <w:pStyle w:val="13"/>
        <w:sectPr>
          <w:pgSz w:w="11906" w:h="16838"/>
          <w:pgMar w:top="1701" w:right="1531" w:bottom="1701" w:left="1531" w:header="851" w:footer="1077" w:gutter="0"/>
          <w:pgNumType w:start="3"/>
          <w:cols w:space="720" w:num="1"/>
          <w:docGrid w:linePitch="312" w:charSpace="0"/>
        </w:sectPr>
      </w:pPr>
      <w:r>
        <w:drawing>
          <wp:inline distT="0" distB="0" distL="114300" distR="114300">
            <wp:extent cx="5476875" cy="7239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76875" cy="7239000"/>
                    </a:xfrm>
                    <a:prstGeom prst="rect">
                      <a:avLst/>
                    </a:prstGeom>
                    <a:noFill/>
                    <a:ln>
                      <a:noFill/>
                    </a:ln>
                  </pic:spPr>
                </pic:pic>
              </a:graphicData>
            </a:graphic>
          </wp:inline>
        </w:drawing>
      </w:r>
    </w:p>
    <w:p w14:paraId="0E0F2167">
      <w:pPr>
        <w:pStyle w:val="27"/>
        <w:jc w:val="center"/>
        <w:outlineLvl w:val="0"/>
        <w:rPr>
          <w:rFonts w:ascii="Times New Roman" w:hAnsi="Times New Roman"/>
          <w:snapToGrid w:val="0"/>
          <w:sz w:val="30"/>
          <w:szCs w:val="30"/>
        </w:rPr>
      </w:pPr>
      <w:bookmarkStart w:id="2" w:name="_Toc83393930"/>
      <w:r>
        <w:rPr>
          <w:rFonts w:ascii="Times New Roman" w:hAnsi="Times New Roman"/>
          <w:snapToGrid w:val="0"/>
          <w:sz w:val="30"/>
          <w:szCs w:val="30"/>
        </w:rPr>
        <w:t>一、建设项目基本情况</w:t>
      </w:r>
      <w:bookmarkEnd w:id="2"/>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26"/>
        <w:gridCol w:w="1473"/>
        <w:gridCol w:w="2416"/>
        <w:gridCol w:w="3455"/>
      </w:tblGrid>
      <w:tr w14:paraId="078C4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7DEBCD2B">
            <w:pPr>
              <w:adjustRightInd w:val="0"/>
              <w:snapToGrid w:val="0"/>
              <w:jc w:val="center"/>
              <w:rPr>
                <w:szCs w:val="21"/>
              </w:rPr>
            </w:pPr>
            <w:r>
              <w:rPr>
                <w:szCs w:val="21"/>
              </w:rPr>
              <w:t>建设项目名称</w:t>
            </w:r>
          </w:p>
        </w:tc>
        <w:tc>
          <w:tcPr>
            <w:tcW w:w="7344" w:type="dxa"/>
            <w:gridSpan w:val="3"/>
            <w:vAlign w:val="center"/>
          </w:tcPr>
          <w:p w14:paraId="3B72CA56">
            <w:pPr>
              <w:adjustRightInd w:val="0"/>
              <w:snapToGrid w:val="0"/>
              <w:jc w:val="center"/>
              <w:rPr>
                <w:szCs w:val="21"/>
              </w:rPr>
            </w:pPr>
            <w:r>
              <w:rPr>
                <w:rFonts w:hint="eastAsia"/>
                <w:szCs w:val="21"/>
              </w:rPr>
              <w:t>鸡西市合世源再生物资回收有限公司破碎</w:t>
            </w:r>
            <w:r>
              <w:rPr>
                <w:szCs w:val="21"/>
              </w:rPr>
              <w:t>项目</w:t>
            </w:r>
          </w:p>
        </w:tc>
      </w:tr>
      <w:tr w14:paraId="1690C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77F27BAE">
            <w:pPr>
              <w:adjustRightInd w:val="0"/>
              <w:snapToGrid w:val="0"/>
              <w:jc w:val="center"/>
              <w:rPr>
                <w:szCs w:val="21"/>
              </w:rPr>
            </w:pPr>
            <w:r>
              <w:rPr>
                <w:szCs w:val="21"/>
              </w:rPr>
              <w:t>项目代码</w:t>
            </w:r>
          </w:p>
        </w:tc>
        <w:tc>
          <w:tcPr>
            <w:tcW w:w="7344" w:type="dxa"/>
            <w:gridSpan w:val="3"/>
            <w:vAlign w:val="center"/>
          </w:tcPr>
          <w:p w14:paraId="5D43EAE7">
            <w:pPr>
              <w:adjustRightInd w:val="0"/>
              <w:snapToGrid w:val="0"/>
              <w:jc w:val="center"/>
              <w:rPr>
                <w:szCs w:val="21"/>
              </w:rPr>
            </w:pPr>
            <w:r>
              <w:rPr>
                <w:szCs w:val="21"/>
              </w:rPr>
              <w:t>无</w:t>
            </w:r>
          </w:p>
        </w:tc>
      </w:tr>
      <w:tr w14:paraId="79FF6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456D0215">
            <w:pPr>
              <w:pStyle w:val="90"/>
            </w:pPr>
            <w:r>
              <w:t>建设单位联系人</w:t>
            </w:r>
          </w:p>
        </w:tc>
        <w:tc>
          <w:tcPr>
            <w:tcW w:w="1473" w:type="dxa"/>
            <w:vAlign w:val="center"/>
          </w:tcPr>
          <w:p w14:paraId="5D550E99">
            <w:pPr>
              <w:pStyle w:val="90"/>
            </w:pPr>
            <w:r>
              <w:rPr>
                <w:rFonts w:hint="eastAsia"/>
              </w:rPr>
              <w:t>王晓东</w:t>
            </w:r>
          </w:p>
        </w:tc>
        <w:tc>
          <w:tcPr>
            <w:tcW w:w="2416" w:type="dxa"/>
            <w:vAlign w:val="center"/>
          </w:tcPr>
          <w:p w14:paraId="4CA1BC19">
            <w:pPr>
              <w:pStyle w:val="90"/>
            </w:pPr>
            <w:r>
              <w:t>联系方式</w:t>
            </w:r>
          </w:p>
        </w:tc>
        <w:tc>
          <w:tcPr>
            <w:tcW w:w="3455" w:type="dxa"/>
            <w:vAlign w:val="center"/>
          </w:tcPr>
          <w:p w14:paraId="15F83753">
            <w:pPr>
              <w:pStyle w:val="90"/>
            </w:pPr>
            <w:r>
              <w:rPr>
                <w:rFonts w:hint="eastAsia"/>
              </w:rPr>
              <w:t>18179083333</w:t>
            </w:r>
          </w:p>
        </w:tc>
      </w:tr>
      <w:tr w14:paraId="6766A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79CF7107">
            <w:pPr>
              <w:adjustRightInd w:val="0"/>
              <w:snapToGrid w:val="0"/>
              <w:jc w:val="center"/>
              <w:rPr>
                <w:szCs w:val="21"/>
              </w:rPr>
            </w:pPr>
            <w:r>
              <w:rPr>
                <w:szCs w:val="21"/>
              </w:rPr>
              <w:t>建设地点</w:t>
            </w:r>
          </w:p>
        </w:tc>
        <w:tc>
          <w:tcPr>
            <w:tcW w:w="7344" w:type="dxa"/>
            <w:gridSpan w:val="3"/>
            <w:vAlign w:val="center"/>
          </w:tcPr>
          <w:p w14:paraId="520063C4">
            <w:pPr>
              <w:adjustRightInd w:val="0"/>
              <w:snapToGrid w:val="0"/>
              <w:jc w:val="center"/>
              <w:rPr>
                <w:szCs w:val="21"/>
              </w:rPr>
            </w:pPr>
            <w:r>
              <w:rPr>
                <w:rFonts w:hint="eastAsia"/>
                <w:szCs w:val="21"/>
              </w:rPr>
              <w:t>黑龙江省鸡西市鸡冠区红星乡红太村红光组</w:t>
            </w:r>
          </w:p>
        </w:tc>
      </w:tr>
      <w:tr w14:paraId="4D7CA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5EFDF71D">
            <w:pPr>
              <w:adjustRightInd w:val="0"/>
              <w:snapToGrid w:val="0"/>
              <w:jc w:val="center"/>
              <w:rPr>
                <w:szCs w:val="21"/>
              </w:rPr>
            </w:pPr>
            <w:r>
              <w:rPr>
                <w:szCs w:val="21"/>
              </w:rPr>
              <w:t>地理坐标</w:t>
            </w:r>
          </w:p>
        </w:tc>
        <w:tc>
          <w:tcPr>
            <w:tcW w:w="7344" w:type="dxa"/>
            <w:gridSpan w:val="3"/>
            <w:vAlign w:val="center"/>
          </w:tcPr>
          <w:p w14:paraId="10B606D8">
            <w:pPr>
              <w:jc w:val="center"/>
              <w:rPr>
                <w:szCs w:val="21"/>
              </w:rPr>
            </w:pPr>
            <w:r>
              <w:rPr>
                <w:color w:val="EE0000"/>
                <w:szCs w:val="21"/>
              </w:rPr>
              <w:t>（</w:t>
            </w:r>
            <w:r>
              <w:rPr>
                <w:color w:val="EE0000"/>
                <w:szCs w:val="21"/>
                <w:u w:val="single"/>
              </w:rPr>
              <w:t>13</w:t>
            </w:r>
            <w:r>
              <w:rPr>
                <w:rFonts w:hint="eastAsia"/>
                <w:color w:val="EE0000"/>
                <w:szCs w:val="21"/>
                <w:u w:val="single"/>
              </w:rPr>
              <w:t>1</w:t>
            </w:r>
            <w:r>
              <w:rPr>
                <w:color w:val="EE0000"/>
                <w:szCs w:val="21"/>
              </w:rPr>
              <w:t>度</w:t>
            </w:r>
            <w:r>
              <w:rPr>
                <w:rFonts w:hint="eastAsia"/>
                <w:color w:val="EE0000"/>
                <w:szCs w:val="21"/>
                <w:u w:val="single"/>
              </w:rPr>
              <w:t>00</w:t>
            </w:r>
            <w:r>
              <w:rPr>
                <w:color w:val="EE0000"/>
                <w:szCs w:val="21"/>
              </w:rPr>
              <w:t>分</w:t>
            </w:r>
            <w:r>
              <w:rPr>
                <w:rFonts w:hint="eastAsia"/>
                <w:color w:val="EE0000"/>
                <w:szCs w:val="21"/>
              </w:rPr>
              <w:t>17</w:t>
            </w:r>
            <w:r>
              <w:rPr>
                <w:rFonts w:hint="eastAsia"/>
                <w:color w:val="EE0000"/>
                <w:szCs w:val="21"/>
                <w:u w:val="single"/>
              </w:rPr>
              <w:t>.072</w:t>
            </w:r>
            <w:r>
              <w:rPr>
                <w:color w:val="EE0000"/>
                <w:szCs w:val="21"/>
              </w:rPr>
              <w:t>秒，</w:t>
            </w:r>
            <w:r>
              <w:rPr>
                <w:color w:val="EE0000"/>
                <w:szCs w:val="21"/>
                <w:u w:val="single"/>
              </w:rPr>
              <w:t>45</w:t>
            </w:r>
            <w:r>
              <w:rPr>
                <w:color w:val="EE0000"/>
                <w:szCs w:val="21"/>
              </w:rPr>
              <w:t>度</w:t>
            </w:r>
            <w:r>
              <w:rPr>
                <w:rFonts w:hint="eastAsia"/>
                <w:color w:val="EE0000"/>
                <w:szCs w:val="21"/>
              </w:rPr>
              <w:t>1</w:t>
            </w:r>
            <w:r>
              <w:rPr>
                <w:rFonts w:hint="eastAsia"/>
                <w:color w:val="EE0000"/>
                <w:szCs w:val="21"/>
                <w:u w:val="single"/>
              </w:rPr>
              <w:t>6</w:t>
            </w:r>
            <w:r>
              <w:rPr>
                <w:color w:val="EE0000"/>
                <w:szCs w:val="21"/>
              </w:rPr>
              <w:t>分</w:t>
            </w:r>
            <w:r>
              <w:rPr>
                <w:rFonts w:hint="eastAsia"/>
                <w:color w:val="EE0000"/>
                <w:szCs w:val="21"/>
                <w:u w:val="single"/>
              </w:rPr>
              <w:t>39</w:t>
            </w:r>
            <w:r>
              <w:rPr>
                <w:color w:val="EE0000"/>
                <w:szCs w:val="21"/>
                <w:u w:val="single"/>
              </w:rPr>
              <w:t>.</w:t>
            </w:r>
            <w:r>
              <w:rPr>
                <w:rFonts w:hint="eastAsia"/>
                <w:color w:val="EE0000"/>
                <w:szCs w:val="21"/>
                <w:u w:val="single"/>
              </w:rPr>
              <w:t>643</w:t>
            </w:r>
            <w:r>
              <w:rPr>
                <w:color w:val="EE0000"/>
                <w:szCs w:val="21"/>
              </w:rPr>
              <w:t>秒）</w:t>
            </w:r>
          </w:p>
        </w:tc>
      </w:tr>
      <w:tr w14:paraId="7DFC1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7A7C378E">
            <w:pPr>
              <w:adjustRightInd w:val="0"/>
              <w:snapToGrid w:val="0"/>
              <w:jc w:val="center"/>
              <w:rPr>
                <w:szCs w:val="21"/>
              </w:rPr>
            </w:pPr>
            <w:r>
              <w:rPr>
                <w:szCs w:val="21"/>
              </w:rPr>
              <w:t>国民经济</w:t>
            </w:r>
          </w:p>
          <w:p w14:paraId="4AEBBBCF">
            <w:pPr>
              <w:adjustRightInd w:val="0"/>
              <w:snapToGrid w:val="0"/>
              <w:jc w:val="center"/>
              <w:rPr>
                <w:szCs w:val="21"/>
              </w:rPr>
            </w:pPr>
            <w:r>
              <w:rPr>
                <w:szCs w:val="21"/>
              </w:rPr>
              <w:t>行业类别</w:t>
            </w:r>
          </w:p>
        </w:tc>
        <w:tc>
          <w:tcPr>
            <w:tcW w:w="1473" w:type="dxa"/>
            <w:vAlign w:val="center"/>
          </w:tcPr>
          <w:p w14:paraId="1D23E83B">
            <w:pPr>
              <w:adjustRightInd w:val="0"/>
              <w:snapToGrid w:val="0"/>
              <w:jc w:val="center"/>
              <w:rPr>
                <w:szCs w:val="21"/>
              </w:rPr>
            </w:pPr>
            <w:r>
              <w:rPr>
                <w:szCs w:val="21"/>
              </w:rPr>
              <w:t>4220非金属废料和碎屑加工处理</w:t>
            </w:r>
          </w:p>
        </w:tc>
        <w:tc>
          <w:tcPr>
            <w:tcW w:w="2416" w:type="dxa"/>
            <w:vAlign w:val="center"/>
          </w:tcPr>
          <w:p w14:paraId="3AB3C418">
            <w:pPr>
              <w:adjustRightInd w:val="0"/>
              <w:snapToGrid w:val="0"/>
              <w:jc w:val="center"/>
              <w:rPr>
                <w:szCs w:val="21"/>
              </w:rPr>
            </w:pPr>
            <w:bookmarkStart w:id="3" w:name="_Hlk49843745"/>
            <w:r>
              <w:rPr>
                <w:szCs w:val="21"/>
              </w:rPr>
              <w:t>建设项目</w:t>
            </w:r>
          </w:p>
          <w:p w14:paraId="120D8CAD">
            <w:pPr>
              <w:adjustRightInd w:val="0"/>
              <w:snapToGrid w:val="0"/>
              <w:jc w:val="center"/>
              <w:rPr>
                <w:szCs w:val="21"/>
              </w:rPr>
            </w:pPr>
            <w:r>
              <w:rPr>
                <w:szCs w:val="21"/>
              </w:rPr>
              <w:t>行业类别</w:t>
            </w:r>
            <w:bookmarkEnd w:id="3"/>
          </w:p>
        </w:tc>
        <w:tc>
          <w:tcPr>
            <w:tcW w:w="3455" w:type="dxa"/>
            <w:vAlign w:val="center"/>
          </w:tcPr>
          <w:p w14:paraId="3AA48281">
            <w:pPr>
              <w:adjustRightInd w:val="0"/>
              <w:snapToGrid w:val="0"/>
              <w:rPr>
                <w:szCs w:val="21"/>
              </w:rPr>
            </w:pPr>
            <w:r>
              <w:rPr>
                <w:szCs w:val="21"/>
              </w:rPr>
              <w:t>85非金属废料和碎屑加工处理</w:t>
            </w:r>
          </w:p>
        </w:tc>
      </w:tr>
      <w:tr w14:paraId="1D667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28CE66C9">
            <w:pPr>
              <w:adjustRightInd w:val="0"/>
              <w:snapToGrid w:val="0"/>
              <w:jc w:val="center"/>
              <w:rPr>
                <w:szCs w:val="21"/>
              </w:rPr>
            </w:pPr>
            <w:r>
              <w:rPr>
                <w:szCs w:val="21"/>
              </w:rPr>
              <w:t>建设性质</w:t>
            </w:r>
          </w:p>
        </w:tc>
        <w:tc>
          <w:tcPr>
            <w:tcW w:w="1473" w:type="dxa"/>
            <w:vAlign w:val="center"/>
          </w:tcPr>
          <w:p w14:paraId="7C6EDF7D">
            <w:pPr>
              <w:jc w:val="left"/>
              <w:rPr>
                <w:szCs w:val="21"/>
              </w:rPr>
            </w:pPr>
            <w:r>
              <w:rPr>
                <w:szCs w:val="21"/>
              </w:rPr>
              <w:sym w:font="Wingdings" w:char="F0FE"/>
            </w:r>
            <w:r>
              <w:rPr>
                <w:szCs w:val="21"/>
              </w:rPr>
              <w:t>新建（迁建）</w:t>
            </w:r>
          </w:p>
          <w:p w14:paraId="407FB48B">
            <w:pPr>
              <w:jc w:val="left"/>
              <w:rPr>
                <w:szCs w:val="21"/>
              </w:rPr>
            </w:pPr>
            <w:r>
              <w:rPr>
                <w:szCs w:val="21"/>
              </w:rPr>
              <w:sym w:font="Wingdings 2" w:char="00A3"/>
            </w:r>
            <w:r>
              <w:rPr>
                <w:szCs w:val="21"/>
              </w:rPr>
              <w:t>改建</w:t>
            </w:r>
          </w:p>
          <w:p w14:paraId="02B5E83B">
            <w:pPr>
              <w:jc w:val="left"/>
              <w:rPr>
                <w:szCs w:val="21"/>
              </w:rPr>
            </w:pPr>
            <w:r>
              <w:rPr>
                <w:szCs w:val="21"/>
              </w:rPr>
              <w:sym w:font="Wingdings 2" w:char="00A3"/>
            </w:r>
            <w:r>
              <w:rPr>
                <w:szCs w:val="21"/>
              </w:rPr>
              <w:t>扩建</w:t>
            </w:r>
          </w:p>
          <w:p w14:paraId="7117C1D8">
            <w:pPr>
              <w:jc w:val="left"/>
              <w:rPr>
                <w:szCs w:val="21"/>
              </w:rPr>
            </w:pPr>
            <w:r>
              <w:rPr>
                <w:szCs w:val="21"/>
              </w:rPr>
              <w:sym w:font="Wingdings 2" w:char="00A3"/>
            </w:r>
            <w:r>
              <w:rPr>
                <w:szCs w:val="21"/>
              </w:rPr>
              <w:t>技术改造</w:t>
            </w:r>
          </w:p>
        </w:tc>
        <w:tc>
          <w:tcPr>
            <w:tcW w:w="2416" w:type="dxa"/>
            <w:vAlign w:val="center"/>
          </w:tcPr>
          <w:p w14:paraId="6A28A25A">
            <w:pPr>
              <w:adjustRightInd w:val="0"/>
              <w:snapToGrid w:val="0"/>
              <w:jc w:val="center"/>
              <w:rPr>
                <w:szCs w:val="21"/>
              </w:rPr>
            </w:pPr>
            <w:r>
              <w:rPr>
                <w:szCs w:val="21"/>
              </w:rPr>
              <w:t>建设项目</w:t>
            </w:r>
          </w:p>
          <w:p w14:paraId="7BD66060">
            <w:pPr>
              <w:adjustRightInd w:val="0"/>
              <w:snapToGrid w:val="0"/>
              <w:jc w:val="center"/>
              <w:rPr>
                <w:szCs w:val="21"/>
              </w:rPr>
            </w:pPr>
            <w:r>
              <w:rPr>
                <w:szCs w:val="21"/>
              </w:rPr>
              <w:t>申报情形</w:t>
            </w:r>
          </w:p>
        </w:tc>
        <w:tc>
          <w:tcPr>
            <w:tcW w:w="3455" w:type="dxa"/>
            <w:vAlign w:val="center"/>
          </w:tcPr>
          <w:p w14:paraId="51F93CE5">
            <w:pPr>
              <w:jc w:val="left"/>
              <w:rPr>
                <w:szCs w:val="21"/>
              </w:rPr>
            </w:pPr>
            <w:r>
              <w:rPr>
                <w:szCs w:val="21"/>
              </w:rPr>
              <w:sym w:font="Wingdings" w:char="F0FE"/>
            </w:r>
            <w:r>
              <w:rPr>
                <w:szCs w:val="21"/>
              </w:rPr>
              <w:t>首次申报项目</w:t>
            </w:r>
          </w:p>
          <w:p w14:paraId="56409C0C">
            <w:pPr>
              <w:jc w:val="left"/>
              <w:rPr>
                <w:szCs w:val="21"/>
              </w:rPr>
            </w:pPr>
            <w:r>
              <w:rPr>
                <w:szCs w:val="21"/>
              </w:rPr>
              <w:sym w:font="Wingdings 2" w:char="00A3"/>
            </w:r>
            <w:r>
              <w:rPr>
                <w:szCs w:val="21"/>
              </w:rPr>
              <w:t>不予批准后再次申报项目</w:t>
            </w:r>
          </w:p>
          <w:p w14:paraId="16E8CC90">
            <w:pPr>
              <w:jc w:val="left"/>
              <w:rPr>
                <w:szCs w:val="21"/>
              </w:rPr>
            </w:pPr>
            <w:r>
              <w:rPr>
                <w:szCs w:val="21"/>
              </w:rPr>
              <w:sym w:font="Wingdings 2" w:char="00A3"/>
            </w:r>
            <w:r>
              <w:rPr>
                <w:szCs w:val="21"/>
              </w:rPr>
              <w:t>超五年重新审核项目</w:t>
            </w:r>
          </w:p>
          <w:p w14:paraId="46754D3C">
            <w:pPr>
              <w:jc w:val="left"/>
              <w:rPr>
                <w:szCs w:val="21"/>
              </w:rPr>
            </w:pPr>
            <w:r>
              <w:rPr>
                <w:szCs w:val="21"/>
              </w:rPr>
              <w:sym w:font="Wingdings 2" w:char="00A3"/>
            </w:r>
            <w:r>
              <w:rPr>
                <w:szCs w:val="21"/>
              </w:rPr>
              <w:t>重大变动重新报批项目</w:t>
            </w:r>
          </w:p>
        </w:tc>
      </w:tr>
      <w:tr w14:paraId="0FF13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6BA86C46">
            <w:pPr>
              <w:adjustRightInd w:val="0"/>
              <w:snapToGrid w:val="0"/>
              <w:jc w:val="center"/>
              <w:rPr>
                <w:szCs w:val="21"/>
              </w:rPr>
            </w:pPr>
            <w:r>
              <w:rPr>
                <w:szCs w:val="21"/>
              </w:rPr>
              <w:t>项目审批（核准/</w:t>
            </w:r>
          </w:p>
          <w:p w14:paraId="1159A12C">
            <w:pPr>
              <w:adjustRightInd w:val="0"/>
              <w:snapToGrid w:val="0"/>
              <w:jc w:val="center"/>
              <w:rPr>
                <w:szCs w:val="21"/>
              </w:rPr>
            </w:pPr>
            <w:r>
              <w:rPr>
                <w:szCs w:val="21"/>
              </w:rPr>
              <w:t>备案）部门（选填）</w:t>
            </w:r>
          </w:p>
        </w:tc>
        <w:tc>
          <w:tcPr>
            <w:tcW w:w="1473" w:type="dxa"/>
            <w:vAlign w:val="center"/>
          </w:tcPr>
          <w:p w14:paraId="6F9A81FE">
            <w:pPr>
              <w:adjustRightInd w:val="0"/>
              <w:snapToGrid w:val="0"/>
              <w:jc w:val="center"/>
              <w:rPr>
                <w:szCs w:val="21"/>
              </w:rPr>
            </w:pPr>
            <w:r>
              <w:rPr>
                <w:szCs w:val="21"/>
              </w:rPr>
              <w:t>无</w:t>
            </w:r>
          </w:p>
        </w:tc>
        <w:tc>
          <w:tcPr>
            <w:tcW w:w="2416" w:type="dxa"/>
            <w:vAlign w:val="center"/>
          </w:tcPr>
          <w:p w14:paraId="02C67718">
            <w:pPr>
              <w:adjustRightInd w:val="0"/>
              <w:snapToGrid w:val="0"/>
              <w:jc w:val="center"/>
              <w:rPr>
                <w:szCs w:val="21"/>
              </w:rPr>
            </w:pPr>
            <w:r>
              <w:rPr>
                <w:szCs w:val="21"/>
              </w:rPr>
              <w:t>项目审批（核准/</w:t>
            </w:r>
          </w:p>
          <w:p w14:paraId="6CED4E9E">
            <w:pPr>
              <w:adjustRightInd w:val="0"/>
              <w:snapToGrid w:val="0"/>
              <w:jc w:val="center"/>
              <w:rPr>
                <w:szCs w:val="21"/>
              </w:rPr>
            </w:pPr>
            <w:r>
              <w:rPr>
                <w:szCs w:val="21"/>
              </w:rPr>
              <w:t>备案）文号（选填）</w:t>
            </w:r>
          </w:p>
        </w:tc>
        <w:tc>
          <w:tcPr>
            <w:tcW w:w="3455" w:type="dxa"/>
            <w:vAlign w:val="center"/>
          </w:tcPr>
          <w:p w14:paraId="33C39124">
            <w:pPr>
              <w:adjustRightInd w:val="0"/>
              <w:snapToGrid w:val="0"/>
              <w:jc w:val="center"/>
              <w:rPr>
                <w:szCs w:val="21"/>
              </w:rPr>
            </w:pPr>
            <w:r>
              <w:rPr>
                <w:szCs w:val="21"/>
              </w:rPr>
              <w:t>无</w:t>
            </w:r>
          </w:p>
        </w:tc>
      </w:tr>
      <w:tr w14:paraId="2B5D3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2C7B32D9">
            <w:pPr>
              <w:adjustRightInd w:val="0"/>
              <w:snapToGrid w:val="0"/>
              <w:jc w:val="center"/>
              <w:rPr>
                <w:szCs w:val="21"/>
              </w:rPr>
            </w:pPr>
            <w:r>
              <w:rPr>
                <w:szCs w:val="21"/>
              </w:rPr>
              <w:t>总投资（万元）</w:t>
            </w:r>
          </w:p>
        </w:tc>
        <w:tc>
          <w:tcPr>
            <w:tcW w:w="1473" w:type="dxa"/>
            <w:vAlign w:val="center"/>
          </w:tcPr>
          <w:p w14:paraId="05542710">
            <w:pPr>
              <w:adjustRightInd w:val="0"/>
              <w:snapToGrid w:val="0"/>
              <w:jc w:val="center"/>
              <w:rPr>
                <w:szCs w:val="21"/>
              </w:rPr>
            </w:pPr>
            <w:r>
              <w:rPr>
                <w:szCs w:val="21"/>
              </w:rPr>
              <w:t>100</w:t>
            </w:r>
          </w:p>
        </w:tc>
        <w:tc>
          <w:tcPr>
            <w:tcW w:w="2416" w:type="dxa"/>
            <w:tcMar>
              <w:top w:w="16" w:type="dxa"/>
              <w:left w:w="16" w:type="dxa"/>
              <w:right w:w="16" w:type="dxa"/>
            </w:tcMar>
            <w:vAlign w:val="center"/>
          </w:tcPr>
          <w:p w14:paraId="270F8646">
            <w:pPr>
              <w:adjustRightInd w:val="0"/>
              <w:snapToGrid w:val="0"/>
              <w:jc w:val="center"/>
              <w:rPr>
                <w:szCs w:val="21"/>
              </w:rPr>
            </w:pPr>
            <w:r>
              <w:rPr>
                <w:szCs w:val="21"/>
              </w:rPr>
              <w:t>环保投资（万元）</w:t>
            </w:r>
          </w:p>
        </w:tc>
        <w:tc>
          <w:tcPr>
            <w:tcW w:w="3455" w:type="dxa"/>
            <w:vAlign w:val="center"/>
          </w:tcPr>
          <w:p w14:paraId="21841506">
            <w:pPr>
              <w:adjustRightInd w:val="0"/>
              <w:snapToGrid w:val="0"/>
              <w:jc w:val="center"/>
              <w:rPr>
                <w:szCs w:val="21"/>
              </w:rPr>
            </w:pPr>
            <w:r>
              <w:rPr>
                <w:rFonts w:hint="eastAsia"/>
                <w:szCs w:val="21"/>
              </w:rPr>
              <w:t>22</w:t>
            </w:r>
          </w:p>
        </w:tc>
      </w:tr>
      <w:tr w14:paraId="05CCF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7F10BECA">
            <w:pPr>
              <w:adjustRightInd w:val="0"/>
              <w:snapToGrid w:val="0"/>
              <w:jc w:val="center"/>
              <w:rPr>
                <w:szCs w:val="21"/>
              </w:rPr>
            </w:pPr>
            <w:r>
              <w:rPr>
                <w:szCs w:val="21"/>
              </w:rPr>
              <w:t>环保投资占比（%）</w:t>
            </w:r>
          </w:p>
        </w:tc>
        <w:tc>
          <w:tcPr>
            <w:tcW w:w="1473" w:type="dxa"/>
            <w:vAlign w:val="center"/>
          </w:tcPr>
          <w:p w14:paraId="2AE59766">
            <w:pPr>
              <w:adjustRightInd w:val="0"/>
              <w:snapToGrid w:val="0"/>
              <w:jc w:val="center"/>
              <w:rPr>
                <w:szCs w:val="21"/>
              </w:rPr>
            </w:pPr>
            <w:r>
              <w:rPr>
                <w:rFonts w:hint="eastAsia"/>
                <w:szCs w:val="21"/>
              </w:rPr>
              <w:t>22</w:t>
            </w:r>
          </w:p>
        </w:tc>
        <w:tc>
          <w:tcPr>
            <w:tcW w:w="2416" w:type="dxa"/>
            <w:tcMar>
              <w:top w:w="16" w:type="dxa"/>
              <w:left w:w="16" w:type="dxa"/>
              <w:right w:w="16" w:type="dxa"/>
            </w:tcMar>
            <w:vAlign w:val="center"/>
          </w:tcPr>
          <w:p w14:paraId="5601825B">
            <w:pPr>
              <w:adjustRightInd w:val="0"/>
              <w:snapToGrid w:val="0"/>
              <w:jc w:val="center"/>
              <w:rPr>
                <w:szCs w:val="21"/>
              </w:rPr>
            </w:pPr>
            <w:r>
              <w:rPr>
                <w:szCs w:val="21"/>
              </w:rPr>
              <w:t>施工工期</w:t>
            </w:r>
          </w:p>
        </w:tc>
        <w:tc>
          <w:tcPr>
            <w:tcW w:w="3455" w:type="dxa"/>
            <w:vAlign w:val="center"/>
          </w:tcPr>
          <w:p w14:paraId="5AC8C177">
            <w:pPr>
              <w:adjustRightInd w:val="0"/>
              <w:snapToGrid w:val="0"/>
              <w:jc w:val="center"/>
              <w:rPr>
                <w:szCs w:val="21"/>
              </w:rPr>
            </w:pPr>
            <w:r>
              <w:rPr>
                <w:rFonts w:hint="eastAsia"/>
                <w:szCs w:val="21"/>
              </w:rPr>
              <w:t>2026.4-2026.5 共计1个月</w:t>
            </w:r>
          </w:p>
        </w:tc>
      </w:tr>
      <w:tr w14:paraId="51AC0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526" w:type="dxa"/>
            <w:tcMar>
              <w:top w:w="16" w:type="dxa"/>
              <w:left w:w="16" w:type="dxa"/>
              <w:right w:w="16" w:type="dxa"/>
            </w:tcMar>
            <w:vAlign w:val="center"/>
          </w:tcPr>
          <w:p w14:paraId="4D0C8A46">
            <w:pPr>
              <w:adjustRightInd w:val="0"/>
              <w:snapToGrid w:val="0"/>
              <w:jc w:val="center"/>
              <w:rPr>
                <w:szCs w:val="21"/>
              </w:rPr>
            </w:pPr>
            <w:r>
              <w:rPr>
                <w:szCs w:val="21"/>
              </w:rPr>
              <w:t>是否开工建设</w:t>
            </w:r>
          </w:p>
        </w:tc>
        <w:tc>
          <w:tcPr>
            <w:tcW w:w="1473" w:type="dxa"/>
            <w:vAlign w:val="center"/>
          </w:tcPr>
          <w:p w14:paraId="2C382DF7">
            <w:pPr>
              <w:adjustRightInd w:val="0"/>
              <w:snapToGrid w:val="0"/>
              <w:rPr>
                <w:szCs w:val="21"/>
              </w:rPr>
            </w:pPr>
            <w:r>
              <w:rPr>
                <w:szCs w:val="21"/>
              </w:rPr>
              <w:sym w:font="Wingdings" w:char="F0FE"/>
            </w:r>
            <w:r>
              <w:rPr>
                <w:szCs w:val="21"/>
              </w:rPr>
              <w:t>否</w:t>
            </w:r>
          </w:p>
          <w:p w14:paraId="5FC011A3">
            <w:pPr>
              <w:adjustRightInd w:val="0"/>
              <w:snapToGrid w:val="0"/>
              <w:rPr>
                <w:szCs w:val="21"/>
              </w:rPr>
            </w:pPr>
            <w:r>
              <w:rPr>
                <w:szCs w:val="21"/>
              </w:rPr>
              <w:sym w:font="Wingdings 2" w:char="00A3"/>
            </w:r>
            <w:r>
              <w:rPr>
                <w:szCs w:val="21"/>
              </w:rPr>
              <w:t>是：</w:t>
            </w:r>
            <w:r>
              <w:rPr>
                <w:szCs w:val="21"/>
                <w:u w:val="single"/>
              </w:rPr>
              <w:t xml:space="preserve">             </w:t>
            </w:r>
          </w:p>
        </w:tc>
        <w:tc>
          <w:tcPr>
            <w:tcW w:w="2416" w:type="dxa"/>
            <w:tcMar>
              <w:top w:w="16" w:type="dxa"/>
              <w:left w:w="16" w:type="dxa"/>
              <w:right w:w="16" w:type="dxa"/>
            </w:tcMar>
            <w:vAlign w:val="center"/>
          </w:tcPr>
          <w:p w14:paraId="3E815AE7">
            <w:pPr>
              <w:adjustRightInd w:val="0"/>
              <w:snapToGrid w:val="0"/>
              <w:jc w:val="center"/>
              <w:rPr>
                <w:szCs w:val="21"/>
              </w:rPr>
            </w:pPr>
            <w:r>
              <w:rPr>
                <w:spacing w:val="-6"/>
                <w:szCs w:val="21"/>
              </w:rPr>
              <w:t>用地面积（m</w:t>
            </w:r>
            <w:r>
              <w:rPr>
                <w:spacing w:val="-6"/>
                <w:szCs w:val="21"/>
                <w:vertAlign w:val="superscript"/>
              </w:rPr>
              <w:t>2</w:t>
            </w:r>
            <w:r>
              <w:rPr>
                <w:spacing w:val="-6"/>
                <w:szCs w:val="21"/>
              </w:rPr>
              <w:t>）</w:t>
            </w:r>
          </w:p>
        </w:tc>
        <w:tc>
          <w:tcPr>
            <w:tcW w:w="3455" w:type="dxa"/>
            <w:vAlign w:val="center"/>
          </w:tcPr>
          <w:p w14:paraId="3AFC2B46">
            <w:pPr>
              <w:adjustRightInd w:val="0"/>
              <w:snapToGrid w:val="0"/>
              <w:jc w:val="center"/>
              <w:rPr>
                <w:szCs w:val="21"/>
              </w:rPr>
            </w:pPr>
            <w:r>
              <w:rPr>
                <w:rFonts w:hint="eastAsia"/>
                <w:szCs w:val="30"/>
              </w:rPr>
              <w:t>2600</w:t>
            </w:r>
          </w:p>
        </w:tc>
      </w:tr>
      <w:tr w14:paraId="68A92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26" w:type="dxa"/>
            <w:vAlign w:val="center"/>
          </w:tcPr>
          <w:p w14:paraId="36892B63">
            <w:pPr>
              <w:autoSpaceDE w:val="0"/>
              <w:autoSpaceDN w:val="0"/>
              <w:adjustRightInd w:val="0"/>
              <w:snapToGrid w:val="0"/>
              <w:jc w:val="center"/>
              <w:rPr>
                <w:kern w:val="0"/>
                <w:szCs w:val="21"/>
              </w:rPr>
            </w:pPr>
            <w:r>
              <w:rPr>
                <w:kern w:val="0"/>
                <w:szCs w:val="21"/>
              </w:rPr>
              <w:t>专项评价设置情况</w:t>
            </w:r>
          </w:p>
        </w:tc>
        <w:tc>
          <w:tcPr>
            <w:tcW w:w="7344" w:type="dxa"/>
            <w:gridSpan w:val="3"/>
            <w:vAlign w:val="center"/>
          </w:tcPr>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99"/>
              <w:gridCol w:w="3213"/>
              <w:gridCol w:w="2913"/>
            </w:tblGrid>
            <w:tr w14:paraId="5B214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3CC2DC7F">
                  <w:pPr>
                    <w:autoSpaceDE w:val="0"/>
                    <w:autoSpaceDN w:val="0"/>
                    <w:adjustRightInd w:val="0"/>
                    <w:snapToGrid w:val="0"/>
                    <w:jc w:val="center"/>
                    <w:rPr>
                      <w:kern w:val="21"/>
                      <w:szCs w:val="21"/>
                    </w:rPr>
                  </w:pPr>
                  <w:r>
                    <w:rPr>
                      <w:kern w:val="21"/>
                      <w:szCs w:val="21"/>
                    </w:rPr>
                    <w:t>专项评价的类别</w:t>
                  </w:r>
                </w:p>
              </w:tc>
              <w:tc>
                <w:tcPr>
                  <w:tcW w:w="2255" w:type="pct"/>
                  <w:vAlign w:val="center"/>
                </w:tcPr>
                <w:p w14:paraId="26F6BCCB">
                  <w:pPr>
                    <w:autoSpaceDE w:val="0"/>
                    <w:autoSpaceDN w:val="0"/>
                    <w:adjustRightInd w:val="0"/>
                    <w:snapToGrid w:val="0"/>
                    <w:jc w:val="center"/>
                    <w:rPr>
                      <w:kern w:val="21"/>
                      <w:szCs w:val="21"/>
                    </w:rPr>
                  </w:pPr>
                  <w:r>
                    <w:rPr>
                      <w:kern w:val="21"/>
                      <w:szCs w:val="21"/>
                    </w:rPr>
                    <w:t>设置原则</w:t>
                  </w:r>
                </w:p>
              </w:tc>
              <w:tc>
                <w:tcPr>
                  <w:tcW w:w="2044" w:type="pct"/>
                  <w:vAlign w:val="center"/>
                </w:tcPr>
                <w:p w14:paraId="1A7109B2">
                  <w:pPr>
                    <w:autoSpaceDE w:val="0"/>
                    <w:autoSpaceDN w:val="0"/>
                    <w:adjustRightInd w:val="0"/>
                    <w:snapToGrid w:val="0"/>
                    <w:jc w:val="center"/>
                    <w:rPr>
                      <w:kern w:val="21"/>
                      <w:szCs w:val="21"/>
                    </w:rPr>
                  </w:pPr>
                  <w:r>
                    <w:rPr>
                      <w:rFonts w:hint="eastAsia"/>
                      <w:kern w:val="21"/>
                      <w:szCs w:val="21"/>
                    </w:rPr>
                    <w:t>是</w:t>
                  </w:r>
                  <w:r>
                    <w:rPr>
                      <w:kern w:val="21"/>
                      <w:szCs w:val="21"/>
                    </w:rPr>
                    <w:t>否设置</w:t>
                  </w:r>
                </w:p>
              </w:tc>
            </w:tr>
            <w:tr w14:paraId="308BE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2273C726">
                  <w:pPr>
                    <w:autoSpaceDE w:val="0"/>
                    <w:autoSpaceDN w:val="0"/>
                    <w:adjustRightInd w:val="0"/>
                    <w:snapToGrid w:val="0"/>
                    <w:jc w:val="center"/>
                    <w:rPr>
                      <w:kern w:val="21"/>
                      <w:szCs w:val="21"/>
                    </w:rPr>
                  </w:pPr>
                  <w:r>
                    <w:rPr>
                      <w:kern w:val="21"/>
                      <w:szCs w:val="21"/>
                    </w:rPr>
                    <w:t>大气</w:t>
                  </w:r>
                </w:p>
              </w:tc>
              <w:tc>
                <w:tcPr>
                  <w:tcW w:w="2255" w:type="pct"/>
                  <w:vAlign w:val="center"/>
                </w:tcPr>
                <w:p w14:paraId="78C3249A">
                  <w:pPr>
                    <w:autoSpaceDE w:val="0"/>
                    <w:autoSpaceDN w:val="0"/>
                    <w:adjustRightInd w:val="0"/>
                    <w:snapToGrid w:val="0"/>
                    <w:jc w:val="left"/>
                    <w:rPr>
                      <w:kern w:val="21"/>
                      <w:szCs w:val="21"/>
                    </w:rPr>
                  </w:pPr>
                  <w:r>
                    <w:rPr>
                      <w:kern w:val="21"/>
                      <w:szCs w:val="21"/>
                    </w:rPr>
                    <w:t>排放废气含有毒有害污染物、二噁英、苯并[</w:t>
                  </w:r>
                  <w:r>
                    <w:rPr>
                      <w:i/>
                      <w:iCs/>
                      <w:kern w:val="21"/>
                      <w:szCs w:val="21"/>
                    </w:rPr>
                    <w:t>a</w:t>
                  </w:r>
                  <w:r>
                    <w:rPr>
                      <w:kern w:val="21"/>
                      <w:szCs w:val="21"/>
                    </w:rPr>
                    <w:t>]芘、氰化物、氯气且厂界外500米范围内有环境空气保护目标的建设项目</w:t>
                  </w:r>
                </w:p>
              </w:tc>
              <w:tc>
                <w:tcPr>
                  <w:tcW w:w="2044" w:type="pct"/>
                  <w:vAlign w:val="center"/>
                </w:tcPr>
                <w:p w14:paraId="3A98C50A">
                  <w:pPr>
                    <w:autoSpaceDE w:val="0"/>
                    <w:autoSpaceDN w:val="0"/>
                    <w:adjustRightInd w:val="0"/>
                    <w:snapToGrid w:val="0"/>
                    <w:jc w:val="left"/>
                    <w:rPr>
                      <w:kern w:val="21"/>
                      <w:szCs w:val="21"/>
                    </w:rPr>
                  </w:pPr>
                  <w:r>
                    <w:rPr>
                      <w:rFonts w:hint="eastAsia"/>
                      <w:kern w:val="21"/>
                      <w:szCs w:val="21"/>
                    </w:rPr>
                    <w:t>不</w:t>
                  </w:r>
                  <w:r>
                    <w:rPr>
                      <w:kern w:val="21"/>
                      <w:szCs w:val="21"/>
                    </w:rPr>
                    <w:t>设置</w:t>
                  </w:r>
                  <w:r>
                    <w:rPr>
                      <w:rFonts w:hint="eastAsia"/>
                      <w:kern w:val="21"/>
                      <w:szCs w:val="21"/>
                    </w:rPr>
                    <w:t>，</w:t>
                  </w:r>
                  <w:r>
                    <w:rPr>
                      <w:kern w:val="21"/>
                      <w:szCs w:val="21"/>
                    </w:rPr>
                    <w:t>项目</w:t>
                  </w:r>
                  <w:r>
                    <w:rPr>
                      <w:rFonts w:hint="eastAsia"/>
                      <w:kern w:val="21"/>
                      <w:szCs w:val="21"/>
                    </w:rPr>
                    <w:t>为湿法破碎，不</w:t>
                  </w:r>
                  <w:r>
                    <w:rPr>
                      <w:kern w:val="21"/>
                      <w:szCs w:val="21"/>
                    </w:rPr>
                    <w:t>含有毒有害污染物</w:t>
                  </w:r>
                </w:p>
              </w:tc>
            </w:tr>
            <w:tr w14:paraId="3689C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6AE9975A">
                  <w:pPr>
                    <w:autoSpaceDE w:val="0"/>
                    <w:autoSpaceDN w:val="0"/>
                    <w:adjustRightInd w:val="0"/>
                    <w:snapToGrid w:val="0"/>
                    <w:jc w:val="center"/>
                    <w:rPr>
                      <w:kern w:val="21"/>
                      <w:szCs w:val="21"/>
                    </w:rPr>
                  </w:pPr>
                  <w:r>
                    <w:rPr>
                      <w:kern w:val="21"/>
                      <w:szCs w:val="21"/>
                    </w:rPr>
                    <w:t>地表水</w:t>
                  </w:r>
                </w:p>
              </w:tc>
              <w:tc>
                <w:tcPr>
                  <w:tcW w:w="2255" w:type="pct"/>
                  <w:vAlign w:val="center"/>
                </w:tcPr>
                <w:p w14:paraId="543D97D5">
                  <w:pPr>
                    <w:autoSpaceDE w:val="0"/>
                    <w:autoSpaceDN w:val="0"/>
                    <w:adjustRightInd w:val="0"/>
                    <w:snapToGrid w:val="0"/>
                    <w:jc w:val="left"/>
                    <w:rPr>
                      <w:kern w:val="21"/>
                      <w:szCs w:val="21"/>
                    </w:rPr>
                  </w:pPr>
                  <w:r>
                    <w:rPr>
                      <w:kern w:val="21"/>
                      <w:szCs w:val="21"/>
                    </w:rPr>
                    <w:t>新增工业废水直排建设项目（槽罐车外送污水处理厂的除外）；新增废水直排的污水集中处理厂</w:t>
                  </w:r>
                </w:p>
              </w:tc>
              <w:tc>
                <w:tcPr>
                  <w:tcW w:w="2044" w:type="pct"/>
                  <w:vAlign w:val="center"/>
                </w:tcPr>
                <w:p w14:paraId="2AF3F514">
                  <w:pPr>
                    <w:autoSpaceDE w:val="0"/>
                    <w:autoSpaceDN w:val="0"/>
                    <w:adjustRightInd w:val="0"/>
                    <w:snapToGrid w:val="0"/>
                    <w:jc w:val="left"/>
                    <w:rPr>
                      <w:kern w:val="21"/>
                      <w:szCs w:val="21"/>
                    </w:rPr>
                  </w:pPr>
                  <w:r>
                    <w:rPr>
                      <w:rFonts w:hint="eastAsia"/>
                      <w:kern w:val="21"/>
                      <w:szCs w:val="21"/>
                    </w:rPr>
                    <w:t>不</w:t>
                  </w:r>
                  <w:r>
                    <w:rPr>
                      <w:kern w:val="21"/>
                      <w:szCs w:val="21"/>
                    </w:rPr>
                    <w:t>设置</w:t>
                  </w:r>
                  <w:r>
                    <w:rPr>
                      <w:rFonts w:hint="eastAsia"/>
                      <w:kern w:val="21"/>
                      <w:szCs w:val="21"/>
                    </w:rPr>
                    <w:t>，项目不</w:t>
                  </w:r>
                  <w:r>
                    <w:rPr>
                      <w:kern w:val="21"/>
                      <w:szCs w:val="21"/>
                    </w:rPr>
                    <w:t>新增工业废水直排</w:t>
                  </w:r>
                </w:p>
              </w:tc>
            </w:tr>
            <w:tr w14:paraId="50541D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4A725FF3">
                  <w:pPr>
                    <w:autoSpaceDE w:val="0"/>
                    <w:autoSpaceDN w:val="0"/>
                    <w:adjustRightInd w:val="0"/>
                    <w:snapToGrid w:val="0"/>
                    <w:jc w:val="center"/>
                    <w:rPr>
                      <w:kern w:val="21"/>
                      <w:szCs w:val="21"/>
                    </w:rPr>
                  </w:pPr>
                  <w:r>
                    <w:rPr>
                      <w:kern w:val="21"/>
                      <w:szCs w:val="21"/>
                    </w:rPr>
                    <w:t>环境风险</w:t>
                  </w:r>
                </w:p>
              </w:tc>
              <w:tc>
                <w:tcPr>
                  <w:tcW w:w="2255" w:type="pct"/>
                  <w:vAlign w:val="center"/>
                </w:tcPr>
                <w:p w14:paraId="795A5142">
                  <w:pPr>
                    <w:autoSpaceDE w:val="0"/>
                    <w:autoSpaceDN w:val="0"/>
                    <w:adjustRightInd w:val="0"/>
                    <w:snapToGrid w:val="0"/>
                    <w:jc w:val="left"/>
                    <w:rPr>
                      <w:kern w:val="21"/>
                      <w:szCs w:val="21"/>
                    </w:rPr>
                  </w:pPr>
                  <w:r>
                    <w:rPr>
                      <w:kern w:val="21"/>
                      <w:szCs w:val="21"/>
                    </w:rPr>
                    <w:t>有毒有害和易燃易爆危险物质存储量超过临界量的建设项目</w:t>
                  </w:r>
                </w:p>
              </w:tc>
              <w:tc>
                <w:tcPr>
                  <w:tcW w:w="2044" w:type="pct"/>
                  <w:vAlign w:val="center"/>
                </w:tcPr>
                <w:p w14:paraId="1689CF6E">
                  <w:pPr>
                    <w:autoSpaceDE w:val="0"/>
                    <w:autoSpaceDN w:val="0"/>
                    <w:adjustRightInd w:val="0"/>
                    <w:snapToGrid w:val="0"/>
                    <w:jc w:val="left"/>
                    <w:rPr>
                      <w:kern w:val="21"/>
                      <w:szCs w:val="21"/>
                    </w:rPr>
                  </w:pPr>
                  <w:r>
                    <w:rPr>
                      <w:rFonts w:hint="eastAsia"/>
                      <w:kern w:val="21"/>
                      <w:szCs w:val="21"/>
                    </w:rPr>
                    <w:t>不</w:t>
                  </w:r>
                  <w:r>
                    <w:rPr>
                      <w:kern w:val="21"/>
                      <w:szCs w:val="21"/>
                    </w:rPr>
                    <w:t>设置</w:t>
                  </w:r>
                  <w:r>
                    <w:rPr>
                      <w:rFonts w:hint="eastAsia"/>
                      <w:kern w:val="21"/>
                      <w:szCs w:val="21"/>
                    </w:rPr>
                    <w:t>，项目无</w:t>
                  </w:r>
                  <w:r>
                    <w:rPr>
                      <w:kern w:val="21"/>
                      <w:szCs w:val="21"/>
                    </w:rPr>
                    <w:t>有毒有害和易燃易爆危险物质</w:t>
                  </w:r>
                </w:p>
              </w:tc>
            </w:tr>
            <w:tr w14:paraId="1A6DF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222FE026">
                  <w:pPr>
                    <w:autoSpaceDE w:val="0"/>
                    <w:autoSpaceDN w:val="0"/>
                    <w:adjustRightInd w:val="0"/>
                    <w:snapToGrid w:val="0"/>
                    <w:jc w:val="center"/>
                    <w:rPr>
                      <w:kern w:val="21"/>
                      <w:szCs w:val="21"/>
                    </w:rPr>
                  </w:pPr>
                  <w:r>
                    <w:rPr>
                      <w:kern w:val="21"/>
                      <w:szCs w:val="21"/>
                    </w:rPr>
                    <w:t>生态</w:t>
                  </w:r>
                </w:p>
              </w:tc>
              <w:tc>
                <w:tcPr>
                  <w:tcW w:w="2255" w:type="pct"/>
                  <w:vAlign w:val="center"/>
                </w:tcPr>
                <w:p w14:paraId="520F2A24">
                  <w:pPr>
                    <w:autoSpaceDE w:val="0"/>
                    <w:autoSpaceDN w:val="0"/>
                    <w:adjustRightInd w:val="0"/>
                    <w:snapToGrid w:val="0"/>
                    <w:jc w:val="left"/>
                    <w:rPr>
                      <w:kern w:val="21"/>
                      <w:szCs w:val="21"/>
                    </w:rPr>
                  </w:pPr>
                  <w:r>
                    <w:rPr>
                      <w:kern w:val="21"/>
                      <w:szCs w:val="21"/>
                    </w:rPr>
                    <w:t>取水口下游500米范围内有重要水生生物的自然产卵场、索饵场、越冬场和洄游通道的新增河道取水的污染类建设项目</w:t>
                  </w:r>
                </w:p>
              </w:tc>
              <w:tc>
                <w:tcPr>
                  <w:tcW w:w="2044" w:type="pct"/>
                  <w:vAlign w:val="center"/>
                </w:tcPr>
                <w:p w14:paraId="7A723142">
                  <w:pPr>
                    <w:autoSpaceDE w:val="0"/>
                    <w:autoSpaceDN w:val="0"/>
                    <w:adjustRightInd w:val="0"/>
                    <w:snapToGrid w:val="0"/>
                    <w:jc w:val="center"/>
                    <w:rPr>
                      <w:kern w:val="21"/>
                      <w:szCs w:val="21"/>
                    </w:rPr>
                  </w:pPr>
                  <w:r>
                    <w:rPr>
                      <w:rFonts w:hint="eastAsia"/>
                      <w:kern w:val="21"/>
                      <w:szCs w:val="21"/>
                    </w:rPr>
                    <w:t>不设置</w:t>
                  </w:r>
                </w:p>
              </w:tc>
            </w:tr>
            <w:tr w14:paraId="4A06A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631EB230">
                  <w:pPr>
                    <w:autoSpaceDE w:val="0"/>
                    <w:autoSpaceDN w:val="0"/>
                    <w:adjustRightInd w:val="0"/>
                    <w:snapToGrid w:val="0"/>
                    <w:jc w:val="center"/>
                    <w:rPr>
                      <w:kern w:val="21"/>
                      <w:szCs w:val="21"/>
                    </w:rPr>
                  </w:pPr>
                  <w:r>
                    <w:rPr>
                      <w:kern w:val="21"/>
                      <w:szCs w:val="21"/>
                    </w:rPr>
                    <w:t>海洋</w:t>
                  </w:r>
                </w:p>
              </w:tc>
              <w:tc>
                <w:tcPr>
                  <w:tcW w:w="2255" w:type="pct"/>
                  <w:vAlign w:val="center"/>
                </w:tcPr>
                <w:p w14:paraId="0C233EEA">
                  <w:pPr>
                    <w:autoSpaceDE w:val="0"/>
                    <w:autoSpaceDN w:val="0"/>
                    <w:adjustRightInd w:val="0"/>
                    <w:snapToGrid w:val="0"/>
                    <w:jc w:val="left"/>
                    <w:rPr>
                      <w:kern w:val="21"/>
                      <w:szCs w:val="21"/>
                    </w:rPr>
                  </w:pPr>
                  <w:r>
                    <w:rPr>
                      <w:kern w:val="21"/>
                      <w:szCs w:val="21"/>
                    </w:rPr>
                    <w:t>直接向海排放污染物的海洋工程建设项目</w:t>
                  </w:r>
                </w:p>
              </w:tc>
              <w:tc>
                <w:tcPr>
                  <w:tcW w:w="2044" w:type="pct"/>
                  <w:vAlign w:val="center"/>
                </w:tcPr>
                <w:p w14:paraId="631659C6">
                  <w:pPr>
                    <w:autoSpaceDE w:val="0"/>
                    <w:autoSpaceDN w:val="0"/>
                    <w:adjustRightInd w:val="0"/>
                    <w:snapToGrid w:val="0"/>
                    <w:jc w:val="center"/>
                    <w:rPr>
                      <w:kern w:val="21"/>
                      <w:szCs w:val="21"/>
                    </w:rPr>
                  </w:pPr>
                  <w:r>
                    <w:rPr>
                      <w:rFonts w:hint="eastAsia"/>
                      <w:kern w:val="21"/>
                      <w:szCs w:val="21"/>
                    </w:rPr>
                    <w:t>不设置</w:t>
                  </w:r>
                </w:p>
              </w:tc>
            </w:tr>
            <w:tr w14:paraId="31FC9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43A68B83">
                  <w:pPr>
                    <w:autoSpaceDE w:val="0"/>
                    <w:autoSpaceDN w:val="0"/>
                    <w:adjustRightInd w:val="0"/>
                    <w:snapToGrid w:val="0"/>
                    <w:jc w:val="center"/>
                    <w:rPr>
                      <w:kern w:val="21"/>
                      <w:szCs w:val="21"/>
                    </w:rPr>
                  </w:pPr>
                  <w:r>
                    <w:rPr>
                      <w:rFonts w:hint="eastAsia"/>
                      <w:kern w:val="21"/>
                      <w:szCs w:val="21"/>
                    </w:rPr>
                    <w:t>地下水</w:t>
                  </w:r>
                </w:p>
              </w:tc>
              <w:tc>
                <w:tcPr>
                  <w:tcW w:w="2255" w:type="pct"/>
                  <w:vAlign w:val="center"/>
                </w:tcPr>
                <w:p w14:paraId="2286551E">
                  <w:pPr>
                    <w:autoSpaceDE w:val="0"/>
                    <w:autoSpaceDN w:val="0"/>
                    <w:adjustRightInd w:val="0"/>
                    <w:snapToGrid w:val="0"/>
                    <w:jc w:val="left"/>
                    <w:rPr>
                      <w:kern w:val="21"/>
                      <w:szCs w:val="21"/>
                    </w:rPr>
                  </w:pPr>
                  <w:r>
                    <w:rPr>
                      <w:rFonts w:hint="eastAsia"/>
                      <w:kern w:val="21"/>
                      <w:szCs w:val="21"/>
                    </w:rPr>
                    <w:t>地下水原则上不开展专项评价，涉及集中式饮用水水源和热水、矿泉水、温泉等特殊地下水资源保护区的开展地下水专项评价工作</w:t>
                  </w:r>
                </w:p>
              </w:tc>
              <w:tc>
                <w:tcPr>
                  <w:tcW w:w="2044" w:type="pct"/>
                  <w:vAlign w:val="center"/>
                </w:tcPr>
                <w:p w14:paraId="20347B9D">
                  <w:pPr>
                    <w:autoSpaceDE w:val="0"/>
                    <w:autoSpaceDN w:val="0"/>
                    <w:adjustRightInd w:val="0"/>
                    <w:snapToGrid w:val="0"/>
                    <w:jc w:val="center"/>
                    <w:rPr>
                      <w:kern w:val="21"/>
                      <w:szCs w:val="21"/>
                    </w:rPr>
                  </w:pPr>
                  <w:r>
                    <w:rPr>
                      <w:rFonts w:hint="eastAsia"/>
                      <w:kern w:val="21"/>
                      <w:szCs w:val="21"/>
                    </w:rPr>
                    <w:t>不设置</w:t>
                  </w:r>
                </w:p>
              </w:tc>
            </w:tr>
            <w:tr w14:paraId="14B3E6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09EEBED4">
                  <w:pPr>
                    <w:autoSpaceDE w:val="0"/>
                    <w:autoSpaceDN w:val="0"/>
                    <w:adjustRightInd w:val="0"/>
                    <w:snapToGrid w:val="0"/>
                    <w:jc w:val="center"/>
                    <w:rPr>
                      <w:kern w:val="21"/>
                      <w:szCs w:val="21"/>
                    </w:rPr>
                  </w:pPr>
                  <w:r>
                    <w:rPr>
                      <w:rFonts w:hint="eastAsia"/>
                      <w:kern w:val="21"/>
                      <w:szCs w:val="21"/>
                    </w:rPr>
                    <w:t>土壤</w:t>
                  </w:r>
                </w:p>
              </w:tc>
              <w:tc>
                <w:tcPr>
                  <w:tcW w:w="2255" w:type="pct"/>
                  <w:vMerge w:val="restart"/>
                  <w:vAlign w:val="center"/>
                </w:tcPr>
                <w:p w14:paraId="3BE04967">
                  <w:pPr>
                    <w:autoSpaceDE w:val="0"/>
                    <w:autoSpaceDN w:val="0"/>
                    <w:adjustRightInd w:val="0"/>
                    <w:snapToGrid w:val="0"/>
                    <w:jc w:val="center"/>
                    <w:rPr>
                      <w:kern w:val="21"/>
                      <w:szCs w:val="21"/>
                    </w:rPr>
                  </w:pPr>
                  <w:r>
                    <w:rPr>
                      <w:rFonts w:hint="eastAsia" w:cs="宋体"/>
                      <w:kern w:val="21"/>
                      <w:szCs w:val="21"/>
                    </w:rPr>
                    <w:t>土壤、声环境不开展专项评价</w:t>
                  </w:r>
                </w:p>
              </w:tc>
              <w:tc>
                <w:tcPr>
                  <w:tcW w:w="2044" w:type="pct"/>
                  <w:vAlign w:val="center"/>
                </w:tcPr>
                <w:p w14:paraId="3DA58D76">
                  <w:pPr>
                    <w:autoSpaceDE w:val="0"/>
                    <w:autoSpaceDN w:val="0"/>
                    <w:adjustRightInd w:val="0"/>
                    <w:snapToGrid w:val="0"/>
                    <w:jc w:val="center"/>
                    <w:rPr>
                      <w:kern w:val="21"/>
                      <w:szCs w:val="21"/>
                    </w:rPr>
                  </w:pPr>
                  <w:r>
                    <w:rPr>
                      <w:rFonts w:hint="eastAsia"/>
                      <w:kern w:val="21"/>
                      <w:szCs w:val="21"/>
                    </w:rPr>
                    <w:t>不设置</w:t>
                  </w:r>
                </w:p>
              </w:tc>
            </w:tr>
            <w:tr w14:paraId="245888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vAlign w:val="center"/>
                </w:tcPr>
                <w:p w14:paraId="54527A7B">
                  <w:pPr>
                    <w:autoSpaceDE w:val="0"/>
                    <w:autoSpaceDN w:val="0"/>
                    <w:adjustRightInd w:val="0"/>
                    <w:snapToGrid w:val="0"/>
                    <w:jc w:val="center"/>
                    <w:rPr>
                      <w:kern w:val="21"/>
                      <w:szCs w:val="21"/>
                    </w:rPr>
                  </w:pPr>
                  <w:r>
                    <w:rPr>
                      <w:rFonts w:hint="eastAsia"/>
                      <w:kern w:val="21"/>
                      <w:szCs w:val="21"/>
                    </w:rPr>
                    <w:t>声环境</w:t>
                  </w:r>
                </w:p>
              </w:tc>
              <w:tc>
                <w:tcPr>
                  <w:tcW w:w="2255" w:type="pct"/>
                  <w:vMerge w:val="continue"/>
                  <w:vAlign w:val="center"/>
                </w:tcPr>
                <w:p w14:paraId="7F61860E">
                  <w:pPr>
                    <w:autoSpaceDE w:val="0"/>
                    <w:autoSpaceDN w:val="0"/>
                    <w:adjustRightInd w:val="0"/>
                    <w:snapToGrid w:val="0"/>
                    <w:jc w:val="center"/>
                    <w:rPr>
                      <w:kern w:val="21"/>
                      <w:szCs w:val="21"/>
                    </w:rPr>
                  </w:pPr>
                </w:p>
              </w:tc>
              <w:tc>
                <w:tcPr>
                  <w:tcW w:w="2044" w:type="pct"/>
                  <w:vAlign w:val="center"/>
                </w:tcPr>
                <w:p w14:paraId="468C59BE">
                  <w:pPr>
                    <w:autoSpaceDE w:val="0"/>
                    <w:autoSpaceDN w:val="0"/>
                    <w:adjustRightInd w:val="0"/>
                    <w:snapToGrid w:val="0"/>
                    <w:jc w:val="center"/>
                    <w:rPr>
                      <w:kern w:val="21"/>
                      <w:szCs w:val="21"/>
                    </w:rPr>
                  </w:pPr>
                  <w:r>
                    <w:rPr>
                      <w:rFonts w:hint="eastAsia"/>
                      <w:kern w:val="21"/>
                      <w:szCs w:val="21"/>
                    </w:rPr>
                    <w:t>不设置</w:t>
                  </w:r>
                </w:p>
              </w:tc>
            </w:tr>
          </w:tbl>
          <w:p w14:paraId="6B866A4E">
            <w:pPr>
              <w:autoSpaceDE w:val="0"/>
              <w:autoSpaceDN w:val="0"/>
              <w:adjustRightInd w:val="0"/>
              <w:snapToGrid w:val="0"/>
              <w:jc w:val="center"/>
              <w:rPr>
                <w:kern w:val="0"/>
                <w:szCs w:val="21"/>
              </w:rPr>
            </w:pPr>
          </w:p>
        </w:tc>
      </w:tr>
      <w:tr w14:paraId="2932F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14:paraId="3FD900DF">
            <w:pPr>
              <w:autoSpaceDE w:val="0"/>
              <w:autoSpaceDN w:val="0"/>
              <w:adjustRightInd w:val="0"/>
              <w:snapToGrid w:val="0"/>
              <w:jc w:val="center"/>
              <w:rPr>
                <w:kern w:val="0"/>
                <w:szCs w:val="21"/>
              </w:rPr>
            </w:pPr>
            <w:r>
              <w:rPr>
                <w:szCs w:val="21"/>
              </w:rPr>
              <w:t>规划情况</w:t>
            </w:r>
          </w:p>
        </w:tc>
        <w:tc>
          <w:tcPr>
            <w:tcW w:w="7344" w:type="dxa"/>
            <w:gridSpan w:val="3"/>
            <w:vAlign w:val="center"/>
          </w:tcPr>
          <w:p w14:paraId="64DBAACE">
            <w:pPr>
              <w:autoSpaceDE w:val="0"/>
              <w:autoSpaceDN w:val="0"/>
              <w:adjustRightInd w:val="0"/>
              <w:snapToGrid w:val="0"/>
              <w:jc w:val="center"/>
              <w:rPr>
                <w:kern w:val="0"/>
                <w:szCs w:val="21"/>
              </w:rPr>
            </w:pPr>
            <w:r>
              <w:rPr>
                <w:rFonts w:hint="eastAsia"/>
                <w:kern w:val="0"/>
                <w:szCs w:val="21"/>
              </w:rPr>
              <w:t>/</w:t>
            </w:r>
          </w:p>
        </w:tc>
      </w:tr>
      <w:tr w14:paraId="3C6FF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26" w:type="dxa"/>
            <w:vAlign w:val="center"/>
          </w:tcPr>
          <w:p w14:paraId="0F652EBD">
            <w:pPr>
              <w:adjustRightInd w:val="0"/>
              <w:snapToGrid w:val="0"/>
              <w:jc w:val="center"/>
              <w:rPr>
                <w:kern w:val="0"/>
                <w:szCs w:val="21"/>
              </w:rPr>
            </w:pPr>
            <w:r>
              <w:rPr>
                <w:szCs w:val="21"/>
              </w:rPr>
              <w:t>规划环境影响评价情况</w:t>
            </w:r>
          </w:p>
        </w:tc>
        <w:tc>
          <w:tcPr>
            <w:tcW w:w="7344" w:type="dxa"/>
            <w:gridSpan w:val="3"/>
            <w:vAlign w:val="center"/>
          </w:tcPr>
          <w:p w14:paraId="319258C1">
            <w:pPr>
              <w:autoSpaceDE w:val="0"/>
              <w:autoSpaceDN w:val="0"/>
              <w:adjustRightInd w:val="0"/>
              <w:snapToGrid w:val="0"/>
              <w:jc w:val="center"/>
              <w:rPr>
                <w:kern w:val="0"/>
                <w:szCs w:val="21"/>
              </w:rPr>
            </w:pPr>
            <w:r>
              <w:rPr>
                <w:kern w:val="0"/>
                <w:szCs w:val="21"/>
              </w:rPr>
              <w:t>无</w:t>
            </w:r>
          </w:p>
        </w:tc>
      </w:tr>
      <w:tr w14:paraId="47660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6" w:type="dxa"/>
            <w:vAlign w:val="center"/>
          </w:tcPr>
          <w:p w14:paraId="180F2775">
            <w:pPr>
              <w:autoSpaceDE w:val="0"/>
              <w:autoSpaceDN w:val="0"/>
              <w:adjustRightInd w:val="0"/>
              <w:snapToGrid w:val="0"/>
              <w:jc w:val="center"/>
              <w:rPr>
                <w:kern w:val="0"/>
                <w:szCs w:val="21"/>
              </w:rPr>
            </w:pPr>
            <w:r>
              <w:rPr>
                <w:kern w:val="0"/>
                <w:szCs w:val="21"/>
              </w:rPr>
              <w:t>规划及规划环境影响评价符合性分析</w:t>
            </w:r>
          </w:p>
        </w:tc>
        <w:tc>
          <w:tcPr>
            <w:tcW w:w="7344" w:type="dxa"/>
            <w:gridSpan w:val="3"/>
            <w:vAlign w:val="center"/>
          </w:tcPr>
          <w:p w14:paraId="39B7D35D">
            <w:pPr>
              <w:pStyle w:val="91"/>
              <w:ind w:firstLine="480"/>
            </w:pPr>
          </w:p>
        </w:tc>
      </w:tr>
      <w:tr w14:paraId="619B6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26" w:type="dxa"/>
            <w:vAlign w:val="center"/>
          </w:tcPr>
          <w:p w14:paraId="0B056F17">
            <w:pPr>
              <w:autoSpaceDE w:val="0"/>
              <w:autoSpaceDN w:val="0"/>
              <w:adjustRightInd w:val="0"/>
              <w:snapToGrid w:val="0"/>
              <w:jc w:val="center"/>
              <w:rPr>
                <w:kern w:val="0"/>
                <w:szCs w:val="21"/>
              </w:rPr>
            </w:pPr>
            <w:r>
              <w:rPr>
                <w:kern w:val="0"/>
                <w:szCs w:val="21"/>
              </w:rPr>
              <w:t>其他符合性分析</w:t>
            </w:r>
          </w:p>
        </w:tc>
        <w:tc>
          <w:tcPr>
            <w:tcW w:w="7344" w:type="dxa"/>
            <w:gridSpan w:val="3"/>
          </w:tcPr>
          <w:p w14:paraId="1AF9E290">
            <w:pPr>
              <w:pStyle w:val="91"/>
              <w:ind w:firstLine="480"/>
            </w:pPr>
            <w:r>
              <w:rPr>
                <w:rFonts w:hint="eastAsia"/>
              </w:rPr>
              <w:t>1.生态环境分区管控分析报告</w:t>
            </w:r>
            <w:r>
              <w:t>符合性分析</w:t>
            </w:r>
          </w:p>
          <w:p w14:paraId="4CDA377B">
            <w:pPr>
              <w:pStyle w:val="91"/>
              <w:ind w:firstLine="480"/>
            </w:pPr>
            <w:r>
              <w:rPr>
                <w:rFonts w:hint="eastAsia"/>
              </w:rPr>
              <w:t>项目位于黑龙江省鸡西市红星乡红太村红光组，根据《黑龙江省人民政府关于实施“三线一单”生态环境分区管控的意见》（黑政发〔2020〕14号）、《鸡西市生态环境准入清单》（2023年版）和《鸡西市合世源再生物资回收有限公司破碎项目生态环境分区管控分析报告》（见附件），本项目与“生态环境分区管控”符合性如下：</w:t>
            </w:r>
          </w:p>
          <w:p w14:paraId="45BA23DF">
            <w:pPr>
              <w:pStyle w:val="24"/>
              <w:spacing w:line="360" w:lineRule="auto"/>
              <w:ind w:left="0" w:firstLine="480" w:firstLineChars="200"/>
              <w:rPr>
                <w:sz w:val="24"/>
                <w:szCs w:val="24"/>
              </w:rPr>
            </w:pPr>
            <w:r>
              <w:rPr>
                <w:sz w:val="24"/>
                <w:szCs w:val="24"/>
              </w:rPr>
              <w:t>（1）</w:t>
            </w:r>
            <w:r>
              <w:rPr>
                <w:rFonts w:hint="eastAsia"/>
                <w:sz w:val="24"/>
                <w:szCs w:val="24"/>
              </w:rPr>
              <w:t>“</w:t>
            </w:r>
            <w:r>
              <w:rPr>
                <w:sz w:val="24"/>
                <w:szCs w:val="24"/>
              </w:rPr>
              <w:t>一图</w:t>
            </w:r>
            <w:r>
              <w:rPr>
                <w:rFonts w:hint="eastAsia"/>
                <w:sz w:val="24"/>
                <w:szCs w:val="24"/>
              </w:rPr>
              <w:t>”</w:t>
            </w:r>
          </w:p>
          <w:p w14:paraId="0E17FB87">
            <w:pPr>
              <w:spacing w:line="360" w:lineRule="auto"/>
              <w:ind w:firstLine="480" w:firstLineChars="200"/>
              <w:rPr>
                <w:kern w:val="0"/>
                <w:sz w:val="24"/>
                <w:lang w:bidi="ar"/>
              </w:rPr>
            </w:pPr>
            <w:r>
              <w:rPr>
                <w:sz w:val="24"/>
              </w:rPr>
              <w:t>根据</w:t>
            </w:r>
            <w:r>
              <w:rPr>
                <w:kern w:val="0"/>
                <w:sz w:val="24"/>
                <w:lang w:bidi="ar"/>
              </w:rPr>
              <w:t>《</w:t>
            </w:r>
            <w:r>
              <w:rPr>
                <w:rFonts w:hint="eastAsia"/>
                <w:kern w:val="0"/>
                <w:sz w:val="24"/>
                <w:lang w:bidi="ar"/>
              </w:rPr>
              <w:t>鸡西市合世源再生物资回收有限公司破碎项目</w:t>
            </w:r>
            <w:r>
              <w:rPr>
                <w:kern w:val="0"/>
                <w:sz w:val="24"/>
                <w:lang w:bidi="ar"/>
              </w:rPr>
              <w:t>生态环境分区管控分析报告》，项目与环境管控单元叠加图见图1-1。</w:t>
            </w:r>
          </w:p>
          <w:p w14:paraId="5691427B">
            <w:pPr>
              <w:widowControl/>
              <w:spacing w:line="360" w:lineRule="auto"/>
              <w:rPr>
                <w:kern w:val="0"/>
                <w:sz w:val="24"/>
              </w:rPr>
            </w:pPr>
            <w:r>
              <w:drawing>
                <wp:inline distT="0" distB="0" distL="114300" distR="114300">
                  <wp:extent cx="4429125" cy="1483360"/>
                  <wp:effectExtent l="0" t="0" r="952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0"/>
                          <a:stretch>
                            <a:fillRect/>
                          </a:stretch>
                        </pic:blipFill>
                        <pic:spPr>
                          <a:xfrm>
                            <a:off x="0" y="0"/>
                            <a:ext cx="4429125" cy="1483360"/>
                          </a:xfrm>
                          <a:prstGeom prst="rect">
                            <a:avLst/>
                          </a:prstGeom>
                          <a:noFill/>
                          <a:ln>
                            <a:noFill/>
                          </a:ln>
                        </pic:spPr>
                      </pic:pic>
                    </a:graphicData>
                  </a:graphic>
                </wp:inline>
              </w:drawing>
            </w:r>
          </w:p>
          <w:p w14:paraId="1E05DF73">
            <w:pPr>
              <w:widowControl/>
              <w:spacing w:line="360" w:lineRule="auto"/>
              <w:ind w:firstLine="482" w:firstLineChars="200"/>
              <w:jc w:val="center"/>
              <w:rPr>
                <w:b/>
                <w:bCs/>
                <w:kern w:val="0"/>
                <w:sz w:val="24"/>
              </w:rPr>
            </w:pPr>
            <w:r>
              <w:rPr>
                <w:b/>
                <w:bCs/>
                <w:kern w:val="0"/>
                <w:sz w:val="24"/>
              </w:rPr>
              <w:t>图1-1与生态环境分区管控叠加图</w:t>
            </w:r>
          </w:p>
          <w:p w14:paraId="07F4930B">
            <w:pPr>
              <w:pStyle w:val="91"/>
              <w:ind w:firstLine="480"/>
              <w:rPr>
                <w:szCs w:val="24"/>
              </w:rPr>
            </w:pPr>
            <w:r>
              <w:rPr>
                <w:szCs w:val="24"/>
              </w:rPr>
              <w:t>（2）</w:t>
            </w:r>
            <w:r>
              <w:rPr>
                <w:rFonts w:hint="eastAsia"/>
                <w:szCs w:val="24"/>
              </w:rPr>
              <w:t>“</w:t>
            </w:r>
            <w:r>
              <w:rPr>
                <w:szCs w:val="24"/>
              </w:rPr>
              <w:t>一表</w:t>
            </w:r>
            <w:r>
              <w:rPr>
                <w:rFonts w:hint="eastAsia"/>
                <w:szCs w:val="24"/>
              </w:rPr>
              <w:t>”</w:t>
            </w:r>
          </w:p>
          <w:p w14:paraId="346552CF">
            <w:pPr>
              <w:pStyle w:val="91"/>
              <w:ind w:firstLine="480"/>
              <w:rPr>
                <w:szCs w:val="24"/>
              </w:rPr>
            </w:pPr>
            <w:r>
              <w:rPr>
                <w:szCs w:val="24"/>
              </w:rPr>
              <w:t>本项目与生态环境准入清单符合性情况见表</w:t>
            </w:r>
            <w:r>
              <w:rPr>
                <w:color w:val="FF0000"/>
                <w:szCs w:val="24"/>
              </w:rPr>
              <w:t>1-</w:t>
            </w:r>
            <w:r>
              <w:rPr>
                <w:rFonts w:hint="eastAsia"/>
                <w:color w:val="FF0000"/>
                <w:szCs w:val="24"/>
                <w:lang w:eastAsia="zh"/>
                <w:woUserID w:val="1"/>
              </w:rPr>
              <w:t>1</w:t>
            </w:r>
            <w:r>
              <w:rPr>
                <w:szCs w:val="24"/>
              </w:rPr>
              <w:t>。</w:t>
            </w:r>
          </w:p>
          <w:p w14:paraId="30B4B2A4">
            <w:pPr>
              <w:jc w:val="center"/>
              <w:rPr>
                <w:b/>
                <w:bCs/>
                <w:sz w:val="24"/>
              </w:rPr>
            </w:pPr>
            <w:r>
              <w:rPr>
                <w:rFonts w:ascii="宋体" w:hAnsi="Times New Roman" w:eastAsia="宋体" w:cs="Times New Roman"/>
                <w:b/>
                <w:color w:val="FF0000"/>
                <w:kern w:val="0"/>
                <w:sz w:val="20"/>
                <w:szCs w:val="20"/>
                <w:lang w:val="en-US" w:eastAsia="zh-CN" w:bidi="ar-SA"/>
              </w:rPr>
              <w:t>表1-</w:t>
            </w:r>
            <w:r>
              <w:rPr>
                <w:rFonts w:hint="eastAsia" w:ascii="宋体" w:hAnsi="Times New Roman" w:eastAsia="宋体" w:cs="Times New Roman"/>
                <w:b/>
                <w:color w:val="FF0000"/>
                <w:kern w:val="0"/>
                <w:sz w:val="20"/>
                <w:szCs w:val="20"/>
                <w:lang w:val="en-US" w:eastAsia="zh" w:bidi="ar-SA"/>
              </w:rPr>
              <w:t>1</w:t>
            </w:r>
            <w:r>
              <w:rPr>
                <w:rFonts w:ascii="宋体" w:hAnsi="Times New Roman" w:eastAsia="宋体" w:cs="Times New Roman"/>
                <w:b/>
                <w:kern w:val="0"/>
                <w:sz w:val="20"/>
                <w:szCs w:val="20"/>
                <w:lang w:val="en-US" w:eastAsia="zh-CN" w:bidi="ar-SA"/>
              </w:rPr>
              <w:t xml:space="preserve"> 生态环境准入清单符合性分析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4369"/>
              <w:gridCol w:w="1568"/>
            </w:tblGrid>
            <w:tr w14:paraId="1D97E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bottom w:val="single" w:color="auto" w:sz="4" w:space="0"/>
                  </w:tcBorders>
                  <w:vAlign w:val="center"/>
                </w:tcPr>
                <w:p w14:paraId="00BD1867">
                  <w:pPr>
                    <w:adjustRightInd w:val="0"/>
                    <w:jc w:val="center"/>
                    <w:textAlignment w:val="baseline"/>
                    <w:rPr>
                      <w:b/>
                      <w:bCs/>
                      <w:szCs w:val="21"/>
                    </w:rPr>
                  </w:pPr>
                  <w:r>
                    <w:rPr>
                      <w:b/>
                      <w:bCs/>
                      <w:szCs w:val="21"/>
                    </w:rPr>
                    <w:t>一、生态保护红线</w:t>
                  </w:r>
                </w:p>
              </w:tc>
            </w:tr>
            <w:tr w14:paraId="1CAD5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132C3D2D">
                  <w:pPr>
                    <w:pStyle w:val="219"/>
                    <w:spacing w:line="360" w:lineRule="auto"/>
                    <w:ind w:firstLine="420"/>
                    <w:rPr>
                      <w:sz w:val="21"/>
                      <w:szCs w:val="21"/>
                    </w:rPr>
                  </w:pPr>
                  <w:r>
                    <w:rPr>
                      <w:sz w:val="21"/>
                      <w:szCs w:val="21"/>
                    </w:rPr>
                    <w:t>根据《</w:t>
                  </w:r>
                  <w:r>
                    <w:rPr>
                      <w:rFonts w:hint="eastAsia"/>
                      <w:sz w:val="21"/>
                      <w:szCs w:val="21"/>
                      <w:lang w:bidi="ar"/>
                    </w:rPr>
                    <w:t>鸡西市合世源再生物资回收有限公司破碎项目</w:t>
                  </w:r>
                  <w:r>
                    <w:rPr>
                      <w:sz w:val="21"/>
                      <w:szCs w:val="21"/>
                      <w:lang w:bidi="ar"/>
                    </w:rPr>
                    <w:t>生态环境分区管控分析报告</w:t>
                  </w:r>
                  <w:r>
                    <w:rPr>
                      <w:sz w:val="21"/>
                      <w:szCs w:val="21"/>
                    </w:rPr>
                    <w:t>》，本项目不涉及生态保护红线。</w:t>
                  </w:r>
                </w:p>
              </w:tc>
            </w:tr>
            <w:tr w14:paraId="095A4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6F5BC949">
                  <w:pPr>
                    <w:adjustRightInd w:val="0"/>
                    <w:jc w:val="center"/>
                    <w:textAlignment w:val="baseline"/>
                    <w:rPr>
                      <w:szCs w:val="21"/>
                    </w:rPr>
                  </w:pPr>
                  <w:r>
                    <w:rPr>
                      <w:b/>
                      <w:bCs/>
                      <w:szCs w:val="21"/>
                    </w:rPr>
                    <w:t>二、环境质量底线</w:t>
                  </w:r>
                </w:p>
              </w:tc>
            </w:tr>
            <w:tr w14:paraId="09AF0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30A370CA">
                  <w:pPr>
                    <w:pStyle w:val="218"/>
                    <w:ind w:firstLine="420"/>
                    <w:rPr>
                      <w:rFonts w:ascii="Times New Roman" w:hAnsi="Times New Roman"/>
                      <w:kern w:val="0"/>
                      <w:sz w:val="21"/>
                      <w:szCs w:val="21"/>
                    </w:rPr>
                  </w:pPr>
                  <w:r>
                    <w:rPr>
                      <w:rFonts w:ascii="Times New Roman" w:hAnsi="Times New Roman"/>
                      <w:kern w:val="0"/>
                      <w:sz w:val="21"/>
                      <w:szCs w:val="21"/>
                    </w:rPr>
                    <w:t>环境质量底线是国家和地方设置的大气、水和土壤环境质量目标，也是改善环境质量的基准线。项目环境影响评价应对照区域环境质量目标，深入分析预测项目建设对环境质量的影响，强化污染防治措施和污染物排放控制要求。</w:t>
                  </w:r>
                </w:p>
                <w:p w14:paraId="5F59A4C8">
                  <w:pPr>
                    <w:pStyle w:val="218"/>
                    <w:ind w:firstLine="420"/>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大气环境</w:t>
                  </w:r>
                </w:p>
                <w:p w14:paraId="5A69AADC">
                  <w:pPr>
                    <w:spacing w:line="360" w:lineRule="auto"/>
                    <w:ind w:firstLine="420" w:firstLineChars="200"/>
                    <w:rPr>
                      <w:szCs w:val="21"/>
                    </w:rPr>
                  </w:pPr>
                  <w:r>
                    <w:rPr>
                      <w:szCs w:val="21"/>
                    </w:rPr>
                    <w:t>根据《2024年黑龙江省生态环境质量状况》（2025年1月），鸡西市空气质量级别达二级标准，PM</w:t>
                  </w:r>
                  <w:r>
                    <w:rPr>
                      <w:szCs w:val="21"/>
                      <w:vertAlign w:val="subscript"/>
                    </w:rPr>
                    <w:t>2.5</w:t>
                  </w:r>
                  <w:r>
                    <w:rPr>
                      <w:szCs w:val="21"/>
                    </w:rPr>
                    <w:t>、PM</w:t>
                  </w:r>
                  <w:r>
                    <w:rPr>
                      <w:szCs w:val="21"/>
                      <w:vertAlign w:val="subscript"/>
                    </w:rPr>
                    <w:t>10</w:t>
                  </w:r>
                  <w:r>
                    <w:rPr>
                      <w:szCs w:val="21"/>
                    </w:rPr>
                    <w:t>、SO</w:t>
                  </w:r>
                  <w:r>
                    <w:rPr>
                      <w:szCs w:val="21"/>
                      <w:vertAlign w:val="subscript"/>
                    </w:rPr>
                    <w:t>2</w:t>
                  </w:r>
                  <w:r>
                    <w:rPr>
                      <w:szCs w:val="21"/>
                    </w:rPr>
                    <w:t>、NO</w:t>
                  </w:r>
                  <w:r>
                    <w:rPr>
                      <w:szCs w:val="21"/>
                      <w:vertAlign w:val="subscript"/>
                    </w:rPr>
                    <w:t>2</w:t>
                  </w:r>
                  <w:r>
                    <w:rPr>
                      <w:szCs w:val="21"/>
                    </w:rPr>
                    <w:t>、CO-95per、O</w:t>
                  </w:r>
                  <w:r>
                    <w:rPr>
                      <w:szCs w:val="21"/>
                      <w:vertAlign w:val="subscript"/>
                    </w:rPr>
                    <w:t>3</w:t>
                  </w:r>
                  <w:r>
                    <w:rPr>
                      <w:szCs w:val="21"/>
                    </w:rPr>
                    <w:t>-8h-90per年均浓度分别为27μg/m</w:t>
                  </w:r>
                  <w:r>
                    <w:rPr>
                      <w:szCs w:val="21"/>
                      <w:vertAlign w:val="superscript"/>
                    </w:rPr>
                    <w:t>3</w:t>
                  </w:r>
                  <w:r>
                    <w:rPr>
                      <w:szCs w:val="21"/>
                    </w:rPr>
                    <w:t>、46μg/m</w:t>
                  </w:r>
                  <w:r>
                    <w:rPr>
                      <w:szCs w:val="21"/>
                      <w:vertAlign w:val="superscript"/>
                    </w:rPr>
                    <w:t>3</w:t>
                  </w:r>
                  <w:r>
                    <w:rPr>
                      <w:szCs w:val="21"/>
                    </w:rPr>
                    <w:t>、8μg/m</w:t>
                  </w:r>
                  <w:r>
                    <w:rPr>
                      <w:szCs w:val="21"/>
                      <w:vertAlign w:val="superscript"/>
                    </w:rPr>
                    <w:t>3</w:t>
                  </w:r>
                  <w:r>
                    <w:rPr>
                      <w:szCs w:val="21"/>
                    </w:rPr>
                    <w:t>、17μg/m</w:t>
                  </w:r>
                  <w:r>
                    <w:rPr>
                      <w:szCs w:val="21"/>
                      <w:vertAlign w:val="superscript"/>
                    </w:rPr>
                    <w:t>3</w:t>
                  </w:r>
                  <w:r>
                    <w:rPr>
                      <w:szCs w:val="21"/>
                    </w:rPr>
                    <w:t>、1.0μg/m</w:t>
                  </w:r>
                  <w:r>
                    <w:rPr>
                      <w:szCs w:val="21"/>
                      <w:vertAlign w:val="superscript"/>
                    </w:rPr>
                    <w:t>3</w:t>
                  </w:r>
                  <w:r>
                    <w:rPr>
                      <w:szCs w:val="21"/>
                    </w:rPr>
                    <w:t>和90μg/m</w:t>
                  </w:r>
                  <w:r>
                    <w:rPr>
                      <w:szCs w:val="21"/>
                      <w:vertAlign w:val="superscript"/>
                    </w:rPr>
                    <w:t>3</w:t>
                  </w:r>
                  <w:r>
                    <w:rPr>
                      <w:kern w:val="21"/>
                      <w:szCs w:val="21"/>
                    </w:rPr>
                    <w:t>均满足《环境空气质量标准》（GB3095-20</w:t>
                  </w:r>
                  <w:r>
                    <w:rPr>
                      <w:rFonts w:hint="eastAsia"/>
                      <w:kern w:val="21"/>
                      <w:szCs w:val="21"/>
                      <w:lang w:val="en-US" w:eastAsia="zh-CN"/>
                    </w:rPr>
                    <w:t>26</w:t>
                  </w:r>
                  <w:r>
                    <w:rPr>
                      <w:kern w:val="21"/>
                      <w:szCs w:val="21"/>
                    </w:rPr>
                    <w:t>）</w:t>
                  </w:r>
                  <w:r>
                    <w:rPr>
                      <w:rFonts w:hint="eastAsia"/>
                      <w:kern w:val="21"/>
                      <w:szCs w:val="21"/>
                      <w:lang w:val="en-US" w:eastAsia="zh-CN"/>
                    </w:rPr>
                    <w:t>过渡阶段浓度限值中</w:t>
                  </w:r>
                  <w:r>
                    <w:rPr>
                      <w:kern w:val="21"/>
                      <w:szCs w:val="21"/>
                    </w:rPr>
                    <w:t>二级标准，项目所在区域为达标区。</w:t>
                  </w:r>
                </w:p>
                <w:p w14:paraId="14A3FDF4">
                  <w:pPr>
                    <w:widowControl/>
                    <w:spacing w:line="360" w:lineRule="auto"/>
                    <w:ind w:firstLine="420" w:firstLineChars="200"/>
                    <w:jc w:val="left"/>
                    <w:rPr>
                      <w:kern w:val="0"/>
                      <w:szCs w:val="21"/>
                    </w:rPr>
                  </w:pPr>
                  <w:r>
                    <w:rPr>
                      <w:kern w:val="0"/>
                      <w:szCs w:val="21"/>
                    </w:rPr>
                    <w:t>本项目</w:t>
                  </w:r>
                  <w:r>
                    <w:rPr>
                      <w:rFonts w:hint="eastAsia"/>
                      <w:kern w:val="0"/>
                      <w:szCs w:val="21"/>
                    </w:rPr>
                    <w:t>为废塑料回收利用</w:t>
                  </w:r>
                  <w:r>
                    <w:rPr>
                      <w:kern w:val="0"/>
                      <w:szCs w:val="21"/>
                    </w:rPr>
                    <w:t>项目，</w:t>
                  </w:r>
                  <w:r>
                    <w:rPr>
                      <w:rFonts w:hint="eastAsia"/>
                      <w:kern w:val="0"/>
                      <w:szCs w:val="21"/>
                    </w:rPr>
                    <w:t>项目采用湿法破碎，粉尘产生量极小，不会对大气环境产生影响。</w:t>
                  </w:r>
                </w:p>
                <w:p w14:paraId="6B4E0403">
                  <w:pPr>
                    <w:pStyle w:val="218"/>
                    <w:ind w:firstLine="420"/>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水环境</w:t>
                  </w:r>
                </w:p>
                <w:p w14:paraId="325C6849">
                  <w:pPr>
                    <w:spacing w:line="360" w:lineRule="auto"/>
                    <w:ind w:firstLine="420" w:firstLineChars="200"/>
                    <w:rPr>
                      <w:szCs w:val="21"/>
                    </w:rPr>
                  </w:pPr>
                  <w:r>
                    <w:rPr>
                      <w:szCs w:val="21"/>
                    </w:rPr>
                    <w:t>本项目最近水体为穆棱河。</w:t>
                  </w:r>
                  <w:r>
                    <w:rPr>
                      <w:rFonts w:hint="eastAsia"/>
                      <w:szCs w:val="21"/>
                    </w:rPr>
                    <w:t>根据《全国重要江河湖泊水功能区划（2011—2030年）》，本项目所在地表水断面属穆棱河鸡西市过渡区，水质目标为Ⅳ类。根据黑龙江省生态环境监测中心2024年鸡西市地表水国家考核断面水质信息公开内容可知，穆棱河知一桥断面（在鸡东县鸡古路西100m</w:t>
                  </w:r>
                  <w:r>
                    <w:rPr>
                      <w:rFonts w:hint="default"/>
                      <w:szCs w:val="21"/>
                    </w:rPr>
                    <w:t>－</w:t>
                  </w:r>
                  <w:r>
                    <w:rPr>
                      <w:rFonts w:hint="eastAsia"/>
                      <w:szCs w:val="21"/>
                    </w:rPr>
                    <w:t>凯北站断面之间）和穆棱河口内断面的水质满足《地表水环境质量标准》（GB3838-2002）中Ⅲ类标准</w:t>
                  </w:r>
                  <w:r>
                    <w:rPr>
                      <w:szCs w:val="21"/>
                    </w:rPr>
                    <w:t>。项目生活污水排入防渗旱厕，</w:t>
                  </w:r>
                  <w:r>
                    <w:rPr>
                      <w:rFonts w:hint="eastAsia"/>
                      <w:szCs w:val="21"/>
                    </w:rPr>
                    <w:t>生产废水经</w:t>
                  </w:r>
                  <w:r>
                    <w:rPr>
                      <w:szCs w:val="21"/>
                    </w:rPr>
                    <w:t>沉淀后</w:t>
                  </w:r>
                  <w:r>
                    <w:rPr>
                      <w:rFonts w:hint="eastAsia"/>
                      <w:szCs w:val="21"/>
                    </w:rPr>
                    <w:t>循环利用</w:t>
                  </w:r>
                  <w:r>
                    <w:rPr>
                      <w:szCs w:val="21"/>
                    </w:rPr>
                    <w:t>，项目无废水排放。</w:t>
                  </w:r>
                </w:p>
                <w:p w14:paraId="43B2AA55">
                  <w:pPr>
                    <w:widowControl/>
                    <w:spacing w:line="360" w:lineRule="auto"/>
                    <w:ind w:firstLine="420" w:firstLineChars="200"/>
                    <w:rPr>
                      <w:kern w:val="0"/>
                      <w:szCs w:val="21"/>
                    </w:rPr>
                  </w:pPr>
                  <w:r>
                    <w:rPr>
                      <w:rFonts w:hint="eastAsia"/>
                      <w:kern w:val="0"/>
                      <w:szCs w:val="21"/>
                    </w:rPr>
                    <w:t>3.</w:t>
                  </w:r>
                  <w:r>
                    <w:rPr>
                      <w:kern w:val="0"/>
                      <w:szCs w:val="21"/>
                    </w:rPr>
                    <w:t>声环境</w:t>
                  </w:r>
                </w:p>
                <w:p w14:paraId="77547ED8">
                  <w:pPr>
                    <w:widowControl/>
                    <w:spacing w:line="360" w:lineRule="auto"/>
                    <w:ind w:firstLine="420" w:firstLineChars="200"/>
                    <w:rPr>
                      <w:kern w:val="0"/>
                      <w:szCs w:val="21"/>
                      <w:lang w:bidi="ar"/>
                    </w:rPr>
                  </w:pPr>
                  <w:r>
                    <w:rPr>
                      <w:szCs w:val="21"/>
                    </w:rPr>
                    <w:t>根据《2024年黑龙江省生态环境质量状况》（2025年1月），鸡西市区域昼间声环境质量为二级，等效声级为53.6dB（A）</w:t>
                  </w:r>
                  <w:r>
                    <w:rPr>
                      <w:rFonts w:hint="eastAsia"/>
                      <w:szCs w:val="21"/>
                    </w:rPr>
                    <w:t>；</w:t>
                  </w:r>
                  <w:r>
                    <w:rPr>
                      <w:szCs w:val="21"/>
                    </w:rPr>
                    <w:t>道路交通昼间声环境质量为一级，等效声级为65.8dB（A）</w:t>
                  </w:r>
                  <w:r>
                    <w:rPr>
                      <w:rFonts w:hint="eastAsia"/>
                      <w:szCs w:val="21"/>
                    </w:rPr>
                    <w:t>。</w:t>
                  </w:r>
                  <w:r>
                    <w:rPr>
                      <w:szCs w:val="21"/>
                    </w:rPr>
                    <w:t>功能区昼间达标率100%，功能区夜间达标率100%。区域声环境满足《声环境质量标准》（GB3096-2008）2类标准</w:t>
                  </w:r>
                  <w:r>
                    <w:rPr>
                      <w:kern w:val="0"/>
                      <w:szCs w:val="21"/>
                    </w:rPr>
                    <w:t>。本项目选取低噪声设备，采取减振、隔声等措施，厂界噪声满足《工业企业厂界环境噪声排放标准》</w:t>
                  </w:r>
                  <w:r>
                    <w:rPr>
                      <w:rFonts w:hint="eastAsia"/>
                      <w:kern w:val="0"/>
                      <w:szCs w:val="21"/>
                    </w:rPr>
                    <w:t>（</w:t>
                  </w:r>
                  <w:r>
                    <w:rPr>
                      <w:kern w:val="0"/>
                      <w:szCs w:val="21"/>
                    </w:rPr>
                    <w:t>GB12348-2008）表1中2类标准。</w:t>
                  </w:r>
                </w:p>
                <w:p w14:paraId="121E22CC">
                  <w:pPr>
                    <w:widowControl/>
                    <w:spacing w:line="360" w:lineRule="auto"/>
                    <w:ind w:firstLine="420" w:firstLineChars="200"/>
                    <w:rPr>
                      <w:szCs w:val="21"/>
                    </w:rPr>
                  </w:pPr>
                  <w:r>
                    <w:rPr>
                      <w:kern w:val="0"/>
                      <w:szCs w:val="21"/>
                    </w:rPr>
                    <w:t>本项目运营期各类污染物经环境保护措施治理后均可达标排放，对区域环境造成的不利影响较小，不会改变区域环境质量现状，因此，本项目符合环境质量底线要求。</w:t>
                  </w:r>
                </w:p>
              </w:tc>
            </w:tr>
            <w:tr w14:paraId="203BF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09074620">
                  <w:pPr>
                    <w:adjustRightInd w:val="0"/>
                    <w:jc w:val="center"/>
                    <w:textAlignment w:val="baseline"/>
                    <w:rPr>
                      <w:szCs w:val="21"/>
                    </w:rPr>
                  </w:pPr>
                  <w:r>
                    <w:rPr>
                      <w:b/>
                      <w:bCs/>
                      <w:szCs w:val="21"/>
                    </w:rPr>
                    <w:t>三、资源利用上线</w:t>
                  </w:r>
                </w:p>
              </w:tc>
            </w:tr>
            <w:tr w14:paraId="35804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26A8FAAB">
                  <w:pPr>
                    <w:spacing w:line="360" w:lineRule="auto"/>
                    <w:ind w:firstLine="420" w:firstLineChars="200"/>
                    <w:rPr>
                      <w:szCs w:val="21"/>
                    </w:rPr>
                  </w:pPr>
                  <w:r>
                    <w:rPr>
                      <w:kern w:val="0"/>
                      <w:szCs w:val="21"/>
                    </w:rPr>
                    <w:t>本项目</w:t>
                  </w:r>
                  <w:r>
                    <w:rPr>
                      <w:rFonts w:hint="eastAsia"/>
                      <w:kern w:val="0"/>
                      <w:szCs w:val="21"/>
                    </w:rPr>
                    <w:t>为</w:t>
                  </w:r>
                  <w:r>
                    <w:rPr>
                      <w:rFonts w:hint="eastAsia"/>
                      <w:snapToGrid w:val="0"/>
                      <w:kern w:val="0"/>
                      <w:szCs w:val="21"/>
                    </w:rPr>
                    <w:t>废塑料利用</w:t>
                  </w:r>
                  <w:r>
                    <w:rPr>
                      <w:snapToGrid w:val="0"/>
                      <w:kern w:val="0"/>
                      <w:szCs w:val="21"/>
                    </w:rPr>
                    <w:t>项目</w:t>
                  </w:r>
                  <w:r>
                    <w:rPr>
                      <w:rFonts w:hint="eastAsia"/>
                      <w:snapToGrid w:val="0"/>
                      <w:kern w:val="0"/>
                      <w:szCs w:val="21"/>
                    </w:rPr>
                    <w:t>，项目采用湿法破碎，产生的废水经絮凝沉淀后循环利用，不外排</w:t>
                  </w:r>
                  <w:r>
                    <w:rPr>
                      <w:kern w:val="0"/>
                      <w:szCs w:val="21"/>
                    </w:rPr>
                    <w:t>；本项目用地性质为</w:t>
                  </w:r>
                  <w:r>
                    <w:rPr>
                      <w:rFonts w:hint="eastAsia"/>
                      <w:kern w:val="0"/>
                      <w:szCs w:val="21"/>
                    </w:rPr>
                    <w:t>工矿用地</w:t>
                  </w:r>
                  <w:r>
                    <w:rPr>
                      <w:kern w:val="0"/>
                      <w:szCs w:val="21"/>
                    </w:rPr>
                    <w:t>，不占用基本农田；电源依托市政设施。综上，本项目不会突破资源利用上线。</w:t>
                  </w:r>
                </w:p>
              </w:tc>
            </w:tr>
            <w:tr w14:paraId="71B05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bottom w:val="single" w:color="auto" w:sz="4" w:space="0"/>
                  </w:tcBorders>
                  <w:vAlign w:val="center"/>
                </w:tcPr>
                <w:p w14:paraId="2D732A3F">
                  <w:pPr>
                    <w:adjustRightInd w:val="0"/>
                    <w:jc w:val="center"/>
                    <w:textAlignment w:val="baseline"/>
                    <w:rPr>
                      <w:szCs w:val="21"/>
                    </w:rPr>
                  </w:pPr>
                  <w:r>
                    <w:rPr>
                      <w:b/>
                      <w:bCs/>
                      <w:szCs w:val="21"/>
                    </w:rPr>
                    <w:t>四、环境准入清单</w:t>
                  </w:r>
                </w:p>
              </w:tc>
            </w:tr>
            <w:tr w14:paraId="2AD1E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42D57838">
                  <w:pPr>
                    <w:adjustRightInd w:val="0"/>
                    <w:jc w:val="center"/>
                    <w:textAlignment w:val="baseline"/>
                    <w:rPr>
                      <w:b/>
                      <w:bCs/>
                      <w:szCs w:val="21"/>
                    </w:rPr>
                  </w:pPr>
                  <w:r>
                    <w:rPr>
                      <w:b/>
                      <w:bCs/>
                      <w:szCs w:val="21"/>
                    </w:rPr>
                    <w:t>环境管控单元名称</w:t>
                  </w:r>
                </w:p>
              </w:tc>
              <w:tc>
                <w:tcPr>
                  <w:tcW w:w="4164" w:type="pct"/>
                  <w:gridSpan w:val="2"/>
                  <w:tcBorders>
                    <w:top w:val="single" w:color="auto" w:sz="4" w:space="0"/>
                    <w:left w:val="single" w:color="auto" w:sz="4" w:space="0"/>
                    <w:bottom w:val="single" w:color="auto" w:sz="4" w:space="0"/>
                  </w:tcBorders>
                  <w:vAlign w:val="center"/>
                </w:tcPr>
                <w:p w14:paraId="376FA482">
                  <w:pPr>
                    <w:widowControl/>
                    <w:jc w:val="center"/>
                    <w:rPr>
                      <w:szCs w:val="21"/>
                    </w:rPr>
                  </w:pPr>
                  <w:r>
                    <w:rPr>
                      <w:rFonts w:hint="eastAsia" w:ascii="宋体" w:hAnsi="宋体" w:cs="宋体"/>
                      <w:kern w:val="0"/>
                      <w:szCs w:val="21"/>
                      <w:lang w:bidi="ar"/>
                    </w:rPr>
                    <w:t>鸡冠区水环境工业污染重点管控区</w:t>
                  </w:r>
                </w:p>
              </w:tc>
            </w:tr>
            <w:tr w14:paraId="5CC80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3F1AA667">
                  <w:pPr>
                    <w:adjustRightInd w:val="0"/>
                    <w:jc w:val="center"/>
                    <w:textAlignment w:val="baseline"/>
                    <w:rPr>
                      <w:b/>
                      <w:bCs/>
                      <w:szCs w:val="21"/>
                    </w:rPr>
                  </w:pPr>
                  <w:r>
                    <w:rPr>
                      <w:b/>
                      <w:bCs/>
                      <w:szCs w:val="21"/>
                    </w:rPr>
                    <w:t>环境管控单元编码</w:t>
                  </w:r>
                </w:p>
              </w:tc>
              <w:tc>
                <w:tcPr>
                  <w:tcW w:w="4164" w:type="pct"/>
                  <w:gridSpan w:val="2"/>
                  <w:tcBorders>
                    <w:top w:val="single" w:color="auto" w:sz="4" w:space="0"/>
                    <w:left w:val="single" w:color="auto" w:sz="4" w:space="0"/>
                    <w:bottom w:val="single" w:color="auto" w:sz="4" w:space="0"/>
                  </w:tcBorders>
                  <w:vAlign w:val="center"/>
                </w:tcPr>
                <w:p w14:paraId="59DB8232">
                  <w:pPr>
                    <w:widowControl/>
                    <w:jc w:val="center"/>
                    <w:rPr>
                      <w:szCs w:val="21"/>
                    </w:rPr>
                  </w:pPr>
                  <w:r>
                    <w:rPr>
                      <w:rFonts w:hint="eastAsia" w:ascii="宋体" w:hAnsi="宋体" w:cs="宋体"/>
                      <w:kern w:val="0"/>
                      <w:szCs w:val="21"/>
                      <w:lang w:bidi="ar"/>
                    </w:rPr>
                    <w:t>ZH23030220004</w:t>
                  </w:r>
                </w:p>
              </w:tc>
            </w:tr>
            <w:tr w14:paraId="39D42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0CCF947A">
                  <w:pPr>
                    <w:adjustRightInd w:val="0"/>
                    <w:jc w:val="center"/>
                    <w:textAlignment w:val="baseline"/>
                    <w:rPr>
                      <w:b/>
                      <w:bCs/>
                      <w:szCs w:val="21"/>
                    </w:rPr>
                  </w:pPr>
                  <w:r>
                    <w:rPr>
                      <w:b/>
                      <w:bCs/>
                      <w:szCs w:val="21"/>
                    </w:rPr>
                    <w:t>管控单元类别</w:t>
                  </w:r>
                </w:p>
              </w:tc>
              <w:tc>
                <w:tcPr>
                  <w:tcW w:w="4164" w:type="pct"/>
                  <w:gridSpan w:val="2"/>
                  <w:tcBorders>
                    <w:top w:val="single" w:color="auto" w:sz="4" w:space="0"/>
                    <w:left w:val="single" w:color="auto" w:sz="4" w:space="0"/>
                    <w:bottom w:val="single" w:color="auto" w:sz="4" w:space="0"/>
                  </w:tcBorders>
                  <w:vAlign w:val="center"/>
                </w:tcPr>
                <w:p w14:paraId="17AB8621">
                  <w:pPr>
                    <w:adjustRightInd w:val="0"/>
                    <w:jc w:val="center"/>
                    <w:textAlignment w:val="baseline"/>
                    <w:rPr>
                      <w:szCs w:val="21"/>
                    </w:rPr>
                  </w:pPr>
                  <w:r>
                    <w:rPr>
                      <w:szCs w:val="21"/>
                    </w:rPr>
                    <w:t>重点管控单元</w:t>
                  </w:r>
                </w:p>
              </w:tc>
            </w:tr>
            <w:tr w14:paraId="21530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0" w:type="pct"/>
                  <w:gridSpan w:val="2"/>
                  <w:tcBorders>
                    <w:top w:val="single" w:color="auto" w:sz="4" w:space="0"/>
                    <w:bottom w:val="single" w:color="auto" w:sz="4" w:space="0"/>
                    <w:right w:val="single" w:color="auto" w:sz="4" w:space="0"/>
                  </w:tcBorders>
                  <w:vAlign w:val="center"/>
                </w:tcPr>
                <w:p w14:paraId="4822EF97">
                  <w:pPr>
                    <w:adjustRightInd w:val="0"/>
                    <w:jc w:val="center"/>
                    <w:textAlignment w:val="baseline"/>
                    <w:rPr>
                      <w:szCs w:val="21"/>
                    </w:rPr>
                  </w:pPr>
                  <w:r>
                    <w:rPr>
                      <w:b/>
                      <w:bCs/>
                      <w:szCs w:val="21"/>
                    </w:rPr>
                    <w:t>管控要求</w:t>
                  </w:r>
                </w:p>
              </w:tc>
              <w:tc>
                <w:tcPr>
                  <w:tcW w:w="1099" w:type="pct"/>
                  <w:tcBorders>
                    <w:top w:val="single" w:color="auto" w:sz="4" w:space="0"/>
                    <w:left w:val="single" w:color="auto" w:sz="4" w:space="0"/>
                    <w:bottom w:val="single" w:color="auto" w:sz="4" w:space="0"/>
                  </w:tcBorders>
                  <w:vAlign w:val="center"/>
                </w:tcPr>
                <w:p w14:paraId="4F240D21">
                  <w:pPr>
                    <w:adjustRightInd w:val="0"/>
                    <w:jc w:val="center"/>
                    <w:textAlignment w:val="baseline"/>
                    <w:rPr>
                      <w:szCs w:val="21"/>
                    </w:rPr>
                  </w:pPr>
                  <w:r>
                    <w:rPr>
                      <w:b/>
                      <w:bCs/>
                      <w:szCs w:val="21"/>
                    </w:rPr>
                    <w:t>项目符合性分析</w:t>
                  </w:r>
                </w:p>
              </w:tc>
            </w:tr>
            <w:tr w14:paraId="16E9F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396E3E20">
                  <w:pPr>
                    <w:jc w:val="center"/>
                    <w:rPr>
                      <w:b/>
                      <w:bCs/>
                      <w:szCs w:val="21"/>
                    </w:rPr>
                  </w:pPr>
                  <w:r>
                    <w:rPr>
                      <w:b/>
                      <w:bCs/>
                      <w:szCs w:val="21"/>
                    </w:rPr>
                    <w:t>空间布局约束</w:t>
                  </w:r>
                </w:p>
              </w:tc>
              <w:tc>
                <w:tcPr>
                  <w:tcW w:w="3065" w:type="pct"/>
                  <w:tcBorders>
                    <w:top w:val="single" w:color="auto" w:sz="4" w:space="0"/>
                    <w:left w:val="single" w:color="auto" w:sz="4" w:space="0"/>
                    <w:bottom w:val="single" w:color="auto" w:sz="4" w:space="0"/>
                    <w:right w:val="single" w:color="auto" w:sz="4" w:space="0"/>
                  </w:tcBorders>
                  <w:vAlign w:val="center"/>
                </w:tcPr>
                <w:p w14:paraId="78AFF4CB">
                  <w:pPr>
                    <w:widowControl/>
                    <w:jc w:val="left"/>
                    <w:rPr>
                      <w:szCs w:val="21"/>
                    </w:rPr>
                  </w:pPr>
                  <w:r>
                    <w:rPr>
                      <w:rFonts w:hint="eastAsia" w:ascii="宋体" w:hAnsi="宋体" w:cs="宋体"/>
                      <w:kern w:val="0"/>
                      <w:szCs w:val="21"/>
                      <w:lang w:bidi="ar"/>
                    </w:rPr>
                    <w:t>1.1.同时执行：（1）区域内严格控制高耗水、高污染行业发展；（2）加快淘汰落后产能，大力推进产业结构调整和优化升级；（3）根据水资源和水环境承载能力，以水定城、以水定地、以水定人、以水定产。2.大气环境布局敏感重点管控区同时执行 （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1099" w:type="pct"/>
                  <w:tcBorders>
                    <w:top w:val="single" w:color="auto" w:sz="4" w:space="0"/>
                    <w:left w:val="single" w:color="auto" w:sz="4" w:space="0"/>
                    <w:bottom w:val="single" w:color="auto" w:sz="4" w:space="0"/>
                  </w:tcBorders>
                  <w:vAlign w:val="center"/>
                </w:tcPr>
                <w:p w14:paraId="277E6663">
                  <w:pPr>
                    <w:widowControl/>
                    <w:jc w:val="left"/>
                    <w:rPr>
                      <w:szCs w:val="21"/>
                    </w:rPr>
                  </w:pPr>
                  <w:r>
                    <w:rPr>
                      <w:snapToGrid w:val="0"/>
                      <w:kern w:val="0"/>
                      <w:szCs w:val="21"/>
                    </w:rPr>
                    <w:t>本项目为</w:t>
                  </w:r>
                  <w:r>
                    <w:rPr>
                      <w:rFonts w:hint="eastAsia"/>
                      <w:snapToGrid w:val="0"/>
                      <w:kern w:val="0"/>
                      <w:szCs w:val="21"/>
                    </w:rPr>
                    <w:t>废塑料利用</w:t>
                  </w:r>
                  <w:r>
                    <w:rPr>
                      <w:snapToGrid w:val="0"/>
                      <w:kern w:val="0"/>
                      <w:szCs w:val="21"/>
                    </w:rPr>
                    <w:t>项目，</w:t>
                  </w:r>
                  <w:r>
                    <w:rPr>
                      <w:rFonts w:hint="eastAsia"/>
                      <w:snapToGrid w:val="0"/>
                      <w:kern w:val="0"/>
                      <w:szCs w:val="21"/>
                    </w:rPr>
                    <w:t>不属于两高行业</w:t>
                  </w:r>
                  <w:r>
                    <w:rPr>
                      <w:snapToGrid w:val="0"/>
                      <w:kern w:val="0"/>
                      <w:szCs w:val="21"/>
                    </w:rPr>
                    <w:t>，</w:t>
                  </w:r>
                  <w:r>
                    <w:rPr>
                      <w:szCs w:val="21"/>
                    </w:rPr>
                    <w:t>不属于</w:t>
                  </w:r>
                  <w:r>
                    <w:rPr>
                      <w:rFonts w:hint="eastAsia" w:ascii="宋体" w:hAnsi="宋体" w:cs="宋体"/>
                      <w:kern w:val="0"/>
                      <w:szCs w:val="21"/>
                      <w:lang w:bidi="ar"/>
                    </w:rPr>
                    <w:t>畜禽养殖和农业行业。</w:t>
                  </w:r>
                </w:p>
              </w:tc>
            </w:tr>
            <w:tr w14:paraId="4E873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529A4DE9">
                  <w:pPr>
                    <w:jc w:val="center"/>
                    <w:rPr>
                      <w:b/>
                      <w:bCs/>
                      <w:szCs w:val="21"/>
                    </w:rPr>
                  </w:pPr>
                  <w:r>
                    <w:rPr>
                      <w:b/>
                      <w:bCs/>
                      <w:szCs w:val="21"/>
                    </w:rPr>
                    <w:t>污染物排放管控</w:t>
                  </w:r>
                </w:p>
              </w:tc>
              <w:tc>
                <w:tcPr>
                  <w:tcW w:w="3065" w:type="pct"/>
                  <w:tcBorders>
                    <w:top w:val="single" w:color="auto" w:sz="4" w:space="0"/>
                    <w:left w:val="single" w:color="auto" w:sz="4" w:space="0"/>
                    <w:bottom w:val="single" w:color="auto" w:sz="4" w:space="0"/>
                    <w:right w:val="single" w:color="auto" w:sz="4" w:space="0"/>
                  </w:tcBorders>
                  <w:vAlign w:val="center"/>
                </w:tcPr>
                <w:p w14:paraId="7C45EC8F">
                  <w:pPr>
                    <w:widowControl/>
                    <w:numPr>
                      <w:ilvl w:val="0"/>
                      <w:numId w:val="2"/>
                    </w:numPr>
                    <w:jc w:val="left"/>
                    <w:rPr>
                      <w:rFonts w:hint="eastAsia" w:ascii="宋体" w:hAnsi="宋体" w:cs="宋体"/>
                      <w:kern w:val="0"/>
                      <w:szCs w:val="21"/>
                      <w:lang w:bidi="ar"/>
                    </w:rPr>
                  </w:pPr>
                  <w:r>
                    <w:rPr>
                      <w:rFonts w:hint="eastAsia" w:ascii="宋体" w:hAnsi="宋体" w:cs="宋体"/>
                      <w:kern w:val="0"/>
                      <w:szCs w:val="21"/>
                      <w:lang w:bidi="ar"/>
                    </w:rPr>
                    <w:t>同时执行：（1）新建、改建和扩建项目应当优先采用资源利用率高以及污染物产生量少的清洁生产技术、工艺和设备。（2）集中治理工业集聚区内工业废水，区内工业废水必须经预处理达到集中处理要求后，方可进入污水集中处理设施。新建、升级工业集聚区应同步规划和建设污水、垃圾集中处理等污染治理设施。</w:t>
                  </w:r>
                </w:p>
                <w:p w14:paraId="5A0DE061">
                  <w:pPr>
                    <w:widowControl/>
                    <w:jc w:val="left"/>
                    <w:rPr>
                      <w:szCs w:val="21"/>
                    </w:rPr>
                  </w:pPr>
                  <w:r>
                    <w:rPr>
                      <w:rFonts w:hint="eastAsia" w:ascii="宋体" w:hAnsi="宋体" w:cs="宋体"/>
                      <w:kern w:val="0"/>
                      <w:szCs w:val="21"/>
                      <w:lang w:bidi="ar"/>
                    </w:rPr>
                    <w:t>2.大气环境布局敏感重点管控区同时执行：（1）对以煤、石焦油、渣油、重油等为燃料的锅炉和工业炉窑，加快使用清洁低碳能源以及工厂余热、电力热力等进行替代。（2）到2025年，在用65蒸吨/小时以上的燃煤锅炉（含电力）实现超低排放，钢铁企业基本实现超低排放。</w:t>
                  </w:r>
                </w:p>
              </w:tc>
              <w:tc>
                <w:tcPr>
                  <w:tcW w:w="1099" w:type="pct"/>
                  <w:tcBorders>
                    <w:top w:val="single" w:color="auto" w:sz="4" w:space="0"/>
                    <w:left w:val="single" w:color="auto" w:sz="4" w:space="0"/>
                    <w:bottom w:val="single" w:color="auto" w:sz="4" w:space="0"/>
                  </w:tcBorders>
                  <w:vAlign w:val="center"/>
                </w:tcPr>
                <w:p w14:paraId="4109BDE5">
                  <w:pPr>
                    <w:widowControl/>
                    <w:jc w:val="left"/>
                    <w:rPr>
                      <w:szCs w:val="21"/>
                    </w:rPr>
                  </w:pPr>
                  <w:r>
                    <w:rPr>
                      <w:snapToGrid w:val="0"/>
                      <w:kern w:val="0"/>
                      <w:szCs w:val="21"/>
                    </w:rPr>
                    <w:t>本项目为</w:t>
                  </w:r>
                  <w:r>
                    <w:rPr>
                      <w:rFonts w:hint="eastAsia"/>
                      <w:snapToGrid w:val="0"/>
                      <w:kern w:val="0"/>
                      <w:szCs w:val="21"/>
                    </w:rPr>
                    <w:t>废塑料利用</w:t>
                  </w:r>
                  <w:r>
                    <w:rPr>
                      <w:snapToGrid w:val="0"/>
                      <w:kern w:val="0"/>
                      <w:szCs w:val="21"/>
                    </w:rPr>
                    <w:t>项目，冬季</w:t>
                  </w:r>
                  <w:r>
                    <w:rPr>
                      <w:rFonts w:hint="eastAsia"/>
                      <w:snapToGrid w:val="0"/>
                      <w:kern w:val="0"/>
                      <w:szCs w:val="21"/>
                    </w:rPr>
                    <w:t>采用电采暖</w:t>
                  </w:r>
                  <w:r>
                    <w:rPr>
                      <w:snapToGrid w:val="0"/>
                      <w:kern w:val="0"/>
                      <w:szCs w:val="21"/>
                    </w:rPr>
                    <w:t>；不涉及燃料使用。</w:t>
                  </w:r>
                </w:p>
              </w:tc>
            </w:tr>
            <w:tr w14:paraId="64BEA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262425B2">
                  <w:pPr>
                    <w:widowControl/>
                    <w:jc w:val="left"/>
                    <w:rPr>
                      <w:szCs w:val="21"/>
                    </w:rPr>
                  </w:pPr>
                  <w:r>
                    <w:rPr>
                      <w:kern w:val="0"/>
                      <w:szCs w:val="21"/>
                      <w:lang w:bidi="ar"/>
                    </w:rPr>
                    <w:t xml:space="preserve">环境风险 </w:t>
                  </w:r>
                </w:p>
                <w:p w14:paraId="0E741CFA">
                  <w:pPr>
                    <w:jc w:val="center"/>
                    <w:rPr>
                      <w:b/>
                      <w:bCs/>
                      <w:szCs w:val="21"/>
                    </w:rPr>
                  </w:pPr>
                  <w:r>
                    <w:rPr>
                      <w:kern w:val="0"/>
                      <w:szCs w:val="21"/>
                      <w:lang w:bidi="ar"/>
                    </w:rPr>
                    <w:t>防控</w:t>
                  </w:r>
                </w:p>
              </w:tc>
              <w:tc>
                <w:tcPr>
                  <w:tcW w:w="3065" w:type="pct"/>
                  <w:tcBorders>
                    <w:top w:val="single" w:color="auto" w:sz="4" w:space="0"/>
                    <w:left w:val="single" w:color="auto" w:sz="4" w:space="0"/>
                    <w:bottom w:val="single" w:color="auto" w:sz="4" w:space="0"/>
                    <w:right w:val="single" w:color="auto" w:sz="4" w:space="0"/>
                  </w:tcBorders>
                  <w:vAlign w:val="center"/>
                </w:tcPr>
                <w:p w14:paraId="2B376834">
                  <w:pPr>
                    <w:widowControl/>
                    <w:jc w:val="left"/>
                    <w:rPr>
                      <w:kern w:val="0"/>
                      <w:szCs w:val="21"/>
                      <w:lang w:bidi="ar"/>
                    </w:rPr>
                  </w:pPr>
                  <w:r>
                    <w:rPr>
                      <w:kern w:val="0"/>
                      <w:szCs w:val="21"/>
                      <w:lang w:bidi="ar"/>
                    </w:rPr>
                    <w:t>排放《有毒有害水污染物名录》所列有毒有害水污染物的企业事业单位和其他生产经营者，应当对排污口和周边环境进行监测，评估环境风险，排查环境安全隐患，并公开有毒有害水污染物信息，采取有效措施防范环境风险。</w:t>
                  </w:r>
                </w:p>
                <w:p w14:paraId="08BFC8F1">
                  <w:pPr>
                    <w:widowControl/>
                    <w:jc w:val="left"/>
                    <w:rPr>
                      <w:kern w:val="0"/>
                      <w:szCs w:val="21"/>
                      <w:lang w:bidi="ar"/>
                    </w:rPr>
                  </w:pPr>
                  <w:r>
                    <w:rPr>
                      <w:kern w:val="0"/>
                      <w:szCs w:val="21"/>
                      <w:lang w:bidi="ar"/>
                    </w:rPr>
                    <w:t>2.大气环境布局敏感重点管控区同时执行</w:t>
                  </w:r>
                </w:p>
                <w:p w14:paraId="2C898AA8">
                  <w:pPr>
                    <w:widowControl/>
                    <w:jc w:val="left"/>
                    <w:rPr>
                      <w:szCs w:val="21"/>
                    </w:rPr>
                  </w:pPr>
                  <w:r>
                    <w:rPr>
                      <w:kern w:val="0"/>
                      <w:szCs w:val="21"/>
                      <w:lang w:bidi="ar"/>
                    </w:rPr>
                    <w:t>禁止在居民区、学校、医疗和养老机构等周边新建有色金属冶炼、焦化等行业企业。</w:t>
                  </w:r>
                </w:p>
              </w:tc>
              <w:tc>
                <w:tcPr>
                  <w:tcW w:w="1099" w:type="pct"/>
                  <w:tcBorders>
                    <w:top w:val="single" w:color="auto" w:sz="4" w:space="0"/>
                    <w:left w:val="single" w:color="auto" w:sz="4" w:space="0"/>
                    <w:bottom w:val="single" w:color="auto" w:sz="4" w:space="0"/>
                  </w:tcBorders>
                  <w:vAlign w:val="center"/>
                </w:tcPr>
                <w:p w14:paraId="5E9D48C6">
                  <w:pPr>
                    <w:widowControl/>
                    <w:jc w:val="left"/>
                    <w:rPr>
                      <w:szCs w:val="21"/>
                    </w:rPr>
                  </w:pPr>
                  <w:r>
                    <w:rPr>
                      <w:snapToGrid w:val="0"/>
                      <w:kern w:val="0"/>
                      <w:szCs w:val="21"/>
                    </w:rPr>
                    <w:t>本项目</w:t>
                  </w:r>
                  <w:r>
                    <w:rPr>
                      <w:rFonts w:hint="eastAsia"/>
                      <w:snapToGrid w:val="0"/>
                      <w:kern w:val="0"/>
                      <w:szCs w:val="21"/>
                    </w:rPr>
                    <w:t>为塑料回收破碎利用项目，不属于</w:t>
                  </w:r>
                  <w:r>
                    <w:rPr>
                      <w:kern w:val="0"/>
                      <w:szCs w:val="21"/>
                      <w:lang w:bidi="ar"/>
                    </w:rPr>
                    <w:t>有色金属冶炼、焦化等行业企业</w:t>
                  </w:r>
                  <w:r>
                    <w:rPr>
                      <w:rFonts w:hint="eastAsia"/>
                      <w:kern w:val="0"/>
                      <w:szCs w:val="21"/>
                      <w:lang w:bidi="ar"/>
                    </w:rPr>
                    <w:t>，项目产生的</w:t>
                  </w:r>
                  <w:r>
                    <w:rPr>
                      <w:rFonts w:hint="eastAsia"/>
                      <w:snapToGrid w:val="0"/>
                      <w:kern w:val="0"/>
                      <w:szCs w:val="21"/>
                    </w:rPr>
                    <w:t>生产废水絮凝沉淀后回用于生产，生活污水排入防渗旱厕</w:t>
                  </w:r>
                  <w:r>
                    <w:rPr>
                      <w:snapToGrid w:val="0"/>
                      <w:kern w:val="0"/>
                      <w:szCs w:val="21"/>
                    </w:rPr>
                    <w:t>，</w:t>
                  </w:r>
                  <w:r>
                    <w:rPr>
                      <w:rFonts w:hint="eastAsia"/>
                      <w:snapToGrid w:val="0"/>
                      <w:kern w:val="0"/>
                      <w:szCs w:val="21"/>
                    </w:rPr>
                    <w:t>不外排。</w:t>
                  </w:r>
                </w:p>
              </w:tc>
            </w:tr>
            <w:tr w14:paraId="4D9C8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389D830A">
                  <w:pPr>
                    <w:widowControl/>
                    <w:jc w:val="center"/>
                    <w:rPr>
                      <w:kern w:val="0"/>
                      <w:szCs w:val="21"/>
                      <w:lang w:bidi="ar"/>
                    </w:rPr>
                  </w:pPr>
                  <w:r>
                    <w:rPr>
                      <w:b/>
                      <w:bCs/>
                      <w:kern w:val="0"/>
                      <w:szCs w:val="21"/>
                      <w:lang w:bidi="ar"/>
                    </w:rPr>
                    <w:t>环境管控区名称</w:t>
                  </w:r>
                </w:p>
              </w:tc>
              <w:tc>
                <w:tcPr>
                  <w:tcW w:w="4164" w:type="pct"/>
                  <w:gridSpan w:val="2"/>
                  <w:tcBorders>
                    <w:top w:val="single" w:color="auto" w:sz="4" w:space="0"/>
                    <w:bottom w:val="single" w:color="auto" w:sz="4" w:space="0"/>
                  </w:tcBorders>
                  <w:vAlign w:val="center"/>
                </w:tcPr>
                <w:p w14:paraId="778EF899">
                  <w:pPr>
                    <w:widowControl/>
                    <w:jc w:val="center"/>
                    <w:rPr>
                      <w:szCs w:val="21"/>
                    </w:rPr>
                  </w:pPr>
                  <w:r>
                    <w:rPr>
                      <w:rFonts w:hint="eastAsia" w:ascii="宋体" w:hAnsi="宋体" w:cs="宋体"/>
                      <w:kern w:val="0"/>
                      <w:szCs w:val="21"/>
                      <w:lang w:bidi="ar"/>
                    </w:rPr>
                    <w:t>鸡西区地下水环境一般管控区</w:t>
                  </w:r>
                </w:p>
              </w:tc>
            </w:tr>
            <w:tr w14:paraId="4CB3C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1EA88887">
                  <w:pPr>
                    <w:widowControl/>
                    <w:jc w:val="center"/>
                    <w:rPr>
                      <w:kern w:val="0"/>
                      <w:szCs w:val="21"/>
                      <w:lang w:bidi="ar"/>
                    </w:rPr>
                  </w:pPr>
                  <w:r>
                    <w:rPr>
                      <w:b/>
                      <w:bCs/>
                      <w:kern w:val="0"/>
                      <w:szCs w:val="21"/>
                      <w:lang w:bidi="ar"/>
                    </w:rPr>
                    <w:t>环境管控区编码</w:t>
                  </w:r>
                </w:p>
              </w:tc>
              <w:tc>
                <w:tcPr>
                  <w:tcW w:w="4164" w:type="pct"/>
                  <w:gridSpan w:val="2"/>
                  <w:tcBorders>
                    <w:top w:val="single" w:color="auto" w:sz="4" w:space="0"/>
                    <w:bottom w:val="single" w:color="auto" w:sz="4" w:space="0"/>
                  </w:tcBorders>
                  <w:vAlign w:val="center"/>
                </w:tcPr>
                <w:p w14:paraId="7C5B576D">
                  <w:pPr>
                    <w:widowControl/>
                    <w:jc w:val="center"/>
                    <w:rPr>
                      <w:szCs w:val="21"/>
                    </w:rPr>
                  </w:pPr>
                  <w:r>
                    <w:rPr>
                      <w:rFonts w:hint="eastAsia" w:ascii="宋体" w:hAnsi="宋体" w:cs="宋体"/>
                      <w:kern w:val="0"/>
                      <w:szCs w:val="21"/>
                      <w:lang w:bidi="ar"/>
                    </w:rPr>
                    <w:t>YS2303026310001</w:t>
                  </w:r>
                </w:p>
              </w:tc>
            </w:tr>
            <w:tr w14:paraId="23CBC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5" w:type="pct"/>
                  <w:tcBorders>
                    <w:top w:val="single" w:color="auto" w:sz="4" w:space="0"/>
                    <w:bottom w:val="single" w:color="auto" w:sz="4" w:space="0"/>
                    <w:right w:val="single" w:color="auto" w:sz="4" w:space="0"/>
                  </w:tcBorders>
                  <w:vAlign w:val="center"/>
                </w:tcPr>
                <w:p w14:paraId="20141708">
                  <w:pPr>
                    <w:widowControl/>
                    <w:jc w:val="center"/>
                    <w:rPr>
                      <w:kern w:val="0"/>
                      <w:szCs w:val="21"/>
                      <w:lang w:bidi="ar"/>
                    </w:rPr>
                  </w:pPr>
                  <w:r>
                    <w:rPr>
                      <w:b/>
                      <w:bCs/>
                      <w:kern w:val="0"/>
                      <w:szCs w:val="21"/>
                      <w:lang w:bidi="ar"/>
                    </w:rPr>
                    <w:t>管控区类型</w:t>
                  </w:r>
                </w:p>
              </w:tc>
              <w:tc>
                <w:tcPr>
                  <w:tcW w:w="4164" w:type="pct"/>
                  <w:gridSpan w:val="2"/>
                  <w:tcBorders>
                    <w:top w:val="single" w:color="auto" w:sz="4" w:space="0"/>
                    <w:bottom w:val="single" w:color="auto" w:sz="4" w:space="0"/>
                  </w:tcBorders>
                  <w:vAlign w:val="center"/>
                </w:tcPr>
                <w:p w14:paraId="3A6E5EFE">
                  <w:pPr>
                    <w:widowControl/>
                    <w:jc w:val="center"/>
                    <w:rPr>
                      <w:szCs w:val="21"/>
                    </w:rPr>
                  </w:pPr>
                  <w:r>
                    <w:rPr>
                      <w:kern w:val="0"/>
                      <w:szCs w:val="21"/>
                      <w:lang w:bidi="ar"/>
                    </w:rPr>
                    <w:t>一般管控区</w:t>
                  </w:r>
                </w:p>
              </w:tc>
            </w:tr>
            <w:tr w14:paraId="49558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0" w:type="pct"/>
                  <w:gridSpan w:val="2"/>
                  <w:tcBorders>
                    <w:top w:val="single" w:color="auto" w:sz="4" w:space="0"/>
                    <w:bottom w:val="single" w:color="auto" w:sz="4" w:space="0"/>
                    <w:right w:val="single" w:color="auto" w:sz="4" w:space="0"/>
                  </w:tcBorders>
                  <w:vAlign w:val="center"/>
                </w:tcPr>
                <w:p w14:paraId="634789A7">
                  <w:pPr>
                    <w:widowControl/>
                    <w:jc w:val="center"/>
                    <w:rPr>
                      <w:szCs w:val="21"/>
                    </w:rPr>
                  </w:pPr>
                  <w:r>
                    <w:rPr>
                      <w:szCs w:val="21"/>
                    </w:rPr>
                    <w:t>管控要求</w:t>
                  </w:r>
                </w:p>
              </w:tc>
              <w:tc>
                <w:tcPr>
                  <w:tcW w:w="1099" w:type="pct"/>
                  <w:tcBorders>
                    <w:top w:val="single" w:color="auto" w:sz="4" w:space="0"/>
                    <w:left w:val="single" w:color="auto" w:sz="4" w:space="0"/>
                    <w:bottom w:val="single" w:color="auto" w:sz="4" w:space="0"/>
                  </w:tcBorders>
                  <w:vAlign w:val="center"/>
                </w:tcPr>
                <w:p w14:paraId="4EE7E0E7">
                  <w:pPr>
                    <w:widowControl/>
                    <w:jc w:val="center"/>
                    <w:rPr>
                      <w:szCs w:val="21"/>
                    </w:rPr>
                  </w:pPr>
                  <w:r>
                    <w:rPr>
                      <w:szCs w:val="21"/>
                    </w:rPr>
                    <w:t>符合性分析</w:t>
                  </w:r>
                </w:p>
              </w:tc>
            </w:tr>
            <w:tr w14:paraId="51B0E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0" w:type="pct"/>
                  <w:gridSpan w:val="2"/>
                  <w:tcBorders>
                    <w:top w:val="single" w:color="auto" w:sz="4" w:space="0"/>
                    <w:bottom w:val="single" w:color="auto" w:sz="4" w:space="0"/>
                    <w:right w:val="single" w:color="auto" w:sz="4" w:space="0"/>
                  </w:tcBorders>
                  <w:vAlign w:val="center"/>
                </w:tcPr>
                <w:p w14:paraId="1C13019E">
                  <w:pPr>
                    <w:widowControl/>
                    <w:jc w:val="left"/>
                    <w:rPr>
                      <w:szCs w:val="21"/>
                    </w:rPr>
                  </w:pPr>
                  <w:r>
                    <w:rPr>
                      <w:szCs w:val="21"/>
                    </w:rPr>
                    <w:t>环境风险管控</w:t>
                  </w:r>
                </w:p>
                <w:p w14:paraId="65DB03B8">
                  <w:pPr>
                    <w:widowControl/>
                    <w:jc w:val="left"/>
                    <w:rPr>
                      <w:kern w:val="0"/>
                      <w:szCs w:val="21"/>
                      <w:lang w:bidi="ar"/>
                    </w:rPr>
                  </w:pPr>
                  <w:r>
                    <w:rPr>
                      <w:kern w:val="0"/>
                      <w:szCs w:val="21"/>
                      <w:lang w:bidi="ar"/>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2.重点单位新、改、扩建项目地下储罐储存有毒有害物质的，应当在项目投入生产或者使用之前，将地下储罐的信息报所在地设区的市级生态环境主管部门备案。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4.化学品生产企业以及工业集聚区、矿山开采区、尾矿库、危险废物处置场、垃圾填埋场等的运营、管理单位，应当采取防渗漏等措施，并建设地下水水质监测井进行监测，防止地下水污染。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1099" w:type="pct"/>
                  <w:tcBorders>
                    <w:top w:val="single" w:color="auto" w:sz="4" w:space="0"/>
                    <w:left w:val="single" w:color="auto" w:sz="4" w:space="0"/>
                    <w:bottom w:val="single" w:color="auto" w:sz="4" w:space="0"/>
                  </w:tcBorders>
                  <w:vAlign w:val="center"/>
                </w:tcPr>
                <w:p w14:paraId="3907CE4A">
                  <w:pPr>
                    <w:widowControl/>
                    <w:jc w:val="center"/>
                    <w:rPr>
                      <w:szCs w:val="21"/>
                    </w:rPr>
                  </w:pPr>
                  <w:r>
                    <w:rPr>
                      <w:szCs w:val="21"/>
                    </w:rPr>
                    <w:t>本项目为废塑料再生利用项目，不属于土壤污染重点监管单位，项目不生产化学品，本项目</w:t>
                  </w:r>
                  <w:r>
                    <w:rPr>
                      <w:rFonts w:hint="eastAsia"/>
                      <w:szCs w:val="21"/>
                    </w:rPr>
                    <w:t>采用湿法破碎，粉尘产生可以忽略</w:t>
                  </w:r>
                  <w:r>
                    <w:rPr>
                      <w:szCs w:val="21"/>
                    </w:rPr>
                    <w:t>，不属于需考虑大气沉降影响的行业，产生的废水排入沉淀池后循环利用，不外排。产生的固体废物进行合理处置，处置率100%。</w:t>
                  </w:r>
                </w:p>
              </w:tc>
            </w:tr>
          </w:tbl>
          <w:p w14:paraId="4F7FF270">
            <w:pPr>
              <w:pStyle w:val="91"/>
              <w:spacing w:line="360" w:lineRule="auto"/>
              <w:ind w:firstLine="480"/>
              <w:rPr>
                <w:kern w:val="2"/>
                <w:szCs w:val="24"/>
              </w:rPr>
            </w:pPr>
            <w:r>
              <w:rPr>
                <w:kern w:val="2"/>
                <w:szCs w:val="24"/>
              </w:rPr>
              <w:t>3）</w:t>
            </w:r>
            <w:r>
              <w:rPr>
                <w:rFonts w:hint="eastAsia"/>
                <w:kern w:val="2"/>
                <w:szCs w:val="24"/>
              </w:rPr>
              <w:t>“</w:t>
            </w:r>
            <w:r>
              <w:rPr>
                <w:kern w:val="2"/>
                <w:szCs w:val="24"/>
              </w:rPr>
              <w:t>一说明</w:t>
            </w:r>
            <w:r>
              <w:rPr>
                <w:rFonts w:hint="eastAsia"/>
                <w:kern w:val="2"/>
                <w:szCs w:val="24"/>
              </w:rPr>
              <w:t>”</w:t>
            </w:r>
          </w:p>
          <w:p w14:paraId="15E403DE">
            <w:pPr>
              <w:pStyle w:val="219"/>
              <w:spacing w:line="360" w:lineRule="auto"/>
              <w:ind w:firstLine="480"/>
              <w:rPr>
                <w:szCs w:val="21"/>
              </w:rPr>
            </w:pPr>
            <w:r>
              <w:rPr>
                <w:szCs w:val="21"/>
              </w:rPr>
              <w:t>由上述分析可知，本项目的建设符合《鸡西市生态环境准入清单》（2023年版）和《</w:t>
            </w:r>
            <w:r>
              <w:rPr>
                <w:rFonts w:hint="eastAsia"/>
                <w:szCs w:val="21"/>
              </w:rPr>
              <w:t>鸡西市合世源再生物资回收有限公司破碎项目</w:t>
            </w:r>
            <w:r>
              <w:rPr>
                <w:szCs w:val="21"/>
              </w:rPr>
              <w:t>生态环境分区管控分析报告》中的要求。</w:t>
            </w:r>
          </w:p>
          <w:p w14:paraId="7921DFF0">
            <w:pPr>
              <w:pStyle w:val="219"/>
              <w:spacing w:line="360" w:lineRule="auto"/>
              <w:ind w:firstLine="480"/>
              <w:rPr>
                <w:szCs w:val="21"/>
              </w:rPr>
            </w:pPr>
            <w:r>
              <w:rPr>
                <w:szCs w:val="21"/>
              </w:rPr>
              <w:t>根据黑龙江省生态环境分区管控数据应用平台查询的《生态环境分区管控分析报告》（分析报告见附件）：</w:t>
            </w:r>
          </w:p>
          <w:p w14:paraId="6E55E07A">
            <w:pPr>
              <w:pStyle w:val="219"/>
              <w:spacing w:line="360" w:lineRule="auto"/>
              <w:ind w:firstLine="480"/>
              <w:rPr>
                <w:szCs w:val="21"/>
              </w:rPr>
            </w:pPr>
            <w:r>
              <w:rPr>
                <w:szCs w:val="21"/>
              </w:rPr>
              <w:t>本项目与生态保护红线交集面积为0.00平方公里，占项目占地面积的0.00%。</w:t>
            </w:r>
          </w:p>
          <w:p w14:paraId="44C6DA80">
            <w:pPr>
              <w:pStyle w:val="219"/>
              <w:spacing w:line="360" w:lineRule="auto"/>
              <w:ind w:firstLine="480"/>
              <w:rPr>
                <w:szCs w:val="21"/>
              </w:rPr>
            </w:pPr>
            <w:r>
              <w:rPr>
                <w:szCs w:val="21"/>
              </w:rPr>
              <w:t>与自然保护地整合优化方案数据交集面积为0.00平方公里，占项目占地面积的0.00%。保护地涉及等类型。与自然保护地（现状管理数据）交集面积为0.00平方公里，占项目占地面积的0.00%。保护地涉及等类型。</w:t>
            </w:r>
          </w:p>
          <w:p w14:paraId="31366073">
            <w:pPr>
              <w:pStyle w:val="91"/>
              <w:spacing w:line="360" w:lineRule="auto"/>
              <w:ind w:firstLine="480"/>
            </w:pPr>
            <w:r>
              <w:t>与饮用水水源保护区交集面积为0.00平方公里，占项目占地面积的0.00%。与国家级水产种质资源保护区交集面积为0.00平方公里，占项目占地面积的0.00%。</w:t>
            </w:r>
          </w:p>
          <w:p w14:paraId="6EE3A27A">
            <w:pPr>
              <w:pStyle w:val="91"/>
              <w:spacing w:line="360" w:lineRule="auto"/>
              <w:ind w:firstLine="480"/>
            </w:pPr>
            <w:r>
              <w:t>与环境管控单元优先保护单元交集面积为0.00平方公里，占项目占地面积的0.00%；与重点管控单元交集面积为</w:t>
            </w:r>
            <w:r>
              <w:rPr>
                <w:rFonts w:hint="eastAsia"/>
              </w:rPr>
              <w:t>小于</w:t>
            </w:r>
            <w:r>
              <w:t>0.0</w:t>
            </w:r>
            <w:r>
              <w:rPr>
                <w:rFonts w:hint="eastAsia"/>
              </w:rPr>
              <w:t>1</w:t>
            </w:r>
            <w:r>
              <w:t>平方公里，占项目占地面积的100.00%；一般管控单元交集面积为0.00平方公里，占项目占地面积的0.00%。</w:t>
            </w:r>
          </w:p>
          <w:p w14:paraId="28FD7E62">
            <w:pPr>
              <w:pStyle w:val="91"/>
              <w:spacing w:line="360" w:lineRule="auto"/>
              <w:ind w:firstLine="480"/>
            </w:pPr>
            <w:r>
              <w:t>与地下水环境优先保护区交集面积为0.00平方公里，占项目占地面积的0.00%；与地下水环境重点管控区交集面积为0.00平方公里，占项目占地面积的0.00%，与地下水环境一般管控区交集面积为0.02平方公里，占项目占地面积的100.00%。</w:t>
            </w:r>
          </w:p>
          <w:p w14:paraId="23DAE72F">
            <w:pPr>
              <w:pStyle w:val="91"/>
              <w:ind w:firstLine="480"/>
            </w:pPr>
            <w:r>
              <w:rPr>
                <w:rFonts w:hint="eastAsia"/>
              </w:rPr>
              <w:t>2.</w:t>
            </w:r>
            <w:r>
              <w:t>产业政策符合性分析</w:t>
            </w:r>
          </w:p>
          <w:p w14:paraId="3D1E96C8">
            <w:pPr>
              <w:pStyle w:val="91"/>
              <w:ind w:firstLine="480"/>
            </w:pPr>
            <w:r>
              <w:t>本项目</w:t>
            </w:r>
            <w:r>
              <w:rPr>
                <w:rFonts w:hint="eastAsia"/>
              </w:rPr>
              <w:t>属于废塑料加工再利用项目，</w:t>
            </w:r>
            <w:r>
              <w:t>属于《产业结构调整指导目录（</w:t>
            </w:r>
            <w:r>
              <w:rPr>
                <w:rFonts w:hint="eastAsia"/>
              </w:rPr>
              <w:t>2024</w:t>
            </w:r>
            <w:r>
              <w:t>年本）》第一大类</w:t>
            </w:r>
            <w:r>
              <w:rPr>
                <w:rFonts w:hint="eastAsia"/>
              </w:rPr>
              <w:t>“</w:t>
            </w:r>
            <w:r>
              <w:t>鼓励类</w:t>
            </w:r>
            <w:r>
              <w:rPr>
                <w:rFonts w:hint="eastAsia"/>
              </w:rPr>
              <w:t>”</w:t>
            </w:r>
            <w:r>
              <w:t>第四十</w:t>
            </w:r>
            <w:r>
              <w:rPr>
                <w:rFonts w:hint="eastAsia"/>
              </w:rPr>
              <w:t>二</w:t>
            </w:r>
            <w:r>
              <w:t>类</w:t>
            </w:r>
            <w:r>
              <w:rPr>
                <w:rFonts w:hint="eastAsia"/>
              </w:rPr>
              <w:t>“</w:t>
            </w:r>
            <w:r>
              <w:t>环境保护与资源节约综合利用</w:t>
            </w:r>
            <w:r>
              <w:rPr>
                <w:rFonts w:hint="eastAsia"/>
              </w:rPr>
              <w:t>”</w:t>
            </w:r>
            <w:r>
              <w:t>中的第</w:t>
            </w:r>
            <w:r>
              <w:rPr>
                <w:rFonts w:hint="eastAsia"/>
              </w:rPr>
              <w:t>8</w:t>
            </w:r>
            <w:r>
              <w:t>条“</w:t>
            </w:r>
            <w:r>
              <w:rPr>
                <w:rFonts w:hint="eastAsia"/>
              </w:rPr>
              <w:t>废钢铁、废有色金属、废纸、废橡胶、废玻璃、废塑料、废旧木材……废弃油脂等废城市典型废弃物循环利用</w:t>
            </w:r>
            <w:r>
              <w:t>”，符合国家产业政策要求</w:t>
            </w:r>
            <w:r>
              <w:rPr>
                <w:rFonts w:hint="eastAsia" w:ascii="宋体" w:hAnsi="宋体"/>
              </w:rPr>
              <w:t>。</w:t>
            </w:r>
          </w:p>
          <w:p w14:paraId="07EB64CE">
            <w:pPr>
              <w:pStyle w:val="91"/>
              <w:ind w:firstLine="480"/>
            </w:pPr>
            <w:r>
              <w:rPr>
                <w:rFonts w:hint="eastAsia"/>
              </w:rPr>
              <w:t>3.与废塑料加工行业相关要求的符合性</w:t>
            </w:r>
          </w:p>
          <w:p w14:paraId="146C1711">
            <w:pPr>
              <w:pStyle w:val="91"/>
              <w:ind w:firstLine="480"/>
              <w:rPr>
                <w:bCs/>
              </w:rPr>
            </w:pPr>
            <w:r>
              <w:rPr>
                <w:bCs/>
              </w:rPr>
              <w:t>（1）与《废塑料综合利用行业规范条件》相符性分析</w:t>
            </w:r>
          </w:p>
          <w:p w14:paraId="6EA17937">
            <w:pPr>
              <w:pStyle w:val="91"/>
              <w:ind w:firstLine="480"/>
              <w:rPr>
                <w:bCs/>
              </w:rPr>
            </w:pPr>
            <w:r>
              <w:rPr>
                <w:bCs/>
              </w:rPr>
              <w:t>本项目与《废塑料综合利用行业规范条件》符合性分析详见表</w:t>
            </w:r>
            <w:r>
              <w:rPr>
                <w:rFonts w:hint="eastAsia"/>
                <w:bCs/>
              </w:rPr>
              <w:t>1-</w:t>
            </w:r>
            <w:r>
              <w:rPr>
                <w:bCs/>
              </w:rPr>
              <w:t>2。</w:t>
            </w:r>
          </w:p>
          <w:p w14:paraId="6C8818B6">
            <w:pPr>
              <w:pStyle w:val="103"/>
            </w:pPr>
            <w:r>
              <w:t>表1-2  本项目与《废塑料综合利用行业规范条件》符合性一览表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2911"/>
              <w:gridCol w:w="676"/>
            </w:tblGrid>
            <w:tr w14:paraId="01AFC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0BE15111">
                  <w:pPr>
                    <w:pStyle w:val="90"/>
                  </w:pPr>
                  <w:r>
                    <w:t>《废塑料综合利用行业规范条件》相关要求</w:t>
                  </w:r>
                </w:p>
              </w:tc>
              <w:tc>
                <w:tcPr>
                  <w:tcW w:w="2042" w:type="pct"/>
                  <w:vAlign w:val="center"/>
                </w:tcPr>
                <w:p w14:paraId="25EE7A6E">
                  <w:pPr>
                    <w:spacing w:line="320" w:lineRule="exact"/>
                    <w:jc w:val="center"/>
                  </w:pPr>
                  <w:r>
                    <w:t>本项目</w:t>
                  </w:r>
                  <w:r>
                    <w:rPr>
                      <w:rFonts w:hint="eastAsia"/>
                    </w:rPr>
                    <w:t>情况</w:t>
                  </w:r>
                </w:p>
              </w:tc>
              <w:tc>
                <w:tcPr>
                  <w:tcW w:w="474" w:type="pct"/>
                  <w:vAlign w:val="center"/>
                </w:tcPr>
                <w:p w14:paraId="3895FBBC">
                  <w:pPr>
                    <w:spacing w:line="320" w:lineRule="exact"/>
                    <w:jc w:val="center"/>
                  </w:pPr>
                  <w:r>
                    <w:t>符合性</w:t>
                  </w:r>
                </w:p>
              </w:tc>
            </w:tr>
            <w:tr w14:paraId="67BE4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4AA1BD2A">
                  <w:pPr>
                    <w:spacing w:line="320" w:lineRule="exact"/>
                    <w:jc w:val="center"/>
                  </w:pPr>
                  <w:r>
                    <w:t>废塑料综合利用企业是指采用物理机械法对热塑性废塑料进行再生加工的企业，企业类型主要包括PET再生瓶片类企业、废塑料破碎清洗分选类企业以及塑料再生造粒类企业。</w:t>
                  </w:r>
                </w:p>
              </w:tc>
              <w:tc>
                <w:tcPr>
                  <w:tcW w:w="2042" w:type="pct"/>
                  <w:vAlign w:val="center"/>
                </w:tcPr>
                <w:p w14:paraId="2285E16A">
                  <w:pPr>
                    <w:pStyle w:val="90"/>
                  </w:pPr>
                  <w:r>
                    <w:t>本项目</w:t>
                  </w:r>
                  <w:r>
                    <w:rPr>
                      <w:rFonts w:hint="eastAsia"/>
                    </w:rPr>
                    <w:t>将废塑料</w:t>
                  </w:r>
                  <w:r>
                    <w:t>进行</w:t>
                  </w:r>
                  <w:r>
                    <w:rPr>
                      <w:rFonts w:hint="eastAsia"/>
                    </w:rPr>
                    <w:t>粉碎、清洗</w:t>
                  </w:r>
                  <w:r>
                    <w:t>，属于</w:t>
                  </w:r>
                  <w:r>
                    <w:rPr>
                      <w:rFonts w:hint="eastAsia"/>
                    </w:rPr>
                    <w:t>废塑料破碎清洗分选类企业</w:t>
                  </w:r>
                  <w:r>
                    <w:t>。</w:t>
                  </w:r>
                </w:p>
              </w:tc>
              <w:tc>
                <w:tcPr>
                  <w:tcW w:w="474" w:type="pct"/>
                  <w:vAlign w:val="center"/>
                </w:tcPr>
                <w:p w14:paraId="49E96EFA">
                  <w:pPr>
                    <w:spacing w:line="320" w:lineRule="exact"/>
                    <w:jc w:val="center"/>
                  </w:pPr>
                  <w:r>
                    <w:t>符合</w:t>
                  </w:r>
                </w:p>
              </w:tc>
            </w:tr>
            <w:tr w14:paraId="74A86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06D3A13E">
                  <w:pPr>
                    <w:spacing w:line="320" w:lineRule="exact"/>
                    <w:jc w:val="center"/>
                  </w:pPr>
                  <w:r>
                    <w:t>在国家</w:t>
                  </w:r>
                  <w:r>
                    <w:rPr>
                      <w:rFonts w:hint="eastAsia"/>
                    </w:rPr>
                    <w:t>法律法规</w:t>
                  </w:r>
                  <w:r>
                    <w:t>、规章和规划确定或县级及以上人民政府规定的自然保护区、风景名胜区、饮用水源保护区、基本农田保护区和其他需要特别保护的区域内，不得新建废塑料综合利用企业。</w:t>
                  </w:r>
                </w:p>
              </w:tc>
              <w:tc>
                <w:tcPr>
                  <w:tcW w:w="2042" w:type="pct"/>
                  <w:vAlign w:val="center"/>
                </w:tcPr>
                <w:p w14:paraId="429A8344">
                  <w:pPr>
                    <w:spacing w:line="320" w:lineRule="exact"/>
                    <w:jc w:val="center"/>
                  </w:pPr>
                  <w:r>
                    <w:t>本项目位于</w:t>
                  </w:r>
                  <w:r>
                    <w:rPr>
                      <w:rFonts w:hint="eastAsia"/>
                      <w:szCs w:val="21"/>
                    </w:rPr>
                    <w:t>黑龙江省鸡西市鸡冠区红星乡红太村红光组</w:t>
                  </w:r>
                  <w:r>
                    <w:t>，不在自然保护区、风景名胜区、饮用水源保护区、基本农田保护区和其他需要特别保护的区域内。本项目</w:t>
                  </w:r>
                  <w:r>
                    <w:rPr>
                      <w:rFonts w:hint="eastAsia"/>
                    </w:rPr>
                    <w:t>用地</w:t>
                  </w:r>
                  <w:r>
                    <w:t>类型属于</w:t>
                  </w:r>
                  <w:r>
                    <w:rPr>
                      <w:rFonts w:hint="eastAsia"/>
                    </w:rPr>
                    <w:t>工矿用地。</w:t>
                  </w:r>
                </w:p>
              </w:tc>
              <w:tc>
                <w:tcPr>
                  <w:tcW w:w="474" w:type="pct"/>
                  <w:vAlign w:val="center"/>
                </w:tcPr>
                <w:p w14:paraId="36B8C874">
                  <w:pPr>
                    <w:spacing w:line="320" w:lineRule="exact"/>
                    <w:jc w:val="center"/>
                  </w:pPr>
                  <w:r>
                    <w:t>符合</w:t>
                  </w:r>
                </w:p>
              </w:tc>
            </w:tr>
            <w:tr w14:paraId="461AB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29ABC36D">
                  <w:pPr>
                    <w:pStyle w:val="90"/>
                  </w:pPr>
                  <w:r>
                    <w:rPr>
                      <w:rFonts w:hint="eastAsia"/>
                    </w:rPr>
                    <w:t>废塑料破碎、清洗、分选类企业：新建企业年废塑料处理能力不低于30000吨；已建企业年废塑料处理能力不低于20000吨</w:t>
                  </w:r>
                  <w:r>
                    <w:t>。</w:t>
                  </w:r>
                </w:p>
              </w:tc>
              <w:tc>
                <w:tcPr>
                  <w:tcW w:w="2042" w:type="pct"/>
                  <w:vAlign w:val="center"/>
                </w:tcPr>
                <w:p w14:paraId="306BB27D">
                  <w:pPr>
                    <w:spacing w:line="320" w:lineRule="exact"/>
                    <w:jc w:val="center"/>
                  </w:pPr>
                  <w:r>
                    <w:t>本项目年回收</w:t>
                  </w:r>
                  <w:r>
                    <w:rPr>
                      <w:rFonts w:hint="eastAsia"/>
                    </w:rPr>
                    <w:t>处理废塑料</w:t>
                  </w:r>
                  <w:r>
                    <w:t>30000吨</w:t>
                  </w:r>
                  <w:r>
                    <w:rPr>
                      <w:rFonts w:hint="eastAsia"/>
                    </w:rPr>
                    <w:t>。</w:t>
                  </w:r>
                </w:p>
              </w:tc>
              <w:tc>
                <w:tcPr>
                  <w:tcW w:w="474" w:type="pct"/>
                  <w:vAlign w:val="center"/>
                </w:tcPr>
                <w:p w14:paraId="0DF3C78F">
                  <w:pPr>
                    <w:spacing w:line="320" w:lineRule="exact"/>
                    <w:jc w:val="center"/>
                  </w:pPr>
                  <w:r>
                    <w:t>符合</w:t>
                  </w:r>
                </w:p>
              </w:tc>
            </w:tr>
            <w:tr w14:paraId="7178B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13346BAC">
                  <w:pPr>
                    <w:pStyle w:val="90"/>
                  </w:pPr>
                  <w:r>
                    <w:rPr>
                      <w:rFonts w:hint="eastAsia"/>
                    </w:rPr>
                    <w:t>废塑料破碎、清洗、分选类企业的综合新水消耗低于1.5吨/吨废塑料</w:t>
                  </w:r>
                  <w:r>
                    <w:t>。</w:t>
                  </w:r>
                </w:p>
              </w:tc>
              <w:tc>
                <w:tcPr>
                  <w:tcW w:w="2042" w:type="pct"/>
                  <w:vAlign w:val="center"/>
                </w:tcPr>
                <w:p w14:paraId="632936B8">
                  <w:pPr>
                    <w:spacing w:line="320" w:lineRule="exact"/>
                    <w:jc w:val="center"/>
                  </w:pPr>
                  <w:r>
                    <w:t>本项目</w:t>
                  </w:r>
                  <w:r>
                    <w:rPr>
                      <w:rFonts w:hint="eastAsia"/>
                    </w:rPr>
                    <w:t>综合新水消耗</w:t>
                  </w:r>
                  <w:r>
                    <w:t>为</w:t>
                  </w:r>
                  <w:r>
                    <w:rPr>
                      <w:rFonts w:hint="eastAsia"/>
                    </w:rPr>
                    <w:t>0.</w:t>
                  </w:r>
                  <w:r>
                    <w:t>08</w:t>
                  </w:r>
                  <w:r>
                    <w:rPr>
                      <w:rFonts w:hint="eastAsia"/>
                    </w:rPr>
                    <w:t>92</w:t>
                  </w:r>
                  <w:r>
                    <w:t>t/</w:t>
                  </w:r>
                  <w:r>
                    <w:rPr>
                      <w:rFonts w:hint="eastAsia"/>
                    </w:rPr>
                    <w:t>t废塑料。</w:t>
                  </w:r>
                </w:p>
              </w:tc>
              <w:tc>
                <w:tcPr>
                  <w:tcW w:w="474" w:type="pct"/>
                  <w:vAlign w:val="center"/>
                </w:tcPr>
                <w:p w14:paraId="436F89EC">
                  <w:pPr>
                    <w:spacing w:line="320" w:lineRule="exact"/>
                    <w:jc w:val="center"/>
                  </w:pPr>
                  <w:r>
                    <w:t>符合</w:t>
                  </w:r>
                </w:p>
              </w:tc>
            </w:tr>
            <w:tr w14:paraId="478D7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0A483080">
                  <w:pPr>
                    <w:pStyle w:val="90"/>
                  </w:pPr>
                  <w:r>
                    <w:rPr>
                      <w:rFonts w:hint="eastAsia"/>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2042" w:type="pct"/>
                  <w:vAlign w:val="center"/>
                </w:tcPr>
                <w:p w14:paraId="3A368E53">
                  <w:pPr>
                    <w:spacing w:line="320" w:lineRule="exact"/>
                    <w:jc w:val="center"/>
                  </w:pPr>
                  <w:r>
                    <w:rPr>
                      <w:rFonts w:hint="eastAsia"/>
                    </w:rPr>
                    <w:t>本项目设备采取自动化破碎、清洗生产线，破碎设备采用具有减振与降噪功能的密闭破碎设备，清洗工序自动循环控制，清洗液循环利用不外排，本项目采用清水进行清洗，不添加药剂，项目清洗甩干后直接外售，无需分选。</w:t>
                  </w:r>
                </w:p>
              </w:tc>
              <w:tc>
                <w:tcPr>
                  <w:tcW w:w="474" w:type="pct"/>
                  <w:vAlign w:val="center"/>
                </w:tcPr>
                <w:p w14:paraId="159910B1">
                  <w:pPr>
                    <w:spacing w:line="320" w:lineRule="exact"/>
                    <w:jc w:val="center"/>
                  </w:pPr>
                  <w:r>
                    <w:t>符合</w:t>
                  </w:r>
                </w:p>
              </w:tc>
            </w:tr>
            <w:tr w14:paraId="145AA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3C74BCD4">
                  <w:pPr>
                    <w:spacing w:line="320" w:lineRule="exact"/>
                    <w:jc w:val="center"/>
                  </w:pPr>
                  <w:r>
                    <w:t>废塑料综合利用企业应严格执行《中华人民共和国环境影响评价法》，按照环境保护主管部门的相关规定报批环境影响评价文件。按照环境保护“三同时”的要求建设配套环境保护设施，编制环境风险应急预案，并依法申请项目竣工环境保护验收。</w:t>
                  </w:r>
                </w:p>
              </w:tc>
              <w:tc>
                <w:tcPr>
                  <w:tcW w:w="2042" w:type="pct"/>
                  <w:vAlign w:val="center"/>
                </w:tcPr>
                <w:p w14:paraId="50956C5D">
                  <w:pPr>
                    <w:spacing w:line="320" w:lineRule="exact"/>
                    <w:jc w:val="center"/>
                  </w:pPr>
                  <w:r>
                    <w:t>本项目正在进行环境影响评价。要求建设单位按照环境保护“三同时”的要求建设配套相应环境保护措施，编制环境风险应急预案，并依法申请项目竣工环境保护验收</w:t>
                  </w:r>
                  <w:r>
                    <w:rPr>
                      <w:rFonts w:hint="eastAsia"/>
                    </w:rPr>
                    <w:t>。</w:t>
                  </w:r>
                </w:p>
              </w:tc>
              <w:tc>
                <w:tcPr>
                  <w:tcW w:w="474" w:type="pct"/>
                  <w:vAlign w:val="center"/>
                </w:tcPr>
                <w:p w14:paraId="34103DF1">
                  <w:pPr>
                    <w:spacing w:line="320" w:lineRule="exact"/>
                    <w:jc w:val="center"/>
                  </w:pPr>
                  <w:r>
                    <w:t>符合</w:t>
                  </w:r>
                </w:p>
              </w:tc>
            </w:tr>
            <w:tr w14:paraId="6034A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65942E46">
                  <w:pPr>
                    <w:spacing w:line="320" w:lineRule="exact"/>
                    <w:jc w:val="center"/>
                  </w:pPr>
                  <w:r>
                    <w:t>企业加工存储场地应建有围墙，在园区内的企业可为单独厂房，地面全部硬化且无明显破损现象。</w:t>
                  </w:r>
                </w:p>
              </w:tc>
              <w:tc>
                <w:tcPr>
                  <w:tcW w:w="2042" w:type="pct"/>
                  <w:vAlign w:val="center"/>
                </w:tcPr>
                <w:p w14:paraId="72D7A93D">
                  <w:pPr>
                    <w:spacing w:line="320" w:lineRule="exact"/>
                    <w:jc w:val="center"/>
                  </w:pPr>
                  <w:r>
                    <w:t>本项目为独立厂房生产，</w:t>
                  </w:r>
                  <w:r>
                    <w:rPr>
                      <w:rFonts w:hint="eastAsia"/>
                    </w:rPr>
                    <w:t>原料存储在厂房内，地面全部硬化，及时维护，避免出现破损现象。</w:t>
                  </w:r>
                </w:p>
              </w:tc>
              <w:tc>
                <w:tcPr>
                  <w:tcW w:w="474" w:type="pct"/>
                  <w:vAlign w:val="center"/>
                </w:tcPr>
                <w:p w14:paraId="10239E81">
                  <w:pPr>
                    <w:spacing w:line="320" w:lineRule="exact"/>
                    <w:jc w:val="center"/>
                  </w:pPr>
                  <w:r>
                    <w:t>符合</w:t>
                  </w:r>
                </w:p>
              </w:tc>
            </w:tr>
            <w:tr w14:paraId="2E406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4F983669">
                  <w:pPr>
                    <w:spacing w:line="320" w:lineRule="exact"/>
                    <w:jc w:val="center"/>
                  </w:pPr>
                  <w:r>
                    <w:t>企业必须配备废塑料分类存放场所。原料、产品、本企业不能利用废塑料及不可利用废物贮存在具有防雨、防风、防渗等功能的厂房或加盖雨棚的专门贮存场地内，无露天堆放现象。</w:t>
                  </w:r>
                </w:p>
              </w:tc>
              <w:tc>
                <w:tcPr>
                  <w:tcW w:w="2042" w:type="pct"/>
                  <w:vAlign w:val="center"/>
                </w:tcPr>
                <w:p w14:paraId="31C8AB7F">
                  <w:pPr>
                    <w:spacing w:line="320" w:lineRule="exact"/>
                    <w:jc w:val="center"/>
                  </w:pPr>
                  <w:r>
                    <w:t>本项目</w:t>
                  </w:r>
                  <w:r>
                    <w:rPr>
                      <w:rFonts w:hint="eastAsia"/>
                    </w:rPr>
                    <w:t>原料分区存放，</w:t>
                  </w:r>
                  <w:r>
                    <w:t>原料和产品均存放在</w:t>
                  </w:r>
                  <w:r>
                    <w:rPr>
                      <w:rFonts w:hint="eastAsia"/>
                    </w:rPr>
                    <w:t>建筑内部</w:t>
                  </w:r>
                  <w:r>
                    <w:t>，固体废物也存储在防雨、防风、防渗</w:t>
                  </w:r>
                  <w:r>
                    <w:rPr>
                      <w:rFonts w:hint="eastAsia"/>
                    </w:rPr>
                    <w:t>的厂房内，</w:t>
                  </w:r>
                  <w:r>
                    <w:t>无露天堆放现象</w:t>
                  </w:r>
                  <w:r>
                    <w:rPr>
                      <w:rFonts w:hint="eastAsia"/>
                    </w:rPr>
                    <w:t>。</w:t>
                  </w:r>
                </w:p>
              </w:tc>
              <w:tc>
                <w:tcPr>
                  <w:tcW w:w="474" w:type="pct"/>
                  <w:vAlign w:val="center"/>
                </w:tcPr>
                <w:p w14:paraId="1964B9F2">
                  <w:pPr>
                    <w:spacing w:line="320" w:lineRule="exact"/>
                    <w:jc w:val="center"/>
                  </w:pPr>
                  <w:r>
                    <w:t>符合</w:t>
                  </w:r>
                </w:p>
              </w:tc>
            </w:tr>
            <w:tr w14:paraId="7690B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48AC12FD">
                  <w:pPr>
                    <w:spacing w:line="320" w:lineRule="exact"/>
                    <w:jc w:val="center"/>
                  </w:pPr>
                  <w:r>
                    <w:t>企业应具有与加工利用能力相适应的废水处理设施，回用率必须符合环评文件的有关要求。废水处理后需要外排的废水，必须经处理后达标排放。</w:t>
                  </w:r>
                </w:p>
              </w:tc>
              <w:tc>
                <w:tcPr>
                  <w:tcW w:w="2042" w:type="pct"/>
                  <w:vAlign w:val="center"/>
                </w:tcPr>
                <w:p w14:paraId="1F0C6292">
                  <w:pPr>
                    <w:spacing w:line="320" w:lineRule="exact"/>
                    <w:jc w:val="center"/>
                  </w:pPr>
                  <w:r>
                    <w:rPr>
                      <w:rFonts w:hint="eastAsia"/>
                    </w:rPr>
                    <w:t>本项目清洗废水经处理后循环利用不外排。</w:t>
                  </w:r>
                </w:p>
              </w:tc>
              <w:tc>
                <w:tcPr>
                  <w:tcW w:w="474" w:type="pct"/>
                  <w:vAlign w:val="center"/>
                </w:tcPr>
                <w:p w14:paraId="0DFA7E16">
                  <w:pPr>
                    <w:spacing w:line="320" w:lineRule="exact"/>
                    <w:jc w:val="center"/>
                  </w:pPr>
                  <w:r>
                    <w:t>符合</w:t>
                  </w:r>
                </w:p>
              </w:tc>
            </w:tr>
            <w:tr w14:paraId="4A4DF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0BE514A9">
                  <w:pPr>
                    <w:pStyle w:val="90"/>
                  </w:pPr>
                  <w:r>
                    <w:rPr>
                      <w:rFonts w:hint="eastAsia"/>
                    </w:rPr>
                    <w:t>再生加工过程中产生废气、粉尘的加工车间应设置废气、粉尘收集处理设施，通过净化处理，达标后排</w:t>
                  </w:r>
                  <w:r>
                    <w:t>。</w:t>
                  </w:r>
                </w:p>
              </w:tc>
              <w:tc>
                <w:tcPr>
                  <w:tcW w:w="2042" w:type="pct"/>
                  <w:vAlign w:val="center"/>
                </w:tcPr>
                <w:p w14:paraId="7A478E04">
                  <w:pPr>
                    <w:spacing w:line="320" w:lineRule="exact"/>
                    <w:jc w:val="center"/>
                  </w:pPr>
                  <w:r>
                    <w:rPr>
                      <w:rFonts w:hint="eastAsia"/>
                    </w:rPr>
                    <w:t>本项目废塑料粉碎采用湿法破碎，粉尘产生量很少。</w:t>
                  </w:r>
                </w:p>
              </w:tc>
              <w:tc>
                <w:tcPr>
                  <w:tcW w:w="474" w:type="pct"/>
                  <w:vAlign w:val="center"/>
                </w:tcPr>
                <w:p w14:paraId="36084AAC">
                  <w:pPr>
                    <w:spacing w:line="320" w:lineRule="exact"/>
                    <w:jc w:val="center"/>
                  </w:pPr>
                  <w:r>
                    <w:t>符合</w:t>
                  </w:r>
                </w:p>
              </w:tc>
            </w:tr>
            <w:tr w14:paraId="11496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35B69823">
                  <w:pPr>
                    <w:pStyle w:val="90"/>
                  </w:pPr>
                  <w:r>
                    <w:t>对于加工过程中噪音污染大的设备，必须采取降噪和隔音措施，企业噪声应达到《工业企业厂界环境噪声排放标准》。</w:t>
                  </w:r>
                </w:p>
              </w:tc>
              <w:tc>
                <w:tcPr>
                  <w:tcW w:w="2042" w:type="pct"/>
                  <w:vAlign w:val="center"/>
                </w:tcPr>
                <w:p w14:paraId="448E88A5">
                  <w:pPr>
                    <w:spacing w:line="320" w:lineRule="exact"/>
                    <w:jc w:val="center"/>
                  </w:pPr>
                  <w:r>
                    <w:t>本项目采取减振、隔声等措施，项目厂界噪声满足《工业企业厂界环境噪声排放标准》（GB12348-2008）</w:t>
                  </w:r>
                  <w:r>
                    <w:rPr>
                      <w:rFonts w:hint="eastAsia"/>
                    </w:rPr>
                    <w:t>2</w:t>
                  </w:r>
                  <w:r>
                    <w:t>类标准值。</w:t>
                  </w:r>
                </w:p>
              </w:tc>
              <w:tc>
                <w:tcPr>
                  <w:tcW w:w="474" w:type="pct"/>
                  <w:vAlign w:val="center"/>
                </w:tcPr>
                <w:p w14:paraId="1A390673">
                  <w:pPr>
                    <w:spacing w:line="320" w:lineRule="exact"/>
                    <w:jc w:val="center"/>
                  </w:pPr>
                  <w:r>
                    <w:t>符合</w:t>
                  </w:r>
                </w:p>
              </w:tc>
            </w:tr>
          </w:tbl>
          <w:p w14:paraId="159A9E51">
            <w:pPr>
              <w:pStyle w:val="91"/>
              <w:ind w:firstLine="480"/>
            </w:pPr>
            <w:r>
              <w:rPr>
                <w:rFonts w:hint="eastAsia"/>
              </w:rPr>
              <w:t>（2）与《废塑料污染控制技术规范》（HJ364-2022）相符性分析</w:t>
            </w:r>
          </w:p>
          <w:p w14:paraId="69154557">
            <w:pPr>
              <w:pStyle w:val="91"/>
              <w:ind w:firstLine="480"/>
            </w:pPr>
            <w:r>
              <w:rPr>
                <w:rFonts w:hint="eastAsia"/>
              </w:rPr>
              <w:t>根据《废塑料污染控制技术规范》（HJ364-2022），废塑料的回收、贮存、运输、预处理、环境保护、污染控制、产品、管理要求等应满足其相关要求。</w:t>
            </w:r>
          </w:p>
          <w:p w14:paraId="289ACEAE">
            <w:pPr>
              <w:pStyle w:val="103"/>
              <w:rPr>
                <w:sz w:val="22"/>
              </w:rPr>
            </w:pPr>
            <w:r>
              <w:rPr>
                <w:sz w:val="22"/>
              </w:rPr>
              <w:t>表1-3  与</w:t>
            </w:r>
            <w:r>
              <w:rPr>
                <w:rFonts w:hint="eastAsia"/>
              </w:rPr>
              <w:t>《废塑料污染控制技术规范》（HJ364-2022）</w:t>
            </w:r>
            <w:r>
              <w:rPr>
                <w:sz w:val="22"/>
              </w:rPr>
              <w:t>符合性一览表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3277"/>
              <w:gridCol w:w="2538"/>
              <w:gridCol w:w="848"/>
            </w:tblGrid>
            <w:tr w14:paraId="2E2A4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tcBorders>
                    <w:tl2br w:val="nil"/>
                    <w:tr2bl w:val="nil"/>
                  </w:tcBorders>
                  <w:vAlign w:val="center"/>
                </w:tcPr>
                <w:p w14:paraId="551311AB">
                  <w:pPr>
                    <w:spacing w:line="320" w:lineRule="exact"/>
                    <w:jc w:val="center"/>
                    <w:rPr>
                      <w:szCs w:val="21"/>
                    </w:rPr>
                  </w:pPr>
                  <w:r>
                    <w:rPr>
                      <w:szCs w:val="21"/>
                    </w:rPr>
                    <w:t>项目</w:t>
                  </w:r>
                </w:p>
              </w:tc>
              <w:tc>
                <w:tcPr>
                  <w:tcW w:w="2298" w:type="pct"/>
                  <w:tcBorders>
                    <w:tl2br w:val="nil"/>
                    <w:tr2bl w:val="nil"/>
                  </w:tcBorders>
                  <w:vAlign w:val="center"/>
                </w:tcPr>
                <w:p w14:paraId="122AAA0A">
                  <w:pPr>
                    <w:spacing w:line="320" w:lineRule="exact"/>
                    <w:jc w:val="center"/>
                    <w:rPr>
                      <w:szCs w:val="21"/>
                    </w:rPr>
                  </w:pPr>
                  <w:r>
                    <w:rPr>
                      <w:rFonts w:hint="eastAsia"/>
                      <w:szCs w:val="21"/>
                    </w:rPr>
                    <w:t>HJ364-2022</w:t>
                  </w:r>
                  <w:r>
                    <w:rPr>
                      <w:szCs w:val="21"/>
                    </w:rPr>
                    <w:t>要求</w:t>
                  </w:r>
                </w:p>
              </w:tc>
              <w:tc>
                <w:tcPr>
                  <w:tcW w:w="1779" w:type="pct"/>
                  <w:tcBorders>
                    <w:tl2br w:val="nil"/>
                    <w:tr2bl w:val="nil"/>
                  </w:tcBorders>
                  <w:vAlign w:val="center"/>
                </w:tcPr>
                <w:p w14:paraId="7F8A0BF3">
                  <w:pPr>
                    <w:spacing w:line="320" w:lineRule="exact"/>
                    <w:jc w:val="center"/>
                    <w:rPr>
                      <w:szCs w:val="21"/>
                    </w:rPr>
                  </w:pPr>
                  <w:r>
                    <w:rPr>
                      <w:szCs w:val="21"/>
                    </w:rPr>
                    <w:t>本项目情况</w:t>
                  </w:r>
                </w:p>
              </w:tc>
              <w:tc>
                <w:tcPr>
                  <w:tcW w:w="595" w:type="pct"/>
                  <w:tcBorders>
                    <w:tl2br w:val="nil"/>
                    <w:tr2bl w:val="nil"/>
                  </w:tcBorders>
                  <w:vAlign w:val="center"/>
                </w:tcPr>
                <w:p w14:paraId="7B6877CB">
                  <w:pPr>
                    <w:spacing w:line="320" w:lineRule="exact"/>
                    <w:jc w:val="center"/>
                    <w:rPr>
                      <w:szCs w:val="21"/>
                    </w:rPr>
                  </w:pPr>
                  <w:r>
                    <w:rPr>
                      <w:szCs w:val="21"/>
                    </w:rPr>
                    <w:t>符合性</w:t>
                  </w:r>
                </w:p>
              </w:tc>
            </w:tr>
            <w:tr w14:paraId="76F06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tcBorders>
                    <w:tl2br w:val="nil"/>
                    <w:tr2bl w:val="nil"/>
                  </w:tcBorders>
                  <w:vAlign w:val="center"/>
                </w:tcPr>
                <w:p w14:paraId="7A9DAC8C">
                  <w:pPr>
                    <w:spacing w:line="320" w:lineRule="exact"/>
                    <w:rPr>
                      <w:szCs w:val="21"/>
                    </w:rPr>
                  </w:pPr>
                  <w:r>
                    <w:rPr>
                      <w:rFonts w:hint="eastAsia"/>
                      <w:szCs w:val="21"/>
                    </w:rPr>
                    <w:t>4总体要求</w:t>
                  </w:r>
                </w:p>
              </w:tc>
              <w:tc>
                <w:tcPr>
                  <w:tcW w:w="2298" w:type="pct"/>
                  <w:tcBorders>
                    <w:tl2br w:val="nil"/>
                    <w:tr2bl w:val="nil"/>
                  </w:tcBorders>
                  <w:vAlign w:val="center"/>
                </w:tcPr>
                <w:p w14:paraId="2058C6C6">
                  <w:pPr>
                    <w:spacing w:line="320" w:lineRule="exact"/>
                    <w:rPr>
                      <w:szCs w:val="21"/>
                    </w:rPr>
                  </w:pPr>
                  <w:r>
                    <w:rPr>
                      <w:rFonts w:hint="eastAsia"/>
                      <w:szCs w:val="21"/>
                    </w:rPr>
                    <w:t>4.3 涉及废塑料的产生、收集、运输、贮存、利用、处置的单位和其他生产经营者，应根据产生的污染物采取防扬散、防流失、防渗漏或者其他防止污染环境的措施，并执行国家和地方相关排放标准。</w:t>
                  </w:r>
                </w:p>
                <w:p w14:paraId="5F8A9C05">
                  <w:pPr>
                    <w:spacing w:line="320" w:lineRule="exact"/>
                    <w:rPr>
                      <w:szCs w:val="21"/>
                    </w:rPr>
                  </w:pPr>
                  <w:r>
                    <w:rPr>
                      <w:rFonts w:hint="eastAsia"/>
                      <w:szCs w:val="21"/>
                    </w:rPr>
                    <w:t>4.4 废塑料的产生、收集、贮存、预处理和再生利用企业内应单独划分贮存场地，不同种类的废塑料宜分开贮存，贮存场地应具有防雨、防扬散、防渗漏等措施，并按GB15562.2的要求设置标识。</w:t>
                  </w:r>
                </w:p>
                <w:p w14:paraId="12F1C56A">
                  <w:pPr>
                    <w:spacing w:line="320" w:lineRule="exact"/>
                    <w:rPr>
                      <w:szCs w:val="21"/>
                    </w:rPr>
                  </w:pPr>
                  <w:r>
                    <w:rPr>
                      <w:rFonts w:hint="eastAsia"/>
                      <w:szCs w:val="21"/>
                    </w:rPr>
                    <w:t>4.5 含卤素废塑料的预处理与再生利用，宜与其他废塑料分开进行。</w:t>
                  </w:r>
                </w:p>
                <w:p w14:paraId="10E0DB33">
                  <w:pPr>
                    <w:spacing w:line="320" w:lineRule="exact"/>
                    <w:rPr>
                      <w:szCs w:val="21"/>
                    </w:rPr>
                  </w:pPr>
                  <w:r>
                    <w:rPr>
                      <w:rFonts w:hint="eastAsia"/>
                      <w:szCs w:val="21"/>
                    </w:rPr>
                    <w:t>4.6 废塑料的收集、再生利用和处置企业，应建立废塑料管理台账，内容包括废塑料的来源、种类、数量、去向等，相关台账应保存至少3年。</w:t>
                  </w:r>
                </w:p>
                <w:p w14:paraId="4EB78C15">
                  <w:pPr>
                    <w:spacing w:line="320" w:lineRule="exact"/>
                    <w:rPr>
                      <w:szCs w:val="21"/>
                    </w:rPr>
                  </w:pPr>
                  <w:r>
                    <w:rPr>
                      <w:rFonts w:hint="eastAsia"/>
                      <w:szCs w:val="21"/>
                    </w:rPr>
                    <w:t>4.7 属于危险废物的废塑料，按照危险废物进行管理和利用处置。</w:t>
                  </w:r>
                </w:p>
                <w:p w14:paraId="3851A627">
                  <w:pPr>
                    <w:spacing w:line="320" w:lineRule="exact"/>
                    <w:rPr>
                      <w:szCs w:val="21"/>
                    </w:rPr>
                  </w:pPr>
                  <w:r>
                    <w:rPr>
                      <w:rFonts w:hint="eastAsia"/>
                      <w:szCs w:val="21"/>
                    </w:rPr>
                    <w:t>4.8 废塑料的产生、收集、再生利用和处置过程除应满足生态环境保护相关要求外，还应符合国家安全生产、职业健康、交通运输、消防等法规、标准的相关要求。</w:t>
                  </w:r>
                </w:p>
              </w:tc>
              <w:tc>
                <w:tcPr>
                  <w:tcW w:w="1779" w:type="pct"/>
                  <w:tcBorders>
                    <w:tl2br w:val="nil"/>
                    <w:tr2bl w:val="nil"/>
                  </w:tcBorders>
                  <w:vAlign w:val="center"/>
                </w:tcPr>
                <w:p w14:paraId="7239D7FC">
                  <w:pPr>
                    <w:spacing w:line="320" w:lineRule="exact"/>
                    <w:rPr>
                      <w:szCs w:val="21"/>
                    </w:rPr>
                  </w:pPr>
                  <w:r>
                    <w:rPr>
                      <w:rFonts w:hint="eastAsia"/>
                      <w:szCs w:val="21"/>
                    </w:rPr>
                    <w:t>1.</w:t>
                  </w:r>
                  <w:r>
                    <w:rPr>
                      <w:szCs w:val="21"/>
                    </w:rPr>
                    <w:t>本项目废塑料均进行成捆打包运输，采用苫布遮盖</w:t>
                  </w:r>
                  <w:r>
                    <w:rPr>
                      <w:rFonts w:hint="eastAsia"/>
                      <w:szCs w:val="21"/>
                    </w:rPr>
                    <w:t>；本</w:t>
                  </w:r>
                  <w:r>
                    <w:rPr>
                      <w:szCs w:val="21"/>
                    </w:rPr>
                    <w:t>项目废塑料贮存在</w:t>
                  </w:r>
                  <w:r>
                    <w:rPr>
                      <w:rFonts w:hint="eastAsia"/>
                      <w:szCs w:val="21"/>
                    </w:rPr>
                    <w:t>厂</w:t>
                  </w:r>
                  <w:r>
                    <w:rPr>
                      <w:szCs w:val="21"/>
                    </w:rPr>
                    <w:t>房内，具有防风、防雨、防渗性能</w:t>
                  </w:r>
                  <w:r>
                    <w:rPr>
                      <w:rFonts w:hint="eastAsia"/>
                      <w:szCs w:val="21"/>
                    </w:rPr>
                    <w:t>，满足国家相关标准要求。</w:t>
                  </w:r>
                </w:p>
                <w:p w14:paraId="37DD64D8">
                  <w:pPr>
                    <w:spacing w:line="320" w:lineRule="exact"/>
                    <w:rPr>
                      <w:rFonts w:hint="eastAsia" w:ascii="宋体" w:hAnsi="宋体"/>
                      <w:szCs w:val="21"/>
                    </w:rPr>
                  </w:pPr>
                  <w:r>
                    <w:rPr>
                      <w:rFonts w:hint="eastAsia"/>
                      <w:szCs w:val="21"/>
                    </w:rPr>
                    <w:t>2.</w:t>
                  </w:r>
                  <w:r>
                    <w:rPr>
                      <w:szCs w:val="21"/>
                    </w:rPr>
                    <w:t>本项目按回收的废塑料种类，分类分区堆放</w:t>
                  </w:r>
                  <w:r>
                    <w:rPr>
                      <w:rFonts w:hint="eastAsia"/>
                      <w:szCs w:val="21"/>
                    </w:rPr>
                    <w:t>，</w:t>
                  </w:r>
                  <w:r>
                    <w:rPr>
                      <w:szCs w:val="21"/>
                    </w:rPr>
                    <w:t>废塑料贮存在</w:t>
                  </w:r>
                  <w:r>
                    <w:rPr>
                      <w:rFonts w:hint="eastAsia"/>
                      <w:szCs w:val="21"/>
                    </w:rPr>
                    <w:t>厂</w:t>
                  </w:r>
                  <w:r>
                    <w:rPr>
                      <w:szCs w:val="21"/>
                    </w:rPr>
                    <w:t>房内，具有防风、防</w:t>
                  </w:r>
                  <w:r>
                    <w:rPr>
                      <w:rFonts w:ascii="宋体" w:hAnsi="宋体"/>
                      <w:szCs w:val="21"/>
                    </w:rPr>
                    <w:t>雨、防渗性能</w:t>
                  </w:r>
                  <w:r>
                    <w:rPr>
                      <w:rFonts w:hint="eastAsia" w:ascii="宋体" w:hAnsi="宋体"/>
                      <w:szCs w:val="21"/>
                    </w:rPr>
                    <w:t>，</w:t>
                  </w:r>
                  <w:r>
                    <w:rPr>
                      <w:rFonts w:hint="eastAsia"/>
                      <w:szCs w:val="21"/>
                    </w:rPr>
                    <w:t>厂</w:t>
                  </w:r>
                  <w:r>
                    <w:rPr>
                      <w:rFonts w:hint="eastAsia" w:ascii="宋体" w:hAnsi="宋体"/>
                      <w:szCs w:val="21"/>
                    </w:rPr>
                    <w:t>房外按照GB15562.2的要求设置标识。</w:t>
                  </w:r>
                </w:p>
                <w:p w14:paraId="6467BADB">
                  <w:pPr>
                    <w:pStyle w:val="90"/>
                    <w:jc w:val="both"/>
                    <w:rPr>
                      <w:rFonts w:hint="eastAsia" w:ascii="宋体" w:hAnsi="宋体"/>
                      <w:szCs w:val="21"/>
                    </w:rPr>
                  </w:pPr>
                  <w:r>
                    <w:rPr>
                      <w:rFonts w:hint="eastAsia" w:ascii="宋体" w:hAnsi="宋体"/>
                      <w:szCs w:val="21"/>
                    </w:rPr>
                    <w:t>3.本项目回收的废塑料为</w:t>
                  </w:r>
                  <w:r>
                    <w:fldChar w:fldCharType="begin"/>
                  </w:r>
                  <w:r>
                    <w:instrText xml:space="preserve"> HYPERLINK "https://baike.baidu.com/item/%E8%81%9A%E4%B9%99%E7%83%AF/274575" \t "_blank" </w:instrText>
                  </w:r>
                  <w:r>
                    <w:fldChar w:fldCharType="separate"/>
                  </w:r>
                  <w:r>
                    <w:rPr>
                      <w:rStyle w:val="89"/>
                      <w:rFonts w:hint="eastAsia" w:ascii="宋体" w:hAnsi="宋体"/>
                      <w:szCs w:val="21"/>
                    </w:rPr>
                    <w:t>聚乙烯</w:t>
                  </w:r>
                  <w:r>
                    <w:rPr>
                      <w:rStyle w:val="89"/>
                      <w:rFonts w:hint="eastAsia" w:ascii="宋体" w:hAnsi="宋体"/>
                      <w:szCs w:val="21"/>
                    </w:rPr>
                    <w:fldChar w:fldCharType="end"/>
                  </w:r>
                  <w:r>
                    <w:rPr>
                      <w:rFonts w:hint="eastAsia" w:ascii="宋体" w:hAnsi="宋体"/>
                      <w:szCs w:val="21"/>
                    </w:rPr>
                    <w:t>、</w:t>
                  </w:r>
                  <w:r>
                    <w:fldChar w:fldCharType="begin"/>
                  </w:r>
                  <w:r>
                    <w:instrText xml:space="preserve"> HYPERLINK "https://baike.baidu.com/item/%E8%81%9A%E4%B8%99%E7%83%AF/893850" \t "_blank" </w:instrText>
                  </w:r>
                  <w:r>
                    <w:fldChar w:fldCharType="separate"/>
                  </w:r>
                  <w:r>
                    <w:rPr>
                      <w:rStyle w:val="89"/>
                      <w:rFonts w:hint="eastAsia" w:ascii="宋体" w:hAnsi="宋体"/>
                      <w:szCs w:val="21"/>
                    </w:rPr>
                    <w:t>聚丙烯</w:t>
                  </w:r>
                  <w:r>
                    <w:rPr>
                      <w:rStyle w:val="89"/>
                      <w:rFonts w:hint="eastAsia" w:ascii="宋体" w:hAnsi="宋体"/>
                      <w:szCs w:val="21"/>
                    </w:rPr>
                    <w:fldChar w:fldCharType="end"/>
                  </w:r>
                  <w:r>
                    <w:rPr>
                      <w:rFonts w:hint="eastAsia" w:ascii="宋体" w:hAnsi="宋体"/>
                      <w:szCs w:val="21"/>
                    </w:rPr>
                    <w:t>，不涉及含卤素废塑料。</w:t>
                  </w:r>
                </w:p>
                <w:p w14:paraId="63E59ACA">
                  <w:pPr>
                    <w:spacing w:line="320" w:lineRule="exact"/>
                    <w:rPr>
                      <w:szCs w:val="21"/>
                    </w:rPr>
                  </w:pPr>
                  <w:r>
                    <w:rPr>
                      <w:rFonts w:hint="eastAsia" w:ascii="宋体" w:hAnsi="宋体"/>
                      <w:szCs w:val="21"/>
                    </w:rPr>
                    <w:t>4.本项目</w:t>
                  </w:r>
                  <w:r>
                    <w:rPr>
                      <w:rFonts w:hint="eastAsia"/>
                      <w:szCs w:val="21"/>
                    </w:rPr>
                    <w:t>建立废塑料管理台账，内容包括废塑料的来源、种类、数量、去向等，相关台账应保存至少3年。</w:t>
                  </w:r>
                </w:p>
                <w:p w14:paraId="073D2A85">
                  <w:pPr>
                    <w:spacing w:line="320" w:lineRule="exact"/>
                    <w:rPr>
                      <w:szCs w:val="21"/>
                    </w:rPr>
                  </w:pPr>
                  <w:r>
                    <w:rPr>
                      <w:rFonts w:hint="eastAsia"/>
                      <w:szCs w:val="21"/>
                    </w:rPr>
                    <w:t>5.本项目不涉及危险废物的废塑料。</w:t>
                  </w:r>
                </w:p>
                <w:p w14:paraId="6D451B41">
                  <w:pPr>
                    <w:spacing w:line="320" w:lineRule="exact"/>
                    <w:rPr>
                      <w:szCs w:val="21"/>
                    </w:rPr>
                  </w:pPr>
                  <w:r>
                    <w:rPr>
                      <w:rFonts w:hint="eastAsia"/>
                      <w:szCs w:val="21"/>
                    </w:rPr>
                    <w:t>6.本项目废塑料的产生、收集、再生利用和处置过程除应满足生态环境保护相关要求外，还应符合国家安全生产、职业健康、交通运输、消防等法规、标准的相关要求。</w:t>
                  </w:r>
                </w:p>
              </w:tc>
              <w:tc>
                <w:tcPr>
                  <w:tcW w:w="595" w:type="pct"/>
                  <w:tcBorders>
                    <w:tl2br w:val="nil"/>
                    <w:tr2bl w:val="nil"/>
                  </w:tcBorders>
                  <w:vAlign w:val="center"/>
                </w:tcPr>
                <w:p w14:paraId="0A64F5A4">
                  <w:pPr>
                    <w:pStyle w:val="90"/>
                    <w:rPr>
                      <w:szCs w:val="21"/>
                    </w:rPr>
                  </w:pPr>
                  <w:r>
                    <w:rPr>
                      <w:szCs w:val="21"/>
                    </w:rPr>
                    <w:t>符合</w:t>
                  </w:r>
                </w:p>
              </w:tc>
            </w:tr>
            <w:tr w14:paraId="406CC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tcBorders>
                    <w:tl2br w:val="nil"/>
                    <w:tr2bl w:val="nil"/>
                  </w:tcBorders>
                  <w:vAlign w:val="center"/>
                </w:tcPr>
                <w:p w14:paraId="63A0DE08">
                  <w:pPr>
                    <w:spacing w:line="320" w:lineRule="exact"/>
                    <w:jc w:val="center"/>
                    <w:rPr>
                      <w:szCs w:val="21"/>
                    </w:rPr>
                  </w:pPr>
                  <w:r>
                    <w:rPr>
                      <w:rFonts w:hint="eastAsia"/>
                      <w:szCs w:val="21"/>
                    </w:rPr>
                    <w:t>6 收集和运输污染控制要求</w:t>
                  </w:r>
                </w:p>
              </w:tc>
              <w:tc>
                <w:tcPr>
                  <w:tcW w:w="2298" w:type="pct"/>
                  <w:tcBorders>
                    <w:tl2br w:val="nil"/>
                    <w:tr2bl w:val="nil"/>
                  </w:tcBorders>
                  <w:vAlign w:val="center"/>
                </w:tcPr>
                <w:p w14:paraId="5A84713A">
                  <w:pPr>
                    <w:spacing w:line="320" w:lineRule="exact"/>
                    <w:rPr>
                      <w:szCs w:val="21"/>
                    </w:rPr>
                  </w:pPr>
                  <w:r>
                    <w:rPr>
                      <w:rFonts w:hint="eastAsia"/>
                      <w:szCs w:val="21"/>
                    </w:rPr>
                    <w:t>6.1 收集要求</w:t>
                  </w:r>
                </w:p>
                <w:p w14:paraId="04EBB0ED">
                  <w:pPr>
                    <w:spacing w:line="320" w:lineRule="exact"/>
                    <w:rPr>
                      <w:szCs w:val="21"/>
                    </w:rPr>
                  </w:pPr>
                  <w:r>
                    <w:rPr>
                      <w:rFonts w:hint="eastAsia"/>
                      <w:szCs w:val="21"/>
                    </w:rPr>
                    <w:t>6.1.1 废塑料收集企业应参照 GB/T 37547，根据废塑料来源、特性及使用过程对废塑料进行分类收集。</w:t>
                  </w:r>
                </w:p>
                <w:p w14:paraId="7549E2DF">
                  <w:pPr>
                    <w:spacing w:line="320" w:lineRule="exact"/>
                    <w:rPr>
                      <w:szCs w:val="21"/>
                    </w:rPr>
                  </w:pPr>
                  <w:r>
                    <w:rPr>
                      <w:rFonts w:hint="eastAsia"/>
                      <w:szCs w:val="21"/>
                    </w:rPr>
                    <w:t>6.1.2 废塑料收集过程中应避免扬散，不得随意倾倒残液及清洗。</w:t>
                  </w:r>
                </w:p>
                <w:p w14:paraId="4C8060D4">
                  <w:pPr>
                    <w:spacing w:line="320" w:lineRule="exact"/>
                    <w:rPr>
                      <w:szCs w:val="21"/>
                    </w:rPr>
                  </w:pPr>
                  <w:r>
                    <w:rPr>
                      <w:rFonts w:hint="eastAsia"/>
                      <w:szCs w:val="21"/>
                    </w:rPr>
                    <w:t>6.2 运输要求</w:t>
                  </w:r>
                </w:p>
                <w:p w14:paraId="79F0A279">
                  <w:pPr>
                    <w:spacing w:line="320" w:lineRule="exact"/>
                    <w:rPr>
                      <w:szCs w:val="21"/>
                    </w:rPr>
                  </w:pPr>
                  <w:r>
                    <w:rPr>
                      <w:rFonts w:hint="eastAsia"/>
                      <w:szCs w:val="21"/>
                    </w:rPr>
                    <w:t>废塑料及其预处理产物的装卸及运输过程中，应采取必要的防扬散、防渗漏措施，应保持运输车辆的洁净，避免二次污染。</w:t>
                  </w:r>
                </w:p>
              </w:tc>
              <w:tc>
                <w:tcPr>
                  <w:tcW w:w="1779" w:type="pct"/>
                  <w:tcBorders>
                    <w:tl2br w:val="nil"/>
                    <w:tr2bl w:val="nil"/>
                  </w:tcBorders>
                  <w:vAlign w:val="center"/>
                </w:tcPr>
                <w:p w14:paraId="449FC50A">
                  <w:pPr>
                    <w:spacing w:line="320" w:lineRule="exact"/>
                    <w:rPr>
                      <w:szCs w:val="21"/>
                    </w:rPr>
                  </w:pPr>
                  <w:r>
                    <w:rPr>
                      <w:rFonts w:hint="eastAsia"/>
                      <w:szCs w:val="21"/>
                    </w:rPr>
                    <w:t>1.</w:t>
                  </w:r>
                  <w:r>
                    <w:rPr>
                      <w:szCs w:val="21"/>
                    </w:rPr>
                    <w:t>本项目按回收的废塑料种类，分类分区堆放</w:t>
                  </w:r>
                  <w:r>
                    <w:rPr>
                      <w:rFonts w:hint="eastAsia"/>
                      <w:szCs w:val="21"/>
                    </w:rPr>
                    <w:t>，</w:t>
                  </w:r>
                  <w:r>
                    <w:rPr>
                      <w:szCs w:val="21"/>
                    </w:rPr>
                    <w:t>项目废塑料均进行成捆打包运输，采用苫布遮盖</w:t>
                  </w:r>
                  <w:r>
                    <w:rPr>
                      <w:rFonts w:hint="eastAsia"/>
                      <w:szCs w:val="21"/>
                    </w:rPr>
                    <w:t>，无残液产生，清洗均在厂区内进行。</w:t>
                  </w:r>
                </w:p>
                <w:p w14:paraId="6C0B06E9">
                  <w:pPr>
                    <w:spacing w:line="320" w:lineRule="exact"/>
                    <w:rPr>
                      <w:szCs w:val="21"/>
                    </w:rPr>
                  </w:pPr>
                  <w:r>
                    <w:rPr>
                      <w:rFonts w:hint="eastAsia"/>
                      <w:szCs w:val="21"/>
                    </w:rPr>
                    <w:t>2.项</w:t>
                  </w:r>
                  <w:r>
                    <w:rPr>
                      <w:szCs w:val="21"/>
                    </w:rPr>
                    <w:t>目废塑料均进行成捆打包运输，采用苫布遮盖</w:t>
                  </w:r>
                  <w:r>
                    <w:rPr>
                      <w:rFonts w:hint="eastAsia"/>
                      <w:szCs w:val="21"/>
                    </w:rPr>
                    <w:t>，避免二次污染。</w:t>
                  </w:r>
                </w:p>
              </w:tc>
              <w:tc>
                <w:tcPr>
                  <w:tcW w:w="595" w:type="pct"/>
                  <w:tcBorders>
                    <w:tl2br w:val="nil"/>
                    <w:tr2bl w:val="nil"/>
                  </w:tcBorders>
                  <w:vAlign w:val="center"/>
                </w:tcPr>
                <w:p w14:paraId="7B30652B">
                  <w:pPr>
                    <w:spacing w:line="320" w:lineRule="exact"/>
                    <w:jc w:val="center"/>
                    <w:rPr>
                      <w:szCs w:val="21"/>
                    </w:rPr>
                  </w:pPr>
                  <w:r>
                    <w:rPr>
                      <w:szCs w:val="21"/>
                    </w:rPr>
                    <w:t>符合</w:t>
                  </w:r>
                </w:p>
              </w:tc>
            </w:tr>
            <w:tr w14:paraId="41D8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26" w:type="pct"/>
                  <w:tcBorders>
                    <w:tl2br w:val="nil"/>
                    <w:tr2bl w:val="nil"/>
                  </w:tcBorders>
                  <w:vAlign w:val="center"/>
                </w:tcPr>
                <w:p w14:paraId="66F5926D">
                  <w:pPr>
                    <w:spacing w:line="320" w:lineRule="exact"/>
                    <w:jc w:val="center"/>
                    <w:rPr>
                      <w:szCs w:val="21"/>
                    </w:rPr>
                  </w:pPr>
                  <w:r>
                    <w:rPr>
                      <w:rFonts w:hint="eastAsia"/>
                      <w:szCs w:val="21"/>
                    </w:rPr>
                    <w:t>7 预处理污染控制要求</w:t>
                  </w:r>
                </w:p>
              </w:tc>
              <w:tc>
                <w:tcPr>
                  <w:tcW w:w="2298" w:type="pct"/>
                  <w:tcBorders>
                    <w:tl2br w:val="nil"/>
                    <w:tr2bl w:val="nil"/>
                  </w:tcBorders>
                  <w:vAlign w:val="center"/>
                </w:tcPr>
                <w:p w14:paraId="56DDF22D">
                  <w:pPr>
                    <w:spacing w:line="320" w:lineRule="exact"/>
                    <w:rPr>
                      <w:szCs w:val="21"/>
                    </w:rPr>
                  </w:pPr>
                  <w:r>
                    <w:rPr>
                      <w:rFonts w:hint="eastAsia"/>
                      <w:szCs w:val="21"/>
                    </w:rPr>
                    <w:t>7.3 破碎要求</w:t>
                  </w:r>
                </w:p>
                <w:p w14:paraId="2271AC0F">
                  <w:pPr>
                    <w:spacing w:line="320" w:lineRule="exact"/>
                    <w:rPr>
                      <w:szCs w:val="21"/>
                    </w:rPr>
                  </w:pPr>
                  <w:r>
                    <w:rPr>
                      <w:rFonts w:hint="eastAsia"/>
                      <w:szCs w:val="21"/>
                    </w:rPr>
                    <w:t>废塑料的破碎方法可分为干法破碎和湿法破碎。使用干法破碎时，应配备相应的防尘、防噪声设备。使用湿法破碎时，应有配套的污水收集和处理设施。</w:t>
                  </w:r>
                </w:p>
                <w:p w14:paraId="24F2E9BD">
                  <w:pPr>
                    <w:spacing w:line="320" w:lineRule="exact"/>
                    <w:rPr>
                      <w:szCs w:val="21"/>
                    </w:rPr>
                  </w:pPr>
                  <w:r>
                    <w:rPr>
                      <w:rFonts w:hint="eastAsia"/>
                      <w:szCs w:val="21"/>
                    </w:rPr>
                    <w:t>7.4 清洗要求</w:t>
                  </w:r>
                </w:p>
                <w:p w14:paraId="238DA909">
                  <w:pPr>
                    <w:spacing w:line="320" w:lineRule="exact"/>
                    <w:rPr>
                      <w:szCs w:val="21"/>
                    </w:rPr>
                  </w:pPr>
                  <w:r>
                    <w:rPr>
                      <w:rFonts w:hint="eastAsia"/>
                      <w:szCs w:val="21"/>
                    </w:rPr>
                    <w:t>7.4.1 宜采用节水的自动化清洗技术，宜采用无磷清洗剂或其他绿色清洗剂，不得使用有毒有害的清洗剂。</w:t>
                  </w:r>
                </w:p>
                <w:p w14:paraId="1C57BDA3">
                  <w:pPr>
                    <w:spacing w:line="320" w:lineRule="exact"/>
                    <w:rPr>
                      <w:szCs w:val="21"/>
                    </w:rPr>
                  </w:pPr>
                  <w:r>
                    <w:rPr>
                      <w:rFonts w:hint="eastAsia"/>
                      <w:szCs w:val="21"/>
                    </w:rPr>
                    <w:t>7.4.2 应根据清洗废水中污染物的种类和浓度，配备相应的废水收集和处理设施，清洗废水处理后宜循环使用。</w:t>
                  </w:r>
                </w:p>
              </w:tc>
              <w:tc>
                <w:tcPr>
                  <w:tcW w:w="1779" w:type="pct"/>
                  <w:tcBorders>
                    <w:tl2br w:val="nil"/>
                    <w:tr2bl w:val="nil"/>
                  </w:tcBorders>
                  <w:vAlign w:val="center"/>
                </w:tcPr>
                <w:p w14:paraId="183F4E82">
                  <w:pPr>
                    <w:spacing w:line="320" w:lineRule="exact"/>
                    <w:rPr>
                      <w:szCs w:val="21"/>
                    </w:rPr>
                  </w:pPr>
                  <w:r>
                    <w:rPr>
                      <w:rFonts w:hint="eastAsia"/>
                      <w:szCs w:val="21"/>
                    </w:rPr>
                    <w:t>1.本项目采用湿法破碎，项目采用自动化清洗设备，采用清水进行清洗，清洗废水经絮凝沉淀后循环使用。</w:t>
                  </w:r>
                </w:p>
              </w:tc>
              <w:tc>
                <w:tcPr>
                  <w:tcW w:w="595" w:type="pct"/>
                  <w:tcBorders>
                    <w:tl2br w:val="nil"/>
                    <w:tr2bl w:val="nil"/>
                  </w:tcBorders>
                  <w:vAlign w:val="center"/>
                </w:tcPr>
                <w:p w14:paraId="3A782DB6">
                  <w:pPr>
                    <w:spacing w:line="320" w:lineRule="exact"/>
                    <w:jc w:val="center"/>
                    <w:rPr>
                      <w:szCs w:val="21"/>
                    </w:rPr>
                  </w:pPr>
                  <w:r>
                    <w:rPr>
                      <w:szCs w:val="21"/>
                    </w:rPr>
                    <w:t>符合</w:t>
                  </w:r>
                </w:p>
              </w:tc>
            </w:tr>
            <w:tr w14:paraId="439E0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tcBorders>
                    <w:tl2br w:val="nil"/>
                    <w:tr2bl w:val="nil"/>
                  </w:tcBorders>
                  <w:vAlign w:val="center"/>
                </w:tcPr>
                <w:p w14:paraId="738B2CC4">
                  <w:pPr>
                    <w:spacing w:line="320" w:lineRule="exact"/>
                    <w:jc w:val="center"/>
                    <w:rPr>
                      <w:szCs w:val="21"/>
                    </w:rPr>
                  </w:pPr>
                  <w:r>
                    <w:rPr>
                      <w:rFonts w:hint="eastAsia"/>
                      <w:szCs w:val="21"/>
                    </w:rPr>
                    <w:t>8 再生利用和处置污染控制要求</w:t>
                  </w:r>
                </w:p>
              </w:tc>
              <w:tc>
                <w:tcPr>
                  <w:tcW w:w="2298" w:type="pct"/>
                  <w:tcBorders>
                    <w:tl2br w:val="nil"/>
                    <w:tr2bl w:val="nil"/>
                  </w:tcBorders>
                  <w:vAlign w:val="center"/>
                </w:tcPr>
                <w:p w14:paraId="7AA7B99A">
                  <w:pPr>
                    <w:spacing w:line="320" w:lineRule="exact"/>
                    <w:rPr>
                      <w:szCs w:val="21"/>
                    </w:rPr>
                  </w:pPr>
                  <w:r>
                    <w:rPr>
                      <w:rFonts w:hint="eastAsia"/>
                      <w:szCs w:val="21"/>
                    </w:rPr>
                    <w:t>8.2 物理再生要求</w:t>
                  </w:r>
                </w:p>
                <w:p w14:paraId="2B5DCDCC">
                  <w:pPr>
                    <w:spacing w:line="320" w:lineRule="exact"/>
                    <w:rPr>
                      <w:szCs w:val="21"/>
                    </w:rPr>
                  </w:pPr>
                  <w:r>
                    <w:rPr>
                      <w:rFonts w:hint="eastAsia"/>
                      <w:szCs w:val="21"/>
                    </w:rPr>
                    <w:t>8.2.1 废塑料的物理再生工艺中，熔融造粒车间应安装废气收集及处理装置，挤出工艺的冷却废水宜循环使用。</w:t>
                  </w:r>
                </w:p>
                <w:p w14:paraId="2ADA685B">
                  <w:pPr>
                    <w:spacing w:line="320" w:lineRule="exact"/>
                    <w:rPr>
                      <w:szCs w:val="21"/>
                    </w:rPr>
                  </w:pPr>
                  <w:r>
                    <w:rPr>
                      <w:rFonts w:hint="eastAsia"/>
                      <w:szCs w:val="21"/>
                    </w:rPr>
                    <w:t>8.2.2 宜采用节能熔融造粒技术，含卤素废塑料宜采用低温熔融造粒工艺。</w:t>
                  </w:r>
                </w:p>
                <w:p w14:paraId="3C7CE816">
                  <w:pPr>
                    <w:spacing w:line="320" w:lineRule="exact"/>
                    <w:rPr>
                      <w:szCs w:val="21"/>
                    </w:rPr>
                  </w:pPr>
                  <w:r>
                    <w:rPr>
                      <w:rFonts w:hint="eastAsia"/>
                      <w:szCs w:val="21"/>
                    </w:rPr>
                    <w:t>8.2.3 宜使用无丝网过滤器造粒机，减少废滤网产生。采用焚烧方式处理塑料挤出机过滤网片时，应配备烟气净化装置。</w:t>
                  </w:r>
                </w:p>
              </w:tc>
              <w:tc>
                <w:tcPr>
                  <w:tcW w:w="1779" w:type="pct"/>
                  <w:tcBorders>
                    <w:tl2br w:val="nil"/>
                    <w:tr2bl w:val="nil"/>
                  </w:tcBorders>
                  <w:vAlign w:val="center"/>
                </w:tcPr>
                <w:p w14:paraId="531ACD2F">
                  <w:pPr>
                    <w:spacing w:line="320" w:lineRule="exact"/>
                    <w:rPr>
                      <w:szCs w:val="21"/>
                    </w:rPr>
                  </w:pPr>
                  <w:r>
                    <w:rPr>
                      <w:rFonts w:hint="eastAsia"/>
                      <w:szCs w:val="21"/>
                    </w:rPr>
                    <w:t>本项目仅进行塑料破碎，不进行造粒。</w:t>
                  </w:r>
                </w:p>
              </w:tc>
              <w:tc>
                <w:tcPr>
                  <w:tcW w:w="595" w:type="pct"/>
                  <w:tcBorders>
                    <w:tl2br w:val="nil"/>
                    <w:tr2bl w:val="nil"/>
                  </w:tcBorders>
                  <w:vAlign w:val="center"/>
                </w:tcPr>
                <w:p w14:paraId="0CBB7775">
                  <w:pPr>
                    <w:spacing w:line="320" w:lineRule="exact"/>
                    <w:jc w:val="center"/>
                    <w:rPr>
                      <w:szCs w:val="21"/>
                    </w:rPr>
                  </w:pPr>
                  <w:r>
                    <w:rPr>
                      <w:szCs w:val="21"/>
                    </w:rPr>
                    <w:t>符合</w:t>
                  </w:r>
                </w:p>
              </w:tc>
            </w:tr>
            <w:tr w14:paraId="31A3B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 w:type="pct"/>
                  <w:tcBorders>
                    <w:tl2br w:val="nil"/>
                    <w:tr2bl w:val="nil"/>
                  </w:tcBorders>
                  <w:vAlign w:val="center"/>
                </w:tcPr>
                <w:p w14:paraId="3AEE9E8B">
                  <w:pPr>
                    <w:spacing w:line="320" w:lineRule="exact"/>
                    <w:jc w:val="center"/>
                    <w:rPr>
                      <w:szCs w:val="21"/>
                    </w:rPr>
                  </w:pPr>
                  <w:r>
                    <w:rPr>
                      <w:rFonts w:hint="eastAsia"/>
                      <w:szCs w:val="21"/>
                    </w:rPr>
                    <w:t>9 运行环境管理要求</w:t>
                  </w:r>
                </w:p>
              </w:tc>
              <w:tc>
                <w:tcPr>
                  <w:tcW w:w="2298" w:type="pct"/>
                  <w:tcBorders>
                    <w:tl2br w:val="nil"/>
                    <w:tr2bl w:val="nil"/>
                  </w:tcBorders>
                  <w:vAlign w:val="center"/>
                </w:tcPr>
                <w:p w14:paraId="6F34C6E1">
                  <w:pPr>
                    <w:spacing w:line="320" w:lineRule="exact"/>
                    <w:rPr>
                      <w:szCs w:val="21"/>
                    </w:rPr>
                  </w:pPr>
                  <w:r>
                    <w:rPr>
                      <w:rFonts w:hint="eastAsia"/>
                      <w:szCs w:val="21"/>
                    </w:rPr>
                    <w:t>9.2 项目建设的环境管理要求</w:t>
                  </w:r>
                </w:p>
                <w:p w14:paraId="6266EBEB">
                  <w:pPr>
                    <w:spacing w:line="320" w:lineRule="exact"/>
                    <w:rPr>
                      <w:szCs w:val="21"/>
                    </w:rPr>
                  </w:pPr>
                  <w:r>
                    <w:rPr>
                      <w:rFonts w:hint="eastAsia"/>
                      <w:szCs w:val="21"/>
                    </w:rPr>
                    <w:t>9.2.1 废塑料的再生利用项目应严格执行环境影响评价和“三同时”制度。</w:t>
                  </w:r>
                </w:p>
                <w:p w14:paraId="0B7EBD63">
                  <w:pPr>
                    <w:spacing w:line="320" w:lineRule="exact"/>
                    <w:rPr>
                      <w:szCs w:val="21"/>
                    </w:rPr>
                  </w:pPr>
                  <w:r>
                    <w:rPr>
                      <w:rFonts w:hint="eastAsia"/>
                      <w:szCs w:val="21"/>
                    </w:rPr>
                    <w:t>9.2.2 新建和改扩建废塑料再生利用项目的选址应符合当地城市总体发展规划、用地规划、生态环境分区管控方案、规划环评及其他环境保护要求。</w:t>
                  </w:r>
                </w:p>
                <w:p w14:paraId="7163A481">
                  <w:pPr>
                    <w:spacing w:line="320" w:lineRule="exact"/>
                    <w:rPr>
                      <w:szCs w:val="21"/>
                    </w:rPr>
                  </w:pPr>
                  <w:r>
                    <w:rPr>
                      <w:rFonts w:hint="eastAsia"/>
                      <w:szCs w:val="21"/>
                    </w:rPr>
                    <w:t>9.2.3 废塑料再生利用项目应按功能划分厂区，包括管理区、原料贮存区、生产区、产品贮存区、不</w:t>
                  </w:r>
                </w:p>
                <w:p w14:paraId="38F66775">
                  <w:pPr>
                    <w:spacing w:line="320" w:lineRule="exact"/>
                    <w:rPr>
                      <w:szCs w:val="21"/>
                    </w:rPr>
                  </w:pPr>
                  <w:r>
                    <w:rPr>
                      <w:rFonts w:hint="eastAsia"/>
                      <w:szCs w:val="21"/>
                    </w:rPr>
                    <w:t>可利用废物的贮存和处理区等，各功能区应有明显的界线或标识。</w:t>
                  </w:r>
                </w:p>
                <w:p w14:paraId="6E7E999C">
                  <w:pPr>
                    <w:spacing w:line="320" w:lineRule="exact"/>
                    <w:rPr>
                      <w:szCs w:val="21"/>
                    </w:rPr>
                  </w:pPr>
                  <w:r>
                    <w:rPr>
                      <w:rFonts w:hint="eastAsia"/>
                      <w:szCs w:val="21"/>
                    </w:rPr>
                    <w:t>9.3 清洁生产要求</w:t>
                  </w:r>
                </w:p>
                <w:p w14:paraId="529E42A2">
                  <w:pPr>
                    <w:spacing w:line="320" w:lineRule="exact"/>
                    <w:rPr>
                      <w:szCs w:val="21"/>
                    </w:rPr>
                  </w:pPr>
                  <w:r>
                    <w:rPr>
                      <w:rFonts w:hint="eastAsia"/>
                      <w:szCs w:val="21"/>
                    </w:rPr>
                    <w:t>9.3.1 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w:t>
                  </w:r>
                </w:p>
                <w:p w14:paraId="1539BCEB">
                  <w:pPr>
                    <w:spacing w:line="320" w:lineRule="exact"/>
                    <w:rPr>
                      <w:szCs w:val="21"/>
                    </w:rPr>
                  </w:pPr>
                  <w:r>
                    <w:rPr>
                      <w:rFonts w:hint="eastAsia"/>
                      <w:szCs w:val="21"/>
                    </w:rPr>
                    <w:t>9.3.2 实施强制性清洁生产审核的废塑料再生利用企业，应按照《清洁生产审核办法》的要求开展清洁生产审核，逐步淘汰技术落后、能耗高、资源综合利用率低和环境污染严重的工艺和设备。</w:t>
                  </w:r>
                </w:p>
                <w:p w14:paraId="1522CB99">
                  <w:pPr>
                    <w:spacing w:line="320" w:lineRule="exact"/>
                    <w:rPr>
                      <w:szCs w:val="21"/>
                    </w:rPr>
                  </w:pPr>
                  <w:r>
                    <w:rPr>
                      <w:rFonts w:hint="eastAsia"/>
                      <w:szCs w:val="21"/>
                    </w:rPr>
                    <w:t>9.3.3 废塑料的再生利用企业，应积极推进工艺、技术和设备提升改造，积极应用先进的清洁生产技术。</w:t>
                  </w:r>
                </w:p>
                <w:p w14:paraId="33C148DC">
                  <w:pPr>
                    <w:spacing w:line="320" w:lineRule="exact"/>
                    <w:rPr>
                      <w:szCs w:val="21"/>
                    </w:rPr>
                  </w:pPr>
                  <w:r>
                    <w:rPr>
                      <w:rFonts w:hint="eastAsia"/>
                      <w:szCs w:val="21"/>
                    </w:rPr>
                    <w:t>9.4 监测要求</w:t>
                  </w:r>
                </w:p>
                <w:p w14:paraId="38EB4693">
                  <w:pPr>
                    <w:spacing w:line="320" w:lineRule="exact"/>
                    <w:rPr>
                      <w:szCs w:val="21"/>
                    </w:rPr>
                  </w:pPr>
                  <w:r>
                    <w:rPr>
                      <w:rFonts w:hint="eastAsia"/>
                      <w:szCs w:val="21"/>
                    </w:rPr>
                    <w:t>9.4.1 废塑料的再生利用和处置企业，应按照排污许可证、HJ 819 以及本标准的要求，制定自行监测方案，对废塑料的利用处置过程污染物排放状况及周边环境质量的影响开展自行监测，保存原始监测记录，并依规进行信息公开。</w:t>
                  </w:r>
                </w:p>
                <w:p w14:paraId="58FFD689">
                  <w:pPr>
                    <w:spacing w:line="320" w:lineRule="exact"/>
                    <w:rPr>
                      <w:szCs w:val="21"/>
                    </w:rPr>
                  </w:pPr>
                  <w:r>
                    <w:rPr>
                      <w:rFonts w:hint="eastAsia"/>
                      <w:szCs w:val="21"/>
                    </w:rPr>
                    <w:t>9.4.2 不同污染物的采样监测方法和频次执行相关国家和行业标准，保留监测记录以及特殊情况记录。</w:t>
                  </w:r>
                </w:p>
              </w:tc>
              <w:tc>
                <w:tcPr>
                  <w:tcW w:w="1779" w:type="pct"/>
                  <w:tcBorders>
                    <w:tl2br w:val="nil"/>
                    <w:tr2bl w:val="nil"/>
                  </w:tcBorders>
                  <w:vAlign w:val="center"/>
                </w:tcPr>
                <w:p w14:paraId="102CD874">
                  <w:pPr>
                    <w:spacing w:line="320" w:lineRule="exact"/>
                    <w:rPr>
                      <w:szCs w:val="21"/>
                    </w:rPr>
                  </w:pPr>
                  <w:r>
                    <w:rPr>
                      <w:rFonts w:hint="eastAsia"/>
                      <w:szCs w:val="21"/>
                    </w:rPr>
                    <w:t>1.</w:t>
                  </w:r>
                  <w:r>
                    <w:rPr>
                      <w:szCs w:val="21"/>
                    </w:rPr>
                    <w:t>本项目严格执行环境影响评价和“三同时”制度；项目</w:t>
                  </w:r>
                  <w:r>
                    <w:rPr>
                      <w:rFonts w:hint="eastAsia"/>
                      <w:szCs w:val="21"/>
                    </w:rPr>
                    <w:t>符合当地规划和生态环境分区管控的要求</w:t>
                  </w:r>
                  <w:r>
                    <w:rPr>
                      <w:szCs w:val="21"/>
                    </w:rPr>
                    <w:t>；本项目租赁的场地四周有围墙，厂区内各功能区分区明确，并建立标识</w:t>
                  </w:r>
                  <w:r>
                    <w:rPr>
                      <w:rFonts w:hint="eastAsia"/>
                      <w:szCs w:val="21"/>
                    </w:rPr>
                    <w:t>。</w:t>
                  </w:r>
                </w:p>
                <w:p w14:paraId="6823BEF9">
                  <w:pPr>
                    <w:spacing w:line="320" w:lineRule="exact"/>
                    <w:rPr>
                      <w:szCs w:val="21"/>
                    </w:rPr>
                  </w:pPr>
                  <w:r>
                    <w:rPr>
                      <w:rFonts w:hint="eastAsia"/>
                      <w:szCs w:val="21"/>
                    </w:rPr>
                    <w:t>2.本项目采用符合国家环保要求的设备和工艺，符合清洁生产要求。</w:t>
                  </w:r>
                </w:p>
                <w:p w14:paraId="0956198A">
                  <w:pPr>
                    <w:spacing w:line="320" w:lineRule="exact"/>
                    <w:rPr>
                      <w:szCs w:val="21"/>
                    </w:rPr>
                  </w:pPr>
                  <w:r>
                    <w:rPr>
                      <w:rFonts w:hint="eastAsia"/>
                      <w:szCs w:val="21"/>
                    </w:rPr>
                    <w:t>3.运营期进行定期跟踪监测。</w:t>
                  </w:r>
                </w:p>
              </w:tc>
              <w:tc>
                <w:tcPr>
                  <w:tcW w:w="595" w:type="pct"/>
                  <w:tcBorders>
                    <w:tl2br w:val="nil"/>
                    <w:tr2bl w:val="nil"/>
                  </w:tcBorders>
                  <w:vAlign w:val="center"/>
                </w:tcPr>
                <w:p w14:paraId="1A4FB92E">
                  <w:pPr>
                    <w:spacing w:line="320" w:lineRule="exact"/>
                    <w:jc w:val="center"/>
                    <w:rPr>
                      <w:szCs w:val="21"/>
                    </w:rPr>
                  </w:pPr>
                  <w:r>
                    <w:rPr>
                      <w:szCs w:val="21"/>
                    </w:rPr>
                    <w:t>符合</w:t>
                  </w:r>
                </w:p>
              </w:tc>
            </w:tr>
          </w:tbl>
          <w:p w14:paraId="2D6E9E07">
            <w:pPr>
              <w:pStyle w:val="91"/>
              <w:ind w:firstLine="480"/>
            </w:pPr>
            <w:r>
              <w:t>（3）与《废塑料</w:t>
            </w:r>
            <w:r>
              <w:rPr>
                <w:rFonts w:hint="eastAsia"/>
              </w:rPr>
              <w:t>加工利用污染防治管理规定</w:t>
            </w:r>
            <w:r>
              <w:t>》相符性分析</w:t>
            </w:r>
          </w:p>
          <w:p w14:paraId="1FD2177F">
            <w:pPr>
              <w:pStyle w:val="103"/>
            </w:pPr>
            <w:r>
              <w:t>表</w:t>
            </w:r>
            <w:r>
              <w:rPr>
                <w:rFonts w:hint="eastAsia"/>
              </w:rPr>
              <w:t>1-</w:t>
            </w:r>
            <w:r>
              <w:t>4</w:t>
            </w:r>
            <w:r>
              <w:rPr>
                <w:rFonts w:hint="eastAsia"/>
              </w:rPr>
              <w:t xml:space="preserve">  </w:t>
            </w:r>
            <w:r>
              <w:t>本项目与《废塑料</w:t>
            </w:r>
            <w:r>
              <w:rPr>
                <w:rFonts w:hint="eastAsia"/>
              </w:rPr>
              <w:t>加工利用污染防治管理规定》</w:t>
            </w:r>
            <w:r>
              <w:t>符合性一览表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2911"/>
              <w:gridCol w:w="676"/>
            </w:tblGrid>
            <w:tr w14:paraId="1E35C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63F334E5">
                  <w:pPr>
                    <w:spacing w:line="320" w:lineRule="exact"/>
                    <w:jc w:val="center"/>
                  </w:pPr>
                  <w:r>
                    <w:t>相关要求</w:t>
                  </w:r>
                </w:p>
              </w:tc>
              <w:tc>
                <w:tcPr>
                  <w:tcW w:w="2042" w:type="pct"/>
                  <w:vAlign w:val="center"/>
                </w:tcPr>
                <w:p w14:paraId="229457FB">
                  <w:pPr>
                    <w:spacing w:line="320" w:lineRule="exact"/>
                    <w:jc w:val="center"/>
                  </w:pPr>
                  <w:r>
                    <w:t>本项目环评要求</w:t>
                  </w:r>
                </w:p>
              </w:tc>
              <w:tc>
                <w:tcPr>
                  <w:tcW w:w="474" w:type="pct"/>
                  <w:vAlign w:val="center"/>
                </w:tcPr>
                <w:p w14:paraId="7AB8FCED">
                  <w:pPr>
                    <w:spacing w:line="320" w:lineRule="exact"/>
                    <w:jc w:val="center"/>
                  </w:pPr>
                  <w:r>
                    <w:t>符合性</w:t>
                  </w:r>
                </w:p>
              </w:tc>
            </w:tr>
            <w:tr w14:paraId="3874C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7D976EA4">
                  <w:pPr>
                    <w:pStyle w:val="90"/>
                  </w:pPr>
                  <w:r>
                    <w:rPr>
                      <w:rFonts w:hint="eastAsia"/>
                      <w:shd w:val="clear" w:color="auto" w:fill="FFFFFF"/>
                    </w:rPr>
                    <w:t>第三条废塑料加工利用必须符合国家相关产业政策规定及《废塑料回收与再生利用污染控制技术规范》，防止二次污染。</w:t>
                  </w:r>
                </w:p>
                <w:p w14:paraId="6F10356C">
                  <w:pPr>
                    <w:pStyle w:val="90"/>
                  </w:pPr>
                  <w:r>
                    <w:rPr>
                      <w:rFonts w:hint="eastAsia"/>
                    </w:rPr>
                    <w:t>禁止在居民区加工利用废塑料。</w:t>
                  </w:r>
                </w:p>
                <w:p w14:paraId="491764A6">
                  <w:pPr>
                    <w:pStyle w:val="90"/>
                  </w:pPr>
                  <w:r>
                    <w:rPr>
                      <w:rFonts w:hint="eastAsia"/>
                      <w:shd w:val="clear" w:color="auto" w:fill="FFFFFF"/>
                    </w:rPr>
                    <w:t>无符合环保要求污水治理设施的，禁止从事废编织袋造粒、缸脚料淘洗、废塑料退镀（涂）、盐卤分拣等加工活动。</w:t>
                  </w:r>
                </w:p>
              </w:tc>
              <w:tc>
                <w:tcPr>
                  <w:tcW w:w="2042" w:type="pct"/>
                  <w:vAlign w:val="center"/>
                </w:tcPr>
                <w:p w14:paraId="7AEC1C79">
                  <w:pPr>
                    <w:spacing w:line="320" w:lineRule="exact"/>
                    <w:jc w:val="center"/>
                  </w:pPr>
                  <w:r>
                    <w:rPr>
                      <w:rFonts w:hint="eastAsia"/>
                    </w:rPr>
                    <w:t>本项目</w:t>
                  </w:r>
                  <w:r>
                    <w:rPr>
                      <w:rFonts w:hint="eastAsia"/>
                      <w:shd w:val="clear" w:color="auto" w:fill="FFFFFF"/>
                    </w:rPr>
                    <w:t>废塑料加工利用符合国家相关产业政策规定及《废塑料回收与再生利用污染控制技术规范》。</w:t>
                  </w:r>
                </w:p>
                <w:p w14:paraId="0F56E027">
                  <w:pPr>
                    <w:spacing w:line="320" w:lineRule="exact"/>
                    <w:jc w:val="center"/>
                  </w:pPr>
                  <w:r>
                    <w:t>本项目</w:t>
                  </w:r>
                  <w:r>
                    <w:rPr>
                      <w:rFonts w:hint="eastAsia"/>
                    </w:rPr>
                    <w:t>所在区域不属于居住区。项目仅进行废塑料粉碎、清洗，无其他工序。</w:t>
                  </w:r>
                </w:p>
              </w:tc>
              <w:tc>
                <w:tcPr>
                  <w:tcW w:w="474" w:type="pct"/>
                  <w:vAlign w:val="center"/>
                </w:tcPr>
                <w:p w14:paraId="468A0FF5">
                  <w:pPr>
                    <w:spacing w:line="320" w:lineRule="exact"/>
                    <w:jc w:val="center"/>
                  </w:pPr>
                  <w:r>
                    <w:t>符合</w:t>
                  </w:r>
                </w:p>
              </w:tc>
            </w:tr>
            <w:tr w14:paraId="5AEC9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4D412E81">
                  <w:pPr>
                    <w:spacing w:line="320" w:lineRule="exact"/>
                    <w:jc w:val="center"/>
                  </w:pPr>
                  <w:r>
                    <w:rPr>
                      <w:rFonts w:hint="eastAsia"/>
                    </w:rPr>
                    <w:t>第四条废塑料加工利用单位应当以环境无害化方式处理废塑料加工利用过程产生的残余垃圾、滤网；禁止交不符合环保要求的单位或个人处置。禁止露天焚烧废塑料及加工利用过程产生的残余垃圾、滤网。</w:t>
                  </w:r>
                </w:p>
              </w:tc>
              <w:tc>
                <w:tcPr>
                  <w:tcW w:w="2042" w:type="pct"/>
                  <w:vAlign w:val="center"/>
                </w:tcPr>
                <w:p w14:paraId="3119E0EA">
                  <w:pPr>
                    <w:spacing w:line="320" w:lineRule="exact"/>
                    <w:jc w:val="center"/>
                  </w:pPr>
                  <w:r>
                    <w:t>废旧塑料分选过程中不可利用的废料，主要成分为砂子和泥土等杂质，</w:t>
                  </w:r>
                  <w:r>
                    <w:rPr>
                      <w:rFonts w:hint="eastAsia"/>
                    </w:rPr>
                    <w:t>交由专业单位统一处置</w:t>
                  </w:r>
                  <w:r>
                    <w:t>；</w:t>
                  </w:r>
                  <w:r>
                    <w:rPr>
                      <w:rFonts w:hint="eastAsia"/>
                    </w:rPr>
                    <w:t>本项目无露天焚烧工序</w:t>
                  </w:r>
                  <w:r>
                    <w:t>。</w:t>
                  </w:r>
                </w:p>
              </w:tc>
              <w:tc>
                <w:tcPr>
                  <w:tcW w:w="474" w:type="pct"/>
                  <w:vAlign w:val="center"/>
                </w:tcPr>
                <w:p w14:paraId="6DDCA2B8">
                  <w:pPr>
                    <w:spacing w:line="320" w:lineRule="exact"/>
                    <w:jc w:val="center"/>
                  </w:pPr>
                  <w:r>
                    <w:rPr>
                      <w:rFonts w:hint="eastAsia"/>
                    </w:rPr>
                    <w:t>符合</w:t>
                  </w:r>
                </w:p>
              </w:tc>
            </w:tr>
            <w:tr w14:paraId="34206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4" w:type="pct"/>
                  <w:vAlign w:val="center"/>
                </w:tcPr>
                <w:p w14:paraId="6039EF63">
                  <w:pPr>
                    <w:spacing w:line="320" w:lineRule="exact"/>
                    <w:jc w:val="center"/>
                  </w:pPr>
                  <w:r>
                    <w:rPr>
                      <w:rStyle w:val="89"/>
                      <w:rFonts w:hint="eastAsia"/>
                    </w:rPr>
                    <w:t>第七条废</w:t>
                  </w:r>
                  <w:r>
                    <w:rPr>
                      <w:rFonts w:hint="eastAsia"/>
                    </w:rPr>
                    <w:t>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w:t>
                  </w:r>
                </w:p>
              </w:tc>
              <w:tc>
                <w:tcPr>
                  <w:tcW w:w="2042" w:type="pct"/>
                  <w:vAlign w:val="center"/>
                </w:tcPr>
                <w:p w14:paraId="12BE05DE">
                  <w:pPr>
                    <w:spacing w:line="320" w:lineRule="exact"/>
                    <w:jc w:val="center"/>
                  </w:pPr>
                  <w:r>
                    <w:t>本项目</w:t>
                  </w:r>
                  <w:r>
                    <w:rPr>
                      <w:rFonts w:hint="eastAsia"/>
                    </w:rPr>
                    <w:t>加工废塑料产生的废水、废气和固体废物处理措施完善。</w:t>
                  </w:r>
                </w:p>
              </w:tc>
              <w:tc>
                <w:tcPr>
                  <w:tcW w:w="474" w:type="pct"/>
                  <w:vAlign w:val="center"/>
                </w:tcPr>
                <w:p w14:paraId="010B4A93">
                  <w:pPr>
                    <w:spacing w:line="320" w:lineRule="exact"/>
                    <w:jc w:val="center"/>
                  </w:pPr>
                  <w:r>
                    <w:t>符合</w:t>
                  </w:r>
                </w:p>
              </w:tc>
            </w:tr>
          </w:tbl>
          <w:p w14:paraId="5225F66F">
            <w:pPr>
              <w:pStyle w:val="91"/>
              <w:ind w:firstLine="480"/>
            </w:pPr>
            <w:r>
              <w:rPr>
                <w:rFonts w:hint="eastAsia"/>
              </w:rPr>
              <w:t>（4）与《废塑料再生利用技术规范》（</w:t>
            </w:r>
            <w:r>
              <w:rPr>
                <w:rFonts w:eastAsia="等线"/>
              </w:rPr>
              <w:t>GB/T37821-2019</w:t>
            </w:r>
            <w:r>
              <w:rPr>
                <w:rFonts w:hint="eastAsia"/>
              </w:rPr>
              <w:t>）符合性分析</w:t>
            </w:r>
          </w:p>
          <w:p w14:paraId="59F2DE69">
            <w:pPr>
              <w:pStyle w:val="103"/>
            </w:pPr>
            <w:r>
              <w:t>表</w:t>
            </w:r>
            <w:r>
              <w:rPr>
                <w:rFonts w:hint="eastAsia"/>
              </w:rPr>
              <w:t>1-</w:t>
            </w:r>
            <w:r>
              <w:t>5</w:t>
            </w:r>
            <w:r>
              <w:rPr>
                <w:rFonts w:hint="eastAsia"/>
              </w:rPr>
              <w:t xml:space="preserve">  </w:t>
            </w:r>
            <w:r>
              <w:t>本项目与《</w:t>
            </w:r>
            <w:r>
              <w:rPr>
                <w:rFonts w:hint="eastAsia"/>
              </w:rPr>
              <w:t>废塑料再生利用技术规范》</w:t>
            </w:r>
            <w:r>
              <w:t>符合性一览表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38"/>
              <w:gridCol w:w="2640"/>
              <w:gridCol w:w="850"/>
            </w:tblGrid>
            <w:tr w14:paraId="24E91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1" w:type="pct"/>
                  <w:vAlign w:val="center"/>
                </w:tcPr>
                <w:p w14:paraId="43D01CB7">
                  <w:pPr>
                    <w:spacing w:line="320" w:lineRule="exact"/>
                    <w:jc w:val="center"/>
                  </w:pPr>
                  <w:r>
                    <w:t>相关要求</w:t>
                  </w:r>
                </w:p>
              </w:tc>
              <w:tc>
                <w:tcPr>
                  <w:tcW w:w="1851" w:type="pct"/>
                  <w:vAlign w:val="center"/>
                </w:tcPr>
                <w:p w14:paraId="61F2B87E">
                  <w:pPr>
                    <w:spacing w:line="320" w:lineRule="exact"/>
                    <w:jc w:val="center"/>
                  </w:pPr>
                  <w:r>
                    <w:t>本项目环评要求</w:t>
                  </w:r>
                </w:p>
              </w:tc>
              <w:tc>
                <w:tcPr>
                  <w:tcW w:w="596" w:type="pct"/>
                  <w:vAlign w:val="center"/>
                </w:tcPr>
                <w:p w14:paraId="0A61008B">
                  <w:pPr>
                    <w:spacing w:line="320" w:lineRule="exact"/>
                    <w:jc w:val="center"/>
                  </w:pPr>
                  <w:r>
                    <w:t>符合性</w:t>
                  </w:r>
                </w:p>
              </w:tc>
            </w:tr>
            <w:tr w14:paraId="72281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1" w:type="pct"/>
                  <w:vAlign w:val="center"/>
                </w:tcPr>
                <w:p w14:paraId="61575879">
                  <w:pPr>
                    <w:pStyle w:val="90"/>
                    <w:jc w:val="both"/>
                  </w:pPr>
                  <w:r>
                    <w:rPr>
                      <w:rFonts w:hint="eastAsia"/>
                    </w:rPr>
                    <w:t>5破碎要求</w:t>
                  </w:r>
                </w:p>
                <w:p w14:paraId="511420C6">
                  <w:pPr>
                    <w:pStyle w:val="90"/>
                    <w:jc w:val="both"/>
                  </w:pPr>
                  <w:r>
                    <w:rPr>
                      <w:rFonts w:hint="eastAsia"/>
                    </w:rPr>
                    <w:t>5</w:t>
                  </w:r>
                  <w:r>
                    <w:t>.1</w:t>
                  </w:r>
                  <w:r>
                    <w:rPr>
                      <w:rFonts w:hint="eastAsia"/>
                    </w:rPr>
                    <w:t>破碎过程宜采用高效节能工艺技术及设备。</w:t>
                  </w:r>
                </w:p>
                <w:p w14:paraId="6C9D1A26">
                  <w:pPr>
                    <w:pStyle w:val="90"/>
                    <w:jc w:val="both"/>
                  </w:pPr>
                  <w:r>
                    <w:rPr>
                      <w:rFonts w:hint="eastAsia"/>
                    </w:rPr>
                    <w:t>5</w:t>
                  </w:r>
                  <w:r>
                    <w:t>.2</w:t>
                  </w:r>
                  <w:r>
                    <w:rPr>
                      <w:rFonts w:hint="eastAsia"/>
                    </w:rPr>
                    <w:t>干法破碎过程应配备粉尘收集和降噪设备。</w:t>
                  </w:r>
                </w:p>
                <w:p w14:paraId="5FE12BD1">
                  <w:pPr>
                    <w:pStyle w:val="90"/>
                    <w:jc w:val="both"/>
                  </w:pPr>
                  <w:r>
                    <w:rPr>
                      <w:rFonts w:hint="eastAsia"/>
                    </w:rPr>
                    <w:t>5</w:t>
                  </w:r>
                  <w:r>
                    <w:t>.3</w:t>
                  </w:r>
                  <w:r>
                    <w:rPr>
                      <w:rFonts w:hint="eastAsia"/>
                    </w:rPr>
                    <w:t>采用湿法破碎工艺应对废水进行收集、处理后循环利用。</w:t>
                  </w:r>
                </w:p>
                <w:p w14:paraId="19DB723F">
                  <w:pPr>
                    <w:pStyle w:val="90"/>
                    <w:jc w:val="both"/>
                  </w:pPr>
                  <w:r>
                    <w:rPr>
                      <w:rFonts w:hint="eastAsia"/>
                    </w:rPr>
                    <w:t>5</w:t>
                  </w:r>
                  <w:r>
                    <w:t>.4</w:t>
                  </w:r>
                  <w:r>
                    <w:rPr>
                      <w:rFonts w:hint="eastAsia"/>
                    </w:rPr>
                    <w:t>破碎机应具有安全防护措施。</w:t>
                  </w:r>
                </w:p>
              </w:tc>
              <w:tc>
                <w:tcPr>
                  <w:tcW w:w="1851" w:type="pct"/>
                  <w:vAlign w:val="center"/>
                </w:tcPr>
                <w:p w14:paraId="4A1A5F58">
                  <w:pPr>
                    <w:spacing w:line="320" w:lineRule="exact"/>
                  </w:pPr>
                  <w:r>
                    <w:rPr>
                      <w:rFonts w:hint="eastAsia"/>
                    </w:rPr>
                    <w:t>本项目采用湿法破碎，采用高效节能设备。清洗废水经絮凝沉淀后循环使用。破碎机外部自带防护挡板，避免人员受伤。</w:t>
                  </w:r>
                </w:p>
              </w:tc>
              <w:tc>
                <w:tcPr>
                  <w:tcW w:w="596" w:type="pct"/>
                  <w:vAlign w:val="center"/>
                </w:tcPr>
                <w:p w14:paraId="61DABCAF">
                  <w:pPr>
                    <w:spacing w:line="320" w:lineRule="exact"/>
                    <w:jc w:val="center"/>
                  </w:pPr>
                  <w:r>
                    <w:t>符合</w:t>
                  </w:r>
                </w:p>
              </w:tc>
            </w:tr>
            <w:tr w14:paraId="23020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1" w:type="pct"/>
                  <w:vAlign w:val="center"/>
                </w:tcPr>
                <w:p w14:paraId="13A71C3D">
                  <w:pPr>
                    <w:spacing w:line="320" w:lineRule="exact"/>
                  </w:pPr>
                  <w:r>
                    <w:rPr>
                      <w:rFonts w:hint="eastAsia"/>
                    </w:rPr>
                    <w:t>6清洗要求</w:t>
                  </w:r>
                </w:p>
                <w:p w14:paraId="084391C1">
                  <w:pPr>
                    <w:spacing w:line="320" w:lineRule="exact"/>
                  </w:pPr>
                  <w:r>
                    <w:rPr>
                      <w:rFonts w:hint="eastAsia"/>
                    </w:rPr>
                    <w:t>6.1宜采用节水清洗工艺，清洗废水应统一收集、分类处理或集中处理，处理后应梯级利用或循环使用。</w:t>
                  </w:r>
                </w:p>
                <w:p w14:paraId="5837BBAB">
                  <w:pPr>
                    <w:spacing w:line="320" w:lineRule="exact"/>
                  </w:pPr>
                  <w:r>
                    <w:rPr>
                      <w:rFonts w:hint="eastAsia"/>
                    </w:rPr>
                    <w:t>6.2应使用低残留、环境友好型清洗剂，不得使用有毒有害和国家严令禁止的清洗剂。</w:t>
                  </w:r>
                </w:p>
                <w:p w14:paraId="151FF531">
                  <w:pPr>
                    <w:spacing w:line="320" w:lineRule="exact"/>
                  </w:pPr>
                  <w:r>
                    <w:rPr>
                      <w:rFonts w:hint="eastAsia"/>
                    </w:rPr>
                    <w:t>6.3厂内处理后的排放废水，需进入城市污水收集管网的执行GB/T31962要求；直接排放的需满足当地环境保护管理要求。</w:t>
                  </w:r>
                </w:p>
              </w:tc>
              <w:tc>
                <w:tcPr>
                  <w:tcW w:w="1851" w:type="pct"/>
                  <w:vAlign w:val="center"/>
                </w:tcPr>
                <w:p w14:paraId="7B8397A7">
                  <w:pPr>
                    <w:spacing w:line="320" w:lineRule="exact"/>
                  </w:pPr>
                  <w:r>
                    <w:rPr>
                      <w:rFonts w:hint="eastAsia"/>
                    </w:rPr>
                    <w:t>本项目清洗废水收集沉淀后循环利用不外排。根据企业提供资料，清洗过程不使用清洁剂。</w:t>
                  </w:r>
                </w:p>
              </w:tc>
              <w:tc>
                <w:tcPr>
                  <w:tcW w:w="596" w:type="pct"/>
                  <w:vAlign w:val="center"/>
                </w:tcPr>
                <w:p w14:paraId="42A5EAED">
                  <w:pPr>
                    <w:spacing w:line="320" w:lineRule="exact"/>
                    <w:jc w:val="center"/>
                  </w:pPr>
                  <w:r>
                    <w:rPr>
                      <w:rFonts w:hint="eastAsia"/>
                    </w:rPr>
                    <w:t>符合</w:t>
                  </w:r>
                </w:p>
              </w:tc>
            </w:tr>
            <w:tr w14:paraId="41DDD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1" w:type="pct"/>
                  <w:vAlign w:val="center"/>
                </w:tcPr>
                <w:p w14:paraId="7794B6E7">
                  <w:pPr>
                    <w:spacing w:line="320" w:lineRule="exact"/>
                  </w:pPr>
                  <w:r>
                    <w:rPr>
                      <w:rFonts w:hint="eastAsia"/>
                    </w:rPr>
                    <w:t>7干燥要求</w:t>
                  </w:r>
                </w:p>
                <w:p w14:paraId="23D5333B">
                  <w:pPr>
                    <w:spacing w:line="320" w:lineRule="exact"/>
                  </w:pPr>
                  <w:r>
                    <w:rPr>
                      <w:rFonts w:hint="eastAsia"/>
                    </w:rPr>
                    <w:t>7.1宜采用离心脱水、鼓风干燥、流化床干燥等工艺，应使用低能耗设备。</w:t>
                  </w:r>
                </w:p>
                <w:p w14:paraId="54CCA2E5">
                  <w:pPr>
                    <w:spacing w:line="320" w:lineRule="exact"/>
                  </w:pPr>
                  <w:r>
                    <w:rPr>
                      <w:rFonts w:hint="eastAsia"/>
                    </w:rPr>
                    <w:t>7.2干燥废气应集中收集，进入废气处理设施处理，不得随意排放。</w:t>
                  </w:r>
                </w:p>
              </w:tc>
              <w:tc>
                <w:tcPr>
                  <w:tcW w:w="1851" w:type="pct"/>
                  <w:vAlign w:val="center"/>
                </w:tcPr>
                <w:p w14:paraId="6FF6309B">
                  <w:pPr>
                    <w:spacing w:line="320" w:lineRule="exact"/>
                  </w:pPr>
                  <w:r>
                    <w:rPr>
                      <w:rFonts w:hint="eastAsia"/>
                    </w:rPr>
                    <w:t>本项目采用甩干机进行离心脱水，不涉及干燥废气。</w:t>
                  </w:r>
                </w:p>
              </w:tc>
              <w:tc>
                <w:tcPr>
                  <w:tcW w:w="596" w:type="pct"/>
                  <w:vAlign w:val="center"/>
                </w:tcPr>
                <w:p w14:paraId="152A0877">
                  <w:pPr>
                    <w:spacing w:line="320" w:lineRule="exact"/>
                    <w:jc w:val="center"/>
                  </w:pPr>
                  <w:r>
                    <w:t>符合</w:t>
                  </w:r>
                </w:p>
              </w:tc>
            </w:tr>
          </w:tbl>
          <w:p w14:paraId="7D6530FE">
            <w:pPr>
              <w:pStyle w:val="91"/>
              <w:spacing w:line="500" w:lineRule="exact"/>
              <w:ind w:firstLine="480"/>
            </w:pPr>
            <w:r>
              <w:rPr>
                <w:rFonts w:hint="eastAsia"/>
              </w:rPr>
              <w:t>4.与《鸡西市国土空间总体规划（2021—2035年）》的符合性</w:t>
            </w:r>
          </w:p>
          <w:p w14:paraId="167C4B4A">
            <w:pPr>
              <w:pStyle w:val="91"/>
              <w:spacing w:line="500" w:lineRule="exact"/>
              <w:ind w:firstLine="480"/>
            </w:pPr>
            <w:r>
              <w:rPr>
                <w:rFonts w:hint="eastAsia"/>
              </w:rPr>
              <w:t>《鸡西市国土空间总体规划（2021—2035年）》提出：以科学发展观为指导，以全面建成小康社会为目标，抓住东北老工业基地改造的机遇，深入实际，切实解决鸡西市发展中的实际问题，调整城市经济结构，创造投资环境，改善城市职能，提升城市品位，突出城市生态，提高居民生活环境质量，使鸡西市能够高效、持续、协调地发展。</w:t>
            </w:r>
          </w:p>
          <w:p w14:paraId="4276AA09">
            <w:pPr>
              <w:pStyle w:val="91"/>
              <w:spacing w:line="500" w:lineRule="exact"/>
              <w:ind w:firstLine="480"/>
            </w:pPr>
            <w:r>
              <w:rPr>
                <w:rFonts w:hint="eastAsia"/>
              </w:rPr>
              <w:t>本项目抓住东北老工业基地改造的机遇，利用鸡西市良好的投资环境，在鸡西市鸡冠区红星乡红太村红光组建厂，项目建设为鸡西市全面建成小康社会作出一份贡献，故本项目建设符合《鸡西市国土空间总体规划（2021—2035年）》。</w:t>
            </w:r>
          </w:p>
          <w:p w14:paraId="3A780E46">
            <w:pPr>
              <w:pStyle w:val="91"/>
              <w:spacing w:line="500" w:lineRule="exact"/>
              <w:ind w:firstLine="480"/>
            </w:pPr>
            <w:r>
              <w:rPr>
                <w:rFonts w:hint="eastAsia"/>
              </w:rPr>
              <w:t>5.</w:t>
            </w:r>
            <w:r>
              <w:t>与《黑龙江省鸡西市城乡固体废物分类治理专项规划（2019-2035</w:t>
            </w:r>
            <w:r>
              <w:rPr>
                <w:rFonts w:hint="eastAsia"/>
              </w:rPr>
              <w:t>）</w:t>
            </w:r>
            <w:r>
              <w:t>》符合性分析</w:t>
            </w:r>
          </w:p>
          <w:p w14:paraId="1449FFBF">
            <w:pPr>
              <w:pStyle w:val="91"/>
              <w:spacing w:line="500" w:lineRule="exact"/>
              <w:ind w:firstLine="480"/>
            </w:pPr>
            <w:r>
              <w:t xml:space="preserve">（1）规划目标 </w:t>
            </w:r>
          </w:p>
          <w:p w14:paraId="7A9A58CF">
            <w:pPr>
              <w:pStyle w:val="91"/>
              <w:spacing w:line="500" w:lineRule="exact"/>
              <w:ind w:firstLine="480"/>
            </w:pPr>
            <w:r>
              <w:t xml:space="preserve">一般工业固体废物实现源头大幅减量，充分资源化利用和安全处置。实现工业绿色生产，推动大宗工业固体废物贮存处置总量趋零增长；非法转移倾倒固体废物事件零发生；全过程规范化管理，构建全过程信息化监管体系。 </w:t>
            </w:r>
          </w:p>
          <w:p w14:paraId="77088A8C">
            <w:pPr>
              <w:pStyle w:val="91"/>
              <w:spacing w:line="500" w:lineRule="exact"/>
              <w:ind w:firstLine="480"/>
            </w:pPr>
            <w:r>
              <w:t xml:space="preserve">近期：综合利用率 73%，处置率达到 92%。 </w:t>
            </w:r>
          </w:p>
          <w:p w14:paraId="41DD2A4E">
            <w:pPr>
              <w:pStyle w:val="91"/>
              <w:spacing w:line="500" w:lineRule="exact"/>
              <w:ind w:firstLine="480"/>
            </w:pPr>
            <w:r>
              <w:t xml:space="preserve">中期：综合利用率 79%，处置率达到 95%。 </w:t>
            </w:r>
          </w:p>
          <w:p w14:paraId="2F8DA571">
            <w:pPr>
              <w:pStyle w:val="91"/>
              <w:spacing w:line="500" w:lineRule="exact"/>
              <w:ind w:firstLine="480"/>
            </w:pPr>
            <w:r>
              <w:t xml:space="preserve">远期：综合利用率 90%，处置率达到 95%。 </w:t>
            </w:r>
          </w:p>
          <w:p w14:paraId="3408B236">
            <w:pPr>
              <w:pStyle w:val="91"/>
              <w:spacing w:line="500" w:lineRule="exact"/>
              <w:ind w:firstLine="480"/>
            </w:pPr>
            <w:r>
              <w:t xml:space="preserve">（2）规划内容 </w:t>
            </w:r>
          </w:p>
          <w:p w14:paraId="2AB174C6">
            <w:pPr>
              <w:pStyle w:val="91"/>
              <w:spacing w:line="500" w:lineRule="exact"/>
              <w:ind w:firstLine="480"/>
            </w:pPr>
            <w:r>
              <w:t xml:space="preserve">本次规划建制市、县和乡镇一般工业固体废物收集、处理、资源化利用规划，确定处理、资源化利用设施的布局、规模和用地等主要规划指标，确立建筑垃圾处置全过程的运营管理体系。本规划编制的主要内容包括： </w:t>
            </w:r>
          </w:p>
          <w:p w14:paraId="4037AF88">
            <w:pPr>
              <w:pStyle w:val="91"/>
              <w:spacing w:line="500" w:lineRule="exact"/>
              <w:ind w:firstLine="480"/>
            </w:pPr>
            <w:r>
              <w:t xml:space="preserve">1）一般工业固体废物产量预测规划； </w:t>
            </w:r>
          </w:p>
          <w:p w14:paraId="01940749">
            <w:pPr>
              <w:pStyle w:val="91"/>
              <w:spacing w:line="500" w:lineRule="exact"/>
              <w:ind w:firstLine="480"/>
            </w:pPr>
            <w:r>
              <w:t xml:space="preserve">2）一般工业固体废物处理设施规划； </w:t>
            </w:r>
          </w:p>
          <w:p w14:paraId="2E46ABD6">
            <w:pPr>
              <w:pStyle w:val="91"/>
              <w:spacing w:line="500" w:lineRule="exact"/>
              <w:ind w:firstLine="480"/>
            </w:pPr>
            <w:r>
              <w:t>3)一般工业固体废物监管体系规划。</w:t>
            </w:r>
          </w:p>
          <w:p w14:paraId="0021B410">
            <w:pPr>
              <w:pStyle w:val="91"/>
              <w:spacing w:line="500" w:lineRule="exact"/>
              <w:ind w:firstLine="480"/>
            </w:pPr>
            <w:r>
              <w:t xml:space="preserve">（3）利用和处置方案 </w:t>
            </w:r>
          </w:p>
          <w:p w14:paraId="2E2EF44E">
            <w:pPr>
              <w:pStyle w:val="91"/>
              <w:spacing w:line="500" w:lineRule="exact"/>
              <w:ind w:firstLine="480"/>
            </w:pPr>
            <w:r>
              <w:t xml:space="preserve">1）一般工业固体废弃物治理原则 </w:t>
            </w:r>
          </w:p>
          <w:p w14:paraId="6024E60E">
            <w:pPr>
              <w:pStyle w:val="91"/>
              <w:spacing w:line="500" w:lineRule="exact"/>
              <w:ind w:firstLine="480"/>
            </w:pPr>
            <w:r>
              <w:t xml:space="preserve">①各企业应进行清洁生产，在源头减少一般工业固体废物产生量。 </w:t>
            </w:r>
          </w:p>
          <w:p w14:paraId="207A4691">
            <w:pPr>
              <w:pStyle w:val="91"/>
              <w:spacing w:line="500" w:lineRule="exact"/>
              <w:ind w:firstLine="480"/>
            </w:pPr>
            <w:r>
              <w:t xml:space="preserve">产废企业应从源头采取技术措施解决，减少一般工业固体废物集中综合利用设施处理量，如采取尾矿填充、煤矸石治理采空区、复垦造田等综合利用技术措施。 </w:t>
            </w:r>
          </w:p>
          <w:p w14:paraId="380357C0">
            <w:pPr>
              <w:pStyle w:val="91"/>
              <w:spacing w:line="500" w:lineRule="exact"/>
              <w:ind w:firstLine="480"/>
            </w:pPr>
            <w:r>
              <w:t xml:space="preserve">②以资源化利用为主，优先考虑纳入静脉产业园，综合利用建材类产品辐射半径不超过300km。 </w:t>
            </w:r>
          </w:p>
          <w:p w14:paraId="5A86BF27">
            <w:pPr>
              <w:pStyle w:val="91"/>
              <w:spacing w:line="500" w:lineRule="exact"/>
              <w:ind w:firstLine="480"/>
            </w:pPr>
            <w:r>
              <w:t xml:space="preserve">一般工业固体废物应优先采用资源化循环利用治理方案，进行循环回收资源再利用和综合利用处理，达到综合利用目标要求。其余进行分类处置，达到环保标准要求。 </w:t>
            </w:r>
          </w:p>
          <w:p w14:paraId="70EA749E">
            <w:pPr>
              <w:pStyle w:val="91"/>
              <w:spacing w:line="500" w:lineRule="exact"/>
              <w:ind w:firstLine="480"/>
            </w:pPr>
            <w:r>
              <w:rPr>
                <w:rFonts w:hint="eastAsia"/>
              </w:rPr>
              <w:t xml:space="preserve">一般工业固体废物综合利用产品与建筑垃圾综合利用产品相同的可运送至建筑垃圾综合利用设施统一处理；废旧家电、报废汽车、电子废物、废旧轮胎、废塑料应进入静脉产业园资源化再生利用。 </w:t>
            </w:r>
          </w:p>
          <w:p w14:paraId="6CBE18C5">
            <w:pPr>
              <w:pStyle w:val="91"/>
              <w:spacing w:line="500" w:lineRule="exact"/>
              <w:ind w:firstLine="480"/>
            </w:pPr>
            <w:r>
              <w:rPr>
                <w:rFonts w:hint="eastAsia"/>
              </w:rPr>
              <w:t xml:space="preserve">③跨区域统筹建设资源化利用项目，以园区、基地为载体，综合利用产业集聚模式发展，多种固废协同利用。 </w:t>
            </w:r>
          </w:p>
          <w:p w14:paraId="070CB5C6">
            <w:pPr>
              <w:pStyle w:val="91"/>
              <w:spacing w:line="500" w:lineRule="exact"/>
              <w:ind w:firstLine="480"/>
            </w:pPr>
            <w:r>
              <w:rPr>
                <w:rFonts w:hint="eastAsia"/>
              </w:rPr>
              <w:t xml:space="preserve">④以产业布局，人口、距离以及资源化利用项目统筹设置。 </w:t>
            </w:r>
          </w:p>
          <w:p w14:paraId="68017539">
            <w:pPr>
              <w:pStyle w:val="91"/>
              <w:spacing w:line="500" w:lineRule="exact"/>
              <w:ind w:firstLine="480"/>
            </w:pPr>
            <w:r>
              <w:rPr>
                <w:rFonts w:hint="eastAsia"/>
              </w:rPr>
              <w:t xml:space="preserve">⑤工业固体废物资源综合利用产业需规范化、绿色化、规模化发展。开展工业固体废物资源综合利用评价，建立科学规范的工业固体废物资源综合利用评价制度，加强公共服务和事中事后监管，落实国家资源综合利用相关优惠政策、营造良好市场环境、提高企业开展资源综合利用的积极性。 </w:t>
            </w:r>
          </w:p>
          <w:p w14:paraId="31D27D47">
            <w:pPr>
              <w:pStyle w:val="91"/>
              <w:spacing w:line="500" w:lineRule="exact"/>
              <w:ind w:firstLine="480"/>
            </w:pPr>
            <w:r>
              <w:rPr>
                <w:rFonts w:hint="eastAsia"/>
              </w:rPr>
              <w:t xml:space="preserve">（4）选址条件 </w:t>
            </w:r>
          </w:p>
          <w:p w14:paraId="650100F6">
            <w:pPr>
              <w:pStyle w:val="91"/>
              <w:spacing w:line="500" w:lineRule="exact"/>
              <w:ind w:firstLine="480"/>
            </w:pPr>
            <w:r>
              <w:t>①</w:t>
            </w:r>
            <w:r>
              <w:rPr>
                <w:rFonts w:hint="eastAsia"/>
              </w:rPr>
              <w:t xml:space="preserve">位于城市主导风向下风向，交通运输便利，地下水源下游，离产废量较大企业距离近，与静脉产业园位置相同。 </w:t>
            </w:r>
          </w:p>
          <w:p w14:paraId="1803ADB4">
            <w:pPr>
              <w:pStyle w:val="91"/>
              <w:spacing w:line="500" w:lineRule="exact"/>
              <w:ind w:firstLine="480"/>
            </w:pPr>
            <w:r>
              <w:t>②</w:t>
            </w:r>
            <w:r>
              <w:rPr>
                <w:rFonts w:hint="eastAsia"/>
              </w:rPr>
              <w:t xml:space="preserve">远离居民区，与居民区距离满足环保要求。 </w:t>
            </w:r>
          </w:p>
          <w:p w14:paraId="4422F774">
            <w:pPr>
              <w:pStyle w:val="91"/>
              <w:spacing w:line="500" w:lineRule="exact"/>
              <w:ind w:firstLine="480"/>
            </w:pPr>
            <w:r>
              <w:rPr>
                <w:rFonts w:hint="eastAsia"/>
              </w:rPr>
              <w:t xml:space="preserve">③有可靠的电力供应，具备满足工程建设的工程地质和水文地质条件，不受洪水或内涝威胁。 </w:t>
            </w:r>
          </w:p>
          <w:p w14:paraId="230C513E">
            <w:pPr>
              <w:pStyle w:val="91"/>
              <w:spacing w:line="500" w:lineRule="exact"/>
              <w:ind w:firstLine="480"/>
            </w:pPr>
            <w:r>
              <w:rPr>
                <w:rFonts w:hint="eastAsia"/>
              </w:rPr>
              <w:t>④尽量远离生态保护红线区域，设定防护距离。符合与</w:t>
            </w:r>
            <w:r>
              <w:t>“</w:t>
            </w:r>
            <w:r>
              <w:rPr>
                <w:rFonts w:hint="eastAsia"/>
              </w:rPr>
              <w:t>三区三线</w:t>
            </w:r>
            <w:r>
              <w:t>”</w:t>
            </w:r>
            <w:r>
              <w:rPr>
                <w:rFonts w:hint="eastAsia"/>
              </w:rPr>
              <w:t xml:space="preserve">配套的综合利用空间管控措施要求。 </w:t>
            </w:r>
          </w:p>
          <w:p w14:paraId="1CA54769">
            <w:pPr>
              <w:pStyle w:val="91"/>
              <w:spacing w:line="500" w:lineRule="exact"/>
              <w:ind w:firstLine="480"/>
            </w:pPr>
            <w:r>
              <w:rPr>
                <w:rFonts w:hint="eastAsia"/>
              </w:rPr>
              <w:t xml:space="preserve">⑤既可以靠近原料供应地，也可以靠近产品市场，土地价格低。 </w:t>
            </w:r>
          </w:p>
          <w:p w14:paraId="088742EF">
            <w:pPr>
              <w:pStyle w:val="91"/>
              <w:spacing w:line="500" w:lineRule="exact"/>
              <w:ind w:firstLine="480"/>
            </w:pPr>
            <w:r>
              <w:rPr>
                <w:rFonts w:hint="eastAsia"/>
              </w:rPr>
              <w:t xml:space="preserve">⑥应避开地下水主要补给区和饮用水源含水层建设。禁止在河、湖、水库最高水位线以下的滩地和洪泛区建设。 </w:t>
            </w:r>
          </w:p>
          <w:p w14:paraId="2A41A979">
            <w:pPr>
              <w:pStyle w:val="91"/>
              <w:spacing w:line="500" w:lineRule="exact"/>
              <w:ind w:firstLine="480"/>
            </w:pPr>
            <w:r>
              <w:rPr>
                <w:rFonts w:hint="eastAsia"/>
              </w:rPr>
              <w:t xml:space="preserve">⑦禁止选在自然保护区、风景名胜区和其他需要特别保护的区域。 </w:t>
            </w:r>
          </w:p>
          <w:p w14:paraId="095AA493">
            <w:pPr>
              <w:pStyle w:val="91"/>
              <w:spacing w:line="500" w:lineRule="exact"/>
              <w:ind w:firstLine="480"/>
            </w:pPr>
            <w:r>
              <w:rPr>
                <w:rFonts w:hint="eastAsia"/>
              </w:rPr>
              <w:t>⑧应选在满足承载力要求的基础上，以避免地基下沉的影响，特别是不均匀或局部下沉的影响。应避开断层、断层破碎带、溶洞区，以及天然</w:t>
            </w:r>
            <w:r>
              <w:t>滑坡或泥石流影响区。</w:t>
            </w:r>
          </w:p>
          <w:p w14:paraId="787D2671">
            <w:pPr>
              <w:pStyle w:val="91"/>
              <w:spacing w:line="500" w:lineRule="exact"/>
              <w:ind w:firstLine="480"/>
            </w:pPr>
            <w:r>
              <w:t xml:space="preserve">⑨根据所在地区的环境功能区类别，综合评价其对周围环境、居住人群的身体健康、日常生活和生产活动的影响，确定其与常住居民居住场所、农用地、地表水体、高速公路、交通主干道（国道或省道）、铁路、飞机场、军事基地等敏感对象间合理的位置关系。 </w:t>
            </w:r>
          </w:p>
          <w:p w14:paraId="46D07D23">
            <w:pPr>
              <w:pStyle w:val="91"/>
              <w:spacing w:line="500" w:lineRule="exact"/>
              <w:ind w:firstLine="480"/>
            </w:pPr>
            <w:r>
              <w:t>⑩符合国家环保要求。</w:t>
            </w:r>
          </w:p>
          <w:p w14:paraId="66326FE8">
            <w:pPr>
              <w:pStyle w:val="91"/>
              <w:spacing w:line="500" w:lineRule="exact"/>
              <w:ind w:firstLine="480"/>
            </w:pPr>
            <w:r>
              <w:t>本项目位于黑龙江省</w:t>
            </w:r>
            <w:r>
              <w:rPr>
                <w:rFonts w:hint="eastAsia"/>
              </w:rPr>
              <w:t>鸡西市鸡冠区红星乡红太村红光组</w:t>
            </w:r>
            <w:r>
              <w:t>，项目收集的废弃塑料由鸡西市周边产生，</w:t>
            </w:r>
            <w:r>
              <w:rPr>
                <w:rFonts w:hint="eastAsia"/>
              </w:rPr>
              <w:t>既可以靠近原料供应地，也可以靠近产品市场，土地价格低。</w:t>
            </w:r>
            <w:r>
              <w:t>提高了鸡西市一般固废综合利用率，</w:t>
            </w:r>
            <w:r>
              <w:rPr>
                <w:rFonts w:hint="eastAsia"/>
              </w:rPr>
              <w:t>项目选址远离生态保护红线区域。符合与</w:t>
            </w:r>
            <w:r>
              <w:t>“</w:t>
            </w:r>
            <w:r>
              <w:rPr>
                <w:rFonts w:hint="eastAsia"/>
              </w:rPr>
              <w:t>三区三线</w:t>
            </w:r>
            <w:r>
              <w:t>”</w:t>
            </w:r>
            <w:r>
              <w:rPr>
                <w:rFonts w:hint="eastAsia"/>
              </w:rPr>
              <w:t>配套的综合利用空间管控措施要求。</w:t>
            </w:r>
            <w:r>
              <w:t>项目的选址符合《黑龙江省鸡西市城乡固体废物分类治理专项规划（2019-2035</w:t>
            </w:r>
            <w:r>
              <w:rPr>
                <w:rFonts w:hint="eastAsia"/>
              </w:rPr>
              <w:t>）</w:t>
            </w:r>
            <w:r>
              <w:t>》</w:t>
            </w:r>
            <w:r>
              <w:rPr>
                <w:rFonts w:hint="eastAsia"/>
              </w:rPr>
              <w:t>要求。</w:t>
            </w:r>
          </w:p>
          <w:p w14:paraId="4D7F3885">
            <w:pPr>
              <w:pStyle w:val="91"/>
              <w:spacing w:line="500" w:lineRule="exact"/>
              <w:ind w:firstLine="480"/>
            </w:pPr>
            <w:r>
              <w:rPr>
                <w:rFonts w:hint="eastAsia"/>
              </w:rPr>
              <w:t>6.与《地下水管理条例》的符合性分析</w:t>
            </w:r>
          </w:p>
          <w:p w14:paraId="29D6DF01">
            <w:pPr>
              <w:pStyle w:val="91"/>
              <w:spacing w:line="500" w:lineRule="exact"/>
              <w:ind w:firstLine="480"/>
            </w:pPr>
            <w:r>
              <w:rPr>
                <w:rFonts w:hint="eastAsia"/>
              </w:rPr>
              <w:t>《地下水管理条例》相关内容：</w:t>
            </w:r>
          </w:p>
          <w:p w14:paraId="48792047">
            <w:pPr>
              <w:pStyle w:val="91"/>
              <w:spacing w:line="500" w:lineRule="exact"/>
              <w:ind w:firstLine="480"/>
            </w:pPr>
            <w:r>
              <w:rPr>
                <w:rFonts w:hint="eastAsia"/>
              </w:rPr>
              <w:t>第二十一条 取用地下水的单位和个人应当遵守取水总量控制和定额管理要求，使用先进节约用水技术、工艺和设备，采取循环用水、综合利用及废水处理回用等措施，实施技术改造，降低用水消耗。</w:t>
            </w:r>
          </w:p>
          <w:p w14:paraId="11A32CE9">
            <w:pPr>
              <w:pStyle w:val="91"/>
              <w:spacing w:line="500" w:lineRule="exact"/>
              <w:ind w:firstLine="480"/>
            </w:pPr>
            <w:r>
              <w:rPr>
                <w:rFonts w:hint="eastAsia"/>
              </w:rPr>
              <w:t>对下列工艺、设备和产品，应当在规定的期限内停止生产、销售、进口或者使用：</w:t>
            </w:r>
          </w:p>
          <w:p w14:paraId="75CB8BC5">
            <w:pPr>
              <w:pStyle w:val="91"/>
              <w:spacing w:line="500" w:lineRule="exact"/>
              <w:ind w:firstLine="480"/>
            </w:pPr>
            <w:r>
              <w:rPr>
                <w:rFonts w:hint="eastAsia"/>
              </w:rPr>
              <w:t>（一）列入淘汰落后的、耗水量高的工艺、设备和产品名录的；</w:t>
            </w:r>
          </w:p>
          <w:p w14:paraId="550AF338">
            <w:pPr>
              <w:pStyle w:val="91"/>
              <w:spacing w:line="500" w:lineRule="exact"/>
              <w:ind w:firstLine="480"/>
            </w:pPr>
            <w:r>
              <w:rPr>
                <w:rFonts w:hint="eastAsia"/>
              </w:rPr>
              <w:t>（二）列入限期禁止采用的严重污染水环境的工艺名录和限期禁止生产、销售、进口、使用的严重污染水环境的设备名录的。</w:t>
            </w:r>
          </w:p>
          <w:p w14:paraId="65E32F32">
            <w:pPr>
              <w:pStyle w:val="91"/>
              <w:spacing w:line="500" w:lineRule="exact"/>
              <w:ind w:firstLine="480"/>
            </w:pPr>
            <w:r>
              <w:rPr>
                <w:rFonts w:hint="eastAsia"/>
              </w:rPr>
              <w:t>第二十二条新建、改建、扩建地下水取水工程，应当同时安装计量设施。已有地下水取水工程未安装计量设施的，应当按照县级以上地方人民政府水行政主管部门规定的期限安装。</w:t>
            </w:r>
          </w:p>
          <w:p w14:paraId="22FE3F8E">
            <w:pPr>
              <w:pStyle w:val="91"/>
              <w:spacing w:line="500" w:lineRule="exact"/>
              <w:ind w:firstLine="480"/>
            </w:pPr>
            <w:r>
              <w:rPr>
                <w:rFonts w:hint="eastAsia"/>
              </w:rPr>
              <w:t>单位和个人取用地下水量达到取水规模以上的，应当安装地下水取水在线计量设施，并将计量数据实时传输到有管理权限的水行政主管部门。取水规模由省、自治区、直辖市人民政府水行政主管部门制定、公布，并报国务院水行政主管部门备案。</w:t>
            </w:r>
          </w:p>
          <w:p w14:paraId="1B50E524">
            <w:pPr>
              <w:pStyle w:val="91"/>
              <w:spacing w:line="500" w:lineRule="exact"/>
              <w:ind w:firstLine="480"/>
            </w:pPr>
            <w:r>
              <w:rPr>
                <w:rFonts w:hint="eastAsia"/>
              </w:rPr>
              <w:t>符合性分析：本项目节约用水，生产用水循环利用不外排，项目所用工艺、设备不属于淘汰类和禁止类内容，项目取水应在当地水行政主管部门进行备案，按水行政主管部门的许可要求进行取水，按照上述要求，本项目符合《地下水管理条例》的相关要求。</w:t>
            </w:r>
          </w:p>
          <w:p w14:paraId="33F7C23D">
            <w:pPr>
              <w:pStyle w:val="91"/>
              <w:spacing w:line="500" w:lineRule="exact"/>
              <w:ind w:firstLine="480"/>
            </w:pPr>
            <w:r>
              <w:rPr>
                <w:rFonts w:hint="eastAsia"/>
              </w:rPr>
              <w:t>7.与《电子废物、废轮胎、废塑料、废旧衣服、</w:t>
            </w:r>
            <w:r>
              <w:t>废家电拆解等再生利用行业清理整顿工作方案</w:t>
            </w:r>
            <w:r>
              <w:rPr>
                <w:rFonts w:hint="eastAsia"/>
              </w:rPr>
              <w:t>》的符合性分析</w:t>
            </w:r>
          </w:p>
          <w:p w14:paraId="76616D75">
            <w:pPr>
              <w:pStyle w:val="91"/>
              <w:spacing w:line="500" w:lineRule="exact"/>
              <w:ind w:firstLine="480"/>
            </w:pPr>
            <w:r>
              <w:rPr>
                <w:rFonts w:hint="eastAsia"/>
              </w:rPr>
              <w:t>规范引导一批再生利用企业健康发展。发挥“城市矿产”示范基地、再生资源示范工程、循环经济示范园区的引领作用和回收利用骨干企业的带动作用；完善再生资源回收利用基础设施，促进有关企业采用先进适用加工工艺</w:t>
            </w:r>
            <w:r>
              <w:rPr>
                <w:rFonts w:hint="default"/>
              </w:rPr>
              <w:t>，</w:t>
            </w:r>
            <w:r>
              <w:rPr>
                <w:rFonts w:hint="eastAsia"/>
              </w:rPr>
              <w:t>集聚发展，集中建设和运营污染治理设施；推动国内废物再生利用集散地园区化、规模化和清洁化发展；鼓励合法合规再生利用企业联合、重组，做大做强。</w:t>
            </w:r>
          </w:p>
          <w:p w14:paraId="3D0AC9FE">
            <w:pPr>
              <w:pStyle w:val="91"/>
              <w:spacing w:line="500" w:lineRule="exact"/>
              <w:ind w:firstLine="480"/>
            </w:pPr>
            <w:r>
              <w:rPr>
                <w:rFonts w:hint="eastAsia"/>
              </w:rPr>
              <w:t>本项目属于再生资源回收处置工程，为</w:t>
            </w:r>
            <w:r>
              <w:t>非金属废料和碎屑加工处理</w:t>
            </w:r>
            <w:r>
              <w:rPr>
                <w:rFonts w:hint="eastAsia"/>
              </w:rPr>
              <w:t>项目，项目生产所需的原料从鸡西市和周边区县采购，主要为周边废品收购站进行采购，在各收购站分类打包完成后，进入本厂进行破碎加工。禁止收集含危险废物、未经压缩打包、含有残液或其他杂质的废塑料入厂，从源头减少了废塑料污染物的产生。符合《电子废物、废轮胎、废塑料、废旧衣服、</w:t>
            </w:r>
            <w:r>
              <w:t>废家电拆解等再生利用行业清理整顿工作方案</w:t>
            </w:r>
            <w:r>
              <w:rPr>
                <w:rFonts w:hint="eastAsia"/>
              </w:rPr>
              <w:t>》要求。</w:t>
            </w:r>
          </w:p>
          <w:p w14:paraId="37331404">
            <w:pPr>
              <w:pStyle w:val="91"/>
              <w:spacing w:line="500" w:lineRule="exact"/>
              <w:ind w:firstLine="480"/>
            </w:pPr>
            <w:r>
              <w:rPr>
                <w:rFonts w:hint="eastAsia"/>
              </w:rPr>
              <w:t>8.与《国家发展改革委 生态环境部关于印发“十四五”塑料污染治理行动方案的通知》符合性分析</w:t>
            </w:r>
          </w:p>
          <w:p w14:paraId="3DDEACD7">
            <w:pPr>
              <w:pStyle w:val="91"/>
              <w:spacing w:line="500" w:lineRule="exact"/>
              <w:ind w:firstLine="480"/>
            </w:pPr>
            <w:r>
              <w:rPr>
                <w:rFonts w:hint="eastAsia" w:ascii="宋体" w:hAnsi="宋体" w:cs="宋体"/>
                <w:szCs w:val="24"/>
                <w:shd w:val="clear" w:color="auto" w:fill="FFFFFF"/>
              </w:rPr>
              <w:t>建立完善农村塑料废弃物收运处置体系。完善农村生活垃圾分类收集、转运和处置体系，构建稳定运行的长效机制，加强日常监督，不断提高运行管理水平。根据当地实际，统筹县、乡镇、村三级设施建设和服务，合理选择收集、转运和处置模式。深入实施农膜回收行动，继续开展农膜回收示范县建设，推广标准地膜应用，推动机械化捡拾、专业化回收和资源化利用。开展农药包装物回收行动。支持和指导种养殖大户、农业生产服务组织、再生资源回收企业等相关责任主体积极开展灌溉器具、渔网渔具、秧盘等废旧农渔物资回收利用。</w:t>
            </w:r>
          </w:p>
          <w:p w14:paraId="6B2BCD6D">
            <w:pPr>
              <w:pStyle w:val="91"/>
              <w:spacing w:line="500" w:lineRule="exact"/>
              <w:ind w:firstLine="480"/>
            </w:pPr>
            <w:r>
              <w:rPr>
                <w:rFonts w:hint="eastAsia"/>
              </w:rPr>
              <w:t>本项目属于再生资源回收处置工程，为</w:t>
            </w:r>
            <w:r>
              <w:t>非金属废料和碎屑加工处理</w:t>
            </w:r>
            <w:r>
              <w:rPr>
                <w:rFonts w:hint="eastAsia"/>
              </w:rPr>
              <w:t>项目，项目生产所需的原料从鸡西市和周边区县采购，主要为周边废品收购站进行采购，在各收购站分类打包完成后，进入本厂进行破碎加工。禁止收集含危险废物、未经压缩打包、含有残液或其他杂质的废塑料入厂，从源头减少了废塑料污染物的产生。符合《国家发展改革委 生态环境部关于印发“十四五”塑料污染治理行动方案的通知》要求。</w:t>
            </w:r>
          </w:p>
          <w:p w14:paraId="5E2D4300">
            <w:pPr>
              <w:pStyle w:val="91"/>
              <w:spacing w:line="500" w:lineRule="exact"/>
              <w:ind w:firstLine="480"/>
            </w:pPr>
            <w:r>
              <w:rPr>
                <w:rFonts w:hint="eastAsia"/>
              </w:rPr>
              <w:t>9.与《鸡西市人民政府印发鸡西市空气质量持续改善行动计划贯彻落实方案的通知》符合性分析</w:t>
            </w:r>
          </w:p>
          <w:p w14:paraId="6E4B0BDF">
            <w:pPr>
              <w:pStyle w:val="91"/>
              <w:spacing w:line="500" w:lineRule="exact"/>
              <w:ind w:firstLine="480"/>
            </w:pPr>
            <w:r>
              <w:rPr>
                <w:rFonts w:hint="eastAsia"/>
              </w:rPr>
              <w:t>深化扬尘污染综合治理。</w:t>
            </w:r>
            <w:r>
              <w:t>全面推行绿色施工，严格执行“六个百分之百”，将防治扬尘污染费用纳入工程造价。到2025年，全市装配式建筑占新建建筑面积的比例力争达到20%；地级及以上城市建成区道路机械化清扫率达到80%左右，县城达到70%左右。对城市公共裸地进行排查建档并采取防尘措施。城市大型煤炭、矿石等干散货码头物料堆场基本完成抑尘设施建设和物料输送系统封闭改造。</w:t>
            </w:r>
          </w:p>
          <w:p w14:paraId="4DA2110A">
            <w:pPr>
              <w:pStyle w:val="91"/>
              <w:spacing w:line="500" w:lineRule="exact"/>
              <w:ind w:firstLine="480"/>
            </w:pPr>
            <w:r>
              <w:rPr>
                <w:rFonts w:hint="eastAsia"/>
              </w:rPr>
              <w:t>本项目生产过程中采用湿法破碎工艺，不涉及造粒工艺，物料储存、装卸工作均在封闭库房内进行，粉尘产生量较小，可以忽略不计。符合《鸡西市人民政府印发鸡西市空气质量持续改善行动计划贯彻落实方案的通知》要求。</w:t>
            </w:r>
          </w:p>
          <w:p w14:paraId="100DD466">
            <w:pPr>
              <w:pStyle w:val="91"/>
              <w:spacing w:line="500" w:lineRule="exact"/>
              <w:ind w:firstLine="480"/>
            </w:pPr>
            <w:r>
              <w:rPr>
                <w:rFonts w:hint="eastAsia"/>
              </w:rPr>
              <w:t>7.选址合理性</w:t>
            </w:r>
            <w:r>
              <w:t>分析</w:t>
            </w:r>
          </w:p>
          <w:p w14:paraId="0C2D4F45">
            <w:pPr>
              <w:pStyle w:val="91"/>
              <w:spacing w:line="460" w:lineRule="exact"/>
              <w:ind w:firstLine="480"/>
              <w:rPr>
                <w:szCs w:val="24"/>
              </w:rPr>
            </w:pPr>
            <w:r>
              <w:rPr>
                <w:rFonts w:hint="eastAsia"/>
              </w:rPr>
              <w:t>本</w:t>
            </w:r>
            <w:r>
              <w:t>项目位于鸡西市</w:t>
            </w:r>
            <w:r>
              <w:rPr>
                <w:rFonts w:hint="eastAsia"/>
              </w:rPr>
              <w:t>鸡冠区红太村，项目租赁红太村红光组原砖厂厂房进行生产，用地性质为工矿用地，</w:t>
            </w:r>
            <w:r>
              <w:rPr>
                <w:rFonts w:hint="eastAsia"/>
                <w:szCs w:val="24"/>
              </w:rPr>
              <w:t>根据《鸡西市国土空间总体规划（2011—2020年）》，本项目所在地不位于中心城区范围内，</w:t>
            </w:r>
            <w:r>
              <w:rPr>
                <w:rFonts w:hint="eastAsia"/>
              </w:rPr>
              <w:t>项目东侧为厂房，西侧为农田，南侧为红太村居民民房、北侧为荒地，</w:t>
            </w:r>
            <w:r>
              <w:t>项目选址不属于</w:t>
            </w:r>
            <w:r>
              <w:rPr>
                <w:rFonts w:hint="eastAsia"/>
              </w:rPr>
              <w:t>自然保护区、风景名胜区、</w:t>
            </w:r>
            <w:r>
              <w:t>生活饮用水源地保护区、温泉疗养区、水产养殖区、基本农田保护区等</w:t>
            </w:r>
            <w:r>
              <w:rPr>
                <w:rFonts w:hint="eastAsia"/>
              </w:rPr>
              <w:t>其他</w:t>
            </w:r>
            <w:r>
              <w:t>需要特殊保护区域</w:t>
            </w:r>
            <w:r>
              <w:rPr>
                <w:rFonts w:hint="eastAsia"/>
              </w:rPr>
              <w:t>。项目南侧100米存在居民居住，但由于本项目为废弃塑料进行湿法破碎后外售，项目生产均在所租赁厂房内完成，项目废气产生量很小，可以忽略不计，产生的废水经絮凝沉淀后循环利用，</w:t>
            </w:r>
            <w:r>
              <w:rPr>
                <w:szCs w:val="24"/>
              </w:rPr>
              <w:t>本项目在严格落实本评价提出的环保措施前提下，产生的各项污染物浓度均达标排放，对周围环境影响较小</w:t>
            </w:r>
            <w:r>
              <w:rPr>
                <w:rFonts w:hint="eastAsia"/>
                <w:szCs w:val="24"/>
              </w:rPr>
              <w:t>。</w:t>
            </w:r>
          </w:p>
          <w:p w14:paraId="544C12F3">
            <w:pPr>
              <w:pStyle w:val="91"/>
              <w:spacing w:line="460" w:lineRule="exact"/>
              <w:ind w:firstLine="480"/>
            </w:pPr>
            <w:r>
              <w:rPr>
                <w:rFonts w:hint="eastAsia"/>
              </w:rPr>
              <w:t>本项目不属于高污染高耗能项目，项目利用居民生活产生的废弃塑料为原料，进行简单湿法破碎后外售，提高了废旧物资的循环利用率，减少了污染物排放，生产过程中通过采取相应措施后对周围环境影响接受，本项目建设对环境影响可接受。本项目地理位置优越，周边道路等基础设施良好，交通十分便捷，有利于原材料的收购。因此，本项目选址合理。</w:t>
            </w:r>
          </w:p>
        </w:tc>
      </w:tr>
    </w:tbl>
    <w:p w14:paraId="6010FA9D">
      <w:pPr>
        <w:rPr>
          <w:snapToGrid w:val="0"/>
          <w:sz w:val="30"/>
          <w:szCs w:val="30"/>
        </w:rPr>
      </w:pPr>
      <w:bookmarkStart w:id="4" w:name="_Toc83393931"/>
      <w:r>
        <w:rPr>
          <w:snapToGrid w:val="0"/>
          <w:sz w:val="30"/>
          <w:szCs w:val="30"/>
        </w:rPr>
        <w:br w:type="page"/>
      </w:r>
    </w:p>
    <w:p w14:paraId="48672D3E">
      <w:pPr>
        <w:pStyle w:val="27"/>
        <w:keepNext/>
        <w:widowControl w:val="0"/>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bookmarkEnd w:id="4"/>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43C7E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2" w:type="dxa"/>
            <w:vAlign w:val="center"/>
          </w:tcPr>
          <w:p w14:paraId="7C842A71">
            <w:pPr>
              <w:pStyle w:val="2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68" w:type="dxa"/>
          </w:tcPr>
          <w:p w14:paraId="1033B458">
            <w:pPr>
              <w:pStyle w:val="91"/>
              <w:ind w:firstLine="480"/>
            </w:pPr>
            <w:r>
              <w:rPr>
                <w:rFonts w:hint="eastAsia"/>
              </w:rPr>
              <w:t>1.</w:t>
            </w:r>
            <w:r>
              <w:t>建设内容及规模</w:t>
            </w:r>
          </w:p>
          <w:p w14:paraId="68413D36">
            <w:pPr>
              <w:pStyle w:val="91"/>
              <w:ind w:firstLine="480"/>
            </w:pPr>
            <w:r>
              <w:rPr>
                <w:rFonts w:hint="eastAsia"/>
              </w:rPr>
              <w:t>本项目租赁鸡西市鸡冠区红星乡红太村红光组的一栋闲置厂房进行建设，用地</w:t>
            </w:r>
            <w:r>
              <w:t>性质为</w:t>
            </w:r>
            <w:r>
              <w:rPr>
                <w:rFonts w:hint="eastAsia"/>
              </w:rPr>
              <w:t>工矿用地</w:t>
            </w:r>
            <w:r>
              <w:t>，</w:t>
            </w:r>
            <w:r>
              <w:rPr>
                <w:rFonts w:hint="eastAsia"/>
                <w:color w:val="FF0000"/>
              </w:rPr>
              <w:t>项目</w:t>
            </w:r>
            <w:r>
              <w:rPr>
                <w:rFonts w:hint="eastAsia"/>
                <w:color w:val="FF0000"/>
                <w:lang w:eastAsia="zh"/>
                <w:woUserID w:val="1"/>
              </w:rPr>
              <w:t>总</w:t>
            </w:r>
            <w:r>
              <w:rPr>
                <w:rFonts w:hint="eastAsia"/>
                <w:color w:val="FF0000"/>
              </w:rPr>
              <w:t>占地</w:t>
            </w:r>
            <w:r>
              <w:rPr>
                <w:rFonts w:hint="eastAsia"/>
                <w:color w:val="FF0000"/>
                <w:lang w:eastAsia="zh"/>
                <w:woUserID w:val="1"/>
              </w:rPr>
              <w:t>面积</w:t>
            </w:r>
            <w:r>
              <w:rPr>
                <w:rFonts w:hint="eastAsia"/>
                <w:color w:val="FF0000"/>
              </w:rPr>
              <w:t>2600 m</w:t>
            </w:r>
            <w:r>
              <w:rPr>
                <w:color w:val="FF0000"/>
                <w:vertAlign w:val="superscript"/>
              </w:rPr>
              <w:t>2</w:t>
            </w:r>
            <w:r>
              <w:rPr>
                <w:rFonts w:hint="eastAsia"/>
                <w:color w:val="FF0000"/>
              </w:rPr>
              <w:t>，厂房</w:t>
            </w:r>
            <w:r>
              <w:rPr>
                <w:color w:val="FF0000"/>
              </w:rPr>
              <w:t>建筑面积</w:t>
            </w:r>
            <w:r>
              <w:rPr>
                <w:rFonts w:hint="eastAsia"/>
                <w:color w:val="FF0000"/>
              </w:rPr>
              <w:t>20</w:t>
            </w:r>
            <w:r>
              <w:rPr>
                <w:color w:val="FF0000"/>
              </w:rPr>
              <w:t>00</w:t>
            </w:r>
            <w:r>
              <w:rPr>
                <w:rFonts w:hint="eastAsia"/>
                <w:color w:val="FF0000"/>
              </w:rPr>
              <w:t>m</w:t>
            </w:r>
            <w:r>
              <w:rPr>
                <w:color w:val="FF0000"/>
                <w:vertAlign w:val="superscript"/>
              </w:rPr>
              <w:t>2</w:t>
            </w:r>
            <w:r>
              <w:t>，</w:t>
            </w:r>
            <w:r>
              <w:rPr>
                <w:rFonts w:hint="eastAsia"/>
              </w:rPr>
              <w:t>厂房内设置原料区、生产区、成品区，项目建成后，</w:t>
            </w:r>
            <w:r>
              <w:t>年</w:t>
            </w:r>
            <w:r>
              <w:rPr>
                <w:rFonts w:hint="eastAsia"/>
              </w:rPr>
              <w:t>回收</w:t>
            </w:r>
            <w:r>
              <w:t>处理废塑料30000t</w:t>
            </w:r>
            <w:r>
              <w:rPr>
                <w:rFonts w:hint="eastAsia"/>
              </w:rPr>
              <w:t>，项目仅进行废塑料破碎，不涉及造粒工艺</w:t>
            </w:r>
            <w:r>
              <w:t>。建设内容见表2-1。</w:t>
            </w:r>
          </w:p>
          <w:p w14:paraId="3FE2E739">
            <w:pPr>
              <w:pStyle w:val="8"/>
              <w:keepNext/>
              <w:adjustRightInd w:val="0"/>
              <w:snapToGrid w:val="0"/>
              <w:ind w:firstLine="0"/>
              <w:jc w:val="center"/>
              <w:rPr>
                <w:b/>
                <w:sz w:val="21"/>
                <w:szCs w:val="21"/>
              </w:rPr>
            </w:pPr>
            <w:r>
              <w:rPr>
                <w:b/>
                <w:sz w:val="21"/>
                <w:szCs w:val="21"/>
              </w:rPr>
              <w:t>表2-1 项目建设内容一览表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49"/>
              <w:gridCol w:w="6862"/>
            </w:tblGrid>
            <w:tr w14:paraId="1B693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14:paraId="63CC45F8">
                  <w:pPr>
                    <w:widowControl/>
                    <w:jc w:val="center"/>
                    <w:rPr>
                      <w:szCs w:val="21"/>
                    </w:rPr>
                  </w:pPr>
                  <w:r>
                    <w:rPr>
                      <w:rFonts w:hint="eastAsia"/>
                      <w:szCs w:val="21"/>
                    </w:rPr>
                    <w:t>工程类别</w:t>
                  </w:r>
                </w:p>
              </w:tc>
              <w:tc>
                <w:tcPr>
                  <w:tcW w:w="504" w:type="pct"/>
                  <w:vAlign w:val="center"/>
                </w:tcPr>
                <w:p w14:paraId="76077FAB">
                  <w:pPr>
                    <w:widowControl/>
                    <w:jc w:val="center"/>
                    <w:rPr>
                      <w:szCs w:val="21"/>
                    </w:rPr>
                  </w:pPr>
                  <w:r>
                    <w:rPr>
                      <w:rFonts w:hint="eastAsia"/>
                      <w:szCs w:val="21"/>
                    </w:rPr>
                    <w:t>工程名称</w:t>
                  </w:r>
                </w:p>
              </w:tc>
              <w:tc>
                <w:tcPr>
                  <w:tcW w:w="4074" w:type="pct"/>
                  <w:vAlign w:val="center"/>
                </w:tcPr>
                <w:p w14:paraId="32001F28">
                  <w:pPr>
                    <w:widowControl/>
                    <w:jc w:val="center"/>
                    <w:rPr>
                      <w:szCs w:val="21"/>
                    </w:rPr>
                  </w:pPr>
                  <w:r>
                    <w:rPr>
                      <w:rFonts w:hint="eastAsia"/>
                      <w:szCs w:val="21"/>
                    </w:rPr>
                    <w:t>工程内容</w:t>
                  </w:r>
                </w:p>
              </w:tc>
            </w:tr>
            <w:tr w14:paraId="233AB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14:paraId="320EE354">
                  <w:pPr>
                    <w:jc w:val="center"/>
                    <w:rPr>
                      <w:szCs w:val="21"/>
                    </w:rPr>
                  </w:pPr>
                  <w:r>
                    <w:rPr>
                      <w:rFonts w:hint="eastAsia"/>
                      <w:szCs w:val="21"/>
                    </w:rPr>
                    <w:t>主体工程</w:t>
                  </w:r>
                </w:p>
              </w:tc>
              <w:tc>
                <w:tcPr>
                  <w:tcW w:w="504" w:type="pct"/>
                  <w:vAlign w:val="center"/>
                </w:tcPr>
                <w:p w14:paraId="675A46AF">
                  <w:pPr>
                    <w:widowControl/>
                    <w:jc w:val="center"/>
                    <w:rPr>
                      <w:szCs w:val="21"/>
                    </w:rPr>
                  </w:pPr>
                  <w:r>
                    <w:rPr>
                      <w:rFonts w:hint="eastAsia"/>
                      <w:szCs w:val="21"/>
                    </w:rPr>
                    <w:t>厂房</w:t>
                  </w:r>
                </w:p>
              </w:tc>
              <w:tc>
                <w:tcPr>
                  <w:tcW w:w="4074" w:type="pct"/>
                  <w:vAlign w:val="center"/>
                </w:tcPr>
                <w:p w14:paraId="0A6453A4">
                  <w:pPr>
                    <w:widowControl/>
                    <w:rPr>
                      <w:szCs w:val="21"/>
                    </w:rPr>
                  </w:pPr>
                  <w:r>
                    <w:rPr>
                      <w:rFonts w:hint="eastAsia"/>
                      <w:szCs w:val="21"/>
                    </w:rPr>
                    <w:t>建筑面积20</w:t>
                  </w:r>
                  <w:r>
                    <w:rPr>
                      <w:szCs w:val="21"/>
                    </w:rPr>
                    <w:t>00</w:t>
                  </w:r>
                  <w:r>
                    <w:rPr>
                      <w:rFonts w:hint="eastAsia"/>
                      <w:szCs w:val="21"/>
                    </w:rPr>
                    <w:t>m</w:t>
                  </w:r>
                  <w:r>
                    <w:rPr>
                      <w:rFonts w:hint="eastAsia"/>
                      <w:szCs w:val="21"/>
                      <w:vertAlign w:val="superscript"/>
                    </w:rPr>
                    <w:t>2</w:t>
                  </w:r>
                  <w:r>
                    <w:rPr>
                      <w:rFonts w:hint="eastAsia"/>
                      <w:szCs w:val="21"/>
                    </w:rPr>
                    <w:t>，1层建筑，高3m，砖混结构，</w:t>
                  </w:r>
                  <w:r>
                    <w:rPr>
                      <w:rStyle w:val="89"/>
                      <w:rFonts w:hint="eastAsia"/>
                    </w:rPr>
                    <w:t>车间内设置2条废塑料加工生产线，包括脱标机、粉碎机、清洗池、提料机、甩干机，生产线设备采取串联方式，</w:t>
                  </w:r>
                  <w:r>
                    <w:t>年处理废塑料30000t</w:t>
                  </w:r>
                  <w:r>
                    <w:rPr>
                      <w:rFonts w:hint="eastAsia"/>
                    </w:rPr>
                    <w:t>，包括塑料瓶、</w:t>
                  </w:r>
                  <w:r>
                    <w:rPr>
                      <w:rFonts w:hint="eastAsia"/>
                      <w:szCs w:val="21"/>
                    </w:rPr>
                    <w:t>塑料盆、塑料桶</w:t>
                  </w:r>
                  <w:r>
                    <w:rPr>
                      <w:rStyle w:val="89"/>
                      <w:rFonts w:hint="eastAsia"/>
                    </w:rPr>
                    <w:t>，以及未用于传染病患者、疑似传染病患者以及采取隔离措施的其他患者的输液瓶(袋)</w:t>
                  </w:r>
                  <w:r>
                    <w:rPr>
                      <w:rFonts w:hint="eastAsia"/>
                      <w:szCs w:val="21"/>
                    </w:rPr>
                    <w:t>，不涉及危险废物</w:t>
                  </w:r>
                  <w:r>
                    <w:rPr>
                      <w:rFonts w:hint="eastAsia"/>
                    </w:rPr>
                    <w:t>。</w:t>
                  </w:r>
                </w:p>
              </w:tc>
            </w:tr>
            <w:tr w14:paraId="2C35F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vAlign w:val="center"/>
                </w:tcPr>
                <w:p w14:paraId="5C08621C">
                  <w:pPr>
                    <w:jc w:val="center"/>
                    <w:rPr>
                      <w:szCs w:val="21"/>
                    </w:rPr>
                  </w:pPr>
                  <w:r>
                    <w:rPr>
                      <w:rFonts w:hint="eastAsia"/>
                      <w:szCs w:val="21"/>
                    </w:rPr>
                    <w:t>储运工程</w:t>
                  </w:r>
                </w:p>
              </w:tc>
              <w:tc>
                <w:tcPr>
                  <w:tcW w:w="504" w:type="pct"/>
                  <w:vAlign w:val="center"/>
                </w:tcPr>
                <w:p w14:paraId="532BE9B5">
                  <w:pPr>
                    <w:jc w:val="center"/>
                    <w:rPr>
                      <w:szCs w:val="21"/>
                    </w:rPr>
                  </w:pPr>
                  <w:r>
                    <w:rPr>
                      <w:rFonts w:hint="eastAsia"/>
                      <w:szCs w:val="21"/>
                    </w:rPr>
                    <w:t>成品区</w:t>
                  </w:r>
                </w:p>
              </w:tc>
              <w:tc>
                <w:tcPr>
                  <w:tcW w:w="4074" w:type="pct"/>
                  <w:vAlign w:val="center"/>
                </w:tcPr>
                <w:p w14:paraId="2F35FFD2">
                  <w:pPr>
                    <w:snapToGrid w:val="0"/>
                    <w:rPr>
                      <w:szCs w:val="21"/>
                    </w:rPr>
                  </w:pPr>
                  <w:r>
                    <w:rPr>
                      <w:rFonts w:hint="eastAsia"/>
                      <w:szCs w:val="21"/>
                    </w:rPr>
                    <w:t>位于厂房内部东侧，占地面积</w:t>
                  </w:r>
                  <w:r>
                    <w:rPr>
                      <w:szCs w:val="21"/>
                    </w:rPr>
                    <w:t>200</w:t>
                  </w:r>
                  <w:r>
                    <w:rPr>
                      <w:rFonts w:hint="eastAsia"/>
                      <w:szCs w:val="21"/>
                    </w:rPr>
                    <w:t>m</w:t>
                  </w:r>
                  <w:r>
                    <w:rPr>
                      <w:rFonts w:hint="eastAsia"/>
                      <w:szCs w:val="21"/>
                      <w:vertAlign w:val="superscript"/>
                    </w:rPr>
                    <w:t>2</w:t>
                  </w:r>
                  <w:r>
                    <w:rPr>
                      <w:rFonts w:hint="eastAsia"/>
                      <w:szCs w:val="21"/>
                    </w:rPr>
                    <w:t>，成品采用专用包装袋存储，每种产品分类贮存在成品区内，日常存储</w:t>
                  </w:r>
                  <w:r>
                    <w:rPr>
                      <w:szCs w:val="21"/>
                    </w:rPr>
                    <w:t>250</w:t>
                  </w:r>
                  <w:r>
                    <w:rPr>
                      <w:rFonts w:hint="eastAsia"/>
                      <w:szCs w:val="21"/>
                    </w:rPr>
                    <w:t>吨，存储期不超过2天。</w:t>
                  </w:r>
                </w:p>
              </w:tc>
            </w:tr>
            <w:tr w14:paraId="2DA76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6B6A2BCC">
                  <w:pPr>
                    <w:jc w:val="center"/>
                    <w:rPr>
                      <w:szCs w:val="21"/>
                    </w:rPr>
                  </w:pPr>
                </w:p>
              </w:tc>
              <w:tc>
                <w:tcPr>
                  <w:tcW w:w="504" w:type="pct"/>
                  <w:vAlign w:val="center"/>
                </w:tcPr>
                <w:p w14:paraId="18FCE893">
                  <w:pPr>
                    <w:jc w:val="center"/>
                    <w:rPr>
                      <w:szCs w:val="21"/>
                    </w:rPr>
                  </w:pPr>
                  <w:r>
                    <w:rPr>
                      <w:rFonts w:hint="eastAsia"/>
                      <w:szCs w:val="21"/>
                    </w:rPr>
                    <w:t>原料区</w:t>
                  </w:r>
                </w:p>
              </w:tc>
              <w:tc>
                <w:tcPr>
                  <w:tcW w:w="4074" w:type="pct"/>
                  <w:vAlign w:val="center"/>
                </w:tcPr>
                <w:p w14:paraId="76B280A7">
                  <w:pPr>
                    <w:snapToGrid w:val="0"/>
                    <w:rPr>
                      <w:szCs w:val="21"/>
                    </w:rPr>
                  </w:pPr>
                  <w:r>
                    <w:rPr>
                      <w:rFonts w:hint="eastAsia"/>
                      <w:szCs w:val="21"/>
                    </w:rPr>
                    <w:t>位于厂房内部西侧，占地面积</w:t>
                  </w:r>
                  <w:r>
                    <w:rPr>
                      <w:szCs w:val="21"/>
                    </w:rPr>
                    <w:t>800m</w:t>
                  </w:r>
                  <w:r>
                    <w:rPr>
                      <w:rFonts w:hint="eastAsia"/>
                      <w:szCs w:val="21"/>
                      <w:vertAlign w:val="superscript"/>
                    </w:rPr>
                    <w:t>2</w:t>
                  </w:r>
                  <w:r>
                    <w:rPr>
                      <w:rFonts w:hint="eastAsia"/>
                      <w:szCs w:val="21"/>
                    </w:rPr>
                    <w:t>，存储原料，不同材质的原料分区堆存在原料区内，日常存储7</w:t>
                  </w:r>
                  <w:r>
                    <w:rPr>
                      <w:szCs w:val="21"/>
                    </w:rPr>
                    <w:t>00</w:t>
                  </w:r>
                  <w:r>
                    <w:rPr>
                      <w:rFonts w:hint="eastAsia"/>
                      <w:szCs w:val="21"/>
                    </w:rPr>
                    <w:t>吨，每5天进货一次。</w:t>
                  </w:r>
                </w:p>
              </w:tc>
            </w:tr>
            <w:tr w14:paraId="7211D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7872D794">
                  <w:pPr>
                    <w:jc w:val="center"/>
                    <w:rPr>
                      <w:szCs w:val="21"/>
                    </w:rPr>
                  </w:pPr>
                </w:p>
              </w:tc>
              <w:tc>
                <w:tcPr>
                  <w:tcW w:w="504" w:type="pct"/>
                  <w:vAlign w:val="center"/>
                </w:tcPr>
                <w:p w14:paraId="3DA654F7">
                  <w:pPr>
                    <w:jc w:val="center"/>
                    <w:rPr>
                      <w:szCs w:val="21"/>
                    </w:rPr>
                  </w:pPr>
                  <w:r>
                    <w:rPr>
                      <w:rFonts w:hint="eastAsia"/>
                      <w:szCs w:val="21"/>
                    </w:rPr>
                    <w:t>污水处理药剂存储</w:t>
                  </w:r>
                </w:p>
              </w:tc>
              <w:tc>
                <w:tcPr>
                  <w:tcW w:w="4074" w:type="pct"/>
                  <w:vAlign w:val="center"/>
                </w:tcPr>
                <w:p w14:paraId="4EF1581C">
                  <w:pPr>
                    <w:snapToGrid w:val="0"/>
                    <w:rPr>
                      <w:szCs w:val="21"/>
                    </w:rPr>
                  </w:pPr>
                  <w:r>
                    <w:rPr>
                      <w:rFonts w:hint="eastAsia"/>
                      <w:szCs w:val="21"/>
                    </w:rPr>
                    <w:t>本项目P</w:t>
                  </w:r>
                  <w:r>
                    <w:rPr>
                      <w:szCs w:val="21"/>
                    </w:rPr>
                    <w:t>AM</w:t>
                  </w:r>
                  <w:r>
                    <w:rPr>
                      <w:rFonts w:hint="eastAsia"/>
                      <w:szCs w:val="21"/>
                    </w:rPr>
                    <w:t>和P</w:t>
                  </w:r>
                  <w:r>
                    <w:rPr>
                      <w:szCs w:val="21"/>
                    </w:rPr>
                    <w:t>AC</w:t>
                  </w:r>
                  <w:r>
                    <w:rPr>
                      <w:rFonts w:hint="eastAsia"/>
                      <w:szCs w:val="21"/>
                    </w:rPr>
                    <w:t>采用2</w:t>
                  </w:r>
                  <w:r>
                    <w:rPr>
                      <w:szCs w:val="21"/>
                    </w:rPr>
                    <w:t>0</w:t>
                  </w:r>
                  <w:r>
                    <w:rPr>
                      <w:rFonts w:hint="eastAsia"/>
                      <w:szCs w:val="21"/>
                    </w:rPr>
                    <w:t>kg包装袋存储，存储在厂房内，P</w:t>
                  </w:r>
                  <w:r>
                    <w:rPr>
                      <w:szCs w:val="21"/>
                    </w:rPr>
                    <w:t>AM</w:t>
                  </w:r>
                  <w:r>
                    <w:rPr>
                      <w:rFonts w:hint="eastAsia"/>
                      <w:szCs w:val="21"/>
                    </w:rPr>
                    <w:t>存储</w:t>
                  </w:r>
                  <w:r>
                    <w:rPr>
                      <w:szCs w:val="21"/>
                    </w:rPr>
                    <w:t>3</w:t>
                  </w:r>
                  <w:r>
                    <w:rPr>
                      <w:rFonts w:hint="eastAsia"/>
                      <w:szCs w:val="21"/>
                    </w:rPr>
                    <w:t>袋，P</w:t>
                  </w:r>
                  <w:r>
                    <w:rPr>
                      <w:szCs w:val="21"/>
                    </w:rPr>
                    <w:t>AC</w:t>
                  </w:r>
                  <w:r>
                    <w:rPr>
                      <w:rFonts w:hint="eastAsia"/>
                      <w:szCs w:val="21"/>
                    </w:rPr>
                    <w:t>存储</w:t>
                  </w:r>
                  <w:r>
                    <w:rPr>
                      <w:szCs w:val="21"/>
                    </w:rPr>
                    <w:t>1</w:t>
                  </w:r>
                  <w:r>
                    <w:rPr>
                      <w:rFonts w:hint="eastAsia"/>
                      <w:szCs w:val="21"/>
                    </w:rPr>
                    <w:t>袋，存储周期为1</w:t>
                  </w:r>
                  <w:r>
                    <w:rPr>
                      <w:szCs w:val="21"/>
                    </w:rPr>
                    <w:t>5</w:t>
                  </w:r>
                  <w:r>
                    <w:rPr>
                      <w:rFonts w:hint="eastAsia"/>
                      <w:szCs w:val="21"/>
                    </w:rPr>
                    <w:t>天。</w:t>
                  </w:r>
                </w:p>
              </w:tc>
            </w:tr>
            <w:tr w14:paraId="7BA2A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21" w:type="pct"/>
                  <w:vMerge w:val="continue"/>
                  <w:vAlign w:val="center"/>
                </w:tcPr>
                <w:p w14:paraId="5174F5A5">
                  <w:pPr>
                    <w:jc w:val="center"/>
                    <w:rPr>
                      <w:szCs w:val="21"/>
                    </w:rPr>
                  </w:pPr>
                </w:p>
              </w:tc>
              <w:tc>
                <w:tcPr>
                  <w:tcW w:w="504" w:type="pct"/>
                  <w:vAlign w:val="center"/>
                </w:tcPr>
                <w:p w14:paraId="16BD727C">
                  <w:pPr>
                    <w:jc w:val="center"/>
                    <w:rPr>
                      <w:szCs w:val="21"/>
                    </w:rPr>
                  </w:pPr>
                  <w:r>
                    <w:rPr>
                      <w:rFonts w:hint="eastAsia"/>
                      <w:szCs w:val="21"/>
                    </w:rPr>
                    <w:t>清水池</w:t>
                  </w:r>
                </w:p>
              </w:tc>
              <w:tc>
                <w:tcPr>
                  <w:tcW w:w="4074" w:type="pct"/>
                  <w:vAlign w:val="center"/>
                </w:tcPr>
                <w:p w14:paraId="756048DB">
                  <w:pPr>
                    <w:snapToGrid w:val="0"/>
                    <w:rPr>
                      <w:szCs w:val="21"/>
                    </w:rPr>
                  </w:pPr>
                  <w:r>
                    <w:rPr>
                      <w:rFonts w:hint="eastAsia"/>
                      <w:szCs w:val="21"/>
                    </w:rPr>
                    <w:t>设置清水池1座，清水池容积120m</w:t>
                  </w:r>
                  <w:r>
                    <w:rPr>
                      <w:szCs w:val="21"/>
                      <w:vertAlign w:val="superscript"/>
                    </w:rPr>
                    <w:t>3</w:t>
                  </w:r>
                  <w:r>
                    <w:rPr>
                      <w:rFonts w:hint="eastAsia"/>
                      <w:szCs w:val="21"/>
                    </w:rPr>
                    <w:t>，用于清洗破碎后的物料，</w:t>
                  </w:r>
                  <w:r>
                    <w:rPr>
                      <w:rFonts w:hint="eastAsia"/>
                    </w:rPr>
                    <w:t>清洗过程采用清水进行简单清洗，主要对泥土进行清洗，不添加清洗剂</w:t>
                  </w:r>
                  <w:r>
                    <w:rPr>
                      <w:rFonts w:hint="eastAsia"/>
                      <w:szCs w:val="21"/>
                    </w:rPr>
                    <w:t>。</w:t>
                  </w:r>
                </w:p>
              </w:tc>
            </w:tr>
            <w:tr w14:paraId="0CD87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7851B45A">
                  <w:pPr>
                    <w:jc w:val="center"/>
                    <w:rPr>
                      <w:szCs w:val="21"/>
                    </w:rPr>
                  </w:pPr>
                </w:p>
              </w:tc>
              <w:tc>
                <w:tcPr>
                  <w:tcW w:w="504" w:type="pct"/>
                  <w:vAlign w:val="center"/>
                </w:tcPr>
                <w:p w14:paraId="50965666">
                  <w:pPr>
                    <w:jc w:val="center"/>
                    <w:rPr>
                      <w:szCs w:val="21"/>
                    </w:rPr>
                  </w:pPr>
                  <w:r>
                    <w:rPr>
                      <w:rFonts w:hint="eastAsia"/>
                      <w:szCs w:val="21"/>
                    </w:rPr>
                    <w:t>污水池</w:t>
                  </w:r>
                </w:p>
              </w:tc>
              <w:tc>
                <w:tcPr>
                  <w:tcW w:w="4074" w:type="pct"/>
                  <w:vAlign w:val="center"/>
                </w:tcPr>
                <w:p w14:paraId="40283968">
                  <w:pPr>
                    <w:snapToGrid w:val="0"/>
                    <w:rPr>
                      <w:szCs w:val="21"/>
                    </w:rPr>
                  </w:pPr>
                  <w:r>
                    <w:rPr>
                      <w:rFonts w:hint="eastAsia"/>
                      <w:szCs w:val="21"/>
                    </w:rPr>
                    <w:t>设置污水池2座，污水池容积分别为</w:t>
                  </w:r>
                  <w:r>
                    <w:rPr>
                      <w:szCs w:val="21"/>
                    </w:rPr>
                    <w:t>6</w:t>
                  </w:r>
                  <w:r>
                    <w:rPr>
                      <w:rFonts w:hint="eastAsia"/>
                      <w:szCs w:val="21"/>
                    </w:rPr>
                    <w:t>m</w:t>
                  </w:r>
                  <w:r>
                    <w:rPr>
                      <w:szCs w:val="21"/>
                      <w:vertAlign w:val="superscript"/>
                    </w:rPr>
                    <w:t>3</w:t>
                  </w:r>
                  <w:r>
                    <w:rPr>
                      <w:rFonts w:hint="eastAsia"/>
                      <w:szCs w:val="21"/>
                    </w:rPr>
                    <w:t>、5m</w:t>
                  </w:r>
                  <w:r>
                    <w:rPr>
                      <w:szCs w:val="21"/>
                      <w:vertAlign w:val="superscript"/>
                    </w:rPr>
                    <w:t>3</w:t>
                  </w:r>
                  <w:r>
                    <w:rPr>
                      <w:rFonts w:hint="eastAsia"/>
                      <w:szCs w:val="21"/>
                    </w:rPr>
                    <w:t>，用于收集生产过程中产生的废水</w:t>
                  </w:r>
                </w:p>
              </w:tc>
            </w:tr>
            <w:tr w14:paraId="5F2CE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24CED68C">
                  <w:pPr>
                    <w:jc w:val="center"/>
                    <w:rPr>
                      <w:szCs w:val="21"/>
                    </w:rPr>
                  </w:pPr>
                </w:p>
              </w:tc>
              <w:tc>
                <w:tcPr>
                  <w:tcW w:w="504" w:type="pct"/>
                  <w:vAlign w:val="center"/>
                </w:tcPr>
                <w:p w14:paraId="23DEF1C0">
                  <w:pPr>
                    <w:jc w:val="center"/>
                    <w:rPr>
                      <w:szCs w:val="21"/>
                    </w:rPr>
                  </w:pPr>
                  <w:r>
                    <w:rPr>
                      <w:rFonts w:hint="eastAsia"/>
                      <w:szCs w:val="21"/>
                    </w:rPr>
                    <w:t>污泥池</w:t>
                  </w:r>
                </w:p>
              </w:tc>
              <w:tc>
                <w:tcPr>
                  <w:tcW w:w="4074" w:type="pct"/>
                  <w:vAlign w:val="center"/>
                </w:tcPr>
                <w:p w14:paraId="4ECAB65F">
                  <w:pPr>
                    <w:snapToGrid w:val="0"/>
                    <w:rPr>
                      <w:szCs w:val="21"/>
                    </w:rPr>
                  </w:pPr>
                  <w:r>
                    <w:rPr>
                      <w:rFonts w:hint="eastAsia"/>
                      <w:szCs w:val="21"/>
                    </w:rPr>
                    <w:t>设置污泥池1座，污泥池容积2m</w:t>
                  </w:r>
                  <w:r>
                    <w:rPr>
                      <w:szCs w:val="21"/>
                      <w:vertAlign w:val="superscript"/>
                    </w:rPr>
                    <w:t>3</w:t>
                  </w:r>
                  <w:r>
                    <w:rPr>
                      <w:rFonts w:hint="eastAsia"/>
                      <w:szCs w:val="21"/>
                    </w:rPr>
                    <w:t>，</w:t>
                  </w:r>
                </w:p>
              </w:tc>
            </w:tr>
            <w:tr w14:paraId="35D1A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vAlign w:val="center"/>
                </w:tcPr>
                <w:p w14:paraId="2CEB3D84">
                  <w:pPr>
                    <w:jc w:val="center"/>
                    <w:rPr>
                      <w:szCs w:val="21"/>
                    </w:rPr>
                  </w:pPr>
                  <w:r>
                    <w:rPr>
                      <w:rFonts w:hint="eastAsia"/>
                      <w:szCs w:val="21"/>
                    </w:rPr>
                    <w:t>公用工程</w:t>
                  </w:r>
                </w:p>
              </w:tc>
              <w:tc>
                <w:tcPr>
                  <w:tcW w:w="504" w:type="pct"/>
                  <w:vAlign w:val="center"/>
                </w:tcPr>
                <w:p w14:paraId="74FF791F">
                  <w:pPr>
                    <w:jc w:val="center"/>
                    <w:rPr>
                      <w:szCs w:val="21"/>
                    </w:rPr>
                  </w:pPr>
                  <w:r>
                    <w:rPr>
                      <w:rFonts w:hint="eastAsia"/>
                      <w:szCs w:val="21"/>
                    </w:rPr>
                    <w:t>给水</w:t>
                  </w:r>
                </w:p>
              </w:tc>
              <w:tc>
                <w:tcPr>
                  <w:tcW w:w="4074" w:type="pct"/>
                  <w:vAlign w:val="center"/>
                </w:tcPr>
                <w:p w14:paraId="38EE84F6">
                  <w:pPr>
                    <w:rPr>
                      <w:szCs w:val="21"/>
                    </w:rPr>
                  </w:pPr>
                  <w:r>
                    <w:rPr>
                      <w:rFonts w:hint="eastAsia"/>
                      <w:szCs w:val="21"/>
                    </w:rPr>
                    <w:t>本项目</w:t>
                  </w:r>
                  <w:r>
                    <w:rPr>
                      <w:rFonts w:hint="eastAsia"/>
                    </w:rPr>
                    <w:t>生产用水和生活用水由厂区现有一眼深水井供给</w:t>
                  </w:r>
                  <w:r>
                    <w:rPr>
                      <w:rFonts w:hint="eastAsia"/>
                      <w:szCs w:val="21"/>
                    </w:rPr>
                    <w:t>，用水量为</w:t>
                  </w:r>
                  <w:r>
                    <w:rPr>
                      <w:rFonts w:hint="eastAsia"/>
                    </w:rPr>
                    <w:t>11.06</w:t>
                  </w:r>
                  <w:r>
                    <w:t>m</w:t>
                  </w:r>
                  <w:r>
                    <w:rPr>
                      <w:vertAlign w:val="superscript"/>
                    </w:rPr>
                    <w:t>3</w:t>
                  </w:r>
                  <w:r>
                    <w:t>/d（</w:t>
                  </w:r>
                  <w:r>
                    <w:rPr>
                      <w:rFonts w:hint="eastAsia"/>
                    </w:rPr>
                    <w:t>2654.4</w:t>
                  </w:r>
                  <w:r>
                    <w:t>t/a）</w:t>
                  </w:r>
                  <w:r>
                    <w:rPr>
                      <w:rFonts w:hint="eastAsia"/>
                    </w:rPr>
                    <w:t>，清洗过程采用清水进行简单清洗，主要对泥土进行清洗，不添加清洗剂</w:t>
                  </w:r>
                  <w:r>
                    <w:rPr>
                      <w:rFonts w:hint="eastAsia"/>
                      <w:szCs w:val="21"/>
                    </w:rPr>
                    <w:t>。</w:t>
                  </w:r>
                </w:p>
              </w:tc>
            </w:tr>
            <w:tr w14:paraId="2FCD9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7876C8F1">
                  <w:pPr>
                    <w:widowControl/>
                    <w:jc w:val="center"/>
                    <w:rPr>
                      <w:szCs w:val="21"/>
                    </w:rPr>
                  </w:pPr>
                </w:p>
              </w:tc>
              <w:tc>
                <w:tcPr>
                  <w:tcW w:w="504" w:type="pct"/>
                  <w:vAlign w:val="center"/>
                </w:tcPr>
                <w:p w14:paraId="14B3B81C">
                  <w:pPr>
                    <w:jc w:val="center"/>
                    <w:rPr>
                      <w:szCs w:val="21"/>
                    </w:rPr>
                  </w:pPr>
                  <w:r>
                    <w:rPr>
                      <w:rFonts w:hint="eastAsia"/>
                      <w:szCs w:val="21"/>
                    </w:rPr>
                    <w:t>排水</w:t>
                  </w:r>
                </w:p>
              </w:tc>
              <w:tc>
                <w:tcPr>
                  <w:tcW w:w="4074" w:type="pct"/>
                  <w:vAlign w:val="center"/>
                </w:tcPr>
                <w:p w14:paraId="05B108C1">
                  <w:pPr>
                    <w:rPr>
                      <w:szCs w:val="21"/>
                    </w:rPr>
                  </w:pPr>
                  <w:r>
                    <w:rPr>
                      <w:rFonts w:hint="eastAsia"/>
                      <w:szCs w:val="21"/>
                    </w:rPr>
                    <w:t>本项目废塑料清洗废水，停留时间8h，污水处理采用絮凝沉淀工艺，处理规模为10m</w:t>
                  </w:r>
                  <w:r>
                    <w:rPr>
                      <w:rFonts w:hint="eastAsia"/>
                      <w:szCs w:val="21"/>
                      <w:vertAlign w:val="superscript"/>
                    </w:rPr>
                    <w:t>3</w:t>
                  </w:r>
                  <w:r>
                    <w:rPr>
                      <w:rFonts w:hint="eastAsia"/>
                      <w:szCs w:val="21"/>
                    </w:rPr>
                    <w:t>/d，清洗废水经絮凝沉淀处理后，循环利用不外排；生活污水排入防渗旱厕，定期清掏堆肥不外排。</w:t>
                  </w:r>
                </w:p>
              </w:tc>
            </w:tr>
            <w:tr w14:paraId="7084D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02CBF2B8">
                  <w:pPr>
                    <w:widowControl/>
                    <w:jc w:val="center"/>
                    <w:rPr>
                      <w:szCs w:val="21"/>
                    </w:rPr>
                  </w:pPr>
                </w:p>
              </w:tc>
              <w:tc>
                <w:tcPr>
                  <w:tcW w:w="504" w:type="pct"/>
                  <w:vAlign w:val="center"/>
                </w:tcPr>
                <w:p w14:paraId="7E6EC0C6">
                  <w:pPr>
                    <w:jc w:val="center"/>
                    <w:rPr>
                      <w:szCs w:val="21"/>
                    </w:rPr>
                  </w:pPr>
                  <w:r>
                    <w:rPr>
                      <w:rFonts w:hint="eastAsia"/>
                      <w:szCs w:val="21"/>
                    </w:rPr>
                    <w:t>供热</w:t>
                  </w:r>
                </w:p>
              </w:tc>
              <w:tc>
                <w:tcPr>
                  <w:tcW w:w="4074" w:type="pct"/>
                  <w:vAlign w:val="center"/>
                </w:tcPr>
                <w:p w14:paraId="115CDC51">
                  <w:pPr>
                    <w:rPr>
                      <w:szCs w:val="21"/>
                    </w:rPr>
                  </w:pPr>
                  <w:r>
                    <w:rPr>
                      <w:rFonts w:hint="eastAsia"/>
                      <w:szCs w:val="21"/>
                    </w:rPr>
                    <w:t>本项目采用电采暖。</w:t>
                  </w:r>
                </w:p>
              </w:tc>
            </w:tr>
            <w:tr w14:paraId="1F446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026AECC7">
                  <w:pPr>
                    <w:widowControl/>
                    <w:jc w:val="center"/>
                    <w:rPr>
                      <w:szCs w:val="21"/>
                    </w:rPr>
                  </w:pPr>
                </w:p>
              </w:tc>
              <w:tc>
                <w:tcPr>
                  <w:tcW w:w="504" w:type="pct"/>
                  <w:vAlign w:val="center"/>
                </w:tcPr>
                <w:p w14:paraId="3FDBBE24">
                  <w:pPr>
                    <w:jc w:val="center"/>
                    <w:rPr>
                      <w:szCs w:val="21"/>
                    </w:rPr>
                  </w:pPr>
                  <w:r>
                    <w:rPr>
                      <w:rFonts w:hint="eastAsia"/>
                      <w:szCs w:val="21"/>
                    </w:rPr>
                    <w:t>供电</w:t>
                  </w:r>
                </w:p>
              </w:tc>
              <w:tc>
                <w:tcPr>
                  <w:tcW w:w="4074" w:type="pct"/>
                  <w:vAlign w:val="center"/>
                </w:tcPr>
                <w:p w14:paraId="0D7D22D2">
                  <w:pPr>
                    <w:rPr>
                      <w:szCs w:val="21"/>
                    </w:rPr>
                  </w:pPr>
                  <w:r>
                    <w:rPr>
                      <w:rFonts w:hint="eastAsia"/>
                      <w:szCs w:val="21"/>
                    </w:rPr>
                    <w:t>由当地供电局供给。</w:t>
                  </w:r>
                </w:p>
              </w:tc>
            </w:tr>
            <w:tr w14:paraId="7AC7C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vAlign w:val="center"/>
                </w:tcPr>
                <w:p w14:paraId="5DD97935">
                  <w:pPr>
                    <w:jc w:val="center"/>
                    <w:rPr>
                      <w:szCs w:val="21"/>
                    </w:rPr>
                  </w:pPr>
                  <w:r>
                    <w:rPr>
                      <w:rFonts w:hint="eastAsia"/>
                      <w:szCs w:val="21"/>
                    </w:rPr>
                    <w:t>环保工程</w:t>
                  </w:r>
                </w:p>
              </w:tc>
              <w:tc>
                <w:tcPr>
                  <w:tcW w:w="504" w:type="pct"/>
                  <w:vAlign w:val="center"/>
                </w:tcPr>
                <w:p w14:paraId="7C3BC2A2">
                  <w:pPr>
                    <w:jc w:val="center"/>
                    <w:rPr>
                      <w:szCs w:val="21"/>
                    </w:rPr>
                  </w:pPr>
                  <w:r>
                    <w:rPr>
                      <w:rFonts w:hint="eastAsia"/>
                      <w:szCs w:val="21"/>
                    </w:rPr>
                    <w:t>废气防治措施</w:t>
                  </w:r>
                </w:p>
              </w:tc>
              <w:tc>
                <w:tcPr>
                  <w:tcW w:w="4074" w:type="pct"/>
                  <w:vAlign w:val="center"/>
                </w:tcPr>
                <w:p w14:paraId="5D27B735">
                  <w:pPr>
                    <w:rPr>
                      <w:szCs w:val="21"/>
                    </w:rPr>
                  </w:pPr>
                  <w:r>
                    <w:rPr>
                      <w:rFonts w:hint="eastAsia"/>
                      <w:szCs w:val="21"/>
                    </w:rPr>
                    <w:t>分选工序采用人工分选，将需脱标的原料使用湿毛巾浸湿后送入脱标机进行脱标，分选及脱标工序产生的粉尘量较小，采取洒水降尘等措施处理。</w:t>
                  </w:r>
                </w:p>
              </w:tc>
            </w:tr>
            <w:tr w14:paraId="338CF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3F3F464B">
                  <w:pPr>
                    <w:jc w:val="center"/>
                    <w:rPr>
                      <w:szCs w:val="21"/>
                    </w:rPr>
                  </w:pPr>
                </w:p>
              </w:tc>
              <w:tc>
                <w:tcPr>
                  <w:tcW w:w="504" w:type="pct"/>
                  <w:vAlign w:val="center"/>
                </w:tcPr>
                <w:p w14:paraId="407E7E8E">
                  <w:pPr>
                    <w:jc w:val="center"/>
                    <w:rPr>
                      <w:szCs w:val="21"/>
                    </w:rPr>
                  </w:pPr>
                  <w:r>
                    <w:rPr>
                      <w:rFonts w:hint="eastAsia"/>
                      <w:szCs w:val="21"/>
                    </w:rPr>
                    <w:t>废水防治措施</w:t>
                  </w:r>
                </w:p>
              </w:tc>
              <w:tc>
                <w:tcPr>
                  <w:tcW w:w="4074" w:type="pct"/>
                  <w:vAlign w:val="center"/>
                </w:tcPr>
                <w:p w14:paraId="227F77E5">
                  <w:pPr>
                    <w:rPr>
                      <w:rFonts w:hint="eastAsia" w:eastAsia="宋体"/>
                      <w:szCs w:val="21"/>
                      <w:lang w:eastAsia="zh-CN"/>
                    </w:rPr>
                  </w:pPr>
                  <w:r>
                    <w:rPr>
                      <w:rFonts w:hint="eastAsia"/>
                      <w:szCs w:val="21"/>
                    </w:rPr>
                    <w:t>生产废水：絮凝沉淀处理后，循环利用不外排。车间设置</w:t>
                  </w:r>
                  <w:r>
                    <w:rPr>
                      <w:rFonts w:hint="eastAsia"/>
                      <w:szCs w:val="21"/>
                      <w:lang w:val="en-US" w:eastAsia="zh-CN"/>
                    </w:rPr>
                    <w:t>4</w:t>
                  </w:r>
                  <w:r>
                    <w:rPr>
                      <w:rFonts w:hint="eastAsia"/>
                      <w:szCs w:val="21"/>
                    </w:rPr>
                    <w:t>座水池，其中污水池2座，清水池1座</w:t>
                  </w:r>
                  <w:r>
                    <w:rPr>
                      <w:rFonts w:hint="eastAsia"/>
                      <w:szCs w:val="21"/>
                      <w:lang w:eastAsia="zh-CN"/>
                    </w:rPr>
                    <w:t>、</w:t>
                  </w:r>
                  <w:r>
                    <w:rPr>
                      <w:rFonts w:hint="eastAsia"/>
                      <w:szCs w:val="21"/>
                      <w:lang w:val="en-US" w:eastAsia="zh-CN"/>
                    </w:rPr>
                    <w:t>污泥池1座</w:t>
                  </w:r>
                  <w:r>
                    <w:rPr>
                      <w:rFonts w:hint="eastAsia"/>
                      <w:szCs w:val="21"/>
                    </w:rPr>
                    <w:t>，污水池容积分别为</w:t>
                  </w:r>
                  <w:r>
                    <w:rPr>
                      <w:szCs w:val="21"/>
                    </w:rPr>
                    <w:t>6</w:t>
                  </w:r>
                  <w:r>
                    <w:rPr>
                      <w:rFonts w:hint="eastAsia"/>
                      <w:szCs w:val="21"/>
                    </w:rPr>
                    <w:t>m</w:t>
                  </w:r>
                  <w:r>
                    <w:rPr>
                      <w:szCs w:val="21"/>
                      <w:vertAlign w:val="superscript"/>
                    </w:rPr>
                    <w:t>3</w:t>
                  </w:r>
                  <w:r>
                    <w:rPr>
                      <w:rFonts w:hint="eastAsia"/>
                      <w:szCs w:val="21"/>
                    </w:rPr>
                    <w:t>、5m</w:t>
                  </w:r>
                  <w:r>
                    <w:rPr>
                      <w:szCs w:val="21"/>
                      <w:vertAlign w:val="superscript"/>
                    </w:rPr>
                    <w:t>3</w:t>
                  </w:r>
                  <w:r>
                    <w:rPr>
                      <w:rFonts w:hint="eastAsia"/>
                      <w:szCs w:val="21"/>
                    </w:rPr>
                    <w:t>，清水池容积为120m</w:t>
                  </w:r>
                  <w:r>
                    <w:rPr>
                      <w:szCs w:val="21"/>
                      <w:vertAlign w:val="superscript"/>
                    </w:rPr>
                    <w:t>3</w:t>
                  </w:r>
                  <w:r>
                    <w:rPr>
                      <w:rFonts w:hint="eastAsia"/>
                      <w:szCs w:val="21"/>
                      <w:lang w:eastAsia="zh-CN"/>
                    </w:rPr>
                    <w:t>，</w:t>
                  </w:r>
                  <w:r>
                    <w:rPr>
                      <w:rFonts w:hint="eastAsia"/>
                      <w:szCs w:val="21"/>
                      <w:lang w:val="en-US" w:eastAsia="zh-CN"/>
                    </w:rPr>
                    <w:t>污泥池容积2</w:t>
                  </w:r>
                  <w:r>
                    <w:rPr>
                      <w:rFonts w:hint="eastAsia"/>
                      <w:szCs w:val="21"/>
                    </w:rPr>
                    <w:t>m</w:t>
                  </w:r>
                  <w:r>
                    <w:rPr>
                      <w:szCs w:val="21"/>
                      <w:vertAlign w:val="superscript"/>
                    </w:rPr>
                    <w:t>3</w:t>
                  </w:r>
                  <w:r>
                    <w:rPr>
                      <w:rFonts w:hint="eastAsia"/>
                      <w:szCs w:val="21"/>
                    </w:rPr>
                    <w:t>。</w:t>
                  </w:r>
                </w:p>
                <w:p w14:paraId="65075E3A">
                  <w:pPr>
                    <w:rPr>
                      <w:szCs w:val="21"/>
                    </w:rPr>
                  </w:pPr>
                  <w:r>
                    <w:rPr>
                      <w:rFonts w:hint="eastAsia"/>
                      <w:szCs w:val="21"/>
                    </w:rPr>
                    <w:t>生活污水：设置防渗旱厕，定期清掏堆肥，不外排。</w:t>
                  </w:r>
                </w:p>
              </w:tc>
            </w:tr>
            <w:tr w14:paraId="4293A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18145798">
                  <w:pPr>
                    <w:widowControl/>
                    <w:jc w:val="center"/>
                    <w:rPr>
                      <w:szCs w:val="21"/>
                    </w:rPr>
                  </w:pPr>
                </w:p>
              </w:tc>
              <w:tc>
                <w:tcPr>
                  <w:tcW w:w="504" w:type="pct"/>
                  <w:vAlign w:val="center"/>
                </w:tcPr>
                <w:p w14:paraId="2FA03DC9">
                  <w:pPr>
                    <w:jc w:val="center"/>
                    <w:rPr>
                      <w:szCs w:val="21"/>
                    </w:rPr>
                  </w:pPr>
                  <w:r>
                    <w:rPr>
                      <w:rFonts w:hint="eastAsia"/>
                      <w:szCs w:val="21"/>
                    </w:rPr>
                    <w:t>噪声防治措施</w:t>
                  </w:r>
                </w:p>
              </w:tc>
              <w:tc>
                <w:tcPr>
                  <w:tcW w:w="4074" w:type="pct"/>
                  <w:vAlign w:val="center"/>
                </w:tcPr>
                <w:p w14:paraId="553FF608">
                  <w:pPr>
                    <w:rPr>
                      <w:szCs w:val="21"/>
                    </w:rPr>
                  </w:pPr>
                  <w:r>
                    <w:rPr>
                      <w:rFonts w:hint="eastAsia"/>
                      <w:szCs w:val="21"/>
                    </w:rPr>
                    <w:t>选用先进的低噪声设备，采取减振、消声、隔声等措施。</w:t>
                  </w:r>
                </w:p>
              </w:tc>
            </w:tr>
            <w:tr w14:paraId="04B03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vAlign w:val="center"/>
                </w:tcPr>
                <w:p w14:paraId="01EFC7FD">
                  <w:pPr>
                    <w:widowControl/>
                    <w:jc w:val="center"/>
                    <w:rPr>
                      <w:szCs w:val="21"/>
                    </w:rPr>
                  </w:pPr>
                </w:p>
              </w:tc>
              <w:tc>
                <w:tcPr>
                  <w:tcW w:w="504" w:type="pct"/>
                  <w:vAlign w:val="center"/>
                </w:tcPr>
                <w:p w14:paraId="52A9421B">
                  <w:pPr>
                    <w:jc w:val="center"/>
                    <w:rPr>
                      <w:szCs w:val="21"/>
                    </w:rPr>
                  </w:pPr>
                  <w:r>
                    <w:rPr>
                      <w:rFonts w:hint="eastAsia"/>
                      <w:szCs w:val="21"/>
                    </w:rPr>
                    <w:t>固体废物</w:t>
                  </w:r>
                </w:p>
              </w:tc>
              <w:tc>
                <w:tcPr>
                  <w:tcW w:w="4074" w:type="pct"/>
                  <w:vAlign w:val="center"/>
                </w:tcPr>
                <w:p w14:paraId="3AB2971B">
                  <w:pPr>
                    <w:rPr>
                      <w:szCs w:val="21"/>
                    </w:rPr>
                  </w:pPr>
                  <w:r>
                    <w:rPr>
                      <w:rFonts w:hint="eastAsia"/>
                      <w:szCs w:val="21"/>
                    </w:rPr>
                    <w:t>生活垃圾：由环卫部门统一清运处置。</w:t>
                  </w:r>
                </w:p>
                <w:p w14:paraId="6A4907E3">
                  <w:pPr>
                    <w:rPr>
                      <w:rFonts w:hint="default"/>
                      <w:szCs w:val="21"/>
                    </w:rPr>
                  </w:pPr>
                  <w:r>
                    <w:rPr>
                      <w:rFonts w:hint="eastAsia"/>
                      <w:szCs w:val="21"/>
                    </w:rPr>
                    <w:t>泥沙及杂质：主要成分为砂子和泥土等杂质，</w:t>
                  </w:r>
                  <w:r>
                    <w:rPr>
                      <w:rFonts w:hint="eastAsia"/>
                    </w:rPr>
                    <w:t>交由专业单位统一处置</w:t>
                  </w:r>
                  <w:r>
                    <w:rPr>
                      <w:rFonts w:hint="default"/>
                    </w:rPr>
                    <w:t>。</w:t>
                  </w:r>
                </w:p>
                <w:p w14:paraId="11E47D83">
                  <w:pPr>
                    <w:rPr>
                      <w:szCs w:val="21"/>
                    </w:rPr>
                  </w:pPr>
                  <w:r>
                    <w:rPr>
                      <w:rFonts w:hint="eastAsia"/>
                      <w:szCs w:val="21"/>
                    </w:rPr>
                    <w:t>污泥：根据污泥产生</w:t>
                  </w:r>
                  <w:r>
                    <w:rPr>
                      <w:rFonts w:hint="eastAsia"/>
                      <w:szCs w:val="21"/>
                      <w:lang w:val="en-US" w:eastAsia="zh-CN"/>
                    </w:rPr>
                    <w:t>量</w:t>
                  </w:r>
                  <w:r>
                    <w:rPr>
                      <w:rFonts w:hint="eastAsia"/>
                      <w:szCs w:val="21"/>
                    </w:rPr>
                    <w:t>由鸡东县瀚科水务有限公司不定期拉运。</w:t>
                  </w:r>
                </w:p>
                <w:p w14:paraId="5D836EFB">
                  <w:pPr>
                    <w:rPr>
                      <w:szCs w:val="21"/>
                    </w:rPr>
                  </w:pPr>
                  <w:r>
                    <w:rPr>
                      <w:rFonts w:hint="eastAsia"/>
                      <w:szCs w:val="21"/>
                    </w:rPr>
                    <w:t>废商标：由专业单位统一清运处置。</w:t>
                  </w:r>
                </w:p>
                <w:p w14:paraId="3EFB1E0D">
                  <w:pPr>
                    <w:rPr>
                      <w:szCs w:val="21"/>
                    </w:rPr>
                  </w:pPr>
                  <w:r>
                    <w:rPr>
                      <w:rFonts w:hint="eastAsia"/>
                    </w:rPr>
                    <w:t>废润滑油：暂存在危险废物贮存点内，定期交由资质单位处置。厂房内</w:t>
                  </w:r>
                  <w:r>
                    <w:t>设置1处2m</w:t>
                  </w:r>
                  <w:r>
                    <w:rPr>
                      <w:vertAlign w:val="superscript"/>
                    </w:rPr>
                    <w:t>2</w:t>
                  </w:r>
                  <w:r>
                    <w:t>的</w:t>
                  </w:r>
                  <w:r>
                    <w:rPr>
                      <w:rFonts w:hint="eastAsia"/>
                    </w:rPr>
                    <w:t>危险废物贮存点</w:t>
                  </w:r>
                  <w:r>
                    <w:t>，危险废物暂存间设置及管理严格执行《危险废物贮存污染控制标准》（GB18597-20</w:t>
                  </w:r>
                  <w:r>
                    <w:rPr>
                      <w:rFonts w:hint="eastAsia"/>
                    </w:rPr>
                    <w:t>23</w:t>
                  </w:r>
                  <w:r>
                    <w:t>）的相关要求，基础进行防渗，防渗层为至少2mm厚的</w:t>
                  </w:r>
                  <w:r>
                    <w:rPr>
                      <w:rFonts w:hint="eastAsia"/>
                    </w:rPr>
                    <w:t>其他人工</w:t>
                  </w:r>
                  <w:r>
                    <w:t>材料（渗透系数≤10</w:t>
                  </w:r>
                  <w:r>
                    <w:rPr>
                      <w:vertAlign w:val="superscript"/>
                    </w:rPr>
                    <w:t>-10</w:t>
                  </w:r>
                  <w:r>
                    <w:t>cm/s）。</w:t>
                  </w:r>
                </w:p>
              </w:tc>
            </w:tr>
          </w:tbl>
          <w:p w14:paraId="241C5A2C">
            <w:pPr>
              <w:pStyle w:val="91"/>
              <w:ind w:firstLine="480"/>
            </w:pPr>
            <w:r>
              <w:rPr>
                <w:rFonts w:hint="eastAsia"/>
              </w:rPr>
              <w:t>2.</w:t>
            </w:r>
            <w:r>
              <w:t>主要</w:t>
            </w:r>
            <w:r>
              <w:rPr>
                <w:rFonts w:hint="eastAsia"/>
              </w:rPr>
              <w:t>原辅材料</w:t>
            </w:r>
          </w:p>
          <w:p w14:paraId="6CEA81C9">
            <w:pPr>
              <w:pStyle w:val="91"/>
              <w:ind w:firstLine="480"/>
            </w:pPr>
            <w:r>
              <w:rPr>
                <w:rFonts w:hint="eastAsia"/>
              </w:rPr>
              <w:t>根据</w:t>
            </w:r>
            <w:r>
              <w:t>《废塑料</w:t>
            </w:r>
            <w:r>
              <w:rPr>
                <w:rFonts w:hint="eastAsia"/>
              </w:rPr>
              <w:t>污染控制技术规范</w:t>
            </w:r>
            <w:r>
              <w:t>》(HJ364-20</w:t>
            </w:r>
            <w:r>
              <w:rPr>
                <w:rFonts w:hint="eastAsia"/>
              </w:rPr>
              <w:t>22</w:t>
            </w:r>
            <w:r>
              <w:t>)要求</w:t>
            </w:r>
            <w:r>
              <w:rPr>
                <w:rFonts w:hint="eastAsia"/>
              </w:rPr>
              <w:t>：“废塑料的回收应按原料树脂种类进行分类回收，并严格区分废塑料来源和原用途。不得回收和再生利用属于医疗废物和危险废物的废塑料。含卤素废塑料的回收和再生利用应与其他废塑料分开进行。”</w:t>
            </w:r>
          </w:p>
          <w:p w14:paraId="484AE2CD">
            <w:pPr>
              <w:pStyle w:val="91"/>
              <w:ind w:firstLine="480"/>
            </w:pPr>
            <w:r>
              <w:rPr>
                <w:rFonts w:hint="eastAsia"/>
              </w:rPr>
              <w:t>本项目的原料为废塑料瓶、塑料盆、塑料桶以及未用于传染病患者、疑似传染病患者以及采取隔离措施的其他患者的输液瓶(袋)，盛装消毒剂的空容器</w:t>
            </w:r>
            <w:r>
              <w:rPr>
                <w:rStyle w:val="89"/>
                <w:rFonts w:hint="eastAsia"/>
              </w:rPr>
              <w:t>，</w:t>
            </w:r>
            <w:r>
              <w:rPr>
                <w:rFonts w:hint="eastAsia"/>
              </w:rPr>
              <w:t>原料在厂区内分类堆放，分类加工处置。项目不涉及进口废塑料再生利用；不使用沾染重金属的废旧塑料；不使用废旧塑料类危险废物作为原料，包括被危险化学品、农药等污染的废旧塑料盛装农药、废染料、强酸、强碱的废料等。</w:t>
            </w:r>
          </w:p>
          <w:p w14:paraId="485BBB54">
            <w:pPr>
              <w:pStyle w:val="91"/>
              <w:ind w:firstLine="480"/>
            </w:pPr>
            <w:r>
              <w:rPr>
                <w:rFonts w:hint="eastAsia"/>
              </w:rPr>
              <w:t>原料来源控制要求：项目生产所需的原料从鸡西市和周边区县采购，主要为周边废品收购站进行采购，在各收购站分类打包完成后，进入本厂进行破碎加工。禁止收集含危险废物、未经压缩打包、含有残液或其他杂质的废塑料入厂，从源头减少了废塑料污染物的产生。</w:t>
            </w:r>
          </w:p>
          <w:p w14:paraId="211316EC">
            <w:pPr>
              <w:pStyle w:val="91"/>
              <w:ind w:firstLine="480"/>
            </w:pPr>
            <w:r>
              <w:t>本项目主要</w:t>
            </w:r>
            <w:r>
              <w:rPr>
                <w:rFonts w:hint="eastAsia"/>
              </w:rPr>
              <w:t>原辅材料</w:t>
            </w:r>
            <w:r>
              <w:t>见表2-2。</w:t>
            </w:r>
          </w:p>
          <w:p w14:paraId="2E6379D0">
            <w:pPr>
              <w:pStyle w:val="103"/>
            </w:pPr>
            <w:r>
              <w:t>表2-2 项目主要</w:t>
            </w:r>
            <w:r>
              <w:rPr>
                <w:rFonts w:hint="eastAsia"/>
              </w:rPr>
              <w:t>原辅材料</w:t>
            </w:r>
            <w:r>
              <w:t>表</w:t>
            </w:r>
          </w:p>
          <w:tbl>
            <w:tblPr>
              <w:tblStyle w:val="32"/>
              <w:tblW w:w="5000"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977"/>
              <w:gridCol w:w="1408"/>
              <w:gridCol w:w="1361"/>
              <w:gridCol w:w="2849"/>
            </w:tblGrid>
            <w:tr w14:paraId="29DCDFA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pct"/>
                  <w:gridSpan w:val="2"/>
                  <w:vAlign w:val="center"/>
                </w:tcPr>
                <w:p w14:paraId="67EC1F73">
                  <w:pPr>
                    <w:pStyle w:val="90"/>
                  </w:pPr>
                  <w:r>
                    <w:t>名称</w:t>
                  </w:r>
                </w:p>
              </w:tc>
              <w:tc>
                <w:tcPr>
                  <w:tcW w:w="836" w:type="pct"/>
                  <w:vAlign w:val="center"/>
                </w:tcPr>
                <w:p w14:paraId="276D1B86">
                  <w:pPr>
                    <w:pStyle w:val="90"/>
                  </w:pPr>
                  <w:r>
                    <w:rPr>
                      <w:rFonts w:hint="eastAsia"/>
                    </w:rPr>
                    <w:t>单位</w:t>
                  </w:r>
                </w:p>
              </w:tc>
              <w:tc>
                <w:tcPr>
                  <w:tcW w:w="808" w:type="pct"/>
                  <w:vAlign w:val="center"/>
                </w:tcPr>
                <w:p w14:paraId="424EC63A">
                  <w:pPr>
                    <w:pStyle w:val="90"/>
                  </w:pPr>
                  <w:r>
                    <w:rPr>
                      <w:rFonts w:hint="eastAsia"/>
                    </w:rPr>
                    <w:t>消耗量</w:t>
                  </w:r>
                </w:p>
              </w:tc>
              <w:tc>
                <w:tcPr>
                  <w:tcW w:w="1692" w:type="pct"/>
                  <w:vAlign w:val="center"/>
                </w:tcPr>
                <w:p w14:paraId="6A7DE208">
                  <w:pPr>
                    <w:pStyle w:val="90"/>
                  </w:pPr>
                  <w:r>
                    <w:rPr>
                      <w:rFonts w:hint="eastAsia"/>
                    </w:rPr>
                    <w:t>来源</w:t>
                  </w:r>
                </w:p>
              </w:tc>
            </w:tr>
            <w:tr w14:paraId="446C80A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Align w:val="center"/>
                </w:tcPr>
                <w:p w14:paraId="2AB3E4E2">
                  <w:pPr>
                    <w:pStyle w:val="90"/>
                  </w:pPr>
                  <w:r>
                    <w:rPr>
                      <w:rFonts w:hint="eastAsia"/>
                    </w:rPr>
                    <w:t>原料</w:t>
                  </w:r>
                </w:p>
              </w:tc>
              <w:tc>
                <w:tcPr>
                  <w:tcW w:w="1174" w:type="pct"/>
                  <w:vAlign w:val="center"/>
                </w:tcPr>
                <w:p w14:paraId="6CDF6EDF">
                  <w:pPr>
                    <w:pStyle w:val="90"/>
                  </w:pPr>
                  <w:r>
                    <w:rPr>
                      <w:rFonts w:hint="eastAsia"/>
                      <w:szCs w:val="21"/>
                    </w:rPr>
                    <w:t>废塑料</w:t>
                  </w:r>
                </w:p>
              </w:tc>
              <w:tc>
                <w:tcPr>
                  <w:tcW w:w="836" w:type="pct"/>
                  <w:vAlign w:val="center"/>
                </w:tcPr>
                <w:p w14:paraId="73C3C28A">
                  <w:pPr>
                    <w:pStyle w:val="90"/>
                    <w:rPr>
                      <w:szCs w:val="21"/>
                    </w:rPr>
                  </w:pPr>
                  <w:r>
                    <w:rPr>
                      <w:rFonts w:hint="eastAsia"/>
                      <w:szCs w:val="21"/>
                    </w:rPr>
                    <w:t>t</w:t>
                  </w:r>
                  <w:r>
                    <w:rPr>
                      <w:szCs w:val="21"/>
                    </w:rPr>
                    <w:t>/</w:t>
                  </w:r>
                  <w:r>
                    <w:rPr>
                      <w:rFonts w:hint="eastAsia"/>
                      <w:szCs w:val="21"/>
                    </w:rPr>
                    <w:t>a</w:t>
                  </w:r>
                </w:p>
              </w:tc>
              <w:tc>
                <w:tcPr>
                  <w:tcW w:w="808" w:type="pct"/>
                  <w:vAlign w:val="center"/>
                </w:tcPr>
                <w:p w14:paraId="480F781D">
                  <w:pPr>
                    <w:pStyle w:val="90"/>
                  </w:pPr>
                  <w:r>
                    <w:rPr>
                      <w:szCs w:val="21"/>
                    </w:rPr>
                    <w:t>30000</w:t>
                  </w:r>
                </w:p>
              </w:tc>
              <w:tc>
                <w:tcPr>
                  <w:tcW w:w="1692" w:type="pct"/>
                  <w:vAlign w:val="center"/>
                </w:tcPr>
                <w:p w14:paraId="33E7FBDE">
                  <w:pPr>
                    <w:pStyle w:val="90"/>
                  </w:pPr>
                  <w:r>
                    <w:rPr>
                      <w:rFonts w:hint="eastAsia"/>
                    </w:rPr>
                    <w:t>P</w:t>
                  </w:r>
                  <w:r>
                    <w:t>P</w:t>
                  </w:r>
                  <w:r>
                    <w:rPr>
                      <w:rFonts w:hint="eastAsia"/>
                    </w:rPr>
                    <w:t>、P</w:t>
                  </w:r>
                  <w:r>
                    <w:t>E</w:t>
                  </w:r>
                  <w:r>
                    <w:rPr>
                      <w:rFonts w:hint="eastAsia"/>
                    </w:rPr>
                    <w:t>材质，回收外购</w:t>
                  </w:r>
                </w:p>
              </w:tc>
            </w:tr>
            <w:tr w14:paraId="014C02C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restart"/>
                  <w:vAlign w:val="center"/>
                </w:tcPr>
                <w:p w14:paraId="44D5F13D">
                  <w:pPr>
                    <w:pStyle w:val="90"/>
                    <w:rPr>
                      <w:szCs w:val="21"/>
                    </w:rPr>
                  </w:pPr>
                  <w:r>
                    <w:rPr>
                      <w:rFonts w:hint="eastAsia"/>
                      <w:szCs w:val="21"/>
                    </w:rPr>
                    <w:t>辅料</w:t>
                  </w:r>
                </w:p>
              </w:tc>
              <w:tc>
                <w:tcPr>
                  <w:tcW w:w="1174" w:type="pct"/>
                  <w:vAlign w:val="center"/>
                </w:tcPr>
                <w:p w14:paraId="7BC29726">
                  <w:pPr>
                    <w:pStyle w:val="90"/>
                    <w:rPr>
                      <w:szCs w:val="21"/>
                    </w:rPr>
                  </w:pPr>
                  <w:r>
                    <w:rPr>
                      <w:rFonts w:hint="eastAsia"/>
                      <w:szCs w:val="21"/>
                    </w:rPr>
                    <w:t>P</w:t>
                  </w:r>
                  <w:r>
                    <w:rPr>
                      <w:szCs w:val="21"/>
                    </w:rPr>
                    <w:t>AM</w:t>
                  </w:r>
                </w:p>
              </w:tc>
              <w:tc>
                <w:tcPr>
                  <w:tcW w:w="836" w:type="pct"/>
                  <w:vAlign w:val="center"/>
                </w:tcPr>
                <w:p w14:paraId="560B5D19">
                  <w:pPr>
                    <w:pStyle w:val="90"/>
                    <w:rPr>
                      <w:szCs w:val="21"/>
                    </w:rPr>
                  </w:pPr>
                  <w:r>
                    <w:rPr>
                      <w:rFonts w:hint="eastAsia"/>
                      <w:szCs w:val="21"/>
                    </w:rPr>
                    <w:t>t</w:t>
                  </w:r>
                  <w:r>
                    <w:rPr>
                      <w:szCs w:val="21"/>
                    </w:rPr>
                    <w:t>/</w:t>
                  </w:r>
                  <w:r>
                    <w:rPr>
                      <w:rFonts w:hint="eastAsia"/>
                      <w:szCs w:val="21"/>
                    </w:rPr>
                    <w:t>a</w:t>
                  </w:r>
                </w:p>
              </w:tc>
              <w:tc>
                <w:tcPr>
                  <w:tcW w:w="808" w:type="pct"/>
                  <w:vAlign w:val="center"/>
                </w:tcPr>
                <w:p w14:paraId="2A934F4D">
                  <w:pPr>
                    <w:pStyle w:val="90"/>
                    <w:rPr>
                      <w:szCs w:val="24"/>
                    </w:rPr>
                  </w:pPr>
                  <w:r>
                    <w:rPr>
                      <w:rFonts w:hint="eastAsia"/>
                      <w:szCs w:val="24"/>
                    </w:rPr>
                    <w:t>0</w:t>
                  </w:r>
                  <w:r>
                    <w:rPr>
                      <w:szCs w:val="24"/>
                    </w:rPr>
                    <w:t>.3</w:t>
                  </w:r>
                </w:p>
              </w:tc>
              <w:tc>
                <w:tcPr>
                  <w:tcW w:w="1692" w:type="pct"/>
                  <w:vMerge w:val="restart"/>
                  <w:vAlign w:val="center"/>
                </w:tcPr>
                <w:p w14:paraId="5F5B615A">
                  <w:pPr>
                    <w:pStyle w:val="90"/>
                  </w:pPr>
                  <w:r>
                    <w:rPr>
                      <w:rFonts w:hint="eastAsia"/>
                    </w:rPr>
                    <w:t>絮凝沉淀药剂</w:t>
                  </w:r>
                </w:p>
              </w:tc>
            </w:tr>
            <w:tr w14:paraId="607FDD66">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14:paraId="2A442065">
                  <w:pPr>
                    <w:pStyle w:val="90"/>
                    <w:rPr>
                      <w:szCs w:val="21"/>
                    </w:rPr>
                  </w:pPr>
                </w:p>
              </w:tc>
              <w:tc>
                <w:tcPr>
                  <w:tcW w:w="1174" w:type="pct"/>
                  <w:vAlign w:val="center"/>
                </w:tcPr>
                <w:p w14:paraId="2703830E">
                  <w:pPr>
                    <w:pStyle w:val="90"/>
                    <w:rPr>
                      <w:szCs w:val="21"/>
                    </w:rPr>
                  </w:pPr>
                  <w:r>
                    <w:rPr>
                      <w:rFonts w:hint="eastAsia"/>
                      <w:szCs w:val="21"/>
                    </w:rPr>
                    <w:t>P</w:t>
                  </w:r>
                  <w:r>
                    <w:rPr>
                      <w:szCs w:val="21"/>
                    </w:rPr>
                    <w:t>AC</w:t>
                  </w:r>
                </w:p>
              </w:tc>
              <w:tc>
                <w:tcPr>
                  <w:tcW w:w="836" w:type="pct"/>
                  <w:vAlign w:val="center"/>
                </w:tcPr>
                <w:p w14:paraId="18206231">
                  <w:pPr>
                    <w:pStyle w:val="90"/>
                    <w:rPr>
                      <w:szCs w:val="21"/>
                    </w:rPr>
                  </w:pPr>
                  <w:r>
                    <w:rPr>
                      <w:rFonts w:hint="eastAsia"/>
                      <w:szCs w:val="21"/>
                    </w:rPr>
                    <w:t>t</w:t>
                  </w:r>
                  <w:r>
                    <w:rPr>
                      <w:szCs w:val="21"/>
                    </w:rPr>
                    <w:t>/</w:t>
                  </w:r>
                  <w:r>
                    <w:rPr>
                      <w:rFonts w:hint="eastAsia"/>
                      <w:szCs w:val="21"/>
                    </w:rPr>
                    <w:t>a</w:t>
                  </w:r>
                </w:p>
              </w:tc>
              <w:tc>
                <w:tcPr>
                  <w:tcW w:w="808" w:type="pct"/>
                  <w:vAlign w:val="center"/>
                </w:tcPr>
                <w:p w14:paraId="1B1E19BF">
                  <w:pPr>
                    <w:pStyle w:val="90"/>
                    <w:rPr>
                      <w:szCs w:val="24"/>
                    </w:rPr>
                  </w:pPr>
                  <w:r>
                    <w:rPr>
                      <w:rFonts w:hint="eastAsia"/>
                      <w:szCs w:val="24"/>
                    </w:rPr>
                    <w:t>0</w:t>
                  </w:r>
                  <w:r>
                    <w:rPr>
                      <w:szCs w:val="24"/>
                    </w:rPr>
                    <w:t>.1</w:t>
                  </w:r>
                </w:p>
              </w:tc>
              <w:tc>
                <w:tcPr>
                  <w:tcW w:w="1692" w:type="pct"/>
                  <w:vMerge w:val="continue"/>
                  <w:vAlign w:val="center"/>
                </w:tcPr>
                <w:p w14:paraId="7B34070D">
                  <w:pPr>
                    <w:pStyle w:val="90"/>
                  </w:pPr>
                </w:p>
              </w:tc>
            </w:tr>
            <w:tr w14:paraId="6ED307C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14:paraId="493676A5">
                  <w:pPr>
                    <w:pStyle w:val="90"/>
                    <w:rPr>
                      <w:szCs w:val="21"/>
                    </w:rPr>
                  </w:pPr>
                </w:p>
              </w:tc>
              <w:tc>
                <w:tcPr>
                  <w:tcW w:w="1174" w:type="pct"/>
                  <w:vAlign w:val="center"/>
                </w:tcPr>
                <w:p w14:paraId="3366FDEB">
                  <w:pPr>
                    <w:pStyle w:val="90"/>
                    <w:rPr>
                      <w:szCs w:val="21"/>
                    </w:rPr>
                  </w:pPr>
                  <w:r>
                    <w:rPr>
                      <w:rFonts w:hint="eastAsia"/>
                      <w:szCs w:val="21"/>
                    </w:rPr>
                    <w:t>润滑油</w:t>
                  </w:r>
                </w:p>
              </w:tc>
              <w:tc>
                <w:tcPr>
                  <w:tcW w:w="836" w:type="pct"/>
                  <w:vAlign w:val="center"/>
                </w:tcPr>
                <w:p w14:paraId="746EEB15">
                  <w:pPr>
                    <w:pStyle w:val="90"/>
                    <w:rPr>
                      <w:szCs w:val="21"/>
                    </w:rPr>
                  </w:pPr>
                  <w:r>
                    <w:rPr>
                      <w:rFonts w:hint="eastAsia"/>
                      <w:szCs w:val="21"/>
                    </w:rPr>
                    <w:t>t</w:t>
                  </w:r>
                  <w:r>
                    <w:rPr>
                      <w:szCs w:val="21"/>
                    </w:rPr>
                    <w:t>/</w:t>
                  </w:r>
                  <w:r>
                    <w:rPr>
                      <w:rFonts w:hint="eastAsia"/>
                      <w:szCs w:val="21"/>
                    </w:rPr>
                    <w:t>a</w:t>
                  </w:r>
                </w:p>
              </w:tc>
              <w:tc>
                <w:tcPr>
                  <w:tcW w:w="808" w:type="pct"/>
                  <w:vAlign w:val="center"/>
                </w:tcPr>
                <w:p w14:paraId="67EF10CD">
                  <w:pPr>
                    <w:pStyle w:val="90"/>
                    <w:rPr>
                      <w:szCs w:val="24"/>
                    </w:rPr>
                  </w:pPr>
                  <w:r>
                    <w:rPr>
                      <w:rFonts w:hint="eastAsia"/>
                      <w:szCs w:val="24"/>
                    </w:rPr>
                    <w:t>0</w:t>
                  </w:r>
                  <w:r>
                    <w:rPr>
                      <w:szCs w:val="24"/>
                    </w:rPr>
                    <w:t>.05</w:t>
                  </w:r>
                </w:p>
              </w:tc>
              <w:tc>
                <w:tcPr>
                  <w:tcW w:w="1692" w:type="pct"/>
                  <w:vAlign w:val="center"/>
                </w:tcPr>
                <w:p w14:paraId="39CCF496">
                  <w:pPr>
                    <w:pStyle w:val="90"/>
                  </w:pPr>
                  <w:r>
                    <w:rPr>
                      <w:rFonts w:hint="eastAsia"/>
                    </w:rPr>
                    <w:t>设备使用</w:t>
                  </w:r>
                </w:p>
              </w:tc>
            </w:tr>
          </w:tbl>
          <w:p w14:paraId="0BEF0CC7">
            <w:pPr>
              <w:pStyle w:val="91"/>
              <w:ind w:firstLine="480"/>
            </w:pPr>
            <w:r>
              <w:rPr>
                <w:rFonts w:hint="eastAsia"/>
              </w:rPr>
              <w:t>相关原辅材料简介：</w:t>
            </w:r>
          </w:p>
          <w:p w14:paraId="05D00907">
            <w:pPr>
              <w:pStyle w:val="91"/>
              <w:ind w:firstLine="480"/>
            </w:pPr>
            <w:r>
              <w:rPr>
                <w:rFonts w:hint="eastAsia"/>
              </w:rPr>
              <w:t>聚合氯化铝（PAC）：聚合氯化铝是一种新型净水材料，无机高分子混凝剂，简称聚铝，英文缩写为PAC，它是介于AICl</w:t>
            </w:r>
            <w:r>
              <w:rPr>
                <w:rFonts w:hint="eastAsia"/>
                <w:vertAlign w:val="subscript"/>
              </w:rPr>
              <w:t>3</w:t>
            </w:r>
            <w:r>
              <w:rPr>
                <w:rFonts w:hint="eastAsia"/>
              </w:rPr>
              <w:t>和Al（OH）</w:t>
            </w:r>
            <w:r>
              <w:rPr>
                <w:rFonts w:hint="eastAsia"/>
                <w:vertAlign w:val="subscript"/>
              </w:rPr>
              <w:t>3</w:t>
            </w:r>
            <w:r>
              <w:rPr>
                <w:rFonts w:hint="eastAsia"/>
              </w:rPr>
              <w:t>之间的一种水性无机高分子聚合物，对水中胶体和颗粒物具有高度电中和及桥联作用，并可强力去除微有毒物及重金属离子，性状稳定，由于氢氧根离子的架桥作用和多价阴离子的聚合作用，生产出来的聚合氯化铝是相对分子质量较大、电荷较高的无机高分子水处理药剂。聚合氯化铝具有吸附、凝聚、沉淀等性能，适用于各种浊度的原水，pH适用范围广。</w:t>
            </w:r>
          </w:p>
          <w:p w14:paraId="5F932B75">
            <w:pPr>
              <w:pStyle w:val="91"/>
              <w:ind w:firstLine="480"/>
            </w:pPr>
            <w:r>
              <w:rPr>
                <w:rFonts w:hint="eastAsia"/>
              </w:rPr>
              <w:t>聚丙烯酰胺（PAM）：聚丙烯酰胺为白色粉末或半透明颗粒</w:t>
            </w:r>
            <w:r>
              <w:t>，密度为1.32g/cm</w:t>
            </w:r>
            <w:r>
              <w:rPr>
                <w:vertAlign w:val="superscript"/>
              </w:rPr>
              <w:t>3</w:t>
            </w:r>
            <w:r>
              <w:t>（常温），玻璃化温度为188度，软化温度近于210度，温度超过</w:t>
            </w:r>
            <w:r>
              <w:rPr>
                <w:rFonts w:hint="eastAsia"/>
              </w:rPr>
              <w:t>250</w:t>
            </w:r>
            <w:r>
              <w:t>度时易分解，溶于水，几乎不溶于有机溶剂。聚丙烯酰胺是由丙烯酰胺（AM）单体经自由基引发聚合而成的水溶性线性高分子聚合物，具有良好的絮凝性，可以降低液体之间的摩擦阻力，按离子特性分可分为非离子、阴离子、阳离子和两性型四种类型。气浮选用阴离子的聚丙烯酰胺效果比较好，特别是部分回流溶气气浮法，兼备全回流、全溶气气浮的工艺优点，而相比布气气浮法具有处理污水量大，处理效果高的特点；相比电解气浮法具有节省电能和运行费用较低的优点，适合现代企业节能、环保、减耗、增效的要求。</w:t>
            </w:r>
          </w:p>
          <w:p w14:paraId="3D07F198">
            <w:pPr>
              <w:pStyle w:val="91"/>
              <w:ind w:firstLine="480"/>
            </w:pPr>
            <w:r>
              <w:rPr>
                <w:rFonts w:hint="eastAsia"/>
              </w:rPr>
              <w:t>3.产品规模</w:t>
            </w:r>
          </w:p>
          <w:p w14:paraId="424F3E2B">
            <w:pPr>
              <w:pStyle w:val="91"/>
              <w:ind w:firstLine="480"/>
            </w:pPr>
            <w:r>
              <w:t>本</w:t>
            </w:r>
            <w:r>
              <w:rPr>
                <w:rFonts w:hint="eastAsia"/>
              </w:rPr>
              <w:t>项目采用湿法破碎工艺，不涉及造粒工艺，</w:t>
            </w:r>
            <w:r>
              <w:t>项目产品生产情况见表2-3</w:t>
            </w:r>
            <w:r>
              <w:rPr>
                <w:rFonts w:hint="eastAsia"/>
              </w:rPr>
              <w:t>，物料平衡表见表</w:t>
            </w:r>
            <w:r>
              <w:rPr>
                <w:rFonts w:hint="eastAsia"/>
                <w:color w:val="FF0000"/>
              </w:rPr>
              <w:t>2</w:t>
            </w:r>
            <w:r>
              <w:rPr>
                <w:color w:val="FF0000"/>
              </w:rPr>
              <w:t>-</w:t>
            </w:r>
            <w:r>
              <w:rPr>
                <w:rFonts w:hint="eastAsia"/>
                <w:color w:val="FF0000"/>
                <w:lang w:eastAsia="zh"/>
                <w:woUserID w:val="1"/>
              </w:rPr>
              <w:t>3</w:t>
            </w:r>
            <w:r>
              <w:t>。</w:t>
            </w:r>
          </w:p>
          <w:p w14:paraId="0DBC6368">
            <w:pPr>
              <w:pStyle w:val="103"/>
            </w:pPr>
            <w:r>
              <w:t>表</w:t>
            </w:r>
            <w:r>
              <w:rPr>
                <w:color w:val="FF0000"/>
              </w:rPr>
              <w:t xml:space="preserve">2-3 </w:t>
            </w:r>
            <w:r>
              <w:t xml:space="preserve"> </w:t>
            </w:r>
            <w:r>
              <w:rPr>
                <w:rFonts w:hint="eastAsia"/>
              </w:rPr>
              <w:t>主要</w:t>
            </w:r>
            <w:r>
              <w:t>产品</w:t>
            </w:r>
            <w:r>
              <w:rPr>
                <w:rFonts w:hint="eastAsia"/>
              </w:rPr>
              <w:t>一览</w:t>
            </w:r>
            <w:r>
              <w:t>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2492"/>
              <w:gridCol w:w="1873"/>
              <w:gridCol w:w="2182"/>
            </w:tblGrid>
            <w:tr w14:paraId="46D42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pct"/>
                  <w:vAlign w:val="center"/>
                </w:tcPr>
                <w:p w14:paraId="1B1DAC21">
                  <w:pPr>
                    <w:pStyle w:val="90"/>
                  </w:pPr>
                  <w:r>
                    <w:t>序号</w:t>
                  </w:r>
                </w:p>
              </w:tc>
              <w:tc>
                <w:tcPr>
                  <w:tcW w:w="1480" w:type="pct"/>
                  <w:vAlign w:val="center"/>
                </w:tcPr>
                <w:p w14:paraId="6F8F47CB">
                  <w:pPr>
                    <w:pStyle w:val="90"/>
                  </w:pPr>
                  <w:r>
                    <w:t>名称</w:t>
                  </w:r>
                </w:p>
              </w:tc>
              <w:tc>
                <w:tcPr>
                  <w:tcW w:w="1112" w:type="pct"/>
                  <w:vAlign w:val="center"/>
                </w:tcPr>
                <w:p w14:paraId="030F5FEE">
                  <w:pPr>
                    <w:pStyle w:val="90"/>
                  </w:pPr>
                  <w:r>
                    <w:t>单位</w:t>
                  </w:r>
                </w:p>
              </w:tc>
              <w:tc>
                <w:tcPr>
                  <w:tcW w:w="1296" w:type="pct"/>
                  <w:vAlign w:val="center"/>
                </w:tcPr>
                <w:p w14:paraId="715E30FE">
                  <w:pPr>
                    <w:pStyle w:val="90"/>
                  </w:pPr>
                  <w:r>
                    <w:t>数量</w:t>
                  </w:r>
                </w:p>
              </w:tc>
            </w:tr>
            <w:tr w14:paraId="17F3F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pct"/>
                  <w:vAlign w:val="center"/>
                </w:tcPr>
                <w:p w14:paraId="486A1A00">
                  <w:pPr>
                    <w:pStyle w:val="90"/>
                  </w:pPr>
                  <w:r>
                    <w:rPr>
                      <w:rFonts w:hint="eastAsia"/>
                    </w:rPr>
                    <w:t>1</w:t>
                  </w:r>
                </w:p>
              </w:tc>
              <w:tc>
                <w:tcPr>
                  <w:tcW w:w="1480" w:type="pct"/>
                  <w:vAlign w:val="center"/>
                </w:tcPr>
                <w:p w14:paraId="4351943B">
                  <w:pPr>
                    <w:pStyle w:val="90"/>
                  </w:pPr>
                  <w:r>
                    <w:rPr>
                      <w:rFonts w:hint="eastAsia"/>
                    </w:rPr>
                    <w:t>破碎料</w:t>
                  </w:r>
                </w:p>
              </w:tc>
              <w:tc>
                <w:tcPr>
                  <w:tcW w:w="1112" w:type="pct"/>
                  <w:vAlign w:val="center"/>
                </w:tcPr>
                <w:p w14:paraId="0B3B8D98">
                  <w:pPr>
                    <w:pStyle w:val="90"/>
                  </w:pPr>
                  <w:r>
                    <w:rPr>
                      <w:rFonts w:hint="eastAsia"/>
                      <w:szCs w:val="21"/>
                    </w:rPr>
                    <w:t>t</w:t>
                  </w:r>
                  <w:r>
                    <w:rPr>
                      <w:szCs w:val="21"/>
                    </w:rPr>
                    <w:t>/</w:t>
                  </w:r>
                  <w:r>
                    <w:rPr>
                      <w:rFonts w:hint="eastAsia"/>
                      <w:szCs w:val="21"/>
                    </w:rPr>
                    <w:t>a</w:t>
                  </w:r>
                </w:p>
              </w:tc>
              <w:tc>
                <w:tcPr>
                  <w:tcW w:w="1296" w:type="pct"/>
                  <w:vAlign w:val="center"/>
                </w:tcPr>
                <w:p w14:paraId="5B8659E6">
                  <w:pPr>
                    <w:pStyle w:val="90"/>
                  </w:pPr>
                  <w:r>
                    <w:rPr>
                      <w:rFonts w:hint="eastAsia"/>
                    </w:rPr>
                    <w:t>29720.5</w:t>
                  </w:r>
                </w:p>
              </w:tc>
            </w:tr>
          </w:tbl>
          <w:p w14:paraId="00E3749D">
            <w:pPr>
              <w:pStyle w:val="103"/>
            </w:pPr>
            <w:r>
              <w:t>表2-4  项目</w:t>
            </w:r>
            <w:r>
              <w:rPr>
                <w:rFonts w:hint="eastAsia"/>
              </w:rPr>
              <w:t>物料平衡</w:t>
            </w:r>
            <w:r>
              <w:t>表</w:t>
            </w:r>
            <w:r>
              <w:rPr>
                <w:rFonts w:hint="eastAsia"/>
              </w:rPr>
              <w:t xml:space="preserve"> </w:t>
            </w:r>
            <w:r>
              <w:t xml:space="preserve"> </w:t>
            </w:r>
            <w:r>
              <w:rPr>
                <w:rFonts w:hint="eastAsia"/>
              </w:rPr>
              <w:t>单位：t</w:t>
            </w:r>
            <w:r>
              <w:t>/</w:t>
            </w:r>
            <w:r>
              <w:rPr>
                <w:rFonts w:hint="eastAsia"/>
              </w:rPr>
              <w:t>a</w:t>
            </w:r>
          </w:p>
          <w:tbl>
            <w:tblPr>
              <w:tblStyle w:val="32"/>
              <w:tblW w:w="5000"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245"/>
              <w:gridCol w:w="1668"/>
              <w:gridCol w:w="1492"/>
              <w:gridCol w:w="2725"/>
            </w:tblGrid>
            <w:tr w14:paraId="131059B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5" w:type="pct"/>
                  <w:gridSpan w:val="2"/>
                  <w:vAlign w:val="center"/>
                </w:tcPr>
                <w:p w14:paraId="69F9E840">
                  <w:pPr>
                    <w:pStyle w:val="90"/>
                  </w:pPr>
                  <w:r>
                    <w:t>入</w:t>
                  </w:r>
                  <w:r>
                    <w:rPr>
                      <w:rFonts w:hint="eastAsia"/>
                    </w:rPr>
                    <w:t>方</w:t>
                  </w:r>
                </w:p>
              </w:tc>
              <w:tc>
                <w:tcPr>
                  <w:tcW w:w="3494" w:type="pct"/>
                  <w:gridSpan w:val="3"/>
                  <w:vAlign w:val="center"/>
                </w:tcPr>
                <w:p w14:paraId="56F96442">
                  <w:pPr>
                    <w:pStyle w:val="90"/>
                  </w:pPr>
                  <w:r>
                    <w:t>出方</w:t>
                  </w:r>
                </w:p>
              </w:tc>
            </w:tr>
            <w:tr w14:paraId="3B26452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39FFF293">
                  <w:pPr>
                    <w:pStyle w:val="90"/>
                  </w:pPr>
                  <w:r>
                    <w:rPr>
                      <w:rFonts w:hint="eastAsia"/>
                    </w:rPr>
                    <w:t>名称</w:t>
                  </w:r>
                </w:p>
              </w:tc>
              <w:tc>
                <w:tcPr>
                  <w:tcW w:w="739" w:type="pct"/>
                  <w:vAlign w:val="center"/>
                </w:tcPr>
                <w:p w14:paraId="0FE7FADA">
                  <w:pPr>
                    <w:pStyle w:val="90"/>
                  </w:pPr>
                  <w:r>
                    <w:rPr>
                      <w:rFonts w:hint="eastAsia"/>
                    </w:rPr>
                    <w:t>数量</w:t>
                  </w:r>
                </w:p>
              </w:tc>
              <w:tc>
                <w:tcPr>
                  <w:tcW w:w="1876" w:type="pct"/>
                  <w:gridSpan w:val="2"/>
                  <w:vAlign w:val="center"/>
                </w:tcPr>
                <w:p w14:paraId="116F5412">
                  <w:pPr>
                    <w:pStyle w:val="90"/>
                  </w:pPr>
                  <w:r>
                    <w:rPr>
                      <w:rFonts w:hint="eastAsia"/>
                    </w:rPr>
                    <w:t>名称</w:t>
                  </w:r>
                </w:p>
              </w:tc>
              <w:tc>
                <w:tcPr>
                  <w:tcW w:w="1617" w:type="pct"/>
                  <w:vAlign w:val="center"/>
                </w:tcPr>
                <w:p w14:paraId="463EC978">
                  <w:pPr>
                    <w:pStyle w:val="90"/>
                  </w:pPr>
                  <w:r>
                    <w:rPr>
                      <w:rFonts w:hint="eastAsia"/>
                    </w:rPr>
                    <w:t>数量</w:t>
                  </w:r>
                </w:p>
              </w:tc>
            </w:tr>
            <w:tr w14:paraId="16A9103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0D726A59">
                  <w:pPr>
                    <w:pStyle w:val="90"/>
                  </w:pPr>
                  <w:r>
                    <w:rPr>
                      <w:rFonts w:hint="eastAsia"/>
                    </w:rPr>
                    <w:t>PP废塑料</w:t>
                  </w:r>
                </w:p>
              </w:tc>
              <w:tc>
                <w:tcPr>
                  <w:tcW w:w="739" w:type="pct"/>
                  <w:vAlign w:val="center"/>
                </w:tcPr>
                <w:p w14:paraId="7F1FC949">
                  <w:pPr>
                    <w:pStyle w:val="90"/>
                  </w:pPr>
                  <w:r>
                    <w:rPr>
                      <w:rFonts w:hint="eastAsia"/>
                    </w:rPr>
                    <w:t>2</w:t>
                  </w:r>
                  <w:r>
                    <w:t>0000</w:t>
                  </w:r>
                </w:p>
              </w:tc>
              <w:tc>
                <w:tcPr>
                  <w:tcW w:w="1876" w:type="pct"/>
                  <w:gridSpan w:val="2"/>
                  <w:vAlign w:val="center"/>
                </w:tcPr>
                <w:p w14:paraId="77092576">
                  <w:pPr>
                    <w:pStyle w:val="90"/>
                  </w:pPr>
                  <w:r>
                    <w:rPr>
                      <w:rFonts w:hint="eastAsia"/>
                    </w:rPr>
                    <w:t>破碎料</w:t>
                  </w:r>
                </w:p>
              </w:tc>
              <w:tc>
                <w:tcPr>
                  <w:tcW w:w="1617" w:type="pct"/>
                  <w:vAlign w:val="center"/>
                </w:tcPr>
                <w:p w14:paraId="61D643F4">
                  <w:pPr>
                    <w:pStyle w:val="90"/>
                  </w:pPr>
                  <w:r>
                    <w:rPr>
                      <w:rFonts w:hint="eastAsia"/>
                    </w:rPr>
                    <w:t>29720.5</w:t>
                  </w:r>
                </w:p>
              </w:tc>
            </w:tr>
            <w:tr w14:paraId="7553E15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47C0765F">
                  <w:pPr>
                    <w:pStyle w:val="90"/>
                  </w:pPr>
                  <w:r>
                    <w:rPr>
                      <w:rFonts w:hint="eastAsia"/>
                    </w:rPr>
                    <w:t>PE废塑料</w:t>
                  </w:r>
                </w:p>
              </w:tc>
              <w:tc>
                <w:tcPr>
                  <w:tcW w:w="739" w:type="pct"/>
                  <w:vAlign w:val="center"/>
                </w:tcPr>
                <w:p w14:paraId="32368816">
                  <w:pPr>
                    <w:pStyle w:val="90"/>
                  </w:pPr>
                  <w:r>
                    <w:rPr>
                      <w:rFonts w:hint="eastAsia"/>
                    </w:rPr>
                    <w:t>1</w:t>
                  </w:r>
                  <w:r>
                    <w:t>0000</w:t>
                  </w:r>
                </w:p>
              </w:tc>
              <w:tc>
                <w:tcPr>
                  <w:tcW w:w="990" w:type="pct"/>
                  <w:vMerge w:val="restart"/>
                  <w:vAlign w:val="center"/>
                </w:tcPr>
                <w:p w14:paraId="113C25C4">
                  <w:pPr>
                    <w:pStyle w:val="90"/>
                  </w:pPr>
                  <w:r>
                    <w:t>固体废物</w:t>
                  </w:r>
                </w:p>
              </w:tc>
              <w:tc>
                <w:tcPr>
                  <w:tcW w:w="885" w:type="pct"/>
                  <w:vAlign w:val="center"/>
                </w:tcPr>
                <w:p w14:paraId="1052DE40">
                  <w:pPr>
                    <w:pStyle w:val="90"/>
                  </w:pPr>
                  <w:r>
                    <w:rPr>
                      <w:szCs w:val="21"/>
                      <w:lang w:bidi="ar"/>
                    </w:rPr>
                    <w:t>湿法破碎+清洗工序</w:t>
                  </w:r>
                  <w:r>
                    <w:rPr>
                      <w:rFonts w:hint="eastAsia"/>
                      <w:szCs w:val="21"/>
                      <w:lang w:bidi="ar"/>
                    </w:rPr>
                    <w:t>产生的泥沙及杂质</w:t>
                  </w:r>
                </w:p>
              </w:tc>
              <w:tc>
                <w:tcPr>
                  <w:tcW w:w="1617" w:type="pct"/>
                  <w:vAlign w:val="center"/>
                </w:tcPr>
                <w:p w14:paraId="6ADA61A0">
                  <w:pPr>
                    <w:pStyle w:val="90"/>
                  </w:pPr>
                  <w:r>
                    <w:rPr>
                      <w:rFonts w:hint="eastAsia"/>
                    </w:rPr>
                    <w:t>249</w:t>
                  </w:r>
                </w:p>
              </w:tc>
            </w:tr>
            <w:tr w14:paraId="6CF2F5E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52E678F3">
                  <w:pPr>
                    <w:pStyle w:val="90"/>
                  </w:pPr>
                  <w:r>
                    <w:rPr>
                      <w:rFonts w:hint="eastAsia"/>
                    </w:rPr>
                    <w:t>/</w:t>
                  </w:r>
                </w:p>
              </w:tc>
              <w:tc>
                <w:tcPr>
                  <w:tcW w:w="739" w:type="pct"/>
                  <w:vAlign w:val="center"/>
                </w:tcPr>
                <w:p w14:paraId="79A68526">
                  <w:pPr>
                    <w:pStyle w:val="90"/>
                  </w:pPr>
                  <w:r>
                    <w:rPr>
                      <w:rFonts w:hint="eastAsia"/>
                    </w:rPr>
                    <w:t>/</w:t>
                  </w:r>
                </w:p>
              </w:tc>
              <w:tc>
                <w:tcPr>
                  <w:tcW w:w="990" w:type="pct"/>
                  <w:vMerge w:val="continue"/>
                  <w:vAlign w:val="center"/>
                </w:tcPr>
                <w:p w14:paraId="72DA04F9">
                  <w:pPr>
                    <w:pStyle w:val="90"/>
                  </w:pPr>
                </w:p>
              </w:tc>
              <w:tc>
                <w:tcPr>
                  <w:tcW w:w="885" w:type="pct"/>
                  <w:vAlign w:val="center"/>
                </w:tcPr>
                <w:p w14:paraId="5442C9A4">
                  <w:pPr>
                    <w:pStyle w:val="90"/>
                  </w:pPr>
                  <w:r>
                    <w:rPr>
                      <w:rFonts w:hint="eastAsia"/>
                    </w:rPr>
                    <w:t>不合格产品</w:t>
                  </w:r>
                </w:p>
              </w:tc>
              <w:tc>
                <w:tcPr>
                  <w:tcW w:w="1617" w:type="pct"/>
                  <w:vAlign w:val="center"/>
                </w:tcPr>
                <w:p w14:paraId="7DA0F29A">
                  <w:pPr>
                    <w:pStyle w:val="90"/>
                  </w:pPr>
                  <w:r>
                    <w:rPr>
                      <w:rFonts w:hint="eastAsia"/>
                    </w:rPr>
                    <w:t>30</w:t>
                  </w:r>
                </w:p>
              </w:tc>
            </w:tr>
            <w:tr w14:paraId="1E94112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0E24D2EC">
                  <w:pPr>
                    <w:pStyle w:val="90"/>
                  </w:pPr>
                  <w:r>
                    <w:rPr>
                      <w:rFonts w:hint="eastAsia"/>
                    </w:rPr>
                    <w:t>/</w:t>
                  </w:r>
                </w:p>
              </w:tc>
              <w:tc>
                <w:tcPr>
                  <w:tcW w:w="739" w:type="pct"/>
                  <w:vAlign w:val="center"/>
                </w:tcPr>
                <w:p w14:paraId="37FC1D5E">
                  <w:pPr>
                    <w:pStyle w:val="90"/>
                  </w:pPr>
                  <w:r>
                    <w:rPr>
                      <w:rFonts w:hint="eastAsia"/>
                    </w:rPr>
                    <w:t>/</w:t>
                  </w:r>
                </w:p>
              </w:tc>
              <w:tc>
                <w:tcPr>
                  <w:tcW w:w="990" w:type="pct"/>
                  <w:vMerge w:val="continue"/>
                  <w:vAlign w:val="center"/>
                </w:tcPr>
                <w:p w14:paraId="36DC480B">
                  <w:pPr>
                    <w:pStyle w:val="90"/>
                  </w:pPr>
                </w:p>
              </w:tc>
              <w:tc>
                <w:tcPr>
                  <w:tcW w:w="885" w:type="pct"/>
                  <w:vAlign w:val="center"/>
                </w:tcPr>
                <w:p w14:paraId="6959409F">
                  <w:pPr>
                    <w:pStyle w:val="90"/>
                  </w:pPr>
                  <w:r>
                    <w:rPr>
                      <w:rFonts w:hint="eastAsia"/>
                    </w:rPr>
                    <w:t>废商标</w:t>
                  </w:r>
                </w:p>
              </w:tc>
              <w:tc>
                <w:tcPr>
                  <w:tcW w:w="1617" w:type="pct"/>
                  <w:vAlign w:val="center"/>
                </w:tcPr>
                <w:p w14:paraId="40C08C36">
                  <w:pPr>
                    <w:pStyle w:val="90"/>
                  </w:pPr>
                  <w:r>
                    <w:rPr>
                      <w:rFonts w:hint="eastAsia"/>
                    </w:rPr>
                    <w:t>0.5</w:t>
                  </w:r>
                </w:p>
              </w:tc>
            </w:tr>
            <w:tr w14:paraId="4462374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266D2444">
                  <w:pPr>
                    <w:pStyle w:val="90"/>
                  </w:pPr>
                  <w:r>
                    <w:rPr>
                      <w:rFonts w:hint="eastAsia"/>
                    </w:rPr>
                    <w:t>合计</w:t>
                  </w:r>
                </w:p>
              </w:tc>
              <w:tc>
                <w:tcPr>
                  <w:tcW w:w="739" w:type="pct"/>
                  <w:vAlign w:val="center"/>
                </w:tcPr>
                <w:p w14:paraId="70E90B12">
                  <w:pPr>
                    <w:pStyle w:val="90"/>
                  </w:pPr>
                  <w:r>
                    <w:fldChar w:fldCharType="begin"/>
                  </w:r>
                  <w:r>
                    <w:instrText xml:space="preserve"> </w:instrText>
                  </w:r>
                  <w:r>
                    <w:rPr>
                      <w:rFonts w:hint="eastAsia"/>
                    </w:rPr>
                    <w:instrText xml:space="preserve">=SUM(ABOVE)</w:instrText>
                  </w:r>
                  <w:r>
                    <w:instrText xml:space="preserve"> </w:instrText>
                  </w:r>
                  <w:r>
                    <w:fldChar w:fldCharType="separate"/>
                  </w:r>
                  <w:r>
                    <w:t>30000</w:t>
                  </w:r>
                  <w:r>
                    <w:fldChar w:fldCharType="end"/>
                  </w:r>
                </w:p>
              </w:tc>
              <w:tc>
                <w:tcPr>
                  <w:tcW w:w="1876" w:type="pct"/>
                  <w:gridSpan w:val="2"/>
                  <w:vAlign w:val="center"/>
                </w:tcPr>
                <w:p w14:paraId="556B9D8B">
                  <w:pPr>
                    <w:pStyle w:val="90"/>
                  </w:pPr>
                  <w:r>
                    <w:rPr>
                      <w:rFonts w:hint="eastAsia"/>
                    </w:rPr>
                    <w:t>合计</w:t>
                  </w:r>
                </w:p>
              </w:tc>
              <w:tc>
                <w:tcPr>
                  <w:tcW w:w="1617" w:type="pct"/>
                  <w:vAlign w:val="center"/>
                </w:tcPr>
                <w:p w14:paraId="30E9C5A3">
                  <w:pPr>
                    <w:pStyle w:val="90"/>
                  </w:pPr>
                  <w:r>
                    <w:fldChar w:fldCharType="begin"/>
                  </w:r>
                  <w:r>
                    <w:instrText xml:space="preserve"> </w:instrText>
                  </w:r>
                  <w:r>
                    <w:rPr>
                      <w:rFonts w:hint="eastAsia"/>
                    </w:rPr>
                    <w:instrText xml:space="preserve">=SUM(ABOVE)</w:instrText>
                  </w:r>
                  <w:r>
                    <w:instrText xml:space="preserve"> </w:instrText>
                  </w:r>
                  <w:r>
                    <w:fldChar w:fldCharType="separate"/>
                  </w:r>
                  <w:r>
                    <w:t>30000</w:t>
                  </w:r>
                  <w:r>
                    <w:fldChar w:fldCharType="end"/>
                  </w:r>
                </w:p>
              </w:tc>
            </w:tr>
          </w:tbl>
          <w:p w14:paraId="6C2C67A4">
            <w:pPr>
              <w:pStyle w:val="91"/>
              <w:ind w:firstLine="480"/>
            </w:pPr>
            <w:r>
              <w:rPr>
                <w:rFonts w:hint="eastAsia"/>
              </w:rPr>
              <w:t>4.主要设备</w:t>
            </w:r>
          </w:p>
          <w:p w14:paraId="34018100">
            <w:pPr>
              <w:pStyle w:val="91"/>
              <w:ind w:firstLine="480"/>
            </w:pPr>
            <w:r>
              <w:t>本项目所需主要设备见表2-5。</w:t>
            </w:r>
          </w:p>
          <w:p w14:paraId="45D359DA">
            <w:pPr>
              <w:pStyle w:val="103"/>
            </w:pPr>
            <w:r>
              <w:t>表2-5</w:t>
            </w:r>
            <w:r>
              <w:rPr>
                <w:rFonts w:hint="eastAsia"/>
              </w:rPr>
              <w:t xml:space="preserve"> </w:t>
            </w:r>
            <w:r>
              <w:t>主要设备一览表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868"/>
              <w:gridCol w:w="2178"/>
              <w:gridCol w:w="938"/>
              <w:gridCol w:w="939"/>
              <w:gridCol w:w="1559"/>
            </w:tblGrid>
            <w:tr w14:paraId="43DA3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609A53AE">
                  <w:pPr>
                    <w:pStyle w:val="90"/>
                    <w:rPr>
                      <w:szCs w:val="21"/>
                    </w:rPr>
                  </w:pPr>
                  <w:r>
                    <w:rPr>
                      <w:szCs w:val="21"/>
                    </w:rPr>
                    <w:t>序号</w:t>
                  </w:r>
                </w:p>
              </w:tc>
              <w:tc>
                <w:tcPr>
                  <w:tcW w:w="1109" w:type="pct"/>
                  <w:vAlign w:val="center"/>
                </w:tcPr>
                <w:p w14:paraId="1FCE2076">
                  <w:pPr>
                    <w:pStyle w:val="90"/>
                    <w:rPr>
                      <w:szCs w:val="21"/>
                    </w:rPr>
                  </w:pPr>
                  <w:r>
                    <w:rPr>
                      <w:szCs w:val="21"/>
                    </w:rPr>
                    <w:t>设备名称</w:t>
                  </w:r>
                </w:p>
              </w:tc>
              <w:tc>
                <w:tcPr>
                  <w:tcW w:w="1293" w:type="pct"/>
                  <w:vAlign w:val="center"/>
                </w:tcPr>
                <w:p w14:paraId="3E221F68">
                  <w:pPr>
                    <w:pStyle w:val="90"/>
                    <w:rPr>
                      <w:szCs w:val="21"/>
                    </w:rPr>
                  </w:pPr>
                  <w:r>
                    <w:rPr>
                      <w:szCs w:val="21"/>
                    </w:rPr>
                    <w:t>主要规格型号</w:t>
                  </w:r>
                </w:p>
              </w:tc>
              <w:tc>
                <w:tcPr>
                  <w:tcW w:w="557" w:type="pct"/>
                  <w:vAlign w:val="center"/>
                </w:tcPr>
                <w:p w14:paraId="30ACC4AD">
                  <w:pPr>
                    <w:pStyle w:val="90"/>
                    <w:rPr>
                      <w:szCs w:val="21"/>
                    </w:rPr>
                  </w:pPr>
                  <w:r>
                    <w:rPr>
                      <w:szCs w:val="21"/>
                    </w:rPr>
                    <w:t>单位</w:t>
                  </w:r>
                </w:p>
              </w:tc>
              <w:tc>
                <w:tcPr>
                  <w:tcW w:w="557" w:type="pct"/>
                  <w:vAlign w:val="center"/>
                </w:tcPr>
                <w:p w14:paraId="799CEED2">
                  <w:pPr>
                    <w:pStyle w:val="90"/>
                    <w:rPr>
                      <w:szCs w:val="21"/>
                    </w:rPr>
                  </w:pPr>
                  <w:r>
                    <w:rPr>
                      <w:szCs w:val="21"/>
                    </w:rPr>
                    <w:t>数量</w:t>
                  </w:r>
                </w:p>
              </w:tc>
              <w:tc>
                <w:tcPr>
                  <w:tcW w:w="925" w:type="pct"/>
                  <w:vAlign w:val="center"/>
                </w:tcPr>
                <w:p w14:paraId="4F64F055">
                  <w:pPr>
                    <w:pStyle w:val="90"/>
                    <w:rPr>
                      <w:szCs w:val="21"/>
                    </w:rPr>
                  </w:pPr>
                  <w:r>
                    <w:rPr>
                      <w:szCs w:val="21"/>
                    </w:rPr>
                    <w:t>备注</w:t>
                  </w:r>
                </w:p>
              </w:tc>
            </w:tr>
            <w:tr w14:paraId="780F3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2E8AB6ED">
                  <w:pPr>
                    <w:pStyle w:val="90"/>
                    <w:rPr>
                      <w:szCs w:val="21"/>
                    </w:rPr>
                  </w:pPr>
                  <w:r>
                    <w:rPr>
                      <w:szCs w:val="21"/>
                    </w:rPr>
                    <w:t>1</w:t>
                  </w:r>
                </w:p>
              </w:tc>
              <w:tc>
                <w:tcPr>
                  <w:tcW w:w="1109" w:type="pct"/>
                  <w:vAlign w:val="center"/>
                </w:tcPr>
                <w:p w14:paraId="18690011">
                  <w:pPr>
                    <w:pStyle w:val="90"/>
                    <w:rPr>
                      <w:szCs w:val="21"/>
                    </w:rPr>
                  </w:pPr>
                  <w:r>
                    <w:t>脱标机</w:t>
                  </w:r>
                </w:p>
              </w:tc>
              <w:tc>
                <w:tcPr>
                  <w:tcW w:w="1293" w:type="pct"/>
                  <w:vAlign w:val="center"/>
                </w:tcPr>
                <w:p w14:paraId="20C03269">
                  <w:pPr>
                    <w:pStyle w:val="90"/>
                    <w:rPr>
                      <w:szCs w:val="21"/>
                    </w:rPr>
                  </w:pPr>
                  <w:r>
                    <w:rPr>
                      <w:rFonts w:hint="eastAsia"/>
                    </w:rPr>
                    <w:t>630</w:t>
                  </w:r>
                </w:p>
              </w:tc>
              <w:tc>
                <w:tcPr>
                  <w:tcW w:w="557" w:type="pct"/>
                  <w:vAlign w:val="center"/>
                </w:tcPr>
                <w:p w14:paraId="15F5F190">
                  <w:pPr>
                    <w:pStyle w:val="90"/>
                    <w:rPr>
                      <w:szCs w:val="21"/>
                    </w:rPr>
                  </w:pPr>
                  <w:r>
                    <w:t>台</w:t>
                  </w:r>
                </w:p>
              </w:tc>
              <w:tc>
                <w:tcPr>
                  <w:tcW w:w="557" w:type="pct"/>
                  <w:vAlign w:val="center"/>
                </w:tcPr>
                <w:p w14:paraId="300D6661">
                  <w:pPr>
                    <w:pStyle w:val="90"/>
                    <w:rPr>
                      <w:szCs w:val="21"/>
                    </w:rPr>
                  </w:pPr>
                  <w:r>
                    <w:rPr>
                      <w:rFonts w:hint="eastAsia"/>
                    </w:rPr>
                    <w:t>1</w:t>
                  </w:r>
                </w:p>
              </w:tc>
              <w:tc>
                <w:tcPr>
                  <w:tcW w:w="925" w:type="pct"/>
                  <w:vAlign w:val="center"/>
                </w:tcPr>
                <w:p w14:paraId="72089366">
                  <w:pPr>
                    <w:pStyle w:val="90"/>
                    <w:rPr>
                      <w:szCs w:val="21"/>
                    </w:rPr>
                  </w:pPr>
                </w:p>
              </w:tc>
            </w:tr>
            <w:tr w14:paraId="689A0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778A8288">
                  <w:pPr>
                    <w:pStyle w:val="90"/>
                    <w:rPr>
                      <w:szCs w:val="21"/>
                    </w:rPr>
                  </w:pPr>
                  <w:r>
                    <w:rPr>
                      <w:rFonts w:hint="eastAsia"/>
                      <w:szCs w:val="21"/>
                    </w:rPr>
                    <w:t>2</w:t>
                  </w:r>
                </w:p>
              </w:tc>
              <w:tc>
                <w:tcPr>
                  <w:tcW w:w="1109" w:type="pct"/>
                  <w:vAlign w:val="center"/>
                </w:tcPr>
                <w:p w14:paraId="42997BB4">
                  <w:pPr>
                    <w:jc w:val="center"/>
                    <w:rPr>
                      <w:bCs/>
                      <w:szCs w:val="21"/>
                    </w:rPr>
                  </w:pPr>
                  <w:r>
                    <w:rPr>
                      <w:rFonts w:hint="eastAsia"/>
                      <w:bCs/>
                      <w:szCs w:val="21"/>
                    </w:rPr>
                    <w:t>粉碎机</w:t>
                  </w:r>
                </w:p>
              </w:tc>
              <w:tc>
                <w:tcPr>
                  <w:tcW w:w="1293" w:type="pct"/>
                  <w:vAlign w:val="center"/>
                </w:tcPr>
                <w:p w14:paraId="5E4FA125">
                  <w:pPr>
                    <w:jc w:val="center"/>
                    <w:rPr>
                      <w:bCs/>
                      <w:szCs w:val="21"/>
                    </w:rPr>
                  </w:pPr>
                  <w:r>
                    <w:rPr>
                      <w:rFonts w:hint="eastAsia"/>
                      <w:bCs/>
                      <w:szCs w:val="21"/>
                    </w:rPr>
                    <w:t>800型</w:t>
                  </w:r>
                </w:p>
              </w:tc>
              <w:tc>
                <w:tcPr>
                  <w:tcW w:w="557" w:type="pct"/>
                  <w:vAlign w:val="center"/>
                </w:tcPr>
                <w:p w14:paraId="6B014968">
                  <w:pPr>
                    <w:pStyle w:val="90"/>
                    <w:rPr>
                      <w:szCs w:val="21"/>
                    </w:rPr>
                  </w:pPr>
                  <w:r>
                    <w:rPr>
                      <w:szCs w:val="21"/>
                    </w:rPr>
                    <w:t>台</w:t>
                  </w:r>
                </w:p>
              </w:tc>
              <w:tc>
                <w:tcPr>
                  <w:tcW w:w="557" w:type="pct"/>
                  <w:vAlign w:val="center"/>
                </w:tcPr>
                <w:p w14:paraId="0B4E9ACA">
                  <w:pPr>
                    <w:pStyle w:val="90"/>
                    <w:rPr>
                      <w:szCs w:val="21"/>
                    </w:rPr>
                  </w:pPr>
                  <w:r>
                    <w:rPr>
                      <w:rFonts w:hint="eastAsia"/>
                      <w:szCs w:val="21"/>
                    </w:rPr>
                    <w:t>2</w:t>
                  </w:r>
                </w:p>
              </w:tc>
              <w:tc>
                <w:tcPr>
                  <w:tcW w:w="925" w:type="pct"/>
                  <w:vAlign w:val="center"/>
                </w:tcPr>
                <w:p w14:paraId="7BB05B58">
                  <w:pPr>
                    <w:pStyle w:val="90"/>
                    <w:rPr>
                      <w:szCs w:val="21"/>
                    </w:rPr>
                  </w:pPr>
                  <w:r>
                    <w:rPr>
                      <w:rFonts w:hint="eastAsia"/>
                      <w:szCs w:val="21"/>
                    </w:rPr>
                    <w:t>湿法</w:t>
                  </w:r>
                </w:p>
              </w:tc>
            </w:tr>
            <w:tr w14:paraId="1FBB2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4BB3F836">
                  <w:pPr>
                    <w:pStyle w:val="90"/>
                    <w:rPr>
                      <w:szCs w:val="21"/>
                    </w:rPr>
                  </w:pPr>
                  <w:r>
                    <w:rPr>
                      <w:rFonts w:hint="eastAsia"/>
                      <w:szCs w:val="21"/>
                    </w:rPr>
                    <w:t>3</w:t>
                  </w:r>
                </w:p>
              </w:tc>
              <w:tc>
                <w:tcPr>
                  <w:tcW w:w="1109" w:type="pct"/>
                  <w:vAlign w:val="center"/>
                </w:tcPr>
                <w:p w14:paraId="58A63245">
                  <w:pPr>
                    <w:jc w:val="center"/>
                    <w:rPr>
                      <w:bCs/>
                      <w:szCs w:val="21"/>
                    </w:rPr>
                  </w:pPr>
                  <w:r>
                    <w:rPr>
                      <w:rFonts w:hint="eastAsia"/>
                      <w:bCs/>
                      <w:szCs w:val="21"/>
                    </w:rPr>
                    <w:t>清洗池</w:t>
                  </w:r>
                </w:p>
              </w:tc>
              <w:tc>
                <w:tcPr>
                  <w:tcW w:w="1293" w:type="pct"/>
                  <w:vAlign w:val="center"/>
                </w:tcPr>
                <w:p w14:paraId="37ACACD3">
                  <w:pPr>
                    <w:jc w:val="center"/>
                    <w:rPr>
                      <w:bCs/>
                      <w:szCs w:val="21"/>
                    </w:rPr>
                  </w:pPr>
                  <w:r>
                    <w:rPr>
                      <w:rFonts w:hint="eastAsia"/>
                      <w:bCs/>
                      <w:szCs w:val="21"/>
                    </w:rPr>
                    <w:t>4立方</w:t>
                  </w:r>
                </w:p>
              </w:tc>
              <w:tc>
                <w:tcPr>
                  <w:tcW w:w="557" w:type="pct"/>
                  <w:vAlign w:val="center"/>
                </w:tcPr>
                <w:p w14:paraId="4BFB4A0B">
                  <w:pPr>
                    <w:pStyle w:val="90"/>
                    <w:rPr>
                      <w:szCs w:val="21"/>
                    </w:rPr>
                  </w:pPr>
                  <w:r>
                    <w:rPr>
                      <w:rFonts w:hint="eastAsia"/>
                      <w:szCs w:val="21"/>
                    </w:rPr>
                    <w:t>座</w:t>
                  </w:r>
                </w:p>
              </w:tc>
              <w:tc>
                <w:tcPr>
                  <w:tcW w:w="557" w:type="pct"/>
                  <w:vAlign w:val="center"/>
                </w:tcPr>
                <w:p w14:paraId="1C0F2546">
                  <w:pPr>
                    <w:pStyle w:val="90"/>
                    <w:rPr>
                      <w:szCs w:val="21"/>
                    </w:rPr>
                  </w:pPr>
                  <w:r>
                    <w:rPr>
                      <w:rFonts w:hint="eastAsia"/>
                      <w:szCs w:val="21"/>
                    </w:rPr>
                    <w:t>1</w:t>
                  </w:r>
                </w:p>
              </w:tc>
              <w:tc>
                <w:tcPr>
                  <w:tcW w:w="925" w:type="pct"/>
                  <w:vAlign w:val="center"/>
                </w:tcPr>
                <w:p w14:paraId="6CE8704C">
                  <w:pPr>
                    <w:pStyle w:val="90"/>
                    <w:rPr>
                      <w:szCs w:val="21"/>
                    </w:rPr>
                  </w:pPr>
                </w:p>
              </w:tc>
            </w:tr>
            <w:tr w14:paraId="49C68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189BB163">
                  <w:pPr>
                    <w:pStyle w:val="90"/>
                    <w:rPr>
                      <w:szCs w:val="21"/>
                    </w:rPr>
                  </w:pPr>
                  <w:r>
                    <w:rPr>
                      <w:rFonts w:hint="eastAsia"/>
                      <w:szCs w:val="21"/>
                    </w:rPr>
                    <w:t>4</w:t>
                  </w:r>
                </w:p>
              </w:tc>
              <w:tc>
                <w:tcPr>
                  <w:tcW w:w="1109" w:type="pct"/>
                  <w:vAlign w:val="center"/>
                </w:tcPr>
                <w:p w14:paraId="64DD1F27">
                  <w:pPr>
                    <w:jc w:val="center"/>
                    <w:rPr>
                      <w:bCs/>
                      <w:szCs w:val="21"/>
                    </w:rPr>
                  </w:pPr>
                  <w:r>
                    <w:rPr>
                      <w:rFonts w:hint="eastAsia"/>
                      <w:bCs/>
                      <w:szCs w:val="21"/>
                    </w:rPr>
                    <w:t>提料机</w:t>
                  </w:r>
                </w:p>
              </w:tc>
              <w:tc>
                <w:tcPr>
                  <w:tcW w:w="1293" w:type="pct"/>
                  <w:vAlign w:val="center"/>
                </w:tcPr>
                <w:p w14:paraId="44505ABE">
                  <w:pPr>
                    <w:jc w:val="center"/>
                    <w:rPr>
                      <w:szCs w:val="21"/>
                    </w:rPr>
                  </w:pPr>
                  <w:r>
                    <w:rPr>
                      <w:rFonts w:hint="eastAsia"/>
                      <w:szCs w:val="21"/>
                    </w:rPr>
                    <w:t>300型</w:t>
                  </w:r>
                </w:p>
              </w:tc>
              <w:tc>
                <w:tcPr>
                  <w:tcW w:w="557" w:type="pct"/>
                  <w:vAlign w:val="center"/>
                </w:tcPr>
                <w:p w14:paraId="2F54BF0F">
                  <w:pPr>
                    <w:pStyle w:val="90"/>
                    <w:rPr>
                      <w:szCs w:val="21"/>
                    </w:rPr>
                  </w:pPr>
                  <w:r>
                    <w:rPr>
                      <w:szCs w:val="21"/>
                    </w:rPr>
                    <w:t>台</w:t>
                  </w:r>
                </w:p>
              </w:tc>
              <w:tc>
                <w:tcPr>
                  <w:tcW w:w="557" w:type="pct"/>
                  <w:vAlign w:val="center"/>
                </w:tcPr>
                <w:p w14:paraId="12981CEF">
                  <w:pPr>
                    <w:pStyle w:val="90"/>
                    <w:rPr>
                      <w:szCs w:val="21"/>
                    </w:rPr>
                  </w:pPr>
                  <w:r>
                    <w:rPr>
                      <w:rFonts w:hint="eastAsia"/>
                      <w:szCs w:val="21"/>
                    </w:rPr>
                    <w:t>1</w:t>
                  </w:r>
                </w:p>
              </w:tc>
              <w:tc>
                <w:tcPr>
                  <w:tcW w:w="925" w:type="pct"/>
                  <w:vAlign w:val="center"/>
                </w:tcPr>
                <w:p w14:paraId="6A6C1588">
                  <w:pPr>
                    <w:pStyle w:val="90"/>
                    <w:rPr>
                      <w:szCs w:val="21"/>
                    </w:rPr>
                  </w:pPr>
                </w:p>
              </w:tc>
            </w:tr>
            <w:tr w14:paraId="2337D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566B7075">
                  <w:pPr>
                    <w:pStyle w:val="90"/>
                    <w:rPr>
                      <w:szCs w:val="21"/>
                    </w:rPr>
                  </w:pPr>
                  <w:r>
                    <w:rPr>
                      <w:rFonts w:hint="eastAsia"/>
                      <w:szCs w:val="21"/>
                    </w:rPr>
                    <w:t>5</w:t>
                  </w:r>
                </w:p>
              </w:tc>
              <w:tc>
                <w:tcPr>
                  <w:tcW w:w="1109" w:type="pct"/>
                  <w:vAlign w:val="center"/>
                </w:tcPr>
                <w:p w14:paraId="3D2C4B82">
                  <w:pPr>
                    <w:jc w:val="center"/>
                    <w:rPr>
                      <w:bCs/>
                      <w:szCs w:val="21"/>
                    </w:rPr>
                  </w:pPr>
                  <w:r>
                    <w:rPr>
                      <w:rFonts w:hint="eastAsia"/>
                      <w:bCs/>
                      <w:szCs w:val="21"/>
                    </w:rPr>
                    <w:t>甩干机</w:t>
                  </w:r>
                </w:p>
              </w:tc>
              <w:tc>
                <w:tcPr>
                  <w:tcW w:w="1293" w:type="pct"/>
                  <w:vAlign w:val="center"/>
                </w:tcPr>
                <w:p w14:paraId="2FCDF70E">
                  <w:pPr>
                    <w:jc w:val="center"/>
                    <w:rPr>
                      <w:szCs w:val="21"/>
                    </w:rPr>
                  </w:pPr>
                  <w:r>
                    <w:rPr>
                      <w:rFonts w:hint="eastAsia"/>
                      <w:szCs w:val="21"/>
                    </w:rPr>
                    <w:t>500型</w:t>
                  </w:r>
                </w:p>
              </w:tc>
              <w:tc>
                <w:tcPr>
                  <w:tcW w:w="557" w:type="pct"/>
                  <w:vAlign w:val="center"/>
                </w:tcPr>
                <w:p w14:paraId="39DC2EB4">
                  <w:pPr>
                    <w:pStyle w:val="90"/>
                    <w:rPr>
                      <w:szCs w:val="21"/>
                    </w:rPr>
                  </w:pPr>
                  <w:r>
                    <w:rPr>
                      <w:szCs w:val="21"/>
                    </w:rPr>
                    <w:t>台</w:t>
                  </w:r>
                </w:p>
              </w:tc>
              <w:tc>
                <w:tcPr>
                  <w:tcW w:w="557" w:type="pct"/>
                  <w:vAlign w:val="center"/>
                </w:tcPr>
                <w:p w14:paraId="6B4025E0">
                  <w:pPr>
                    <w:pStyle w:val="90"/>
                    <w:rPr>
                      <w:szCs w:val="21"/>
                    </w:rPr>
                  </w:pPr>
                  <w:r>
                    <w:rPr>
                      <w:rFonts w:hint="eastAsia"/>
                      <w:szCs w:val="21"/>
                    </w:rPr>
                    <w:t>2</w:t>
                  </w:r>
                </w:p>
              </w:tc>
              <w:tc>
                <w:tcPr>
                  <w:tcW w:w="925" w:type="pct"/>
                  <w:vAlign w:val="center"/>
                </w:tcPr>
                <w:p w14:paraId="47520127">
                  <w:pPr>
                    <w:pStyle w:val="90"/>
                    <w:rPr>
                      <w:szCs w:val="21"/>
                    </w:rPr>
                  </w:pPr>
                </w:p>
              </w:tc>
            </w:tr>
            <w:tr w14:paraId="0E589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Align w:val="center"/>
                </w:tcPr>
                <w:p w14:paraId="5981FDC2">
                  <w:pPr>
                    <w:pStyle w:val="90"/>
                    <w:rPr>
                      <w:szCs w:val="21"/>
                    </w:rPr>
                  </w:pPr>
                  <w:r>
                    <w:rPr>
                      <w:rFonts w:hint="eastAsia"/>
                      <w:szCs w:val="21"/>
                    </w:rPr>
                    <w:t>6</w:t>
                  </w:r>
                </w:p>
              </w:tc>
              <w:tc>
                <w:tcPr>
                  <w:tcW w:w="1109" w:type="pct"/>
                  <w:vAlign w:val="center"/>
                </w:tcPr>
                <w:p w14:paraId="450C4DB2">
                  <w:pPr>
                    <w:jc w:val="center"/>
                    <w:rPr>
                      <w:bCs/>
                      <w:szCs w:val="21"/>
                    </w:rPr>
                  </w:pPr>
                  <w:r>
                    <w:rPr>
                      <w:rFonts w:hint="eastAsia"/>
                      <w:bCs/>
                      <w:szCs w:val="21"/>
                    </w:rPr>
                    <w:t>漂洗槽</w:t>
                  </w:r>
                </w:p>
              </w:tc>
              <w:tc>
                <w:tcPr>
                  <w:tcW w:w="1293" w:type="pct"/>
                  <w:vAlign w:val="center"/>
                </w:tcPr>
                <w:p w14:paraId="76F6790F">
                  <w:pPr>
                    <w:jc w:val="center"/>
                    <w:rPr>
                      <w:szCs w:val="21"/>
                    </w:rPr>
                  </w:pPr>
                  <w:r>
                    <w:rPr>
                      <w:rFonts w:hint="eastAsia"/>
                      <w:szCs w:val="21"/>
                    </w:rPr>
                    <w:t>/</w:t>
                  </w:r>
                </w:p>
              </w:tc>
              <w:tc>
                <w:tcPr>
                  <w:tcW w:w="557" w:type="pct"/>
                  <w:vAlign w:val="center"/>
                </w:tcPr>
                <w:p w14:paraId="74B23BE1">
                  <w:pPr>
                    <w:pStyle w:val="90"/>
                    <w:rPr>
                      <w:szCs w:val="21"/>
                    </w:rPr>
                  </w:pPr>
                  <w:r>
                    <w:rPr>
                      <w:rFonts w:hint="eastAsia"/>
                      <w:szCs w:val="21"/>
                    </w:rPr>
                    <w:t>套</w:t>
                  </w:r>
                </w:p>
              </w:tc>
              <w:tc>
                <w:tcPr>
                  <w:tcW w:w="557" w:type="pct"/>
                  <w:vAlign w:val="center"/>
                </w:tcPr>
                <w:p w14:paraId="0AF527CF">
                  <w:pPr>
                    <w:pStyle w:val="90"/>
                    <w:rPr>
                      <w:szCs w:val="21"/>
                    </w:rPr>
                  </w:pPr>
                  <w:r>
                    <w:rPr>
                      <w:rFonts w:hint="eastAsia"/>
                      <w:szCs w:val="21"/>
                    </w:rPr>
                    <w:t>2</w:t>
                  </w:r>
                </w:p>
              </w:tc>
              <w:tc>
                <w:tcPr>
                  <w:tcW w:w="925" w:type="pct"/>
                  <w:vAlign w:val="center"/>
                </w:tcPr>
                <w:p w14:paraId="38A1053A">
                  <w:pPr>
                    <w:pStyle w:val="90"/>
                    <w:rPr>
                      <w:szCs w:val="21"/>
                    </w:rPr>
                  </w:pPr>
                </w:p>
              </w:tc>
            </w:tr>
          </w:tbl>
          <w:p w14:paraId="743F061C">
            <w:pPr>
              <w:pStyle w:val="91"/>
              <w:ind w:firstLine="480"/>
            </w:pPr>
            <w:r>
              <w:rPr>
                <w:rFonts w:hint="eastAsia"/>
              </w:rPr>
              <w:t>5.公用工程</w:t>
            </w:r>
          </w:p>
          <w:p w14:paraId="4CCABEE3">
            <w:pPr>
              <w:pStyle w:val="91"/>
              <w:ind w:firstLine="480"/>
            </w:pPr>
            <w:r>
              <w:rPr>
                <w:rFonts w:hint="eastAsia"/>
              </w:rPr>
              <w:t>（1）</w:t>
            </w:r>
            <w:r>
              <w:t>给水</w:t>
            </w:r>
          </w:p>
          <w:p w14:paraId="543B8D3D">
            <w:pPr>
              <w:pStyle w:val="91"/>
              <w:ind w:firstLine="480"/>
            </w:pPr>
            <w:r>
              <w:rPr>
                <w:rFonts w:hint="eastAsia"/>
              </w:rPr>
              <w:t>本项目生产用水和生活用水由厂区现有水井供给。</w:t>
            </w:r>
          </w:p>
          <w:p w14:paraId="4AB8A006">
            <w:pPr>
              <w:pStyle w:val="91"/>
              <w:ind w:firstLine="480"/>
            </w:pPr>
            <w:r>
              <w:rPr>
                <w:rFonts w:hint="eastAsia"/>
              </w:rPr>
              <w:t>①</w:t>
            </w:r>
            <w:r>
              <w:t>生产用水</w:t>
            </w:r>
          </w:p>
          <w:p w14:paraId="63E0236F">
            <w:pPr>
              <w:pStyle w:val="91"/>
              <w:ind w:firstLine="480"/>
            </w:pPr>
            <w:r>
              <w:rPr>
                <w:rFonts w:hint="eastAsia"/>
              </w:rPr>
              <w:t>本项目用水主要为湿法破碎和清洗原料用水，项目参考《黑龙江省用水定额》</w:t>
            </w:r>
            <w:r>
              <w:rPr>
                <w:bCs/>
                <w:szCs w:val="24"/>
              </w:rPr>
              <w:t>（DB23/T 727-</w:t>
            </w:r>
            <w:r>
              <w:rPr>
                <w:rFonts w:hint="eastAsia"/>
                <w:bCs/>
                <w:szCs w:val="24"/>
              </w:rPr>
              <w:t>202</w:t>
            </w:r>
            <w:r>
              <w:rPr>
                <w:bCs/>
                <w:szCs w:val="24"/>
              </w:rPr>
              <w:t>）</w:t>
            </w:r>
            <w:r>
              <w:rPr>
                <w:rFonts w:hint="eastAsia"/>
                <w:bCs/>
                <w:szCs w:val="24"/>
              </w:rPr>
              <w:t>中表E.15化学纤维制造业用水定额，</w:t>
            </w:r>
            <w:r>
              <w:rPr>
                <w:rFonts w:hint="eastAsia"/>
              </w:rPr>
              <w:t>C2822聚酯（PET）清洗、造粒工序，用水量通用值0.8m</w:t>
            </w:r>
            <w:r>
              <w:rPr>
                <w:rFonts w:hint="eastAsia"/>
                <w:vertAlign w:val="superscript"/>
              </w:rPr>
              <w:t>3</w:t>
            </w:r>
            <w:r>
              <w:rPr>
                <w:rFonts w:hint="eastAsia"/>
              </w:rPr>
              <w:t>/t。本项目聚酯（废塑料）原料量30000t/a，本项目生产用水量24000t/a，100t/d。</w:t>
            </w:r>
          </w:p>
          <w:p w14:paraId="736BA2CA">
            <w:pPr>
              <w:pStyle w:val="91"/>
              <w:ind w:firstLine="480"/>
            </w:pPr>
            <w:r>
              <w:rPr>
                <w:rFonts w:hint="eastAsia"/>
              </w:rPr>
              <w:t>本项目湿法破碎和清洗原料用水循环使用，水量为100t/d，各加工环节损耗水量按照循环水量10%计，则损耗水量为10t/d，每日补充新鲜水量10t/d，240t/a。</w:t>
            </w:r>
          </w:p>
          <w:p w14:paraId="4519753C">
            <w:pPr>
              <w:pStyle w:val="91"/>
              <w:ind w:firstLine="480"/>
            </w:pPr>
            <w:r>
              <w:rPr>
                <w:rFonts w:hint="eastAsia"/>
              </w:rPr>
              <w:t>②生活用水</w:t>
            </w:r>
          </w:p>
          <w:p w14:paraId="43B3F77C">
            <w:pPr>
              <w:pStyle w:val="91"/>
              <w:ind w:firstLine="480"/>
              <w:rPr>
                <w:rFonts w:hint="eastAsia" w:eastAsia="宋体"/>
                <w:lang w:eastAsia="zh"/>
                <w:woUserID w:val="1"/>
              </w:rPr>
            </w:pPr>
            <w:r>
              <w:rPr>
                <w:rFonts w:hint="eastAsia"/>
              </w:rPr>
              <w:t>本</w:t>
            </w:r>
            <w:r>
              <w:t>项目运营期职工总人数</w:t>
            </w:r>
            <w:r>
              <w:rPr>
                <w:rFonts w:hint="eastAsia"/>
              </w:rPr>
              <w:t>10</w:t>
            </w:r>
            <w:r>
              <w:t>人，参照《</w:t>
            </w:r>
            <w:r>
              <w:rPr>
                <w:rFonts w:hint="eastAsia"/>
              </w:rPr>
              <w:t>用水定额》（</w:t>
            </w:r>
            <w:r>
              <w:t>DB23/T727-2021</w:t>
            </w:r>
            <w:r>
              <w:rPr>
                <w:rFonts w:hint="eastAsia"/>
              </w:rPr>
              <w:t>），</w:t>
            </w:r>
            <w:r>
              <w:t>项目</w:t>
            </w:r>
            <w:r>
              <w:rPr>
                <w:rFonts w:hint="eastAsia"/>
              </w:rPr>
              <w:t>职工</w:t>
            </w:r>
            <w:r>
              <w:t>用水量按115L/人·d计，年工作时间240</w:t>
            </w:r>
            <w:r>
              <w:rPr>
                <w:rFonts w:hint="eastAsia"/>
              </w:rPr>
              <w:t>天</w:t>
            </w:r>
            <w:r>
              <w:t>，则生活用水量为</w:t>
            </w:r>
            <w:r>
              <w:rPr>
                <w:rFonts w:hint="eastAsia"/>
              </w:rPr>
              <w:t>1.15</w:t>
            </w:r>
            <w:r>
              <w:t>m</w:t>
            </w:r>
            <w:r>
              <w:rPr>
                <w:vertAlign w:val="superscript"/>
              </w:rPr>
              <w:t>3</w:t>
            </w:r>
            <w:r>
              <w:t>/d</w:t>
            </w:r>
            <w:r>
              <w:rPr>
                <w:rFonts w:hint="default"/>
              </w:rPr>
              <w:t>(</w:t>
            </w:r>
            <w:r>
              <w:rPr>
                <w:rFonts w:hint="eastAsia"/>
              </w:rPr>
              <w:t>276</w:t>
            </w:r>
            <w:r>
              <w:t>t/a)</w:t>
            </w:r>
            <w:r>
              <w:rPr>
                <w:rFonts w:hint="eastAsia"/>
                <w:lang w:eastAsia="zh"/>
                <w:woUserID w:val="1"/>
              </w:rPr>
              <w:t>。</w:t>
            </w:r>
          </w:p>
          <w:p w14:paraId="43D8A63B">
            <w:pPr>
              <w:pStyle w:val="91"/>
              <w:ind w:firstLine="480"/>
            </w:pPr>
            <w:r>
              <w:rPr>
                <w:rFonts w:hint="eastAsia"/>
              </w:rPr>
              <w:t>综上，本项目</w:t>
            </w:r>
            <w:r>
              <w:rPr>
                <w:rFonts w:hint="eastAsia"/>
                <w:lang w:eastAsia="zh"/>
              </w:rPr>
              <w:t>总</w:t>
            </w:r>
            <w:r>
              <w:rPr>
                <w:rFonts w:hint="eastAsia"/>
              </w:rPr>
              <w:t>用水量为11.15</w:t>
            </w:r>
            <w:r>
              <w:t>m</w:t>
            </w:r>
            <w:r>
              <w:rPr>
                <w:vertAlign w:val="superscript"/>
              </w:rPr>
              <w:t>3</w:t>
            </w:r>
            <w:r>
              <w:t>/d</w:t>
            </w:r>
            <w:r>
              <w:rPr>
                <w:rFonts w:hint="eastAsia"/>
                <w:lang w:eastAsia="zh"/>
              </w:rPr>
              <w:t>(</w:t>
            </w:r>
            <w:r>
              <w:rPr>
                <w:rFonts w:hint="eastAsia"/>
              </w:rPr>
              <w:t>2676</w:t>
            </w:r>
            <w:r>
              <w:t>t/a）。</w:t>
            </w:r>
          </w:p>
          <w:p w14:paraId="6AF0F5C2">
            <w:pPr>
              <w:pStyle w:val="91"/>
              <w:ind w:firstLine="480"/>
            </w:pPr>
            <w:r>
              <w:rPr>
                <w:rFonts w:hint="eastAsia"/>
              </w:rPr>
              <w:t>（2）</w:t>
            </w:r>
            <w:r>
              <w:t>排水</w:t>
            </w:r>
          </w:p>
          <w:p w14:paraId="24E49AC2">
            <w:pPr>
              <w:pStyle w:val="91"/>
              <w:ind w:firstLine="480"/>
            </w:pPr>
            <w:r>
              <w:rPr>
                <w:rFonts w:hint="eastAsia"/>
              </w:rPr>
              <w:t>①生产过程废水</w:t>
            </w:r>
          </w:p>
          <w:p w14:paraId="1AAB710C">
            <w:pPr>
              <w:pStyle w:val="91"/>
              <w:ind w:firstLine="480"/>
              <w:rPr>
                <w:bCs/>
              </w:rPr>
            </w:pPr>
            <w:r>
              <w:rPr>
                <w:rFonts w:hint="eastAsia"/>
                <w:bCs/>
                <w:szCs w:val="24"/>
              </w:rPr>
              <w:t>本项目</w:t>
            </w:r>
            <w:r>
              <w:rPr>
                <w:rFonts w:hint="eastAsia"/>
              </w:rPr>
              <w:t>湿法破碎和清洗原料用水循环使用，水量为100t/d，各加工环节损耗水量按照循环水量10%计，则损耗水量为10t/d，每日补充新鲜水量10t/d，240t/a</w:t>
            </w:r>
            <w:r>
              <w:rPr>
                <w:rFonts w:hint="eastAsia"/>
                <w:bCs/>
                <w:szCs w:val="24"/>
              </w:rPr>
              <w:t>，</w:t>
            </w:r>
            <w:r>
              <w:rPr>
                <w:rFonts w:hint="eastAsia"/>
              </w:rPr>
              <w:t>清洗废水经絮凝沉淀处理后，循环利用不外排，车间设置</w:t>
            </w:r>
            <w:r>
              <w:t>3</w:t>
            </w:r>
            <w:r>
              <w:rPr>
                <w:rFonts w:hint="eastAsia"/>
              </w:rPr>
              <w:t>座水池，其中污水池2座，清水池1座，污水池容积分别为</w:t>
            </w:r>
            <w:r>
              <w:t>6</w:t>
            </w:r>
            <w:r>
              <w:rPr>
                <w:rFonts w:hint="eastAsia"/>
              </w:rPr>
              <w:t>m</w:t>
            </w:r>
            <w:r>
              <w:rPr>
                <w:vertAlign w:val="superscript"/>
              </w:rPr>
              <w:t>3</w:t>
            </w:r>
            <w:r>
              <w:rPr>
                <w:rFonts w:hint="eastAsia"/>
              </w:rPr>
              <w:t>、5m</w:t>
            </w:r>
            <w:r>
              <w:rPr>
                <w:vertAlign w:val="superscript"/>
              </w:rPr>
              <w:t>3</w:t>
            </w:r>
            <w:r>
              <w:rPr>
                <w:rFonts w:hint="eastAsia"/>
              </w:rPr>
              <w:t>，清水池容积为120m</w:t>
            </w:r>
            <w:r>
              <w:rPr>
                <w:vertAlign w:val="superscript"/>
              </w:rPr>
              <w:t>3</w:t>
            </w:r>
            <w:r>
              <w:rPr>
                <w:rFonts w:hint="eastAsia"/>
              </w:rPr>
              <w:t>。</w:t>
            </w:r>
          </w:p>
          <w:p w14:paraId="2E8AD2F7">
            <w:pPr>
              <w:pStyle w:val="91"/>
              <w:ind w:firstLine="480"/>
            </w:pPr>
            <w:r>
              <w:rPr>
                <w:rFonts w:hint="eastAsia"/>
              </w:rPr>
              <w:t>②生活污水</w:t>
            </w:r>
          </w:p>
          <w:p w14:paraId="0C262AB5">
            <w:pPr>
              <w:pStyle w:val="91"/>
              <w:ind w:firstLine="480"/>
            </w:pPr>
            <w:r>
              <w:rPr>
                <w:rFonts w:hint="eastAsia"/>
              </w:rPr>
              <w:t>本项目</w:t>
            </w:r>
            <w:r>
              <w:t>生活污水排放量按用水量的80%计算，生活污水</w:t>
            </w:r>
            <w:r>
              <w:rPr>
                <w:rFonts w:hint="eastAsia"/>
              </w:rPr>
              <w:t>产生</w:t>
            </w:r>
            <w:r>
              <w:t>量为0.</w:t>
            </w:r>
            <w:r>
              <w:rPr>
                <w:rFonts w:hint="eastAsia"/>
              </w:rPr>
              <w:t>92</w:t>
            </w:r>
            <w:r>
              <w:t>m</w:t>
            </w:r>
            <w:r>
              <w:rPr>
                <w:vertAlign w:val="superscript"/>
              </w:rPr>
              <w:t>3</w:t>
            </w:r>
            <w:r>
              <w:t>/d</w:t>
            </w:r>
            <w:r>
              <w:rPr>
                <w:rFonts w:hint="eastAsia"/>
              </w:rPr>
              <w:t>（220.8</w:t>
            </w:r>
            <w:r>
              <w:t>t/a）</w:t>
            </w:r>
            <w:r>
              <w:rPr>
                <w:rFonts w:hint="eastAsia"/>
              </w:rPr>
              <w:t>，生活污水排入防渗旱厕，定期清掏堆肥。</w:t>
            </w:r>
          </w:p>
          <w:p w14:paraId="7FAF55B5">
            <w:pPr>
              <w:pStyle w:val="91"/>
              <w:ind w:firstLine="480"/>
            </w:pPr>
            <w:r>
              <w:t>本项目给排水平衡见图2-1。</w:t>
            </w:r>
          </w:p>
          <w:p w14:paraId="6DDDC02B">
            <w:pPr>
              <w:pStyle w:val="94"/>
              <w:spacing w:line="240" w:lineRule="auto"/>
              <w:ind w:left="-20" w:leftChars="-57" w:hanging="100" w:hangingChars="50"/>
              <w:jc w:val="center"/>
              <w:rPr>
                <w:b/>
                <w:sz w:val="21"/>
              </w:rPr>
            </w:pPr>
            <w:r>
              <w:drawing>
                <wp:inline distT="0" distB="0" distL="114300" distR="114300">
                  <wp:extent cx="5114925" cy="3305175"/>
                  <wp:effectExtent l="0" t="0" r="9525"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1"/>
                          <a:stretch>
                            <a:fillRect/>
                          </a:stretch>
                        </pic:blipFill>
                        <pic:spPr>
                          <a:xfrm>
                            <a:off x="0" y="0"/>
                            <a:ext cx="5114925" cy="3305175"/>
                          </a:xfrm>
                          <a:prstGeom prst="rect">
                            <a:avLst/>
                          </a:prstGeom>
                          <a:noFill/>
                          <a:ln>
                            <a:noFill/>
                          </a:ln>
                        </pic:spPr>
                      </pic:pic>
                    </a:graphicData>
                  </a:graphic>
                </wp:inline>
              </w:drawing>
            </w:r>
          </w:p>
          <w:p w14:paraId="08CB0907">
            <w:pPr>
              <w:pStyle w:val="94"/>
              <w:spacing w:line="240" w:lineRule="auto"/>
              <w:ind w:left="-15" w:leftChars="-57" w:hanging="105" w:hangingChars="50"/>
              <w:jc w:val="center"/>
              <w:rPr>
                <w:b/>
                <w:sz w:val="21"/>
              </w:rPr>
            </w:pPr>
            <w:r>
              <w:rPr>
                <w:b/>
                <w:sz w:val="21"/>
              </w:rPr>
              <w:t>图2-1  水平衡图</w:t>
            </w:r>
            <w:r>
              <w:rPr>
                <w:rFonts w:hint="eastAsia"/>
                <w:b/>
                <w:sz w:val="21"/>
              </w:rPr>
              <w:t xml:space="preserve"> </w:t>
            </w:r>
            <w:r>
              <w:rPr>
                <w:b/>
                <w:sz w:val="21"/>
              </w:rPr>
              <w:t xml:space="preserve"> </w:t>
            </w:r>
            <w:r>
              <w:rPr>
                <w:rFonts w:hint="eastAsia"/>
                <w:b/>
                <w:sz w:val="21"/>
              </w:rPr>
              <w:t>单位：m</w:t>
            </w:r>
            <w:r>
              <w:rPr>
                <w:b/>
                <w:sz w:val="21"/>
                <w:vertAlign w:val="superscript"/>
              </w:rPr>
              <w:t>3</w:t>
            </w:r>
            <w:r>
              <w:rPr>
                <w:b/>
                <w:sz w:val="21"/>
              </w:rPr>
              <w:t>/</w:t>
            </w:r>
            <w:r>
              <w:rPr>
                <w:rFonts w:hint="eastAsia"/>
                <w:b/>
                <w:sz w:val="21"/>
              </w:rPr>
              <w:t>d</w:t>
            </w:r>
          </w:p>
          <w:p w14:paraId="5531B167">
            <w:pPr>
              <w:pStyle w:val="91"/>
              <w:ind w:firstLine="480"/>
            </w:pPr>
            <w:r>
              <w:rPr>
                <w:rFonts w:hint="eastAsia"/>
              </w:rPr>
              <w:t>（</w:t>
            </w:r>
            <w:r>
              <w:t>3</w:t>
            </w:r>
            <w:r>
              <w:rPr>
                <w:rFonts w:hint="eastAsia"/>
              </w:rPr>
              <w:t>）供热</w:t>
            </w:r>
          </w:p>
          <w:p w14:paraId="23D859C1">
            <w:pPr>
              <w:pStyle w:val="8"/>
              <w:adjustRightInd w:val="0"/>
              <w:snapToGrid w:val="0"/>
              <w:ind w:firstLine="480" w:firstLineChars="200"/>
              <w:rPr>
                <w:sz w:val="24"/>
              </w:rPr>
            </w:pPr>
            <w:r>
              <w:rPr>
                <w:rFonts w:hint="eastAsia"/>
                <w:sz w:val="24"/>
              </w:rPr>
              <w:t>本项目采用电采暖</w:t>
            </w:r>
            <w:r>
              <w:rPr>
                <w:sz w:val="24"/>
              </w:rPr>
              <w:t>。</w:t>
            </w:r>
          </w:p>
          <w:p w14:paraId="6DC2B1A9">
            <w:pPr>
              <w:pStyle w:val="91"/>
              <w:ind w:firstLine="480"/>
            </w:pPr>
            <w:r>
              <w:rPr>
                <w:rFonts w:hint="eastAsia"/>
              </w:rPr>
              <w:t>（4）供电</w:t>
            </w:r>
          </w:p>
          <w:p w14:paraId="52342C8E">
            <w:pPr>
              <w:pStyle w:val="91"/>
              <w:ind w:firstLine="480"/>
            </w:pPr>
            <w:r>
              <w:rPr>
                <w:rFonts w:hint="eastAsia"/>
              </w:rPr>
              <w:t>本项目供电由当地供电局供给。</w:t>
            </w:r>
          </w:p>
          <w:p w14:paraId="31C8ED6B">
            <w:pPr>
              <w:pStyle w:val="91"/>
              <w:ind w:firstLine="480"/>
            </w:pPr>
            <w:r>
              <w:rPr>
                <w:rFonts w:hint="eastAsia"/>
              </w:rPr>
              <w:t>6.劳动定员和工作天数</w:t>
            </w:r>
          </w:p>
          <w:p w14:paraId="3F329F21">
            <w:pPr>
              <w:pStyle w:val="91"/>
              <w:ind w:firstLine="480"/>
              <w:rPr>
                <w:bCs/>
              </w:rPr>
            </w:pPr>
            <w:r>
              <w:rPr>
                <w:rFonts w:hint="eastAsia"/>
                <w:bCs/>
              </w:rPr>
              <w:t>劳动定员：项目职工10人。</w:t>
            </w:r>
          </w:p>
          <w:p w14:paraId="195D3291">
            <w:pPr>
              <w:pStyle w:val="91"/>
              <w:ind w:firstLine="480"/>
              <w:rPr>
                <w:bCs/>
              </w:rPr>
            </w:pPr>
            <w:r>
              <w:rPr>
                <w:rFonts w:hint="eastAsia"/>
                <w:bCs/>
              </w:rPr>
              <w:t>工作天数：年工作</w:t>
            </w:r>
            <w:r>
              <w:rPr>
                <w:bCs/>
              </w:rPr>
              <w:t>240</w:t>
            </w:r>
            <w:r>
              <w:rPr>
                <w:rFonts w:hint="eastAsia"/>
                <w:bCs/>
              </w:rPr>
              <w:t>天（</w:t>
            </w:r>
            <w:r>
              <w:rPr>
                <w:bCs/>
              </w:rPr>
              <w:t>3</w:t>
            </w:r>
            <w:r>
              <w:rPr>
                <w:rFonts w:hint="eastAsia"/>
                <w:bCs/>
              </w:rPr>
              <w:t>月中旬—1</w:t>
            </w:r>
            <w:r>
              <w:rPr>
                <w:bCs/>
              </w:rPr>
              <w:t>1</w:t>
            </w:r>
            <w:r>
              <w:rPr>
                <w:rFonts w:hint="eastAsia"/>
                <w:bCs/>
              </w:rPr>
              <w:t>月中旬），</w:t>
            </w:r>
            <w:r>
              <w:rPr>
                <w:bCs/>
              </w:rPr>
              <w:t>1</w:t>
            </w:r>
            <w:r>
              <w:rPr>
                <w:rFonts w:hint="eastAsia"/>
                <w:bCs/>
              </w:rPr>
              <w:t>班制，每天工作</w:t>
            </w:r>
            <w:r>
              <w:rPr>
                <w:bCs/>
              </w:rPr>
              <w:t>12</w:t>
            </w:r>
            <w:r>
              <w:rPr>
                <w:rFonts w:hint="eastAsia"/>
                <w:bCs/>
              </w:rPr>
              <w:t>小时。</w:t>
            </w:r>
          </w:p>
          <w:p w14:paraId="11E9768A">
            <w:pPr>
              <w:pStyle w:val="91"/>
              <w:ind w:firstLine="480"/>
            </w:pPr>
            <w:r>
              <w:rPr>
                <w:rFonts w:hint="eastAsia"/>
              </w:rPr>
              <w:t>7.</w:t>
            </w:r>
            <w:r>
              <w:t>平面布置</w:t>
            </w:r>
          </w:p>
          <w:p w14:paraId="70AD4E7C">
            <w:pPr>
              <w:pStyle w:val="91"/>
              <w:ind w:firstLine="480"/>
            </w:pPr>
            <w:r>
              <w:rPr>
                <w:rFonts w:hint="eastAsia"/>
              </w:rPr>
              <w:t>本项目占地面积2600m</w:t>
            </w:r>
            <w:r>
              <w:rPr>
                <w:rFonts w:hint="eastAsia"/>
                <w:vertAlign w:val="superscript"/>
              </w:rPr>
              <w:t>2</w:t>
            </w:r>
            <w:r>
              <w:rPr>
                <w:rFonts w:hint="eastAsia"/>
              </w:rPr>
              <w:t>，厂房建筑面积为</w:t>
            </w:r>
            <w:r>
              <w:rPr>
                <w:rFonts w:hint="eastAsia"/>
                <w:szCs w:val="30"/>
              </w:rPr>
              <w:t>20</w:t>
            </w:r>
            <w:r>
              <w:rPr>
                <w:szCs w:val="30"/>
              </w:rPr>
              <w:t>00</w:t>
            </w:r>
            <w:r>
              <w:rPr>
                <w:rFonts w:hint="eastAsia"/>
              </w:rPr>
              <w:t>m</w:t>
            </w:r>
            <w:r>
              <w:rPr>
                <w:rFonts w:hint="eastAsia"/>
                <w:vertAlign w:val="superscript"/>
              </w:rPr>
              <w:t>2</w:t>
            </w:r>
            <w:r>
              <w:rPr>
                <w:rFonts w:hint="eastAsia"/>
              </w:rPr>
              <w:t>，厂房由西到东分别布置原料区、生产区、成品区，办公区位于厂区东北角，厂房中间</w:t>
            </w:r>
            <w:r>
              <w:t>有足够的车辆回转空间，满足生产需要。根据厂区自然条件，生产区布局紧凑，厂区整体环境和谐</w:t>
            </w:r>
            <w:r>
              <w:rPr>
                <w:rFonts w:hint="eastAsia"/>
              </w:rPr>
              <w:t>，</w:t>
            </w:r>
            <w:r>
              <w:t>因此厂区布置合理</w:t>
            </w:r>
            <w:r>
              <w:rPr>
                <w:rFonts w:hint="eastAsia"/>
              </w:rPr>
              <w:t>。厂区平面布置及四周环境关系见附图2。</w:t>
            </w:r>
          </w:p>
        </w:tc>
      </w:tr>
      <w:tr w14:paraId="1A0F7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392" w:type="dxa"/>
            <w:vAlign w:val="center"/>
          </w:tcPr>
          <w:p w14:paraId="3EE5C1B0">
            <w:pPr>
              <w:pStyle w:val="2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668" w:type="dxa"/>
          </w:tcPr>
          <w:p w14:paraId="0088CB9F">
            <w:pPr>
              <w:pStyle w:val="91"/>
              <w:ind w:firstLine="480"/>
            </w:pPr>
            <w:r>
              <w:rPr>
                <w:rFonts w:hint="eastAsia"/>
              </w:rPr>
              <w:t>1.运营期生产工艺及产污环节</w:t>
            </w:r>
          </w:p>
          <w:p w14:paraId="2D594C61">
            <w:pPr>
              <w:pStyle w:val="91"/>
              <w:ind w:firstLine="480"/>
            </w:pPr>
            <w:r>
              <w:t>（1）原料分选</w:t>
            </w:r>
          </w:p>
          <w:p w14:paraId="5003CC05">
            <w:pPr>
              <w:pStyle w:val="91"/>
              <w:ind w:firstLine="480"/>
            </w:pPr>
            <w:r>
              <w:t>项目将收购来的</w:t>
            </w:r>
            <w:r>
              <w:rPr>
                <w:rFonts w:hint="eastAsia"/>
              </w:rPr>
              <w:t>废矿泉水瓶、废塑料盆、塑料桶按P</w:t>
            </w:r>
            <w:r>
              <w:t>P</w:t>
            </w:r>
            <w:r>
              <w:rPr>
                <w:rFonts w:hint="eastAsia"/>
              </w:rPr>
              <w:t>、P</w:t>
            </w:r>
            <w:r>
              <w:t>E</w:t>
            </w:r>
            <w:r>
              <w:rPr>
                <w:rFonts w:hint="eastAsia"/>
              </w:rPr>
              <w:t>材质分区</w:t>
            </w:r>
            <w:r>
              <w:t>存放在</w:t>
            </w:r>
            <w:r>
              <w:rPr>
                <w:rFonts w:hint="eastAsia"/>
              </w:rPr>
              <w:t>原料区内</w:t>
            </w:r>
            <w:r>
              <w:t>，采用人工</w:t>
            </w:r>
            <w:r>
              <w:rPr>
                <w:rFonts w:hint="eastAsia"/>
              </w:rPr>
              <w:t>拆包及分选</w:t>
            </w:r>
            <w:r>
              <w:t>的方式将本项目有用料和项目不用的废料分离开</w:t>
            </w:r>
            <w:r>
              <w:rPr>
                <w:rFonts w:hint="eastAsia"/>
              </w:rPr>
              <w:t>，分类进行破碎。</w:t>
            </w:r>
          </w:p>
          <w:p w14:paraId="2889F260">
            <w:pPr>
              <w:pStyle w:val="91"/>
              <w:ind w:firstLine="480"/>
              <w:rPr>
                <w:rFonts w:hint="eastAsia"/>
                <w:lang w:val="en-US" w:eastAsia="zh-CN"/>
              </w:rPr>
            </w:pPr>
            <w:r>
              <w:rPr>
                <w:rFonts w:hint="eastAsia"/>
                <w:lang w:val="en-US" w:eastAsia="zh-CN"/>
              </w:rPr>
              <w:t>原料分选过程会产生砂子和泥土等杂质</w:t>
            </w:r>
          </w:p>
          <w:p w14:paraId="701B8881">
            <w:pPr>
              <w:pStyle w:val="91"/>
              <w:ind w:firstLine="480"/>
            </w:pPr>
            <w:r>
              <w:t>（2）</w:t>
            </w:r>
            <w:r>
              <w:rPr>
                <w:rFonts w:hint="eastAsia"/>
              </w:rPr>
              <w:t>脱标</w:t>
            </w:r>
          </w:p>
          <w:p w14:paraId="57A9642E">
            <w:pPr>
              <w:pStyle w:val="91"/>
              <w:ind w:firstLine="480"/>
            </w:pPr>
            <w:r>
              <w:rPr>
                <w:rFonts w:hint="eastAsia"/>
              </w:rPr>
              <w:t>对于含有标签的废塑料瓶需送入脱标机内进行脱标，</w:t>
            </w:r>
            <w:r>
              <w:t>当瓶料进入机器后，主轴上装有合金叶片与主轴中心线有一定的夹角和螺旋线旋转，将</w:t>
            </w:r>
            <w:r>
              <w:rPr>
                <w:rFonts w:hint="eastAsia"/>
              </w:rPr>
              <w:t>塑料</w:t>
            </w:r>
            <w:r>
              <w:t>瓶向出料端输送，叶片上的合金刀颗将标签剥离，出口处有风箱分离室将剥离的标签与瓶身分离，标签从右边的口吹出，PET瓶直接落下，脱标率保证99%以上</w:t>
            </w:r>
            <w:r>
              <w:rPr>
                <w:rFonts w:hint="eastAsia"/>
              </w:rPr>
              <w:t>。</w:t>
            </w:r>
          </w:p>
          <w:p w14:paraId="59B2CD38">
            <w:pPr>
              <w:pStyle w:val="91"/>
              <w:ind w:firstLine="480"/>
            </w:pPr>
            <w:r>
              <w:rPr>
                <w:rFonts w:hint="eastAsia"/>
              </w:rPr>
              <w:t>脱标机设备系统密闭，运行过程会产生噪声和废标签。</w:t>
            </w:r>
          </w:p>
          <w:p w14:paraId="7B517410">
            <w:pPr>
              <w:pStyle w:val="91"/>
              <w:ind w:firstLine="480"/>
            </w:pPr>
            <w:r>
              <w:rPr>
                <w:rFonts w:hint="eastAsia"/>
              </w:rPr>
              <w:t>（3）粉碎</w:t>
            </w:r>
          </w:p>
          <w:p w14:paraId="64779BCD">
            <w:pPr>
              <w:pStyle w:val="91"/>
              <w:ind w:firstLine="480"/>
            </w:pPr>
            <w:r>
              <w:rPr>
                <w:rFonts w:hint="eastAsia"/>
              </w:rPr>
              <w:t>将分选出的废塑料分类送入湿法粉碎机进行粉碎，碎规格大小约为3—4cm，破碎过程中边粉碎边加水抑尘及冷却电机，整个粉碎过程为湿式粉碎，基本不会产生粉尘，破碎完成后湿料通过传输装置进入清洗机</w:t>
            </w:r>
            <w:r>
              <w:t>。</w:t>
            </w:r>
          </w:p>
          <w:p w14:paraId="784FBFAC">
            <w:pPr>
              <w:pStyle w:val="91"/>
              <w:ind w:firstLine="480"/>
            </w:pPr>
            <w:r>
              <w:rPr>
                <w:rFonts w:hint="eastAsia"/>
              </w:rPr>
              <w:t>粉碎过程会产生少量粉尘和噪声。</w:t>
            </w:r>
          </w:p>
          <w:p w14:paraId="1839E65B">
            <w:pPr>
              <w:pStyle w:val="91"/>
              <w:ind w:firstLine="480"/>
            </w:pPr>
            <w:r>
              <w:t>（4）</w:t>
            </w:r>
            <w:r>
              <w:rPr>
                <w:rFonts w:hint="eastAsia"/>
              </w:rPr>
              <w:t>清洗、甩干</w:t>
            </w:r>
          </w:p>
          <w:p w14:paraId="62F1D128">
            <w:pPr>
              <w:pStyle w:val="91"/>
              <w:ind w:firstLine="480"/>
            </w:pPr>
            <w:r>
              <w:rPr>
                <w:rFonts w:hint="eastAsia"/>
              </w:rPr>
              <w:t>经粉碎机粉碎的物料输入至清洗池进行清洗，由于本项目回收塑料不含油类等危险物质，且项目仅生产破碎料，故不添加清洗剂，直接采用清水进行清洗。清洗后物料经甩干包装后外售，脱水机脱水率97%以上，日常生产过程中通过控制脱水时间来控制最大脱水效率，保障脱水后的破碎料不会产生淋滤水。</w:t>
            </w:r>
          </w:p>
          <w:p w14:paraId="066725B8">
            <w:pPr>
              <w:pStyle w:val="91"/>
              <w:ind w:firstLine="480"/>
            </w:pPr>
            <w:r>
              <w:rPr>
                <w:rFonts w:hint="eastAsia"/>
              </w:rPr>
              <w:t>清洗过程产生的污水经人工投加絮凝剂，絮凝沉淀处理后循环利用，甩干过程会产生噪声和废水，废水回流至清洗水池</w:t>
            </w:r>
            <w:r>
              <w:rPr>
                <w:rFonts w:hint="eastAsia" w:ascii="Helvetica" w:hAnsi="Helvetica"/>
                <w:shd w:val="clear" w:color="auto" w:fill="FFFFFF"/>
              </w:rPr>
              <w:t>。</w:t>
            </w:r>
          </w:p>
          <w:p w14:paraId="4FA41019">
            <w:pPr>
              <w:pStyle w:val="90"/>
              <w:jc w:val="both"/>
            </w:pPr>
            <w:r>
              <w:drawing>
                <wp:inline distT="0" distB="0" distL="114300" distR="114300">
                  <wp:extent cx="5408930" cy="1284605"/>
                  <wp:effectExtent l="0" t="0" r="127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5408930" cy="1284605"/>
                          </a:xfrm>
                          <a:prstGeom prst="rect">
                            <a:avLst/>
                          </a:prstGeom>
                          <a:noFill/>
                          <a:ln>
                            <a:noFill/>
                          </a:ln>
                        </pic:spPr>
                      </pic:pic>
                    </a:graphicData>
                  </a:graphic>
                </wp:inline>
              </w:drawing>
            </w:r>
          </w:p>
          <w:p w14:paraId="0D2FD2E8">
            <w:pPr>
              <w:pStyle w:val="90"/>
              <w:rPr>
                <w:b/>
                <w:kern w:val="2"/>
                <w:szCs w:val="24"/>
              </w:rPr>
            </w:pPr>
            <w:r>
              <w:rPr>
                <w:b/>
                <w:kern w:val="2"/>
                <w:szCs w:val="24"/>
              </w:rPr>
              <w:t xml:space="preserve">图2-2 </w:t>
            </w:r>
            <w:r>
              <w:rPr>
                <w:rFonts w:hint="eastAsia"/>
                <w:b/>
                <w:kern w:val="2"/>
                <w:szCs w:val="24"/>
              </w:rPr>
              <w:t>运营期</w:t>
            </w:r>
            <w:r>
              <w:rPr>
                <w:b/>
                <w:kern w:val="2"/>
                <w:szCs w:val="24"/>
              </w:rPr>
              <w:t>工艺流程及产污环节示意图</w:t>
            </w:r>
          </w:p>
        </w:tc>
      </w:tr>
      <w:tr w14:paraId="2D434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392" w:type="dxa"/>
            <w:vAlign w:val="center"/>
          </w:tcPr>
          <w:p w14:paraId="69BBA992">
            <w:pPr>
              <w:pStyle w:val="27"/>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668" w:type="dxa"/>
          </w:tcPr>
          <w:p w14:paraId="1CBEAACC">
            <w:pPr>
              <w:pStyle w:val="91"/>
              <w:ind w:firstLine="480"/>
            </w:pPr>
            <w:r>
              <w:t>本项目为新建项目，</w:t>
            </w:r>
            <w:r>
              <w:rPr>
                <w:rFonts w:hint="eastAsia"/>
              </w:rPr>
              <w:t>租赁鸡西市鸡冠区红星乡红太村红光组的闲置厂房进行建设，租赁协议见附件3，经调查，租赁场地原为红太村红光组原砖厂，用于砖块存储，且原砖厂已拆除多年。现厂房为2025年由鸡西市鸡冠区红星乡红太村村民委员会建设，无与本项目有关的原有环境污染</w:t>
            </w:r>
            <w:r>
              <w:t>问题。</w:t>
            </w:r>
          </w:p>
        </w:tc>
      </w:tr>
    </w:tbl>
    <w:p w14:paraId="4B68D516">
      <w:pPr>
        <w:pStyle w:val="27"/>
        <w:jc w:val="center"/>
        <w:rPr>
          <w:rFonts w:ascii="Times New Roman" w:hAnsi="Times New Roman"/>
          <w:snapToGrid w:val="0"/>
          <w:sz w:val="36"/>
          <w:szCs w:val="36"/>
        </w:rPr>
        <w:sectPr>
          <w:footerReference r:id="rId5" w:type="default"/>
          <w:pgSz w:w="11906" w:h="16838"/>
          <w:pgMar w:top="1701" w:right="1531" w:bottom="1701" w:left="1531" w:header="851" w:footer="851" w:gutter="0"/>
          <w:pgNumType w:start="1"/>
          <w:cols w:space="720" w:num="1"/>
          <w:docGrid w:linePitch="312" w:charSpace="0"/>
        </w:sectPr>
      </w:pPr>
    </w:p>
    <w:p w14:paraId="55933EA3">
      <w:pPr>
        <w:pStyle w:val="27"/>
        <w:jc w:val="center"/>
        <w:outlineLvl w:val="0"/>
        <w:rPr>
          <w:rFonts w:ascii="Times New Roman" w:hAnsi="Times New Roman"/>
          <w:snapToGrid w:val="0"/>
          <w:sz w:val="30"/>
          <w:szCs w:val="30"/>
        </w:rPr>
      </w:pPr>
      <w:bookmarkStart w:id="5" w:name="_Toc83393932"/>
      <w:r>
        <w:rPr>
          <w:rFonts w:ascii="Times New Roman" w:hAnsi="Times New Roman"/>
          <w:snapToGrid w:val="0"/>
          <w:sz w:val="30"/>
          <w:szCs w:val="30"/>
        </w:rPr>
        <w:t>三、区域环境质量现状、环境保护目标及评价标准</w:t>
      </w:r>
      <w:bookmarkEnd w:id="5"/>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0"/>
        <w:gridCol w:w="8651"/>
      </w:tblGrid>
      <w:tr w14:paraId="222BB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0" w:type="dxa"/>
            <w:vAlign w:val="center"/>
          </w:tcPr>
          <w:p w14:paraId="485F661F">
            <w:pPr>
              <w:adjustRightInd w:val="0"/>
              <w:snapToGrid w:val="0"/>
              <w:jc w:val="center"/>
              <w:rPr>
                <w:kern w:val="0"/>
                <w:szCs w:val="21"/>
              </w:rPr>
            </w:pPr>
            <w:r>
              <w:rPr>
                <w:kern w:val="0"/>
                <w:szCs w:val="21"/>
              </w:rPr>
              <w:t>区域</w:t>
            </w:r>
          </w:p>
          <w:p w14:paraId="7207A241">
            <w:pPr>
              <w:adjustRightInd w:val="0"/>
              <w:snapToGrid w:val="0"/>
              <w:jc w:val="center"/>
              <w:rPr>
                <w:kern w:val="0"/>
                <w:szCs w:val="21"/>
              </w:rPr>
            </w:pPr>
            <w:r>
              <w:rPr>
                <w:kern w:val="0"/>
                <w:szCs w:val="21"/>
              </w:rPr>
              <w:t>环境</w:t>
            </w:r>
          </w:p>
          <w:p w14:paraId="0DF0F011">
            <w:pPr>
              <w:adjustRightInd w:val="0"/>
              <w:snapToGrid w:val="0"/>
              <w:jc w:val="center"/>
              <w:rPr>
                <w:kern w:val="0"/>
                <w:szCs w:val="21"/>
              </w:rPr>
            </w:pPr>
            <w:r>
              <w:rPr>
                <w:kern w:val="0"/>
                <w:szCs w:val="21"/>
              </w:rPr>
              <w:t>质量</w:t>
            </w:r>
          </w:p>
          <w:p w14:paraId="40160ADD">
            <w:pPr>
              <w:adjustRightInd w:val="0"/>
              <w:snapToGrid w:val="0"/>
              <w:jc w:val="center"/>
              <w:rPr>
                <w:kern w:val="0"/>
                <w:szCs w:val="21"/>
              </w:rPr>
            </w:pPr>
            <w:r>
              <w:rPr>
                <w:kern w:val="0"/>
                <w:szCs w:val="21"/>
              </w:rPr>
              <w:t>现状</w:t>
            </w:r>
          </w:p>
        </w:tc>
        <w:tc>
          <w:tcPr>
            <w:tcW w:w="8190" w:type="dxa"/>
            <w:vAlign w:val="center"/>
          </w:tcPr>
          <w:p w14:paraId="2272DEAD">
            <w:pPr>
              <w:pStyle w:val="91"/>
              <w:ind w:firstLine="480"/>
            </w:pPr>
            <w:r>
              <w:rPr>
                <w:rFonts w:hint="eastAsia"/>
              </w:rPr>
              <w:t>1.</w:t>
            </w:r>
            <w:r>
              <w:t>环境空气质量</w:t>
            </w:r>
          </w:p>
          <w:p w14:paraId="23449617">
            <w:pPr>
              <w:pStyle w:val="91"/>
              <w:ind w:firstLine="480"/>
            </w:pPr>
            <w:r>
              <w:t>（1）常规污染物</w:t>
            </w:r>
          </w:p>
          <w:p w14:paraId="69273293">
            <w:pPr>
              <w:spacing w:line="360" w:lineRule="auto"/>
              <w:ind w:firstLine="480" w:firstLineChars="200"/>
              <w:rPr>
                <w:kern w:val="21"/>
                <w:sz w:val="24"/>
              </w:rPr>
            </w:pPr>
            <w:r>
              <w:rPr>
                <w:sz w:val="24"/>
              </w:rPr>
              <w:t>根据《2024年黑龙江省生态环境质量状况》（2025年1月），鸡西市空气质量级别</w:t>
            </w:r>
            <w:r>
              <w:rPr>
                <w:rFonts w:hint="eastAsia"/>
                <w:sz w:val="24"/>
                <w:lang w:val="en-US" w:eastAsia="zh-CN"/>
              </w:rPr>
              <w:t>能够达到《环境空气质量标准》（GB3095-2026）过渡阶段浓度限值中</w:t>
            </w:r>
            <w:r>
              <w:rPr>
                <w:sz w:val="24"/>
              </w:rPr>
              <w:t>二级标准，PM</w:t>
            </w:r>
            <w:r>
              <w:rPr>
                <w:sz w:val="24"/>
                <w:vertAlign w:val="subscript"/>
              </w:rPr>
              <w:t>2.5</w:t>
            </w:r>
            <w:r>
              <w:rPr>
                <w:sz w:val="24"/>
              </w:rPr>
              <w:t>、PM</w:t>
            </w:r>
            <w:r>
              <w:rPr>
                <w:sz w:val="24"/>
                <w:vertAlign w:val="subscript"/>
              </w:rPr>
              <w:t>10</w:t>
            </w:r>
            <w:r>
              <w:rPr>
                <w:sz w:val="24"/>
              </w:rPr>
              <w:t>、SO</w:t>
            </w:r>
            <w:r>
              <w:rPr>
                <w:sz w:val="24"/>
                <w:vertAlign w:val="subscript"/>
              </w:rPr>
              <w:t>2</w:t>
            </w:r>
            <w:r>
              <w:rPr>
                <w:sz w:val="24"/>
              </w:rPr>
              <w:t>、NO</w:t>
            </w:r>
            <w:r>
              <w:rPr>
                <w:sz w:val="24"/>
                <w:vertAlign w:val="subscript"/>
              </w:rPr>
              <w:t>2</w:t>
            </w:r>
            <w:r>
              <w:rPr>
                <w:sz w:val="24"/>
              </w:rPr>
              <w:t>、CO-95per、O</w:t>
            </w:r>
            <w:r>
              <w:rPr>
                <w:sz w:val="24"/>
                <w:vertAlign w:val="subscript"/>
              </w:rPr>
              <w:t>3</w:t>
            </w:r>
            <w:r>
              <w:rPr>
                <w:sz w:val="24"/>
              </w:rPr>
              <w:t>-8h-90per年均浓度分别为27μg/m</w:t>
            </w:r>
            <w:r>
              <w:rPr>
                <w:sz w:val="24"/>
                <w:vertAlign w:val="superscript"/>
              </w:rPr>
              <w:t>3</w:t>
            </w:r>
            <w:r>
              <w:rPr>
                <w:sz w:val="24"/>
              </w:rPr>
              <w:t>、46μg/m</w:t>
            </w:r>
            <w:r>
              <w:rPr>
                <w:sz w:val="24"/>
                <w:vertAlign w:val="superscript"/>
              </w:rPr>
              <w:t>3</w:t>
            </w:r>
            <w:r>
              <w:rPr>
                <w:sz w:val="24"/>
              </w:rPr>
              <w:t>、8μg/m</w:t>
            </w:r>
            <w:r>
              <w:rPr>
                <w:sz w:val="24"/>
                <w:vertAlign w:val="superscript"/>
              </w:rPr>
              <w:t>3</w:t>
            </w:r>
            <w:r>
              <w:rPr>
                <w:sz w:val="24"/>
              </w:rPr>
              <w:t>、17μg/m</w:t>
            </w:r>
            <w:r>
              <w:rPr>
                <w:sz w:val="24"/>
                <w:vertAlign w:val="superscript"/>
              </w:rPr>
              <w:t>3</w:t>
            </w:r>
            <w:r>
              <w:rPr>
                <w:sz w:val="24"/>
              </w:rPr>
              <w:t>、1.0μg/m</w:t>
            </w:r>
            <w:r>
              <w:rPr>
                <w:sz w:val="24"/>
                <w:vertAlign w:val="superscript"/>
              </w:rPr>
              <w:t>3</w:t>
            </w:r>
            <w:r>
              <w:rPr>
                <w:sz w:val="24"/>
              </w:rPr>
              <w:t>和90μg/m</w:t>
            </w:r>
            <w:r>
              <w:rPr>
                <w:sz w:val="24"/>
                <w:vertAlign w:val="superscript"/>
              </w:rPr>
              <w:t>3</w:t>
            </w:r>
            <w:r>
              <w:rPr>
                <w:kern w:val="21"/>
                <w:sz w:val="24"/>
              </w:rPr>
              <w:t>，项目所在区域为达标区。</w:t>
            </w:r>
          </w:p>
          <w:p w14:paraId="28D94A57">
            <w:pPr>
              <w:pStyle w:val="24"/>
              <w:rPr>
                <w:b/>
                <w:bCs/>
                <w:szCs w:val="24"/>
              </w:rPr>
            </w:pPr>
            <w:r>
              <w:drawing>
                <wp:inline distT="0" distB="0" distL="114300" distR="114300">
                  <wp:extent cx="5647690" cy="4730115"/>
                  <wp:effectExtent l="0" t="0" r="10160" b="13335"/>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13"/>
                          <a:stretch>
                            <a:fillRect/>
                          </a:stretch>
                        </pic:blipFill>
                        <pic:spPr>
                          <a:xfrm>
                            <a:off x="0" y="0"/>
                            <a:ext cx="5647690" cy="4730115"/>
                          </a:xfrm>
                          <a:prstGeom prst="rect">
                            <a:avLst/>
                          </a:prstGeom>
                          <a:noFill/>
                          <a:ln>
                            <a:noFill/>
                          </a:ln>
                        </pic:spPr>
                      </pic:pic>
                    </a:graphicData>
                  </a:graphic>
                </wp:inline>
              </w:drawing>
            </w:r>
          </w:p>
          <w:p w14:paraId="15A2B3A1">
            <w:pPr>
              <w:pStyle w:val="220"/>
              <w:rPr>
                <w:rFonts w:hint="default" w:ascii="Times New Roman" w:hAnsi="Times New Roman" w:eastAsia="宋体"/>
                <w:szCs w:val="24"/>
                <w:lang w:bidi="ar"/>
              </w:rPr>
            </w:pPr>
            <w:r>
              <w:rPr>
                <w:rFonts w:hint="default" w:ascii="Times New Roman" w:hAnsi="Times New Roman" w:eastAsia="宋体"/>
                <w:b/>
                <w:bCs/>
                <w:szCs w:val="24"/>
              </w:rPr>
              <w:t>图3-1  2024年全省及各市（地）污染物浓度达标情况图</w:t>
            </w:r>
          </w:p>
          <w:p w14:paraId="28A0F4E4">
            <w:pPr>
              <w:pStyle w:val="91"/>
              <w:ind w:firstLine="480"/>
            </w:pPr>
            <w:r>
              <w:rPr>
                <w:rFonts w:hint="eastAsia"/>
              </w:rPr>
              <w:t>2.</w:t>
            </w:r>
            <w:r>
              <w:t>水环境质量</w:t>
            </w:r>
          </w:p>
          <w:p w14:paraId="1CEF23F2">
            <w:pPr>
              <w:spacing w:line="360" w:lineRule="auto"/>
              <w:ind w:firstLine="480" w:firstLineChars="200"/>
            </w:pPr>
            <w:bookmarkStart w:id="6" w:name="_Toc301514512"/>
            <w:bookmarkStart w:id="7" w:name="_Toc218321831"/>
            <w:bookmarkStart w:id="8" w:name="_Toc318898968"/>
            <w:bookmarkStart w:id="9" w:name="_Toc207005094"/>
            <w:r>
              <w:rPr>
                <w:rFonts w:hint="eastAsia"/>
                <w:sz w:val="24"/>
              </w:rPr>
              <w:t>根据《全国重要江河湖泊水功能区划（2011—2030年）》，本项目所在地表水断面属穆棱河鸡西市过渡区，水质目标为Ⅳ类。根据黑龙江省生态环境监测中心2024年鸡西市地表水国家考核断面水质信息公开内容可知，穆棱河知一桥断面（在鸡东县鸡古路西100m－凯北站断面之间）和穆棱河口内断面的水质满足《地表水环境质量标准》（GB3838-2002）中Ⅲ类标准，断面达标</w:t>
            </w:r>
            <w:r>
              <w:rPr>
                <w:sz w:val="24"/>
                <w:lang w:val="zh-TW" w:eastAsia="zh-TW"/>
              </w:rPr>
              <w:t>。</w:t>
            </w:r>
            <w:bookmarkEnd w:id="6"/>
            <w:bookmarkEnd w:id="7"/>
            <w:bookmarkEnd w:id="8"/>
            <w:bookmarkEnd w:id="9"/>
          </w:p>
          <w:p w14:paraId="7B3AAADD">
            <w:pPr>
              <w:pStyle w:val="91"/>
              <w:ind w:firstLine="480"/>
            </w:pPr>
            <w:r>
              <w:rPr>
                <w:rFonts w:hint="eastAsia"/>
              </w:rPr>
              <w:t>3.</w:t>
            </w:r>
            <w:r>
              <w:t>声环境质量现状</w:t>
            </w:r>
          </w:p>
          <w:p w14:paraId="73347540">
            <w:pPr>
              <w:pStyle w:val="91"/>
              <w:ind w:firstLine="480"/>
            </w:pPr>
            <w:r>
              <w:rPr>
                <w:rFonts w:hint="eastAsia"/>
                <w:szCs w:val="24"/>
              </w:rPr>
              <w:t>本项目厂区周围50m范围内无声环境敏感点，因此未进行监测。本项目区域声环境质量良好，依据《声环境质量标准》（GB3096-2008）及《声环境功能区划分技术规范》（GB-T15190-2014），本项目区域内存在居民、商业、工业企业等，属于居住、商业、工业混杂的区域，故本项目区域声环境执行《声环境质量标准》（GB3096-2008）2类标准</w:t>
            </w:r>
            <w:r>
              <w:rPr>
                <w:szCs w:val="24"/>
              </w:rPr>
              <w:t>。</w:t>
            </w:r>
          </w:p>
          <w:p w14:paraId="1B07D218">
            <w:pPr>
              <w:pStyle w:val="91"/>
              <w:ind w:firstLine="480"/>
            </w:pPr>
            <w:r>
              <w:rPr>
                <w:rFonts w:hint="eastAsia"/>
              </w:rPr>
              <w:t>4.地下水、土壤环境</w:t>
            </w:r>
          </w:p>
          <w:p w14:paraId="7E08AFE5">
            <w:pPr>
              <w:pStyle w:val="91"/>
              <w:ind w:firstLine="480"/>
            </w:pPr>
            <w:r>
              <w:rPr>
                <w:rFonts w:hint="eastAsia"/>
              </w:rPr>
              <w:t>本项目为废塑料破碎项目，生产原料、产品不涉及有毒有害危险物质，工艺仅为湿法破碎，不涉及重金属等危害土壤的污染物。项目配套的环保设施（危险废物贮存点、污水池、污泥池）均按照要求采取了防渗措施，在日常运行过程中加强监督管理，发现防渗结构破损及时修复，可有效保护土壤、地下水不受污染。根据《建设项目环境影响报告表编制技术指南（污染影响类）（试行）》原则上不开展地下水、土壤环境质量现状调查，项目区域不涉及土壤和地下水保护目标，故本次评价未进行地下水、土壤环境现状监测。</w:t>
            </w:r>
          </w:p>
        </w:tc>
      </w:tr>
      <w:tr w14:paraId="68923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800" w:type="dxa"/>
            <w:vAlign w:val="center"/>
          </w:tcPr>
          <w:p w14:paraId="4A3CF002">
            <w:pPr>
              <w:adjustRightInd w:val="0"/>
              <w:snapToGrid w:val="0"/>
              <w:jc w:val="center"/>
              <w:rPr>
                <w:kern w:val="0"/>
                <w:szCs w:val="21"/>
              </w:rPr>
            </w:pPr>
            <w:r>
              <w:rPr>
                <w:kern w:val="0"/>
                <w:szCs w:val="21"/>
              </w:rPr>
              <w:t>环境</w:t>
            </w:r>
          </w:p>
          <w:p w14:paraId="06632D9E">
            <w:pPr>
              <w:adjustRightInd w:val="0"/>
              <w:snapToGrid w:val="0"/>
              <w:jc w:val="center"/>
              <w:rPr>
                <w:kern w:val="0"/>
                <w:szCs w:val="21"/>
              </w:rPr>
            </w:pPr>
            <w:r>
              <w:rPr>
                <w:kern w:val="0"/>
                <w:szCs w:val="21"/>
              </w:rPr>
              <w:t>保护</w:t>
            </w:r>
          </w:p>
          <w:p w14:paraId="04B3C6AB">
            <w:pPr>
              <w:adjustRightInd w:val="0"/>
              <w:snapToGrid w:val="0"/>
              <w:jc w:val="center"/>
              <w:rPr>
                <w:kern w:val="0"/>
                <w:szCs w:val="21"/>
              </w:rPr>
            </w:pPr>
            <w:r>
              <w:rPr>
                <w:kern w:val="0"/>
                <w:szCs w:val="21"/>
              </w:rPr>
              <w:t>目标</w:t>
            </w:r>
          </w:p>
        </w:tc>
        <w:tc>
          <w:tcPr>
            <w:tcW w:w="8190" w:type="dxa"/>
            <w:vAlign w:val="center"/>
          </w:tcPr>
          <w:p w14:paraId="20F4047E">
            <w:pPr>
              <w:pStyle w:val="91"/>
              <w:ind w:firstLine="480"/>
            </w:pPr>
            <w:r>
              <w:rPr>
                <w:rFonts w:hint="eastAsia"/>
              </w:rPr>
              <w:t>1.</w:t>
            </w:r>
            <w:r>
              <w:t>大气环境保护目标</w:t>
            </w:r>
          </w:p>
          <w:p w14:paraId="5CC802A5">
            <w:pPr>
              <w:pStyle w:val="91"/>
              <w:spacing w:line="500" w:lineRule="exact"/>
              <w:ind w:firstLine="480"/>
            </w:pPr>
            <w:r>
              <w:t>本项目</w:t>
            </w:r>
            <w:r>
              <w:rPr>
                <w:rFonts w:hint="eastAsia"/>
              </w:rPr>
              <w:t>5</w:t>
            </w:r>
            <w:r>
              <w:t>00</w:t>
            </w:r>
            <w:r>
              <w:rPr>
                <w:rFonts w:hint="eastAsia"/>
              </w:rPr>
              <w:t>m范围内存在居民村屯，</w:t>
            </w:r>
            <w:r>
              <w:t>厂界外500m范围内无自然保护区、风景名胜区</w:t>
            </w:r>
            <w:r>
              <w:rPr>
                <w:rFonts w:hint="eastAsia"/>
              </w:rPr>
              <w:t>，故本项目5</w:t>
            </w:r>
            <w:r>
              <w:t>00</w:t>
            </w:r>
            <w:r>
              <w:rPr>
                <w:rFonts w:hint="eastAsia"/>
              </w:rPr>
              <w:t>m范围内无大气环境保护目标。</w:t>
            </w:r>
          </w:p>
          <w:p w14:paraId="743FD5BD">
            <w:pPr>
              <w:pStyle w:val="103"/>
            </w:pPr>
            <w:r>
              <w:rPr>
                <w:color w:val="FF0000"/>
              </w:rPr>
              <w:t>表3-</w:t>
            </w:r>
            <w:r>
              <w:rPr>
                <w:rFonts w:hint="eastAsia"/>
                <w:color w:val="FF0000"/>
                <w:lang w:eastAsia="zh"/>
                <w:woUserID w:val="1"/>
              </w:rPr>
              <w:t>1</w:t>
            </w:r>
            <w:r>
              <w:t xml:space="preserve"> 大气环境保护目标情况表</w:t>
            </w:r>
          </w:p>
          <w:tbl>
            <w:tblPr>
              <w:tblStyle w:val="3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422"/>
              <w:gridCol w:w="1694"/>
              <w:gridCol w:w="1150"/>
              <w:gridCol w:w="681"/>
              <w:gridCol w:w="889"/>
              <w:gridCol w:w="797"/>
              <w:gridCol w:w="879"/>
            </w:tblGrid>
            <w:tr w14:paraId="38E41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vMerge w:val="restart"/>
                  <w:vAlign w:val="center"/>
                </w:tcPr>
                <w:p w14:paraId="384B3080">
                  <w:pPr>
                    <w:pStyle w:val="90"/>
                    <w:adjustRightInd w:val="0"/>
                    <w:snapToGrid w:val="0"/>
                  </w:pPr>
                  <w:r>
                    <w:t>名称</w:t>
                  </w:r>
                </w:p>
              </w:tc>
              <w:tc>
                <w:tcPr>
                  <w:tcW w:w="1848" w:type="pct"/>
                  <w:gridSpan w:val="2"/>
                  <w:vAlign w:val="center"/>
                </w:tcPr>
                <w:p w14:paraId="17200AD8">
                  <w:pPr>
                    <w:pStyle w:val="90"/>
                    <w:adjustRightInd w:val="0"/>
                    <w:snapToGrid w:val="0"/>
                  </w:pPr>
                  <w:r>
                    <w:rPr>
                      <w:rFonts w:hint="eastAsia"/>
                    </w:rPr>
                    <w:t>坐标</w:t>
                  </w:r>
                </w:p>
              </w:tc>
              <w:tc>
                <w:tcPr>
                  <w:tcW w:w="682" w:type="pct"/>
                  <w:vMerge w:val="restart"/>
                  <w:vAlign w:val="center"/>
                </w:tcPr>
                <w:p w14:paraId="0AD046CD">
                  <w:pPr>
                    <w:pStyle w:val="90"/>
                    <w:adjustRightInd w:val="0"/>
                    <w:snapToGrid w:val="0"/>
                  </w:pPr>
                  <w:r>
                    <w:rPr>
                      <w:rFonts w:hint="eastAsia"/>
                    </w:rPr>
                    <w:t>保护对象</w:t>
                  </w:r>
                </w:p>
              </w:tc>
              <w:tc>
                <w:tcPr>
                  <w:tcW w:w="404" w:type="pct"/>
                  <w:vMerge w:val="restart"/>
                  <w:vAlign w:val="center"/>
                </w:tcPr>
                <w:p w14:paraId="523B3BA2">
                  <w:pPr>
                    <w:pStyle w:val="90"/>
                    <w:adjustRightInd w:val="0"/>
                    <w:snapToGrid w:val="0"/>
                  </w:pPr>
                  <w:r>
                    <w:rPr>
                      <w:rFonts w:hint="eastAsia"/>
                    </w:rPr>
                    <w:t>保护内容</w:t>
                  </w:r>
                </w:p>
              </w:tc>
              <w:tc>
                <w:tcPr>
                  <w:tcW w:w="527" w:type="pct"/>
                  <w:vMerge w:val="restart"/>
                  <w:vAlign w:val="center"/>
                </w:tcPr>
                <w:p w14:paraId="230047BF">
                  <w:pPr>
                    <w:pStyle w:val="90"/>
                    <w:adjustRightInd w:val="0"/>
                    <w:snapToGrid w:val="0"/>
                  </w:pPr>
                  <w:r>
                    <w:rPr>
                      <w:rFonts w:hint="eastAsia"/>
                    </w:rPr>
                    <w:t>环境功能区</w:t>
                  </w:r>
                </w:p>
              </w:tc>
              <w:tc>
                <w:tcPr>
                  <w:tcW w:w="473" w:type="pct"/>
                  <w:vMerge w:val="restart"/>
                  <w:vAlign w:val="center"/>
                </w:tcPr>
                <w:p w14:paraId="63C857B9">
                  <w:pPr>
                    <w:pStyle w:val="90"/>
                    <w:adjustRightInd w:val="0"/>
                    <w:snapToGrid w:val="0"/>
                  </w:pPr>
                  <w:r>
                    <w:rPr>
                      <w:rFonts w:hint="eastAsia"/>
                    </w:rPr>
                    <w:t>相对厂址方位</w:t>
                  </w:r>
                </w:p>
              </w:tc>
              <w:tc>
                <w:tcPr>
                  <w:tcW w:w="521" w:type="pct"/>
                  <w:vMerge w:val="restart"/>
                  <w:vAlign w:val="center"/>
                </w:tcPr>
                <w:p w14:paraId="00CA9FF3">
                  <w:pPr>
                    <w:pStyle w:val="90"/>
                    <w:adjustRightInd w:val="0"/>
                    <w:snapToGrid w:val="0"/>
                  </w:pPr>
                  <w:r>
                    <w:rPr>
                      <w:rFonts w:hint="eastAsia"/>
                    </w:rPr>
                    <w:t>相对厂界距离/m</w:t>
                  </w:r>
                </w:p>
              </w:tc>
            </w:tr>
            <w:tr w14:paraId="676C7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3" w:type="pct"/>
                  <w:vMerge w:val="continue"/>
                  <w:vAlign w:val="center"/>
                </w:tcPr>
                <w:p w14:paraId="0C89ADE6">
                  <w:pPr>
                    <w:pStyle w:val="90"/>
                    <w:adjustRightInd w:val="0"/>
                    <w:snapToGrid w:val="0"/>
                  </w:pPr>
                </w:p>
              </w:tc>
              <w:tc>
                <w:tcPr>
                  <w:tcW w:w="843" w:type="pct"/>
                  <w:vAlign w:val="center"/>
                </w:tcPr>
                <w:p w14:paraId="7EE7BE62">
                  <w:pPr>
                    <w:pStyle w:val="90"/>
                    <w:adjustRightInd w:val="0"/>
                    <w:snapToGrid w:val="0"/>
                  </w:pPr>
                  <w:r>
                    <w:rPr>
                      <w:rFonts w:hint="eastAsia"/>
                    </w:rPr>
                    <w:t>东经</w:t>
                  </w:r>
                </w:p>
              </w:tc>
              <w:tc>
                <w:tcPr>
                  <w:tcW w:w="1004" w:type="pct"/>
                  <w:vAlign w:val="center"/>
                </w:tcPr>
                <w:p w14:paraId="3962BEB3">
                  <w:pPr>
                    <w:pStyle w:val="90"/>
                    <w:adjustRightInd w:val="0"/>
                    <w:snapToGrid w:val="0"/>
                  </w:pPr>
                  <w:r>
                    <w:rPr>
                      <w:rFonts w:hint="eastAsia"/>
                    </w:rPr>
                    <w:t>北纬</w:t>
                  </w:r>
                </w:p>
              </w:tc>
              <w:tc>
                <w:tcPr>
                  <w:tcW w:w="682" w:type="pct"/>
                  <w:vMerge w:val="continue"/>
                  <w:vAlign w:val="center"/>
                </w:tcPr>
                <w:p w14:paraId="50F7DDF9">
                  <w:pPr>
                    <w:pStyle w:val="90"/>
                    <w:adjustRightInd w:val="0"/>
                    <w:snapToGrid w:val="0"/>
                  </w:pPr>
                </w:p>
              </w:tc>
              <w:tc>
                <w:tcPr>
                  <w:tcW w:w="404" w:type="pct"/>
                  <w:vMerge w:val="continue"/>
                  <w:vAlign w:val="center"/>
                </w:tcPr>
                <w:p w14:paraId="1D0B2256">
                  <w:pPr>
                    <w:pStyle w:val="90"/>
                    <w:adjustRightInd w:val="0"/>
                    <w:snapToGrid w:val="0"/>
                  </w:pPr>
                </w:p>
              </w:tc>
              <w:tc>
                <w:tcPr>
                  <w:tcW w:w="527" w:type="pct"/>
                  <w:vMerge w:val="continue"/>
                  <w:vAlign w:val="center"/>
                </w:tcPr>
                <w:p w14:paraId="17FFD59E">
                  <w:pPr>
                    <w:pStyle w:val="90"/>
                    <w:adjustRightInd w:val="0"/>
                    <w:snapToGrid w:val="0"/>
                  </w:pPr>
                </w:p>
              </w:tc>
              <w:tc>
                <w:tcPr>
                  <w:tcW w:w="473" w:type="pct"/>
                  <w:vMerge w:val="continue"/>
                  <w:vAlign w:val="center"/>
                </w:tcPr>
                <w:p w14:paraId="4C94FF58">
                  <w:pPr>
                    <w:pStyle w:val="90"/>
                    <w:adjustRightInd w:val="0"/>
                    <w:snapToGrid w:val="0"/>
                  </w:pPr>
                </w:p>
              </w:tc>
              <w:tc>
                <w:tcPr>
                  <w:tcW w:w="521" w:type="pct"/>
                  <w:vMerge w:val="continue"/>
                  <w:vAlign w:val="center"/>
                </w:tcPr>
                <w:p w14:paraId="3FAABCE5">
                  <w:pPr>
                    <w:pStyle w:val="90"/>
                    <w:adjustRightInd w:val="0"/>
                    <w:snapToGrid w:val="0"/>
                  </w:pPr>
                </w:p>
              </w:tc>
            </w:tr>
            <w:tr w14:paraId="79D9C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vAlign w:val="center"/>
                </w:tcPr>
                <w:p w14:paraId="3B1B5DA0">
                  <w:pPr>
                    <w:pStyle w:val="90"/>
                    <w:adjustRightInd w:val="0"/>
                    <w:snapToGrid w:val="0"/>
                  </w:pPr>
                  <w:r>
                    <w:rPr>
                      <w:rFonts w:hint="eastAsia"/>
                    </w:rPr>
                    <w:t>东南侧平房</w:t>
                  </w:r>
                </w:p>
              </w:tc>
              <w:tc>
                <w:tcPr>
                  <w:tcW w:w="843" w:type="pct"/>
                  <w:vAlign w:val="center"/>
                </w:tcPr>
                <w:p w14:paraId="60A1EFA9">
                  <w:pPr>
                    <w:pStyle w:val="90"/>
                    <w:adjustRightInd w:val="0"/>
                    <w:snapToGrid w:val="0"/>
                  </w:pPr>
                  <w:r>
                    <w:t>130°55'51.1</w:t>
                  </w:r>
                  <w:r>
                    <w:rPr>
                      <w:rFonts w:hint="eastAsia"/>
                    </w:rPr>
                    <w:t>5</w:t>
                  </w:r>
                  <w:r>
                    <w:t>"</w:t>
                  </w:r>
                </w:p>
              </w:tc>
              <w:tc>
                <w:tcPr>
                  <w:tcW w:w="1004" w:type="pct"/>
                  <w:vAlign w:val="center"/>
                </w:tcPr>
                <w:p w14:paraId="631EC132">
                  <w:pPr>
                    <w:pStyle w:val="90"/>
                    <w:adjustRightInd w:val="0"/>
                    <w:snapToGrid w:val="0"/>
                  </w:pPr>
                  <w:r>
                    <w:t>45°20'16.36"</w:t>
                  </w:r>
                </w:p>
              </w:tc>
              <w:tc>
                <w:tcPr>
                  <w:tcW w:w="682" w:type="pct"/>
                  <w:vAlign w:val="center"/>
                </w:tcPr>
                <w:p w14:paraId="49EA7F5B">
                  <w:pPr>
                    <w:pStyle w:val="90"/>
                    <w:adjustRightInd w:val="0"/>
                    <w:snapToGrid w:val="0"/>
                  </w:pPr>
                  <w:r>
                    <w:rPr>
                      <w:rFonts w:hint="eastAsia"/>
                    </w:rPr>
                    <w:t>农村人群集中区</w:t>
                  </w:r>
                </w:p>
              </w:tc>
              <w:tc>
                <w:tcPr>
                  <w:tcW w:w="404" w:type="pct"/>
                  <w:vAlign w:val="center"/>
                </w:tcPr>
                <w:p w14:paraId="743C3AEB">
                  <w:pPr>
                    <w:pStyle w:val="90"/>
                    <w:adjustRightInd w:val="0"/>
                    <w:snapToGrid w:val="0"/>
                  </w:pPr>
                  <w:r>
                    <w:rPr>
                      <w:rFonts w:hint="eastAsia"/>
                    </w:rPr>
                    <w:t>人群</w:t>
                  </w:r>
                </w:p>
              </w:tc>
              <w:tc>
                <w:tcPr>
                  <w:tcW w:w="527" w:type="pct"/>
                  <w:vAlign w:val="center"/>
                </w:tcPr>
                <w:p w14:paraId="57245557">
                  <w:pPr>
                    <w:pStyle w:val="90"/>
                    <w:adjustRightInd w:val="0"/>
                    <w:snapToGrid w:val="0"/>
                  </w:pPr>
                  <w:r>
                    <w:rPr>
                      <w:rFonts w:hint="eastAsia"/>
                    </w:rPr>
                    <w:t>二类区</w:t>
                  </w:r>
                </w:p>
              </w:tc>
              <w:tc>
                <w:tcPr>
                  <w:tcW w:w="473" w:type="pct"/>
                  <w:vAlign w:val="center"/>
                </w:tcPr>
                <w:p w14:paraId="361A1CEC">
                  <w:pPr>
                    <w:pStyle w:val="90"/>
                    <w:adjustRightInd w:val="0"/>
                    <w:snapToGrid w:val="0"/>
                  </w:pPr>
                  <w:r>
                    <w:rPr>
                      <w:rFonts w:hint="eastAsia"/>
                    </w:rPr>
                    <w:t>SE</w:t>
                  </w:r>
                </w:p>
              </w:tc>
              <w:tc>
                <w:tcPr>
                  <w:tcW w:w="521" w:type="pct"/>
                  <w:vAlign w:val="center"/>
                </w:tcPr>
                <w:p w14:paraId="326EE24B">
                  <w:pPr>
                    <w:pStyle w:val="90"/>
                    <w:adjustRightInd w:val="0"/>
                    <w:snapToGrid w:val="0"/>
                  </w:pPr>
                  <w:r>
                    <w:rPr>
                      <w:rFonts w:hint="eastAsia"/>
                    </w:rPr>
                    <w:t>100</w:t>
                  </w:r>
                </w:p>
              </w:tc>
            </w:tr>
          </w:tbl>
          <w:p w14:paraId="13DB32AC">
            <w:pPr>
              <w:pStyle w:val="91"/>
              <w:spacing w:line="500" w:lineRule="exact"/>
              <w:ind w:firstLine="480"/>
            </w:pPr>
            <w:r>
              <w:rPr>
                <w:rFonts w:hint="eastAsia"/>
              </w:rPr>
              <w:t>2.</w:t>
            </w:r>
            <w:r>
              <w:t>声环境保护目标</w:t>
            </w:r>
          </w:p>
          <w:p w14:paraId="69A3D491">
            <w:pPr>
              <w:pStyle w:val="91"/>
              <w:spacing w:line="500" w:lineRule="exact"/>
              <w:ind w:firstLine="480"/>
            </w:pPr>
            <w:r>
              <w:t>本项目厂界外50m范围内</w:t>
            </w:r>
            <w:r>
              <w:rPr>
                <w:rFonts w:hint="eastAsia"/>
              </w:rPr>
              <w:t>无声环境保护目标。</w:t>
            </w:r>
          </w:p>
          <w:p w14:paraId="707CAF40">
            <w:pPr>
              <w:pStyle w:val="91"/>
              <w:ind w:firstLine="480"/>
            </w:pPr>
            <w:r>
              <w:rPr>
                <w:rFonts w:hint="eastAsia"/>
              </w:rPr>
              <w:t>3.</w:t>
            </w:r>
            <w:r>
              <w:t>地下水环境保护目标</w:t>
            </w:r>
          </w:p>
          <w:p w14:paraId="6CD603CC">
            <w:pPr>
              <w:pStyle w:val="91"/>
              <w:ind w:firstLine="480"/>
            </w:pPr>
            <w:r>
              <w:rPr>
                <w:rFonts w:hint="eastAsia"/>
              </w:rPr>
              <w:t>距离本项目最近的饮用水水源井为西南950m处的红太村饮用水井。</w:t>
            </w:r>
            <w:r>
              <w:t>本项目</w:t>
            </w:r>
            <w:r>
              <w:rPr>
                <w:rFonts w:hint="eastAsia"/>
              </w:rPr>
              <w:t>5</w:t>
            </w:r>
            <w:r>
              <w:t>00</w:t>
            </w:r>
            <w:r>
              <w:rPr>
                <w:rFonts w:hint="eastAsia"/>
              </w:rPr>
              <w:t>m范围内</w:t>
            </w:r>
            <w:r>
              <w:t>无地下水集中式饮用水水源和热水、矿泉水、温泉等特殊地下水资源，无地下水环境保护</w:t>
            </w:r>
            <w:r>
              <w:rPr>
                <w:rFonts w:hint="eastAsia"/>
              </w:rPr>
              <w:t>目标</w:t>
            </w:r>
            <w:r>
              <w:t>。</w:t>
            </w:r>
          </w:p>
          <w:p w14:paraId="630D028C">
            <w:pPr>
              <w:pStyle w:val="91"/>
              <w:ind w:firstLine="480"/>
            </w:pPr>
            <w:r>
              <w:rPr>
                <w:rFonts w:hint="eastAsia"/>
              </w:rPr>
              <w:t>4.</w:t>
            </w:r>
            <w:r>
              <w:t>生态环境保护目标</w:t>
            </w:r>
          </w:p>
          <w:p w14:paraId="6DA877FA">
            <w:pPr>
              <w:pStyle w:val="91"/>
              <w:ind w:firstLine="480"/>
            </w:pPr>
            <w:r>
              <w:t>本项目占地范围内无生态环境保护目标。</w:t>
            </w:r>
          </w:p>
        </w:tc>
      </w:tr>
      <w:tr w14:paraId="3157E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800" w:type="dxa"/>
            <w:tcMar>
              <w:left w:w="28" w:type="dxa"/>
              <w:right w:w="28" w:type="dxa"/>
            </w:tcMar>
            <w:vAlign w:val="center"/>
          </w:tcPr>
          <w:p w14:paraId="47B5DFD5">
            <w:pPr>
              <w:adjustRightInd w:val="0"/>
              <w:snapToGrid w:val="0"/>
              <w:jc w:val="center"/>
              <w:rPr>
                <w:kern w:val="0"/>
                <w:szCs w:val="21"/>
              </w:rPr>
            </w:pPr>
            <w:r>
              <w:rPr>
                <w:kern w:val="0"/>
                <w:szCs w:val="21"/>
              </w:rPr>
              <w:t>污染</w:t>
            </w:r>
          </w:p>
          <w:p w14:paraId="44EC5975">
            <w:pPr>
              <w:adjustRightInd w:val="0"/>
              <w:snapToGrid w:val="0"/>
              <w:jc w:val="center"/>
              <w:rPr>
                <w:kern w:val="0"/>
                <w:szCs w:val="21"/>
              </w:rPr>
            </w:pPr>
            <w:r>
              <w:rPr>
                <w:kern w:val="0"/>
                <w:szCs w:val="21"/>
              </w:rPr>
              <w:t>物排</w:t>
            </w:r>
          </w:p>
          <w:p w14:paraId="0257A25F">
            <w:pPr>
              <w:adjustRightInd w:val="0"/>
              <w:snapToGrid w:val="0"/>
              <w:jc w:val="center"/>
              <w:rPr>
                <w:kern w:val="0"/>
                <w:szCs w:val="21"/>
              </w:rPr>
            </w:pPr>
            <w:r>
              <w:rPr>
                <w:kern w:val="0"/>
                <w:szCs w:val="21"/>
              </w:rPr>
              <w:t>放控</w:t>
            </w:r>
          </w:p>
          <w:p w14:paraId="5AD17824">
            <w:pPr>
              <w:adjustRightInd w:val="0"/>
              <w:snapToGrid w:val="0"/>
              <w:jc w:val="center"/>
              <w:rPr>
                <w:kern w:val="0"/>
                <w:szCs w:val="21"/>
              </w:rPr>
            </w:pPr>
            <w:r>
              <w:rPr>
                <w:kern w:val="0"/>
                <w:szCs w:val="21"/>
              </w:rPr>
              <w:t>制标</w:t>
            </w:r>
          </w:p>
          <w:p w14:paraId="27A611B6">
            <w:pPr>
              <w:adjustRightInd w:val="0"/>
              <w:snapToGrid w:val="0"/>
              <w:jc w:val="center"/>
              <w:rPr>
                <w:kern w:val="0"/>
                <w:szCs w:val="21"/>
              </w:rPr>
            </w:pPr>
            <w:r>
              <w:rPr>
                <w:kern w:val="0"/>
                <w:szCs w:val="21"/>
              </w:rPr>
              <w:t>准</w:t>
            </w:r>
          </w:p>
        </w:tc>
        <w:tc>
          <w:tcPr>
            <w:tcW w:w="8190" w:type="dxa"/>
            <w:vAlign w:val="center"/>
          </w:tcPr>
          <w:p w14:paraId="5B03B1B6">
            <w:pPr>
              <w:pStyle w:val="91"/>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废</w:t>
            </w:r>
            <w:r>
              <w:rPr>
                <w:rFonts w:hint="eastAsia" w:ascii="Times New Roman" w:hAnsi="Times New Roman" w:eastAsia="宋体" w:cs="Times New Roman"/>
                <w:lang w:val="en-US" w:eastAsia="zh-CN"/>
              </w:rPr>
              <w:t>气</w:t>
            </w:r>
          </w:p>
          <w:p w14:paraId="409012E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color w:val="auto"/>
                <w:kern w:val="0"/>
                <w:sz w:val="24"/>
                <w:highlight w:val="none"/>
              </w:rPr>
            </w:pPr>
            <w:r>
              <w:rPr>
                <w:rFonts w:hint="eastAsia"/>
                <w:color w:val="auto"/>
                <w:kern w:val="0"/>
                <w:sz w:val="24"/>
                <w:highlight w:val="none"/>
              </w:rPr>
              <w:t>施工期</w:t>
            </w:r>
            <w:r>
              <w:rPr>
                <w:rFonts w:hint="eastAsia"/>
                <w:color w:val="auto"/>
                <w:kern w:val="0"/>
                <w:sz w:val="24"/>
                <w:highlight w:val="none"/>
                <w:lang w:eastAsia="zh-CN"/>
              </w:rPr>
              <w:t>、</w:t>
            </w:r>
            <w:r>
              <w:rPr>
                <w:rFonts w:hint="eastAsia"/>
                <w:color w:val="auto"/>
                <w:kern w:val="0"/>
                <w:sz w:val="24"/>
                <w:highlight w:val="none"/>
                <w:lang w:val="en-US" w:eastAsia="zh-CN"/>
              </w:rPr>
              <w:t>运营期</w:t>
            </w:r>
            <w:r>
              <w:rPr>
                <w:rFonts w:hint="eastAsia"/>
                <w:color w:val="auto"/>
                <w:kern w:val="0"/>
                <w:sz w:val="24"/>
                <w:highlight w:val="none"/>
              </w:rPr>
              <w:t>废气执行《大气污染物综合排放标准》（GB16297-1996）表2中的无组织排放限值；</w:t>
            </w:r>
            <w:r>
              <w:rPr>
                <w:color w:val="auto"/>
                <w:kern w:val="0"/>
                <w:sz w:val="24"/>
                <w:highlight w:val="none"/>
              </w:rPr>
              <w:t>。</w:t>
            </w:r>
          </w:p>
          <w:p w14:paraId="37000C58">
            <w:pPr>
              <w:adjustRightInd w:val="0"/>
              <w:snapToGrid w:val="0"/>
              <w:jc w:val="center"/>
              <w:rPr>
                <w:rFonts w:hint="default" w:ascii="宋体" w:hAnsi="Times New Roman" w:eastAsia="宋体" w:cs="Times New Roman"/>
                <w:b/>
                <w:color w:val="auto"/>
                <w:kern w:val="0"/>
                <w:sz w:val="20"/>
                <w:szCs w:val="20"/>
                <w:lang w:val="en-US" w:eastAsia="zh-CN" w:bidi="ar-SA"/>
              </w:rPr>
            </w:pPr>
            <w:r>
              <w:rPr>
                <w:rFonts w:hint="eastAsia"/>
                <w:b/>
                <w:bCs/>
                <w:color w:val="auto"/>
                <w:kern w:val="0"/>
                <w:szCs w:val="21"/>
                <w:highlight w:val="none"/>
                <w:lang w:val="en-US" w:eastAsia="zh-CN"/>
              </w:rPr>
              <w:t xml:space="preserve">       </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宋体" w:hAnsi="Times New Roman" w:eastAsia="宋体" w:cs="Times New Roman"/>
                <w:b/>
                <w:color w:val="auto"/>
                <w:kern w:val="0"/>
                <w:sz w:val="20"/>
                <w:szCs w:val="20"/>
                <w:lang w:val="en-US" w:eastAsia="zh-CN" w:bidi="ar-SA"/>
              </w:rPr>
              <w:t xml:space="preserve">   </w:t>
            </w:r>
            <w:r>
              <w:rPr>
                <w:rFonts w:hint="default" w:ascii="宋体" w:hAnsi="Times New Roman" w:eastAsia="宋体" w:cs="Times New Roman"/>
                <w:b/>
                <w:color w:val="auto"/>
                <w:kern w:val="0"/>
                <w:sz w:val="20"/>
                <w:szCs w:val="20"/>
                <w:lang w:val="en-US" w:eastAsia="zh-CN" w:bidi="ar-SA"/>
              </w:rPr>
              <w:t>表3-</w:t>
            </w:r>
            <w:r>
              <w:rPr>
                <w:rFonts w:hint="eastAsia" w:ascii="宋体" w:hAnsi="Times New Roman" w:eastAsia="宋体" w:cs="Times New Roman"/>
                <w:b/>
                <w:color w:val="auto"/>
                <w:kern w:val="0"/>
                <w:sz w:val="20"/>
                <w:szCs w:val="20"/>
                <w:lang w:val="en-US" w:eastAsia="zh-CN" w:bidi="ar-SA"/>
              </w:rPr>
              <w:t>2</w:t>
            </w:r>
            <w:r>
              <w:rPr>
                <w:rFonts w:hint="default" w:ascii="宋体" w:hAnsi="Times New Roman" w:eastAsia="宋体" w:cs="Times New Roman"/>
                <w:b/>
                <w:color w:val="auto"/>
                <w:kern w:val="0"/>
                <w:sz w:val="20"/>
                <w:szCs w:val="20"/>
                <w:lang w:val="en-US" w:eastAsia="zh-CN" w:bidi="ar-SA"/>
              </w:rPr>
              <w:t xml:space="preserve">  大气污染物</w:t>
            </w:r>
            <w:r>
              <w:rPr>
                <w:rFonts w:hint="eastAsia" w:ascii="宋体" w:hAnsi="Times New Roman" w:eastAsia="宋体" w:cs="Times New Roman"/>
                <w:b/>
                <w:color w:val="auto"/>
                <w:kern w:val="0"/>
                <w:sz w:val="20"/>
                <w:szCs w:val="20"/>
                <w:lang w:val="en-US" w:eastAsia="zh-CN" w:bidi="ar-SA"/>
              </w:rPr>
              <w:t xml:space="preserve">排放标准         </w:t>
            </w:r>
            <w:r>
              <w:rPr>
                <w:rFonts w:ascii="宋体" w:hAnsi="Times New Roman" w:eastAsia="宋体" w:cs="Times New Roman"/>
                <w:b/>
                <w:color w:val="auto"/>
                <w:kern w:val="0"/>
                <w:sz w:val="20"/>
                <w:szCs w:val="20"/>
                <w:lang w:val="en-US" w:eastAsia="zh-CN" w:bidi="ar-SA"/>
              </w:rPr>
              <w:t>单位：mg/m</w:t>
            </w:r>
            <w:r>
              <w:rPr>
                <w:rFonts w:ascii="宋体" w:hAnsi="Times New Roman" w:eastAsia="宋体" w:cs="Times New Roman"/>
                <w:b/>
                <w:color w:val="auto"/>
                <w:kern w:val="0"/>
                <w:sz w:val="20"/>
                <w:szCs w:val="20"/>
                <w:vertAlign w:val="superscript"/>
                <w:lang w:val="en-US" w:eastAsia="zh-CN" w:bidi="ar-SA"/>
              </w:rPr>
              <w:t>3</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0" w:type="dxa"/>
                <w:bottom w:w="0" w:type="dxa"/>
                <w:right w:w="60" w:type="dxa"/>
              </w:tblCellMar>
            </w:tblPr>
            <w:tblGrid>
              <w:gridCol w:w="2353"/>
              <w:gridCol w:w="3657"/>
              <w:gridCol w:w="2422"/>
            </w:tblGrid>
            <w:tr w14:paraId="7C73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312" w:hRule="atLeast"/>
                <w:jc w:val="center"/>
              </w:trPr>
              <w:tc>
                <w:tcPr>
                  <w:tcW w:w="1395" w:type="pct"/>
                  <w:tcBorders>
                    <w:tl2br w:val="nil"/>
                    <w:tr2bl w:val="nil"/>
                  </w:tcBorders>
                  <w:noWrap w:val="0"/>
                  <w:vAlign w:val="center"/>
                </w:tcPr>
                <w:p w14:paraId="019AA53E">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污染物</w:t>
                  </w:r>
                </w:p>
              </w:tc>
              <w:tc>
                <w:tcPr>
                  <w:tcW w:w="3604" w:type="pct"/>
                  <w:gridSpan w:val="2"/>
                  <w:tcBorders>
                    <w:tl2br w:val="nil"/>
                    <w:tr2bl w:val="nil"/>
                  </w:tcBorders>
                  <w:noWrap w:val="0"/>
                  <w:vAlign w:val="center"/>
                </w:tcPr>
                <w:p w14:paraId="39938D30">
                  <w:pPr>
                    <w:adjustRightInd w:val="0"/>
                    <w:snapToGrid w:val="0"/>
                    <w:jc w:val="center"/>
                    <w:rPr>
                      <w:color w:val="auto"/>
                      <w:kern w:val="0"/>
                      <w:szCs w:val="21"/>
                      <w:highlight w:val="none"/>
                    </w:rPr>
                  </w:pPr>
                  <w:r>
                    <w:rPr>
                      <w:color w:val="auto"/>
                      <w:szCs w:val="21"/>
                      <w:highlight w:val="none"/>
                    </w:rPr>
                    <w:t>无组织排放监控浓度限值（mg/m</w:t>
                  </w:r>
                  <w:r>
                    <w:rPr>
                      <w:color w:val="auto"/>
                      <w:szCs w:val="21"/>
                      <w:highlight w:val="none"/>
                      <w:vertAlign w:val="superscript"/>
                    </w:rPr>
                    <w:t>3</w:t>
                  </w:r>
                  <w:r>
                    <w:rPr>
                      <w:color w:val="auto"/>
                      <w:szCs w:val="21"/>
                      <w:highlight w:val="none"/>
                    </w:rPr>
                    <w:t>）</w:t>
                  </w:r>
                </w:p>
              </w:tc>
            </w:tr>
            <w:tr w14:paraId="2D989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255" w:hRule="atLeast"/>
                <w:jc w:val="center"/>
              </w:trPr>
              <w:tc>
                <w:tcPr>
                  <w:tcW w:w="1395" w:type="pct"/>
                  <w:tcBorders>
                    <w:tl2br w:val="nil"/>
                    <w:tr2bl w:val="nil"/>
                  </w:tcBorders>
                  <w:noWrap w:val="0"/>
                  <w:vAlign w:val="center"/>
                </w:tcPr>
                <w:p w14:paraId="7DF44141">
                  <w:pPr>
                    <w:adjustRightInd w:val="0"/>
                    <w:snapToGrid w:val="0"/>
                    <w:jc w:val="center"/>
                    <w:rPr>
                      <w:color w:val="auto"/>
                      <w:kern w:val="0"/>
                      <w:szCs w:val="21"/>
                      <w:highlight w:val="none"/>
                    </w:rPr>
                  </w:pPr>
                  <w:r>
                    <w:rPr>
                      <w:color w:val="auto"/>
                      <w:kern w:val="0"/>
                      <w:szCs w:val="21"/>
                      <w:highlight w:val="none"/>
                    </w:rPr>
                    <w:t>颗粒物</w:t>
                  </w:r>
                </w:p>
              </w:tc>
              <w:tc>
                <w:tcPr>
                  <w:tcW w:w="2168" w:type="pct"/>
                  <w:tcBorders>
                    <w:tl2br w:val="nil"/>
                    <w:tr2bl w:val="nil"/>
                  </w:tcBorders>
                  <w:noWrap w:val="0"/>
                  <w:vAlign w:val="center"/>
                </w:tcPr>
                <w:p w14:paraId="7058B086">
                  <w:pPr>
                    <w:jc w:val="center"/>
                    <w:rPr>
                      <w:color w:val="auto"/>
                      <w:kern w:val="0"/>
                      <w:szCs w:val="21"/>
                      <w:highlight w:val="none"/>
                    </w:rPr>
                  </w:pPr>
                  <w:r>
                    <w:rPr>
                      <w:color w:val="auto"/>
                      <w:szCs w:val="21"/>
                      <w:highlight w:val="none"/>
                    </w:rPr>
                    <w:t>周界外浓度最高点</w:t>
                  </w:r>
                </w:p>
              </w:tc>
              <w:tc>
                <w:tcPr>
                  <w:tcW w:w="1436" w:type="pct"/>
                  <w:tcBorders>
                    <w:tl2br w:val="nil"/>
                    <w:tr2bl w:val="nil"/>
                  </w:tcBorders>
                  <w:noWrap w:val="0"/>
                  <w:vAlign w:val="center"/>
                </w:tcPr>
                <w:p w14:paraId="14301657">
                  <w:pPr>
                    <w:jc w:val="center"/>
                    <w:rPr>
                      <w:color w:val="auto"/>
                      <w:kern w:val="0"/>
                      <w:szCs w:val="21"/>
                      <w:highlight w:val="none"/>
                    </w:rPr>
                  </w:pPr>
                  <w:r>
                    <w:rPr>
                      <w:color w:val="auto"/>
                      <w:szCs w:val="21"/>
                      <w:highlight w:val="none"/>
                    </w:rPr>
                    <w:t>1.0</w:t>
                  </w:r>
                </w:p>
              </w:tc>
            </w:tr>
          </w:tbl>
          <w:p w14:paraId="68C7D4A2">
            <w:pPr>
              <w:pStyle w:val="91"/>
              <w:ind w:firstLine="480"/>
            </w:pPr>
            <w:r>
              <w:rPr>
                <w:rFonts w:hint="eastAsia"/>
                <w:lang w:val="en-US" w:eastAsia="zh-CN"/>
              </w:rPr>
              <w:t>2</w:t>
            </w:r>
            <w:r>
              <w:rPr>
                <w:rFonts w:hint="eastAsia"/>
              </w:rPr>
              <w:t>.</w:t>
            </w:r>
            <w:r>
              <w:t>噪声</w:t>
            </w:r>
          </w:p>
          <w:p w14:paraId="70996EB7">
            <w:pPr>
              <w:pStyle w:val="91"/>
              <w:ind w:firstLine="480"/>
            </w:pPr>
            <w:r>
              <w:rPr>
                <w:szCs w:val="28"/>
              </w:rPr>
              <w:t>施工期执行《建筑施工噪声排放标准》（GB12523-20</w:t>
            </w:r>
            <w:r>
              <w:rPr>
                <w:rFonts w:hint="eastAsia"/>
                <w:szCs w:val="28"/>
              </w:rPr>
              <w:t>25</w:t>
            </w:r>
            <w:r>
              <w:rPr>
                <w:szCs w:val="28"/>
              </w:rPr>
              <w:t>）</w:t>
            </w:r>
            <w:r>
              <w:rPr>
                <w:rFonts w:hint="eastAsia"/>
                <w:szCs w:val="28"/>
              </w:rPr>
              <w:t>；</w:t>
            </w:r>
            <w:r>
              <w:t>项目</w:t>
            </w:r>
            <w:r>
              <w:rPr>
                <w:rFonts w:hint="eastAsia"/>
              </w:rPr>
              <w:t>厂界</w:t>
            </w:r>
            <w:r>
              <w:t>噪声执行《工业企业厂界环境噪声排放标准》（GB12348-2008）中的</w:t>
            </w:r>
            <w:r>
              <w:rPr>
                <w:rFonts w:hint="eastAsia"/>
              </w:rPr>
              <w:t>2</w:t>
            </w:r>
            <w:r>
              <w:t>类标准。</w:t>
            </w:r>
          </w:p>
          <w:p w14:paraId="55CFE8AA">
            <w:pPr>
              <w:pStyle w:val="103"/>
            </w:pPr>
            <w:r>
              <w:rPr>
                <w:color w:val="FF0000"/>
              </w:rPr>
              <w:t>表3-</w:t>
            </w:r>
            <w:r>
              <w:rPr>
                <w:rFonts w:hint="eastAsia"/>
                <w:color w:val="FF0000"/>
                <w:lang w:val="en-US" w:eastAsia="zh-CN"/>
                <w:woUserID w:val="1"/>
              </w:rPr>
              <w:t>3</w:t>
            </w:r>
            <w:r>
              <w:t xml:space="preserve">  工业企业厂界环境噪声排放标准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108"/>
              <w:gridCol w:w="2109"/>
              <w:gridCol w:w="2109"/>
              <w:gridCol w:w="2109"/>
            </w:tblGrid>
            <w:tr w14:paraId="6975A843">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250" w:type="pct"/>
                  <w:vMerge w:val="restart"/>
                  <w:tcBorders>
                    <w:tl2br w:val="nil"/>
                    <w:tr2bl w:val="nil"/>
                  </w:tcBorders>
                  <w:tcMar>
                    <w:top w:w="17" w:type="dxa"/>
                    <w:left w:w="17" w:type="dxa"/>
                    <w:bottom w:w="0" w:type="dxa"/>
                    <w:right w:w="17" w:type="dxa"/>
                  </w:tcMar>
                  <w:vAlign w:val="center"/>
                </w:tcPr>
                <w:p w14:paraId="7966190F">
                  <w:pPr>
                    <w:adjustRightInd w:val="0"/>
                    <w:snapToGrid w:val="0"/>
                    <w:jc w:val="center"/>
                    <w:rPr>
                      <w:kern w:val="0"/>
                      <w:szCs w:val="21"/>
                    </w:rPr>
                  </w:pPr>
                  <w:r>
                    <w:rPr>
                      <w:kern w:val="0"/>
                      <w:szCs w:val="21"/>
                    </w:rPr>
                    <w:t>时段</w:t>
                  </w:r>
                </w:p>
              </w:tc>
              <w:tc>
                <w:tcPr>
                  <w:tcW w:w="1250" w:type="pct"/>
                  <w:vMerge w:val="restart"/>
                  <w:tcBorders>
                    <w:tl2br w:val="nil"/>
                    <w:tr2bl w:val="nil"/>
                  </w:tcBorders>
                  <w:tcMar>
                    <w:top w:w="17" w:type="dxa"/>
                    <w:left w:w="17" w:type="dxa"/>
                    <w:bottom w:w="0" w:type="dxa"/>
                    <w:right w:w="17" w:type="dxa"/>
                  </w:tcMar>
                  <w:vAlign w:val="center"/>
                </w:tcPr>
                <w:p w14:paraId="77E60DFD">
                  <w:pPr>
                    <w:adjustRightInd w:val="0"/>
                    <w:snapToGrid w:val="0"/>
                    <w:jc w:val="center"/>
                    <w:rPr>
                      <w:kern w:val="0"/>
                      <w:szCs w:val="21"/>
                    </w:rPr>
                  </w:pPr>
                  <w:r>
                    <w:rPr>
                      <w:kern w:val="0"/>
                      <w:szCs w:val="21"/>
                    </w:rPr>
                    <w:t>标准</w:t>
                  </w:r>
                </w:p>
              </w:tc>
              <w:tc>
                <w:tcPr>
                  <w:tcW w:w="2500" w:type="pct"/>
                  <w:gridSpan w:val="2"/>
                  <w:tcBorders>
                    <w:tl2br w:val="nil"/>
                    <w:tr2bl w:val="nil"/>
                  </w:tcBorders>
                  <w:tcMar>
                    <w:top w:w="17" w:type="dxa"/>
                    <w:left w:w="17" w:type="dxa"/>
                    <w:bottom w:w="0" w:type="dxa"/>
                    <w:right w:w="17" w:type="dxa"/>
                  </w:tcMar>
                  <w:vAlign w:val="center"/>
                </w:tcPr>
                <w:p w14:paraId="6D48718F">
                  <w:pPr>
                    <w:adjustRightInd w:val="0"/>
                    <w:snapToGrid w:val="0"/>
                    <w:jc w:val="center"/>
                    <w:rPr>
                      <w:kern w:val="0"/>
                      <w:szCs w:val="21"/>
                    </w:rPr>
                  </w:pPr>
                  <w:r>
                    <w:rPr>
                      <w:kern w:val="0"/>
                      <w:szCs w:val="21"/>
                    </w:rPr>
                    <w:t>标准值</w:t>
                  </w:r>
                </w:p>
              </w:tc>
            </w:tr>
            <w:tr w14:paraId="25AAC6BF">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1" w:hRule="atLeast"/>
                <w:jc w:val="center"/>
              </w:trPr>
              <w:tc>
                <w:tcPr>
                  <w:tcW w:w="1250" w:type="pct"/>
                  <w:vMerge w:val="continue"/>
                  <w:tcBorders>
                    <w:tl2br w:val="nil"/>
                    <w:tr2bl w:val="nil"/>
                  </w:tcBorders>
                  <w:vAlign w:val="center"/>
                </w:tcPr>
                <w:p w14:paraId="481E9A24">
                  <w:pPr>
                    <w:adjustRightInd w:val="0"/>
                    <w:snapToGrid w:val="0"/>
                    <w:jc w:val="center"/>
                    <w:rPr>
                      <w:kern w:val="0"/>
                      <w:szCs w:val="21"/>
                    </w:rPr>
                  </w:pPr>
                </w:p>
              </w:tc>
              <w:tc>
                <w:tcPr>
                  <w:tcW w:w="1250" w:type="pct"/>
                  <w:vMerge w:val="continue"/>
                  <w:tcBorders>
                    <w:tl2br w:val="nil"/>
                    <w:tr2bl w:val="nil"/>
                  </w:tcBorders>
                  <w:vAlign w:val="center"/>
                </w:tcPr>
                <w:p w14:paraId="0031FA8D">
                  <w:pPr>
                    <w:adjustRightInd w:val="0"/>
                    <w:snapToGrid w:val="0"/>
                    <w:jc w:val="center"/>
                    <w:rPr>
                      <w:kern w:val="0"/>
                      <w:szCs w:val="21"/>
                    </w:rPr>
                  </w:pPr>
                </w:p>
              </w:tc>
              <w:tc>
                <w:tcPr>
                  <w:tcW w:w="1250" w:type="pct"/>
                  <w:tcBorders>
                    <w:tl2br w:val="nil"/>
                    <w:tr2bl w:val="nil"/>
                  </w:tcBorders>
                  <w:tcMar>
                    <w:top w:w="17" w:type="dxa"/>
                    <w:left w:w="17" w:type="dxa"/>
                    <w:bottom w:w="0" w:type="dxa"/>
                    <w:right w:w="17" w:type="dxa"/>
                  </w:tcMar>
                  <w:vAlign w:val="center"/>
                </w:tcPr>
                <w:p w14:paraId="159CC52C">
                  <w:pPr>
                    <w:adjustRightInd w:val="0"/>
                    <w:snapToGrid w:val="0"/>
                    <w:jc w:val="center"/>
                    <w:rPr>
                      <w:kern w:val="0"/>
                      <w:szCs w:val="21"/>
                    </w:rPr>
                  </w:pPr>
                  <w:r>
                    <w:rPr>
                      <w:kern w:val="0"/>
                      <w:szCs w:val="21"/>
                    </w:rPr>
                    <w:t>昼间</w:t>
                  </w:r>
                </w:p>
              </w:tc>
              <w:tc>
                <w:tcPr>
                  <w:tcW w:w="1250" w:type="pct"/>
                  <w:tcBorders>
                    <w:tl2br w:val="nil"/>
                    <w:tr2bl w:val="nil"/>
                  </w:tcBorders>
                  <w:tcMar>
                    <w:top w:w="17" w:type="dxa"/>
                    <w:left w:w="17" w:type="dxa"/>
                    <w:bottom w:w="0" w:type="dxa"/>
                    <w:right w:w="17" w:type="dxa"/>
                  </w:tcMar>
                  <w:vAlign w:val="center"/>
                </w:tcPr>
                <w:p w14:paraId="086DF2B8">
                  <w:pPr>
                    <w:adjustRightInd w:val="0"/>
                    <w:snapToGrid w:val="0"/>
                    <w:jc w:val="center"/>
                    <w:rPr>
                      <w:kern w:val="0"/>
                      <w:szCs w:val="21"/>
                    </w:rPr>
                  </w:pPr>
                  <w:r>
                    <w:rPr>
                      <w:kern w:val="0"/>
                      <w:szCs w:val="21"/>
                    </w:rPr>
                    <w:t>夜间</w:t>
                  </w:r>
                </w:p>
              </w:tc>
            </w:tr>
            <w:tr w14:paraId="5C79A50C">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PrEx>
              <w:trPr>
                <w:trHeight w:val="246" w:hRule="atLeast"/>
                <w:jc w:val="center"/>
              </w:trPr>
              <w:tc>
                <w:tcPr>
                  <w:tcW w:w="1250" w:type="pct"/>
                  <w:tcBorders>
                    <w:tl2br w:val="nil"/>
                    <w:tr2bl w:val="nil"/>
                  </w:tcBorders>
                  <w:vAlign w:val="center"/>
                </w:tcPr>
                <w:p w14:paraId="5A386D5B">
                  <w:pPr>
                    <w:adjustRightInd w:val="0"/>
                    <w:snapToGrid w:val="0"/>
                    <w:jc w:val="center"/>
                    <w:rPr>
                      <w:kern w:val="0"/>
                      <w:szCs w:val="21"/>
                    </w:rPr>
                  </w:pPr>
                  <w:r>
                    <w:rPr>
                      <w:kern w:val="0"/>
                      <w:szCs w:val="21"/>
                    </w:rPr>
                    <w:t>施工期</w:t>
                  </w:r>
                </w:p>
              </w:tc>
              <w:tc>
                <w:tcPr>
                  <w:tcW w:w="1250" w:type="pct"/>
                  <w:tcBorders>
                    <w:tl2br w:val="nil"/>
                    <w:tr2bl w:val="nil"/>
                  </w:tcBorders>
                  <w:vAlign w:val="center"/>
                </w:tcPr>
                <w:p w14:paraId="58D5079E">
                  <w:pPr>
                    <w:adjustRightInd w:val="0"/>
                    <w:snapToGrid w:val="0"/>
                    <w:jc w:val="center"/>
                    <w:rPr>
                      <w:rFonts w:hint="default" w:eastAsia="宋体"/>
                      <w:kern w:val="0"/>
                      <w:szCs w:val="21"/>
                      <w:lang w:val="en-US" w:eastAsia="zh-CN"/>
                    </w:rPr>
                  </w:pPr>
                  <w:r>
                    <w:rPr>
                      <w:kern w:val="0"/>
                      <w:szCs w:val="21"/>
                    </w:rPr>
                    <w:t>GB12523-20</w:t>
                  </w:r>
                  <w:r>
                    <w:rPr>
                      <w:rFonts w:hint="eastAsia"/>
                      <w:kern w:val="0"/>
                      <w:szCs w:val="21"/>
                      <w:lang w:val="en-US" w:eastAsia="zh-CN"/>
                    </w:rPr>
                    <w:t>25</w:t>
                  </w:r>
                </w:p>
              </w:tc>
              <w:tc>
                <w:tcPr>
                  <w:tcW w:w="1250" w:type="pct"/>
                  <w:tcBorders>
                    <w:tl2br w:val="nil"/>
                    <w:tr2bl w:val="nil"/>
                  </w:tcBorders>
                  <w:tcMar>
                    <w:top w:w="17" w:type="dxa"/>
                    <w:left w:w="17" w:type="dxa"/>
                    <w:bottom w:w="0" w:type="dxa"/>
                    <w:right w:w="17" w:type="dxa"/>
                  </w:tcMar>
                  <w:vAlign w:val="center"/>
                </w:tcPr>
                <w:p w14:paraId="023B3222">
                  <w:pPr>
                    <w:adjustRightInd w:val="0"/>
                    <w:snapToGrid w:val="0"/>
                    <w:jc w:val="center"/>
                    <w:rPr>
                      <w:kern w:val="0"/>
                      <w:szCs w:val="21"/>
                    </w:rPr>
                  </w:pPr>
                  <w:r>
                    <w:rPr>
                      <w:kern w:val="0"/>
                      <w:szCs w:val="21"/>
                    </w:rPr>
                    <w:t>70</w:t>
                  </w:r>
                </w:p>
              </w:tc>
              <w:tc>
                <w:tcPr>
                  <w:tcW w:w="1250" w:type="pct"/>
                  <w:tcBorders>
                    <w:tl2br w:val="nil"/>
                    <w:tr2bl w:val="nil"/>
                  </w:tcBorders>
                  <w:tcMar>
                    <w:top w:w="17" w:type="dxa"/>
                    <w:left w:w="17" w:type="dxa"/>
                    <w:bottom w:w="0" w:type="dxa"/>
                    <w:right w:w="17" w:type="dxa"/>
                  </w:tcMar>
                  <w:vAlign w:val="center"/>
                </w:tcPr>
                <w:p w14:paraId="3C018579">
                  <w:pPr>
                    <w:adjustRightInd w:val="0"/>
                    <w:snapToGrid w:val="0"/>
                    <w:jc w:val="center"/>
                    <w:rPr>
                      <w:kern w:val="0"/>
                      <w:szCs w:val="21"/>
                    </w:rPr>
                  </w:pPr>
                  <w:r>
                    <w:rPr>
                      <w:kern w:val="0"/>
                      <w:szCs w:val="21"/>
                    </w:rPr>
                    <w:t>55</w:t>
                  </w:r>
                </w:p>
              </w:tc>
            </w:tr>
            <w:tr w14:paraId="014C13EB">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250" w:type="pct"/>
                  <w:tcBorders>
                    <w:tl2br w:val="nil"/>
                    <w:tr2bl w:val="nil"/>
                  </w:tcBorders>
                  <w:vAlign w:val="center"/>
                </w:tcPr>
                <w:p w14:paraId="29B40DE9">
                  <w:pPr>
                    <w:adjustRightInd w:val="0"/>
                    <w:snapToGrid w:val="0"/>
                    <w:jc w:val="center"/>
                    <w:rPr>
                      <w:kern w:val="0"/>
                      <w:szCs w:val="21"/>
                    </w:rPr>
                  </w:pPr>
                  <w:r>
                    <w:rPr>
                      <w:kern w:val="0"/>
                      <w:szCs w:val="21"/>
                    </w:rPr>
                    <w:t>运营期</w:t>
                  </w:r>
                </w:p>
              </w:tc>
              <w:tc>
                <w:tcPr>
                  <w:tcW w:w="1250" w:type="pct"/>
                  <w:tcBorders>
                    <w:tl2br w:val="nil"/>
                    <w:tr2bl w:val="nil"/>
                  </w:tcBorders>
                  <w:vAlign w:val="center"/>
                </w:tcPr>
                <w:p w14:paraId="155AF221">
                  <w:pPr>
                    <w:adjustRightInd w:val="0"/>
                    <w:snapToGrid w:val="0"/>
                    <w:jc w:val="center"/>
                    <w:rPr>
                      <w:kern w:val="0"/>
                      <w:szCs w:val="21"/>
                    </w:rPr>
                  </w:pPr>
                  <w:r>
                    <w:rPr>
                      <w:kern w:val="0"/>
                      <w:szCs w:val="21"/>
                    </w:rPr>
                    <w:t>GB12348-2008 2类</w:t>
                  </w:r>
                </w:p>
              </w:tc>
              <w:tc>
                <w:tcPr>
                  <w:tcW w:w="1250" w:type="pct"/>
                  <w:tcBorders>
                    <w:tl2br w:val="nil"/>
                    <w:tr2bl w:val="nil"/>
                  </w:tcBorders>
                  <w:tcMar>
                    <w:top w:w="17" w:type="dxa"/>
                    <w:left w:w="17" w:type="dxa"/>
                    <w:bottom w:w="0" w:type="dxa"/>
                    <w:right w:w="17" w:type="dxa"/>
                  </w:tcMar>
                  <w:vAlign w:val="center"/>
                </w:tcPr>
                <w:p w14:paraId="30499408">
                  <w:pPr>
                    <w:adjustRightInd w:val="0"/>
                    <w:snapToGrid w:val="0"/>
                    <w:jc w:val="center"/>
                    <w:rPr>
                      <w:kern w:val="0"/>
                      <w:szCs w:val="21"/>
                    </w:rPr>
                  </w:pPr>
                  <w:r>
                    <w:rPr>
                      <w:kern w:val="0"/>
                      <w:szCs w:val="21"/>
                    </w:rPr>
                    <w:t>6</w:t>
                  </w:r>
                  <w:r>
                    <w:rPr>
                      <w:rFonts w:hint="eastAsia"/>
                      <w:kern w:val="0"/>
                      <w:szCs w:val="21"/>
                    </w:rPr>
                    <w:t>0</w:t>
                  </w:r>
                </w:p>
              </w:tc>
              <w:tc>
                <w:tcPr>
                  <w:tcW w:w="1250" w:type="pct"/>
                  <w:tcBorders>
                    <w:tl2br w:val="nil"/>
                    <w:tr2bl w:val="nil"/>
                  </w:tcBorders>
                  <w:tcMar>
                    <w:top w:w="17" w:type="dxa"/>
                    <w:left w:w="17" w:type="dxa"/>
                    <w:bottom w:w="0" w:type="dxa"/>
                    <w:right w:w="17" w:type="dxa"/>
                  </w:tcMar>
                  <w:vAlign w:val="center"/>
                </w:tcPr>
                <w:p w14:paraId="17D188E3">
                  <w:pPr>
                    <w:adjustRightInd w:val="0"/>
                    <w:snapToGrid w:val="0"/>
                    <w:jc w:val="center"/>
                    <w:rPr>
                      <w:kern w:val="0"/>
                      <w:szCs w:val="21"/>
                    </w:rPr>
                  </w:pPr>
                  <w:r>
                    <w:rPr>
                      <w:rFonts w:hint="eastAsia"/>
                      <w:kern w:val="0"/>
                      <w:szCs w:val="21"/>
                    </w:rPr>
                    <w:t>50</w:t>
                  </w:r>
                </w:p>
              </w:tc>
            </w:tr>
          </w:tbl>
          <w:p w14:paraId="64177F1A">
            <w:pPr>
              <w:pStyle w:val="91"/>
              <w:ind w:firstLine="480"/>
            </w:pPr>
            <w:r>
              <w:rPr>
                <w:rFonts w:hint="eastAsia"/>
                <w:lang w:val="en-US" w:eastAsia="zh-CN"/>
              </w:rPr>
              <w:t>3</w:t>
            </w:r>
            <w:r>
              <w:rPr>
                <w:rFonts w:hint="eastAsia"/>
              </w:rPr>
              <w:t>.</w:t>
            </w:r>
            <w:r>
              <w:t>固体废物</w:t>
            </w:r>
          </w:p>
          <w:p w14:paraId="56377EF1">
            <w:pPr>
              <w:pStyle w:val="91"/>
              <w:ind w:firstLine="480"/>
            </w:pPr>
            <w:r>
              <w:t>本项目一般固体废物执行《一般工业固体废物贮存和填埋污染控制标准》（GB18599-2020）要求</w:t>
            </w:r>
            <w:r>
              <w:rPr>
                <w:rFonts w:hint="eastAsia"/>
              </w:rPr>
              <w:t>；</w:t>
            </w:r>
            <w:r>
              <w:t>危险废物执行《危险废物贮存污染控制标准》（GB18597-20</w:t>
            </w:r>
            <w:r>
              <w:rPr>
                <w:rFonts w:hint="eastAsia"/>
              </w:rPr>
              <w:t>23</w:t>
            </w:r>
            <w:r>
              <w:t>）</w:t>
            </w:r>
            <w:r>
              <w:rPr>
                <w:rFonts w:hint="eastAsia"/>
              </w:rPr>
              <w:t>相关规定</w:t>
            </w:r>
            <w:r>
              <w:t>。</w:t>
            </w:r>
          </w:p>
        </w:tc>
      </w:tr>
      <w:tr w14:paraId="66FB5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800" w:type="dxa"/>
            <w:vAlign w:val="center"/>
          </w:tcPr>
          <w:p w14:paraId="7A356CA4">
            <w:pPr>
              <w:adjustRightInd w:val="0"/>
              <w:snapToGrid w:val="0"/>
              <w:jc w:val="center"/>
              <w:rPr>
                <w:kern w:val="0"/>
                <w:szCs w:val="21"/>
              </w:rPr>
            </w:pPr>
            <w:r>
              <w:rPr>
                <w:kern w:val="0"/>
                <w:szCs w:val="21"/>
              </w:rPr>
              <w:t>总量</w:t>
            </w:r>
          </w:p>
          <w:p w14:paraId="7074631E">
            <w:pPr>
              <w:adjustRightInd w:val="0"/>
              <w:snapToGrid w:val="0"/>
              <w:jc w:val="center"/>
              <w:rPr>
                <w:kern w:val="0"/>
                <w:szCs w:val="21"/>
              </w:rPr>
            </w:pPr>
            <w:r>
              <w:rPr>
                <w:kern w:val="0"/>
                <w:szCs w:val="21"/>
              </w:rPr>
              <w:t>控制</w:t>
            </w:r>
          </w:p>
          <w:p w14:paraId="3526275C">
            <w:pPr>
              <w:adjustRightInd w:val="0"/>
              <w:snapToGrid w:val="0"/>
              <w:jc w:val="center"/>
              <w:rPr>
                <w:kern w:val="0"/>
                <w:szCs w:val="21"/>
              </w:rPr>
            </w:pPr>
            <w:r>
              <w:rPr>
                <w:kern w:val="0"/>
                <w:szCs w:val="21"/>
              </w:rPr>
              <w:t>指标</w:t>
            </w:r>
          </w:p>
        </w:tc>
        <w:tc>
          <w:tcPr>
            <w:tcW w:w="8190" w:type="dxa"/>
            <w:vAlign w:val="center"/>
          </w:tcPr>
          <w:p w14:paraId="26D868DC">
            <w:pPr>
              <w:pStyle w:val="91"/>
              <w:ind w:firstLine="480"/>
            </w:pPr>
            <w:r>
              <w:rPr>
                <w:rFonts w:hint="eastAsia"/>
              </w:rPr>
              <w:t>/</w:t>
            </w:r>
          </w:p>
        </w:tc>
      </w:tr>
    </w:tbl>
    <w:p w14:paraId="7E9CE7FD">
      <w:pPr>
        <w:pStyle w:val="27"/>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10" w:name="_Toc83393933"/>
      <w:r>
        <w:rPr>
          <w:rFonts w:ascii="Times New Roman" w:hAnsi="Times New Roman"/>
          <w:snapToGrid w:val="0"/>
          <w:sz w:val="30"/>
          <w:szCs w:val="30"/>
        </w:rPr>
        <w:t>四、主要环境影响和保护措施</w:t>
      </w:r>
      <w:bookmarkEnd w:id="10"/>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0003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3308A3A">
            <w:pPr>
              <w:pStyle w:val="2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31C4FCE5">
            <w:pPr>
              <w:pStyle w:val="2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24DACA79">
            <w:pPr>
              <w:pStyle w:val="2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031B967A">
            <w:pPr>
              <w:pStyle w:val="2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05CBB210">
            <w:pPr>
              <w:pStyle w:val="27"/>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635" w:type="dxa"/>
            <w:vAlign w:val="center"/>
          </w:tcPr>
          <w:p w14:paraId="05E092DF">
            <w:pPr>
              <w:pStyle w:val="222"/>
              <w:ind w:firstLine="480"/>
              <w:jc w:val="both"/>
              <w:rPr>
                <w:rFonts w:cs="Times New Roman"/>
                <w:sz w:val="24"/>
                <w:szCs w:val="24"/>
              </w:rPr>
            </w:pPr>
            <w:r>
              <w:rPr>
                <w:rFonts w:hint="eastAsia" w:cs="Times New Roman"/>
                <w:sz w:val="24"/>
                <w:szCs w:val="24"/>
              </w:rPr>
              <w:t>本项目租赁已建成厂房进行生产，本次施工主要为设备安装和沉淀池建设，项目施工期均在厂房内部进行，项目工程量很小，施工期较短。为减少对外环境影响，采取环保措施如下。</w:t>
            </w:r>
          </w:p>
          <w:p w14:paraId="66F7AF54">
            <w:pPr>
              <w:pStyle w:val="222"/>
              <w:ind w:firstLine="480"/>
              <w:jc w:val="both"/>
              <w:rPr>
                <w:rFonts w:cs="Times New Roman"/>
                <w:sz w:val="24"/>
                <w:szCs w:val="24"/>
              </w:rPr>
            </w:pPr>
            <w:r>
              <w:rPr>
                <w:rFonts w:hint="eastAsia" w:cs="Times New Roman"/>
                <w:sz w:val="24"/>
                <w:szCs w:val="24"/>
              </w:rPr>
              <w:t>1.废水</w:t>
            </w:r>
          </w:p>
          <w:p w14:paraId="56BB958B">
            <w:pPr>
              <w:pStyle w:val="222"/>
              <w:ind w:firstLine="480"/>
              <w:jc w:val="both"/>
              <w:rPr>
                <w:rFonts w:cs="Times New Roman"/>
                <w:sz w:val="24"/>
                <w:szCs w:val="24"/>
              </w:rPr>
            </w:pPr>
            <w:r>
              <w:rPr>
                <w:rFonts w:cs="Times New Roman"/>
                <w:sz w:val="24"/>
                <w:szCs w:val="24"/>
              </w:rPr>
              <w:t>施工废水主要是施工机械设备跑冒滴漏的污油及露天机械被雨水冲刷以及清洗后产生的废水。施工废水经施工现场临时收集池沉淀处理后，上清液回用于施工场地和道路洒水降尘，不外排。施工人员生活污水排入临时防渗旱厕</w:t>
            </w:r>
            <w:r>
              <w:rPr>
                <w:rFonts w:hint="eastAsia" w:cs="Times New Roman"/>
                <w:sz w:val="24"/>
                <w:szCs w:val="24"/>
              </w:rPr>
              <w:t>。</w:t>
            </w:r>
          </w:p>
          <w:p w14:paraId="03C440F0">
            <w:pPr>
              <w:pStyle w:val="222"/>
              <w:ind w:firstLine="480"/>
              <w:jc w:val="both"/>
              <w:rPr>
                <w:rFonts w:cs="Times New Roman"/>
                <w:sz w:val="24"/>
                <w:szCs w:val="24"/>
              </w:rPr>
            </w:pPr>
            <w:r>
              <w:rPr>
                <w:rFonts w:hint="eastAsia" w:cs="Times New Roman"/>
                <w:sz w:val="24"/>
                <w:szCs w:val="24"/>
              </w:rPr>
              <w:t>2.废气</w:t>
            </w:r>
          </w:p>
          <w:p w14:paraId="54FEFCC7">
            <w:pPr>
              <w:pStyle w:val="222"/>
              <w:ind w:firstLine="480"/>
              <w:jc w:val="both"/>
              <w:rPr>
                <w:rFonts w:hint="eastAsia" w:eastAsia="宋体" w:cs="Times New Roman"/>
                <w:sz w:val="24"/>
                <w:szCs w:val="24"/>
                <w:lang w:eastAsia="zh"/>
                <w:woUserID w:val="1"/>
              </w:rPr>
            </w:pPr>
            <w:r>
              <w:rPr>
                <w:rFonts w:hint="eastAsia" w:cs="Times New Roman"/>
                <w:sz w:val="24"/>
                <w:szCs w:val="24"/>
              </w:rPr>
              <w:t>施工期沉淀池开挖施工应采取洒水抑尘措施，</w:t>
            </w:r>
            <w:r>
              <w:rPr>
                <w:rFonts w:cs="Times New Roman"/>
                <w:sz w:val="24"/>
                <w:szCs w:val="24"/>
              </w:rPr>
              <w:t>施工材料（如砂石等）采取遮盖措施；建筑材料运输车要用苫布盖好；现场装卸产生扬尘的物质、清理平整场地等活动时应当采取湿式作业等有效防尘措施。施工单位应当按照有关规定使用预拌混凝土，不得擅自在施工现场搅拌混凝土。施工车辆必须装有尾气净化装置，使污染降到最低。严格执行文明施工，建筑材料不允许乱堆乱放，弃土石渣每天清除</w:t>
            </w:r>
            <w:r>
              <w:rPr>
                <w:rFonts w:hint="eastAsia" w:cs="Times New Roman"/>
                <w:sz w:val="24"/>
                <w:szCs w:val="24"/>
              </w:rPr>
              <w:t>。</w:t>
            </w:r>
            <w:r>
              <w:rPr>
                <w:rStyle w:val="41"/>
                <w:rFonts w:hint="eastAsia" w:cs="Times New Roman"/>
                <w:color w:val="FF0000"/>
                <w:sz w:val="24"/>
                <w:szCs w:val="24"/>
                <w:lang w:eastAsia="zh"/>
                <w:woUserID w:val="1"/>
              </w:rPr>
              <w:t>采取以上措施后，施工废气能够满足《大气污染综合排放标准》（GB16297-1996）表2中无组织排放限值，对周围环境影响较小</w:t>
            </w:r>
            <w:r>
              <w:rPr>
                <w:rStyle w:val="41"/>
                <w:rFonts w:hint="eastAsia" w:cs="Times New Roman"/>
                <w:sz w:val="24"/>
                <w:szCs w:val="24"/>
                <w:lang w:eastAsia="zh"/>
                <w:woUserID w:val="1"/>
              </w:rPr>
              <w:t>。</w:t>
            </w:r>
          </w:p>
          <w:p w14:paraId="473718DC">
            <w:pPr>
              <w:pStyle w:val="222"/>
              <w:ind w:firstLine="480"/>
              <w:jc w:val="both"/>
              <w:rPr>
                <w:rFonts w:cs="Times New Roman"/>
                <w:sz w:val="24"/>
                <w:szCs w:val="24"/>
              </w:rPr>
            </w:pPr>
            <w:r>
              <w:rPr>
                <w:rFonts w:hint="eastAsia" w:cs="Times New Roman"/>
                <w:sz w:val="24"/>
                <w:szCs w:val="24"/>
              </w:rPr>
              <w:t>3.噪声</w:t>
            </w:r>
          </w:p>
          <w:p w14:paraId="67633125">
            <w:pPr>
              <w:pStyle w:val="222"/>
              <w:ind w:firstLine="480"/>
              <w:jc w:val="both"/>
              <w:rPr>
                <w:rFonts w:cs="Times New Roman"/>
                <w:sz w:val="24"/>
                <w:szCs w:val="24"/>
              </w:rPr>
            </w:pPr>
            <w:r>
              <w:rPr>
                <w:rFonts w:hint="eastAsia" w:cs="Times New Roman"/>
                <w:sz w:val="24"/>
                <w:szCs w:val="24"/>
              </w:rPr>
              <w:t>使用的机械设备为低噪声机械设备，施工过程中施工单位应设专人对设备进行保养和维护，并负责对现场工作人员进行培训，严格按操作规范使用各类机械，</w:t>
            </w:r>
            <w:r>
              <w:rPr>
                <w:rFonts w:cs="Times New Roman"/>
                <w:sz w:val="24"/>
                <w:szCs w:val="24"/>
              </w:rPr>
              <w:t>杜绝夜间施工现象。采取上述措施，施工场界噪声能够达到</w:t>
            </w:r>
            <w:r>
              <w:rPr>
                <w:rFonts w:hint="eastAsia" w:cs="Times New Roman"/>
                <w:sz w:val="24"/>
                <w:szCs w:val="24"/>
              </w:rPr>
              <w:t>《建筑施工噪声排放标准》（GB12523-2025）</w:t>
            </w:r>
            <w:r>
              <w:rPr>
                <w:rFonts w:cs="Times New Roman"/>
                <w:sz w:val="24"/>
                <w:szCs w:val="24"/>
              </w:rPr>
              <w:t>标准值，故施工期噪声对周围环境影响会减小</w:t>
            </w:r>
            <w:r>
              <w:rPr>
                <w:rFonts w:hint="eastAsia" w:cs="Times New Roman"/>
                <w:sz w:val="24"/>
                <w:szCs w:val="24"/>
              </w:rPr>
              <w:t>。</w:t>
            </w:r>
          </w:p>
          <w:p w14:paraId="0A1F076F">
            <w:pPr>
              <w:pStyle w:val="222"/>
              <w:ind w:firstLine="480"/>
              <w:jc w:val="both"/>
              <w:rPr>
                <w:rFonts w:cs="Times New Roman"/>
                <w:sz w:val="24"/>
                <w:szCs w:val="24"/>
              </w:rPr>
            </w:pPr>
            <w:r>
              <w:rPr>
                <w:rFonts w:hint="eastAsia" w:cs="Times New Roman"/>
                <w:sz w:val="24"/>
                <w:szCs w:val="24"/>
              </w:rPr>
              <w:t>4.固废</w:t>
            </w:r>
          </w:p>
          <w:p w14:paraId="5944E11D">
            <w:pPr>
              <w:pStyle w:val="91"/>
              <w:spacing w:line="500" w:lineRule="exact"/>
              <w:ind w:firstLine="480"/>
              <w:rPr>
                <w:bCs/>
              </w:rPr>
            </w:pPr>
            <w:r>
              <w:rPr>
                <w:rFonts w:hint="eastAsia"/>
                <w:szCs w:val="24"/>
              </w:rPr>
              <w:t>施工场地清理过程中所收集固废进行合理处置，</w:t>
            </w:r>
            <w:r>
              <w:rPr>
                <w:szCs w:val="24"/>
              </w:rPr>
              <w:t>建筑垃圾及生活垃圾要随产随清</w:t>
            </w:r>
            <w:r>
              <w:rPr>
                <w:rFonts w:hint="eastAsia"/>
                <w:szCs w:val="24"/>
              </w:rPr>
              <w:t>，</w:t>
            </w:r>
            <w:r>
              <w:rPr>
                <w:szCs w:val="24"/>
              </w:rPr>
              <w:t>将建筑垃圾运至市政指定地点倾倒，生活垃圾及时清运至指定地点</w:t>
            </w:r>
            <w:r>
              <w:rPr>
                <w:rFonts w:hint="eastAsia"/>
                <w:szCs w:val="24"/>
              </w:rPr>
              <w:t>。</w:t>
            </w:r>
          </w:p>
        </w:tc>
      </w:tr>
      <w:tr w14:paraId="20FB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C23C061">
            <w:pPr>
              <w:adjustRightInd w:val="0"/>
              <w:snapToGrid w:val="0"/>
              <w:jc w:val="center"/>
              <w:rPr>
                <w:bCs/>
                <w:szCs w:val="21"/>
              </w:rPr>
            </w:pPr>
            <w:r>
              <w:rPr>
                <w:bCs/>
                <w:szCs w:val="21"/>
              </w:rPr>
              <w:t>运营</w:t>
            </w:r>
          </w:p>
          <w:p w14:paraId="5BFCCAA2">
            <w:pPr>
              <w:adjustRightInd w:val="0"/>
              <w:snapToGrid w:val="0"/>
              <w:jc w:val="center"/>
              <w:rPr>
                <w:bCs/>
                <w:szCs w:val="21"/>
              </w:rPr>
            </w:pPr>
            <w:r>
              <w:rPr>
                <w:bCs/>
                <w:szCs w:val="21"/>
              </w:rPr>
              <w:t>期环</w:t>
            </w:r>
          </w:p>
          <w:p w14:paraId="55F1EB9C">
            <w:pPr>
              <w:adjustRightInd w:val="0"/>
              <w:snapToGrid w:val="0"/>
              <w:jc w:val="center"/>
              <w:rPr>
                <w:bCs/>
                <w:szCs w:val="21"/>
              </w:rPr>
            </w:pPr>
            <w:r>
              <w:rPr>
                <w:bCs/>
                <w:szCs w:val="21"/>
              </w:rPr>
              <w:t>境影</w:t>
            </w:r>
          </w:p>
          <w:p w14:paraId="161778CA">
            <w:pPr>
              <w:adjustRightInd w:val="0"/>
              <w:snapToGrid w:val="0"/>
              <w:jc w:val="center"/>
              <w:rPr>
                <w:bCs/>
                <w:szCs w:val="21"/>
              </w:rPr>
            </w:pPr>
            <w:r>
              <w:rPr>
                <w:bCs/>
                <w:szCs w:val="21"/>
              </w:rPr>
              <w:t>响和</w:t>
            </w:r>
          </w:p>
          <w:p w14:paraId="1334D57C">
            <w:pPr>
              <w:adjustRightInd w:val="0"/>
              <w:snapToGrid w:val="0"/>
              <w:jc w:val="center"/>
              <w:rPr>
                <w:bCs/>
                <w:szCs w:val="21"/>
              </w:rPr>
            </w:pPr>
            <w:r>
              <w:rPr>
                <w:bCs/>
                <w:szCs w:val="21"/>
              </w:rPr>
              <w:t>保护</w:t>
            </w:r>
          </w:p>
          <w:p w14:paraId="75EC9722">
            <w:pPr>
              <w:adjustRightInd w:val="0"/>
              <w:snapToGrid w:val="0"/>
              <w:jc w:val="center"/>
              <w:rPr>
                <w:bCs/>
                <w:szCs w:val="21"/>
              </w:rPr>
            </w:pPr>
            <w:r>
              <w:rPr>
                <w:bCs/>
                <w:szCs w:val="21"/>
              </w:rPr>
              <w:t>措施</w:t>
            </w:r>
          </w:p>
        </w:tc>
        <w:tc>
          <w:tcPr>
            <w:tcW w:w="8635" w:type="dxa"/>
          </w:tcPr>
          <w:p w14:paraId="409585E2">
            <w:pPr>
              <w:pStyle w:val="91"/>
              <w:ind w:firstLine="480"/>
            </w:pPr>
            <w:r>
              <w:rPr>
                <w:rFonts w:hint="eastAsia"/>
              </w:rPr>
              <w:t>1.</w:t>
            </w:r>
            <w:r>
              <w:t>废气环境影响和保护措施</w:t>
            </w:r>
          </w:p>
          <w:p w14:paraId="1CD177E4">
            <w:pPr>
              <w:pStyle w:val="103"/>
              <w:ind w:firstLine="480" w:firstLineChars="200"/>
              <w:jc w:val="both"/>
              <w:rPr>
                <w:rFonts w:ascii="Times New Roman"/>
                <w:b w:val="0"/>
                <w:color w:val="FF0000"/>
                <w:sz w:val="24"/>
                <w:szCs w:val="21"/>
              </w:rPr>
            </w:pPr>
            <w:r>
              <w:rPr>
                <w:rFonts w:hint="eastAsia" w:ascii="Times New Roman"/>
                <w:b w:val="0"/>
                <w:color w:val="FF0000"/>
                <w:sz w:val="24"/>
                <w:szCs w:val="21"/>
              </w:rPr>
              <w:t>本项目原料在入厂时已经过分拣，在各收购站分类打包完成后，采取密闭运输车运至厂区内，本项目物料储存、装卸工作均在封闭库房内进行，</w:t>
            </w:r>
            <w:r>
              <w:rPr>
                <w:rFonts w:hint="eastAsia" w:ascii="Times New Roman"/>
                <w:b w:val="0"/>
                <w:color w:val="FF0000"/>
                <w:sz w:val="24"/>
                <w:szCs w:val="21"/>
                <w:lang w:val="en-US" w:eastAsia="zh-CN"/>
              </w:rPr>
              <w:t>厂房内定期洒水降尘，</w:t>
            </w:r>
            <w:r>
              <w:rPr>
                <w:rFonts w:hint="eastAsia" w:ascii="Times New Roman"/>
                <w:b w:val="0"/>
                <w:color w:val="FF0000"/>
                <w:sz w:val="24"/>
                <w:szCs w:val="21"/>
              </w:rPr>
              <w:t>粉尘产生</w:t>
            </w:r>
            <w:r>
              <w:rPr>
                <w:rFonts w:hint="eastAsia"/>
                <w:b w:val="0"/>
                <w:color w:val="FF0000"/>
                <w:sz w:val="24"/>
                <w:szCs w:val="21"/>
              </w:rPr>
              <w:t>量较小，可以忽略不计</w:t>
            </w:r>
            <w:r>
              <w:rPr>
                <w:rFonts w:hint="eastAsia" w:ascii="Times New Roman"/>
                <w:b w:val="0"/>
                <w:color w:val="FF0000"/>
                <w:sz w:val="24"/>
                <w:szCs w:val="21"/>
              </w:rPr>
              <w:t>。</w:t>
            </w:r>
          </w:p>
          <w:p w14:paraId="2F2D2A6C">
            <w:pPr>
              <w:pStyle w:val="103"/>
              <w:ind w:firstLine="480" w:firstLineChars="200"/>
              <w:jc w:val="both"/>
              <w:rPr>
                <w:rFonts w:hint="eastAsia" w:ascii="Times New Roman"/>
                <w:b w:val="0"/>
                <w:color w:val="FF0000"/>
                <w:sz w:val="24"/>
                <w:szCs w:val="21"/>
              </w:rPr>
            </w:pPr>
            <w:r>
              <w:rPr>
                <w:rFonts w:hint="eastAsia" w:ascii="Times New Roman"/>
                <w:b w:val="0"/>
                <w:color w:val="FF0000"/>
                <w:sz w:val="24"/>
                <w:szCs w:val="21"/>
              </w:rPr>
              <w:t>本项目整个粉碎过程为湿式粉碎，</w:t>
            </w:r>
            <w:r>
              <w:rPr>
                <w:rFonts w:hint="eastAsia" w:ascii="Times New Roman"/>
                <w:b w:val="0"/>
                <w:color w:val="FF0000"/>
                <w:sz w:val="24"/>
                <w:szCs w:val="21"/>
                <w:lang w:val="en-US" w:eastAsia="zh-CN"/>
              </w:rPr>
              <w:t>通过喷淋降尘的措施后，粉尘产生量较小，可以忽略不计</w:t>
            </w:r>
            <w:r>
              <w:rPr>
                <w:rFonts w:hint="eastAsia" w:ascii="Times New Roman"/>
                <w:b w:val="0"/>
                <w:color w:val="FF0000"/>
                <w:sz w:val="24"/>
                <w:szCs w:val="21"/>
              </w:rPr>
              <w:t>。</w:t>
            </w:r>
          </w:p>
          <w:p w14:paraId="105697EA">
            <w:pPr>
              <w:pStyle w:val="103"/>
              <w:ind w:firstLine="480" w:firstLineChars="200"/>
              <w:jc w:val="both"/>
              <w:rPr>
                <w:rFonts w:hint="default" w:ascii="Times New Roman"/>
                <w:b w:val="0"/>
                <w:color w:val="FF0000"/>
                <w:sz w:val="24"/>
                <w:szCs w:val="21"/>
                <w:lang w:val="en-US" w:eastAsia="zh-CN"/>
              </w:rPr>
            </w:pPr>
            <w:r>
              <w:rPr>
                <w:rFonts w:hint="eastAsia" w:ascii="Times New Roman"/>
                <w:b w:val="0"/>
                <w:color w:val="FF0000"/>
                <w:sz w:val="24"/>
                <w:szCs w:val="21"/>
                <w:lang w:val="en-US" w:eastAsia="zh-CN"/>
              </w:rPr>
              <w:t>项目产生的废气，在落实厂房封闭、湿式破碎等措施后，</w:t>
            </w:r>
            <w:r>
              <w:rPr>
                <w:rFonts w:hint="eastAsia" w:ascii="Times New Roman"/>
                <w:b w:val="0"/>
                <w:color w:val="0000FF"/>
                <w:sz w:val="24"/>
                <w:szCs w:val="21"/>
                <w:lang w:val="en-US" w:eastAsia="zh-CN"/>
              </w:rPr>
              <w:t>厂界颗粒物排放浓度</w:t>
            </w:r>
            <w:r>
              <w:rPr>
                <w:rFonts w:hint="eastAsia" w:ascii="Times New Roman"/>
                <w:b w:val="0"/>
                <w:color w:val="FF0000"/>
                <w:sz w:val="24"/>
                <w:szCs w:val="21"/>
                <w:lang w:eastAsia="zh"/>
              </w:rPr>
              <w:t>能够满足《大气污染综合排放标准》（GB16297-1996）表2中无组织排放限值，对周围环境影响较小</w:t>
            </w:r>
            <w:r>
              <w:rPr>
                <w:rFonts w:hint="eastAsia" w:ascii="Times New Roman"/>
                <w:b w:val="0"/>
                <w:color w:val="FF0000"/>
                <w:sz w:val="24"/>
                <w:szCs w:val="21"/>
                <w:lang w:val="en-US" w:eastAsia="zh-CN"/>
              </w:rPr>
              <w:t>。</w:t>
            </w:r>
          </w:p>
          <w:p w14:paraId="63FDBBFC">
            <w:pPr>
              <w:pStyle w:val="91"/>
              <w:ind w:firstLine="480"/>
            </w:pPr>
            <w:r>
              <w:rPr>
                <w:rFonts w:hint="eastAsia"/>
              </w:rPr>
              <w:t>2.</w:t>
            </w:r>
            <w:r>
              <w:t>废水环境影响和保护措施</w:t>
            </w:r>
            <w:bookmarkStart w:id="21" w:name="_GoBack"/>
            <w:bookmarkEnd w:id="21"/>
          </w:p>
          <w:p w14:paraId="2FD6E655">
            <w:pPr>
              <w:pStyle w:val="91"/>
              <w:ind w:firstLine="480"/>
            </w:pPr>
            <w:r>
              <w:rPr>
                <w:rFonts w:hint="eastAsia"/>
              </w:rPr>
              <w:t>（1）生产废水</w:t>
            </w:r>
          </w:p>
          <w:p w14:paraId="12B2F646">
            <w:pPr>
              <w:pStyle w:val="91"/>
              <w:ind w:firstLine="480"/>
            </w:pPr>
            <w:r>
              <w:rPr>
                <w:szCs w:val="24"/>
              </w:rPr>
              <w:t>本项目</w:t>
            </w:r>
            <w:r>
              <w:rPr>
                <w:rFonts w:hint="eastAsia"/>
                <w:szCs w:val="24"/>
              </w:rPr>
              <w:t>生产</w:t>
            </w:r>
            <w:r>
              <w:rPr>
                <w:szCs w:val="24"/>
              </w:rPr>
              <w:t>废水主要为湿法破碎和清洗原料产生的废水，</w:t>
            </w:r>
            <w:r>
              <w:rPr>
                <w:rFonts w:hint="eastAsia"/>
                <w:bCs/>
                <w:szCs w:val="24"/>
              </w:rPr>
              <w:t>本项目</w:t>
            </w:r>
            <w:r>
              <w:rPr>
                <w:rFonts w:hint="eastAsia"/>
              </w:rPr>
              <w:t>湿法破碎和清洗原料用水循环使用，水量为100t/d，各加工环节损耗水量按照循环水量10%计，则损耗水量为10t/d，每日补充新鲜水量10t/d，2400t/a，清洗废水经絮凝沉淀处理后，循环利用不外排，</w:t>
            </w:r>
            <w:r>
              <w:rPr>
                <w:rFonts w:hint="eastAsia"/>
                <w:color w:val="FF0000"/>
              </w:rPr>
              <w:t>车间设置</w:t>
            </w:r>
            <w:r>
              <w:rPr>
                <w:rFonts w:hint="eastAsia"/>
                <w:color w:val="FF0000"/>
                <w:lang w:eastAsia="zh"/>
                <w:woUserID w:val="1"/>
              </w:rPr>
              <w:t>4</w:t>
            </w:r>
            <w:r>
              <w:rPr>
                <w:rFonts w:hint="eastAsia"/>
                <w:color w:val="FF0000"/>
              </w:rPr>
              <w:t>座水池，其中污水池2座</w:t>
            </w:r>
            <w:r>
              <w:rPr>
                <w:rFonts w:hint="eastAsia"/>
                <w:color w:val="FF0000"/>
                <w:lang w:eastAsia="zh-CN"/>
              </w:rPr>
              <w:t>、</w:t>
            </w:r>
            <w:r>
              <w:rPr>
                <w:rFonts w:hint="eastAsia"/>
                <w:color w:val="FF0000"/>
              </w:rPr>
              <w:t>清水池1座</w:t>
            </w:r>
            <w:r>
              <w:rPr>
                <w:rFonts w:hint="eastAsia"/>
                <w:color w:val="FF0000"/>
                <w:lang w:eastAsia="zh-CN"/>
              </w:rPr>
              <w:t>、</w:t>
            </w:r>
            <w:r>
              <w:rPr>
                <w:rFonts w:hint="eastAsia"/>
                <w:color w:val="FF0000"/>
                <w:lang w:val="en-US" w:eastAsia="zh-CN"/>
              </w:rPr>
              <w:t>污泥池1座</w:t>
            </w:r>
            <w:r>
              <w:rPr>
                <w:rFonts w:hint="eastAsia"/>
                <w:color w:val="FF0000"/>
              </w:rPr>
              <w:t>，污水池容积分别为</w:t>
            </w:r>
            <w:r>
              <w:rPr>
                <w:color w:val="FF0000"/>
              </w:rPr>
              <w:t>6</w:t>
            </w:r>
            <w:r>
              <w:rPr>
                <w:rFonts w:hint="eastAsia"/>
                <w:color w:val="FF0000"/>
              </w:rPr>
              <w:t>m</w:t>
            </w:r>
            <w:r>
              <w:rPr>
                <w:color w:val="FF0000"/>
                <w:vertAlign w:val="superscript"/>
              </w:rPr>
              <w:t>3</w:t>
            </w:r>
            <w:r>
              <w:rPr>
                <w:rFonts w:hint="eastAsia"/>
                <w:color w:val="FF0000"/>
              </w:rPr>
              <w:t>、5m</w:t>
            </w:r>
            <w:r>
              <w:rPr>
                <w:color w:val="FF0000"/>
                <w:vertAlign w:val="superscript"/>
              </w:rPr>
              <w:t>3</w:t>
            </w:r>
            <w:r>
              <w:rPr>
                <w:rFonts w:hint="eastAsia"/>
                <w:color w:val="FF0000"/>
                <w:lang w:eastAsia="zh"/>
                <w:woUserID w:val="1"/>
              </w:rPr>
              <w:t>，污泥池1座，容积2</w:t>
            </w:r>
            <w:r>
              <w:rPr>
                <w:rFonts w:hint="eastAsia"/>
                <w:color w:val="FF0000"/>
                <w:woUserID w:val="1"/>
              </w:rPr>
              <w:t>m</w:t>
            </w:r>
            <w:r>
              <w:rPr>
                <w:color w:val="FF0000"/>
                <w:vertAlign w:val="superscript"/>
                <w:woUserID w:val="1"/>
              </w:rPr>
              <w:t>3</w:t>
            </w:r>
            <w:r>
              <w:rPr>
                <w:rFonts w:hint="eastAsia"/>
                <w:color w:val="FF0000"/>
              </w:rPr>
              <w:t>，</w:t>
            </w:r>
            <w:r>
              <w:rPr>
                <w:rFonts w:hint="eastAsia"/>
              </w:rPr>
              <w:t>清水池容积为120m</w:t>
            </w:r>
            <w:r>
              <w:rPr>
                <w:vertAlign w:val="superscript"/>
              </w:rPr>
              <w:t>3</w:t>
            </w:r>
            <w:r>
              <w:rPr>
                <w:rFonts w:hint="eastAsia"/>
              </w:rPr>
              <w:t>。</w:t>
            </w:r>
            <w:r>
              <w:t>本项目回收的废塑料</w:t>
            </w:r>
            <w:r>
              <w:rPr>
                <w:rFonts w:hint="eastAsia"/>
              </w:rPr>
              <w:t>从周边废品收购站进行采购，在各收购站分类打包完成后，进厂原料不得携带液体残留物，从源头减少了废塑料污染物的产生。由于项目每天添加新水，同时废水循环处理再利用，可保证塑料清洗水循环利用，不外排。</w:t>
            </w:r>
          </w:p>
          <w:p w14:paraId="67B0505D">
            <w:pPr>
              <w:pStyle w:val="91"/>
              <w:ind w:firstLine="480"/>
              <w:rPr>
                <w:szCs w:val="24"/>
              </w:rPr>
            </w:pPr>
            <w:r>
              <w:rPr>
                <w:rFonts w:hint="eastAsia"/>
                <w:szCs w:val="24"/>
              </w:rPr>
              <w:t>生产</w:t>
            </w:r>
            <w:r>
              <w:rPr>
                <w:szCs w:val="24"/>
              </w:rPr>
              <w:t>废水主要成分为原料带入的</w:t>
            </w:r>
            <w:r>
              <w:rPr>
                <w:rFonts w:hint="eastAsia"/>
                <w:szCs w:val="24"/>
              </w:rPr>
              <w:t>细砂</w:t>
            </w:r>
            <w:r>
              <w:rPr>
                <w:szCs w:val="24"/>
              </w:rPr>
              <w:t>、泥土等无机物，有机物含量较少。COD 、氨氮产生量及工艺处理效率参考《4220 非金属废料和碎屑加工处理行业系数手册》，COD产污系数420克/吨</w:t>
            </w:r>
            <w:r>
              <w:rPr>
                <w:rFonts w:hint="eastAsia"/>
                <w:szCs w:val="24"/>
              </w:rPr>
              <w:t>－</w:t>
            </w:r>
            <w:r>
              <w:rPr>
                <w:szCs w:val="24"/>
              </w:rPr>
              <w:t>原料，氨氮产污系数21.2克/吨</w:t>
            </w:r>
            <w:r>
              <w:rPr>
                <w:rFonts w:hint="eastAsia"/>
                <w:szCs w:val="24"/>
              </w:rPr>
              <w:t>－</w:t>
            </w:r>
            <w:r>
              <w:rPr>
                <w:szCs w:val="24"/>
              </w:rPr>
              <w:t>原料；SS参考文献 1《废塑料综合利用废水处理工程实践》（《广东化工》2011 年第9期，广东省环境保护工程设计研究院，左文武），文献2《混凝沉淀/曝气生物滤池处理废旧塑料加工废水》（《中国给水排水》2007年第8期，南昌大学，朱乐辉等），两种文献给出的都是针对以废旧塑料为加工生产的过程产生的清洗废水水质情况，确定本</w:t>
            </w:r>
            <w:r>
              <w:rPr>
                <w:rFonts w:hint="eastAsia"/>
                <w:szCs w:val="24"/>
              </w:rPr>
              <w:t>项目</w:t>
            </w:r>
            <w:r>
              <w:rPr>
                <w:szCs w:val="24"/>
              </w:rPr>
              <w:t>清洗废水</w:t>
            </w:r>
            <w:r>
              <w:rPr>
                <w:rFonts w:hint="eastAsia"/>
                <w:szCs w:val="24"/>
              </w:rPr>
              <w:t>中</w:t>
            </w:r>
            <w:r>
              <w:rPr>
                <w:szCs w:val="24"/>
              </w:rPr>
              <w:t>SS浓度为1400mg/L</w:t>
            </w:r>
            <w:r>
              <w:rPr>
                <w:rFonts w:hint="eastAsia"/>
                <w:szCs w:val="24"/>
              </w:rPr>
              <w:t>。</w:t>
            </w:r>
          </w:p>
          <w:p w14:paraId="28349D48">
            <w:pPr>
              <w:pStyle w:val="91"/>
              <w:ind w:firstLine="480"/>
              <w:rPr>
                <w:bCs/>
              </w:rPr>
            </w:pPr>
            <w:r>
              <w:rPr>
                <w:rFonts w:hint="eastAsia"/>
              </w:rPr>
              <w:t>项目年运行</w:t>
            </w:r>
            <w:r>
              <w:rPr>
                <w:bCs/>
              </w:rPr>
              <w:t>240</w:t>
            </w:r>
            <w:r>
              <w:rPr>
                <w:rFonts w:hint="eastAsia"/>
                <w:bCs/>
              </w:rPr>
              <w:t>天（</w:t>
            </w:r>
            <w:r>
              <w:rPr>
                <w:bCs/>
              </w:rPr>
              <w:t>3</w:t>
            </w:r>
            <w:r>
              <w:rPr>
                <w:rFonts w:hint="eastAsia"/>
                <w:bCs/>
              </w:rPr>
              <w:t>月中旬—1</w:t>
            </w:r>
            <w:r>
              <w:rPr>
                <w:bCs/>
              </w:rPr>
              <w:t>1</w:t>
            </w:r>
            <w:r>
              <w:rPr>
                <w:rFonts w:hint="eastAsia"/>
                <w:bCs/>
              </w:rPr>
              <w:t>月中旬）</w:t>
            </w:r>
            <w:r>
              <w:rPr>
                <w:rFonts w:hint="eastAsia"/>
                <w:szCs w:val="24"/>
              </w:rPr>
              <w:t>，停产期废水需排空，其中污水池废水处理后</w:t>
            </w:r>
            <w:r>
              <w:rPr>
                <w:rFonts w:hint="eastAsia"/>
                <w:szCs w:val="24"/>
                <w:lang w:val="en-US" w:eastAsia="zh-CN"/>
              </w:rPr>
              <w:t>由鸡东县瀚科水务有限公司拉运处置</w:t>
            </w:r>
            <w:r>
              <w:rPr>
                <w:rFonts w:hint="eastAsia"/>
                <w:szCs w:val="24"/>
              </w:rPr>
              <w:t>，清水池废水处理后用于周边植被绿化措施</w:t>
            </w:r>
            <w:r>
              <w:rPr>
                <w:rFonts w:hint="eastAsia"/>
              </w:rPr>
              <w:t>。</w:t>
            </w:r>
            <w:r>
              <w:rPr>
                <w:rFonts w:hint="eastAsia"/>
                <w:szCs w:val="24"/>
              </w:rPr>
              <w:t>不会对项目周边水环境产生污染影响。</w:t>
            </w:r>
          </w:p>
          <w:p w14:paraId="6A16D5D4">
            <w:pPr>
              <w:pStyle w:val="91"/>
              <w:ind w:firstLine="480"/>
            </w:pPr>
            <w:r>
              <w:rPr>
                <w:rFonts w:hint="eastAsia"/>
              </w:rPr>
              <w:t>（2）生活污水</w:t>
            </w:r>
          </w:p>
          <w:p w14:paraId="505D3030">
            <w:pPr>
              <w:pStyle w:val="91"/>
              <w:ind w:firstLine="480"/>
            </w:pPr>
            <w:r>
              <w:rPr>
                <w:rFonts w:hint="eastAsia"/>
              </w:rPr>
              <w:t>本项目</w:t>
            </w:r>
            <w:r>
              <w:t>生活污水排放量按用水量的80%计算，生活污水</w:t>
            </w:r>
            <w:r>
              <w:rPr>
                <w:rFonts w:hint="eastAsia"/>
              </w:rPr>
              <w:t>产生</w:t>
            </w:r>
            <w:r>
              <w:t>量为</w:t>
            </w:r>
            <w:r>
              <w:rPr>
                <w:rFonts w:hint="eastAsia"/>
              </w:rPr>
              <w:t>0.92</w:t>
            </w:r>
            <w:r>
              <w:t>m</w:t>
            </w:r>
            <w:r>
              <w:rPr>
                <w:vertAlign w:val="superscript"/>
              </w:rPr>
              <w:t>3</w:t>
            </w:r>
            <w:r>
              <w:t>/d</w:t>
            </w:r>
            <w:r>
              <w:rPr>
                <w:rFonts w:hint="eastAsia"/>
              </w:rPr>
              <w:t>（220.8</w:t>
            </w:r>
            <w:r>
              <w:t>t/a）</w:t>
            </w:r>
            <w:r>
              <w:rPr>
                <w:rFonts w:hint="eastAsia"/>
              </w:rPr>
              <w:t>，生活污水排入防渗旱厕，定期清掏堆肥。</w:t>
            </w:r>
          </w:p>
          <w:p w14:paraId="7C6DA8D6">
            <w:pPr>
              <w:pStyle w:val="91"/>
              <w:ind w:firstLine="480"/>
            </w:pPr>
            <w:r>
              <w:t>本项目废水污染源源强核算结果及相关参数见表4-1。</w:t>
            </w:r>
          </w:p>
          <w:p w14:paraId="0D69BB5A">
            <w:pPr>
              <w:pStyle w:val="103"/>
              <w:rPr>
                <w:kern w:val="2"/>
              </w:rPr>
            </w:pPr>
            <w:r>
              <w:t>表4-1  废水污染源源强核算结果及相关参数一览表</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397"/>
              <w:gridCol w:w="723"/>
              <w:gridCol w:w="400"/>
              <w:gridCol w:w="680"/>
              <w:gridCol w:w="626"/>
              <w:gridCol w:w="723"/>
              <w:gridCol w:w="1377"/>
              <w:gridCol w:w="562"/>
              <w:gridCol w:w="407"/>
              <w:gridCol w:w="647"/>
              <w:gridCol w:w="626"/>
              <w:gridCol w:w="721"/>
              <w:gridCol w:w="530"/>
            </w:tblGrid>
            <w:tr w14:paraId="105254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restart"/>
                  <w:vAlign w:val="center"/>
                </w:tcPr>
                <w:p w14:paraId="59FD314A">
                  <w:pPr>
                    <w:jc w:val="center"/>
                    <w:rPr>
                      <w:sz w:val="18"/>
                      <w:szCs w:val="18"/>
                    </w:rPr>
                  </w:pPr>
                  <w:r>
                    <w:rPr>
                      <w:rFonts w:hint="eastAsia"/>
                      <w:sz w:val="18"/>
                      <w:szCs w:val="18"/>
                    </w:rPr>
                    <w:t>污染源</w:t>
                  </w:r>
                </w:p>
              </w:tc>
              <w:tc>
                <w:tcPr>
                  <w:tcW w:w="429" w:type="pct"/>
                  <w:vMerge w:val="restart"/>
                  <w:vAlign w:val="center"/>
                </w:tcPr>
                <w:p w14:paraId="25B1DCEE">
                  <w:pPr>
                    <w:jc w:val="center"/>
                    <w:rPr>
                      <w:sz w:val="18"/>
                      <w:szCs w:val="18"/>
                    </w:rPr>
                  </w:pPr>
                  <w:r>
                    <w:rPr>
                      <w:sz w:val="18"/>
                      <w:szCs w:val="18"/>
                    </w:rPr>
                    <w:t>污染物</w:t>
                  </w:r>
                </w:p>
              </w:tc>
              <w:tc>
                <w:tcPr>
                  <w:tcW w:w="1440" w:type="pct"/>
                  <w:gridSpan w:val="4"/>
                  <w:vAlign w:val="center"/>
                </w:tcPr>
                <w:p w14:paraId="39D8EA35">
                  <w:pPr>
                    <w:jc w:val="center"/>
                    <w:rPr>
                      <w:sz w:val="18"/>
                      <w:szCs w:val="18"/>
                    </w:rPr>
                  </w:pPr>
                  <w:r>
                    <w:rPr>
                      <w:sz w:val="18"/>
                      <w:szCs w:val="18"/>
                    </w:rPr>
                    <w:t>污染物产生</w:t>
                  </w:r>
                </w:p>
              </w:tc>
              <w:tc>
                <w:tcPr>
                  <w:tcW w:w="1152" w:type="pct"/>
                  <w:gridSpan w:val="2"/>
                  <w:vAlign w:val="center"/>
                </w:tcPr>
                <w:p w14:paraId="707FBF1F">
                  <w:pPr>
                    <w:jc w:val="center"/>
                    <w:rPr>
                      <w:sz w:val="18"/>
                      <w:szCs w:val="18"/>
                    </w:rPr>
                  </w:pPr>
                  <w:r>
                    <w:rPr>
                      <w:sz w:val="18"/>
                      <w:szCs w:val="18"/>
                    </w:rPr>
                    <w:t>治理措施</w:t>
                  </w:r>
                </w:p>
              </w:tc>
              <w:tc>
                <w:tcPr>
                  <w:tcW w:w="1426" w:type="pct"/>
                  <w:gridSpan w:val="4"/>
                  <w:vAlign w:val="center"/>
                </w:tcPr>
                <w:p w14:paraId="11AD13AD">
                  <w:pPr>
                    <w:jc w:val="center"/>
                    <w:rPr>
                      <w:sz w:val="18"/>
                      <w:szCs w:val="18"/>
                    </w:rPr>
                  </w:pPr>
                  <w:r>
                    <w:rPr>
                      <w:sz w:val="18"/>
                      <w:szCs w:val="18"/>
                    </w:rPr>
                    <w:t>污染物排放</w:t>
                  </w:r>
                </w:p>
              </w:tc>
              <w:tc>
                <w:tcPr>
                  <w:tcW w:w="315" w:type="pct"/>
                  <w:vMerge w:val="restart"/>
                  <w:vAlign w:val="center"/>
                </w:tcPr>
                <w:p w14:paraId="7E840BE5">
                  <w:pPr>
                    <w:jc w:val="center"/>
                    <w:rPr>
                      <w:sz w:val="18"/>
                      <w:szCs w:val="18"/>
                    </w:rPr>
                  </w:pPr>
                  <w:r>
                    <w:rPr>
                      <w:sz w:val="18"/>
                      <w:szCs w:val="18"/>
                    </w:rPr>
                    <w:t>排放时间(</w:t>
                  </w:r>
                  <w:r>
                    <w:rPr>
                      <w:rFonts w:hint="eastAsia"/>
                      <w:sz w:val="18"/>
                      <w:szCs w:val="18"/>
                    </w:rPr>
                    <w:t>h</w:t>
                  </w:r>
                  <w:r>
                    <w:rPr>
                      <w:sz w:val="18"/>
                      <w:szCs w:val="18"/>
                    </w:rPr>
                    <w:t>)</w:t>
                  </w:r>
                </w:p>
              </w:tc>
            </w:tr>
            <w:tr w14:paraId="5D86ED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continue"/>
                  <w:vAlign w:val="center"/>
                </w:tcPr>
                <w:p w14:paraId="5E908013">
                  <w:pPr>
                    <w:jc w:val="center"/>
                    <w:rPr>
                      <w:sz w:val="18"/>
                      <w:szCs w:val="18"/>
                    </w:rPr>
                  </w:pPr>
                </w:p>
              </w:tc>
              <w:tc>
                <w:tcPr>
                  <w:tcW w:w="429" w:type="pct"/>
                  <w:vMerge w:val="continue"/>
                  <w:vAlign w:val="center"/>
                </w:tcPr>
                <w:p w14:paraId="11AFBEEC">
                  <w:pPr>
                    <w:jc w:val="center"/>
                    <w:rPr>
                      <w:sz w:val="18"/>
                      <w:szCs w:val="18"/>
                    </w:rPr>
                  </w:pPr>
                </w:p>
              </w:tc>
              <w:tc>
                <w:tcPr>
                  <w:tcW w:w="237" w:type="pct"/>
                  <w:vAlign w:val="center"/>
                </w:tcPr>
                <w:p w14:paraId="7E07DE89">
                  <w:pPr>
                    <w:jc w:val="center"/>
                    <w:rPr>
                      <w:sz w:val="18"/>
                      <w:szCs w:val="18"/>
                    </w:rPr>
                  </w:pPr>
                  <w:r>
                    <w:rPr>
                      <w:sz w:val="18"/>
                      <w:szCs w:val="18"/>
                    </w:rPr>
                    <w:t>核算方法</w:t>
                  </w:r>
                </w:p>
              </w:tc>
              <w:tc>
                <w:tcPr>
                  <w:tcW w:w="403" w:type="pct"/>
                  <w:vAlign w:val="center"/>
                </w:tcPr>
                <w:p w14:paraId="4F0296E3">
                  <w:pPr>
                    <w:jc w:val="center"/>
                    <w:rPr>
                      <w:sz w:val="18"/>
                      <w:szCs w:val="18"/>
                    </w:rPr>
                  </w:pPr>
                  <w:r>
                    <w:rPr>
                      <w:sz w:val="18"/>
                      <w:szCs w:val="18"/>
                    </w:rPr>
                    <w:t>产生废水量</w:t>
                  </w:r>
                  <w:r>
                    <w:rPr>
                      <w:rFonts w:hint="eastAsia"/>
                      <w:sz w:val="18"/>
                      <w:szCs w:val="18"/>
                    </w:rPr>
                    <w:t>t</w:t>
                  </w:r>
                  <w:r>
                    <w:rPr>
                      <w:sz w:val="18"/>
                      <w:szCs w:val="18"/>
                    </w:rPr>
                    <w:t>/a</w:t>
                  </w:r>
                </w:p>
              </w:tc>
              <w:tc>
                <w:tcPr>
                  <w:tcW w:w="371" w:type="pct"/>
                  <w:vAlign w:val="center"/>
                </w:tcPr>
                <w:p w14:paraId="5840B34C">
                  <w:pPr>
                    <w:jc w:val="center"/>
                    <w:rPr>
                      <w:sz w:val="18"/>
                      <w:szCs w:val="18"/>
                    </w:rPr>
                  </w:pPr>
                  <w:r>
                    <w:rPr>
                      <w:sz w:val="18"/>
                      <w:szCs w:val="18"/>
                    </w:rPr>
                    <w:t>产生浓度mg/L</w:t>
                  </w:r>
                </w:p>
              </w:tc>
              <w:tc>
                <w:tcPr>
                  <w:tcW w:w="427" w:type="pct"/>
                  <w:vAlign w:val="center"/>
                </w:tcPr>
                <w:p w14:paraId="011029C3">
                  <w:pPr>
                    <w:jc w:val="center"/>
                    <w:rPr>
                      <w:sz w:val="18"/>
                      <w:szCs w:val="18"/>
                    </w:rPr>
                  </w:pPr>
                  <w:r>
                    <w:rPr>
                      <w:sz w:val="18"/>
                      <w:szCs w:val="18"/>
                    </w:rPr>
                    <w:t>产生量t/a</w:t>
                  </w:r>
                </w:p>
              </w:tc>
              <w:tc>
                <w:tcPr>
                  <w:tcW w:w="818" w:type="pct"/>
                  <w:vAlign w:val="center"/>
                </w:tcPr>
                <w:p w14:paraId="2CE21533">
                  <w:pPr>
                    <w:jc w:val="center"/>
                    <w:rPr>
                      <w:sz w:val="18"/>
                      <w:szCs w:val="18"/>
                    </w:rPr>
                  </w:pPr>
                  <w:r>
                    <w:rPr>
                      <w:sz w:val="18"/>
                      <w:szCs w:val="18"/>
                    </w:rPr>
                    <w:t>工艺</w:t>
                  </w:r>
                </w:p>
              </w:tc>
              <w:tc>
                <w:tcPr>
                  <w:tcW w:w="334" w:type="pct"/>
                  <w:vAlign w:val="center"/>
                </w:tcPr>
                <w:p w14:paraId="455DDB63">
                  <w:pPr>
                    <w:jc w:val="center"/>
                    <w:rPr>
                      <w:sz w:val="18"/>
                      <w:szCs w:val="18"/>
                    </w:rPr>
                  </w:pPr>
                  <w:r>
                    <w:rPr>
                      <w:sz w:val="18"/>
                      <w:szCs w:val="18"/>
                    </w:rPr>
                    <w:t>效率%</w:t>
                  </w:r>
                </w:p>
              </w:tc>
              <w:tc>
                <w:tcPr>
                  <w:tcW w:w="242" w:type="pct"/>
                  <w:vAlign w:val="center"/>
                </w:tcPr>
                <w:p w14:paraId="5259D921">
                  <w:pPr>
                    <w:jc w:val="center"/>
                    <w:rPr>
                      <w:sz w:val="18"/>
                      <w:szCs w:val="18"/>
                    </w:rPr>
                  </w:pPr>
                  <w:r>
                    <w:rPr>
                      <w:sz w:val="18"/>
                      <w:szCs w:val="18"/>
                    </w:rPr>
                    <w:t>核算方法</w:t>
                  </w:r>
                </w:p>
              </w:tc>
              <w:tc>
                <w:tcPr>
                  <w:tcW w:w="384" w:type="pct"/>
                  <w:vAlign w:val="center"/>
                </w:tcPr>
                <w:p w14:paraId="36E23A5A">
                  <w:pPr>
                    <w:jc w:val="center"/>
                    <w:rPr>
                      <w:sz w:val="18"/>
                      <w:szCs w:val="18"/>
                    </w:rPr>
                  </w:pPr>
                  <w:r>
                    <w:rPr>
                      <w:sz w:val="18"/>
                      <w:szCs w:val="18"/>
                    </w:rPr>
                    <w:t>排放废水量</w:t>
                  </w:r>
                  <w:r>
                    <w:rPr>
                      <w:rFonts w:hint="eastAsia"/>
                      <w:sz w:val="18"/>
                      <w:szCs w:val="18"/>
                    </w:rPr>
                    <w:t>t</w:t>
                  </w:r>
                  <w:r>
                    <w:rPr>
                      <w:sz w:val="18"/>
                      <w:szCs w:val="18"/>
                    </w:rPr>
                    <w:t>/a</w:t>
                  </w:r>
                </w:p>
              </w:tc>
              <w:tc>
                <w:tcPr>
                  <w:tcW w:w="372" w:type="pct"/>
                  <w:vAlign w:val="center"/>
                </w:tcPr>
                <w:p w14:paraId="7056FE08">
                  <w:pPr>
                    <w:jc w:val="center"/>
                    <w:rPr>
                      <w:sz w:val="18"/>
                      <w:szCs w:val="18"/>
                    </w:rPr>
                  </w:pPr>
                  <w:r>
                    <w:rPr>
                      <w:sz w:val="18"/>
                      <w:szCs w:val="18"/>
                    </w:rPr>
                    <w:t>排放浓度mg/L</w:t>
                  </w:r>
                </w:p>
              </w:tc>
              <w:tc>
                <w:tcPr>
                  <w:tcW w:w="427" w:type="pct"/>
                  <w:vAlign w:val="center"/>
                </w:tcPr>
                <w:p w14:paraId="5262489D">
                  <w:pPr>
                    <w:jc w:val="center"/>
                    <w:rPr>
                      <w:sz w:val="18"/>
                      <w:szCs w:val="18"/>
                    </w:rPr>
                  </w:pPr>
                  <w:r>
                    <w:rPr>
                      <w:sz w:val="18"/>
                      <w:szCs w:val="18"/>
                    </w:rPr>
                    <w:t>排放量t/a</w:t>
                  </w:r>
                </w:p>
              </w:tc>
              <w:tc>
                <w:tcPr>
                  <w:tcW w:w="315" w:type="pct"/>
                  <w:vMerge w:val="continue"/>
                  <w:vAlign w:val="center"/>
                </w:tcPr>
                <w:p w14:paraId="5050A38E">
                  <w:pPr>
                    <w:jc w:val="center"/>
                    <w:rPr>
                      <w:sz w:val="18"/>
                      <w:szCs w:val="18"/>
                    </w:rPr>
                  </w:pPr>
                </w:p>
              </w:tc>
            </w:tr>
            <w:tr w14:paraId="6696D3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restart"/>
                  <w:vAlign w:val="center"/>
                </w:tcPr>
                <w:p w14:paraId="64C862E7">
                  <w:pPr>
                    <w:jc w:val="center"/>
                    <w:rPr>
                      <w:sz w:val="18"/>
                      <w:szCs w:val="18"/>
                    </w:rPr>
                  </w:pPr>
                  <w:r>
                    <w:rPr>
                      <w:sz w:val="18"/>
                      <w:szCs w:val="18"/>
                    </w:rPr>
                    <w:t>生活</w:t>
                  </w:r>
                </w:p>
                <w:p w14:paraId="7700DDC8">
                  <w:pPr>
                    <w:jc w:val="center"/>
                    <w:rPr>
                      <w:sz w:val="18"/>
                      <w:szCs w:val="18"/>
                    </w:rPr>
                  </w:pPr>
                  <w:r>
                    <w:rPr>
                      <w:sz w:val="18"/>
                      <w:szCs w:val="18"/>
                    </w:rPr>
                    <w:t>污水</w:t>
                  </w:r>
                </w:p>
              </w:tc>
              <w:tc>
                <w:tcPr>
                  <w:tcW w:w="429" w:type="pct"/>
                  <w:vAlign w:val="center"/>
                </w:tcPr>
                <w:p w14:paraId="732538E7">
                  <w:pPr>
                    <w:jc w:val="center"/>
                    <w:rPr>
                      <w:sz w:val="18"/>
                      <w:szCs w:val="18"/>
                    </w:rPr>
                  </w:pPr>
                  <w:r>
                    <w:rPr>
                      <w:sz w:val="18"/>
                      <w:szCs w:val="18"/>
                    </w:rPr>
                    <w:t>COD</w:t>
                  </w:r>
                </w:p>
              </w:tc>
              <w:tc>
                <w:tcPr>
                  <w:tcW w:w="237" w:type="pct"/>
                  <w:vMerge w:val="restart"/>
                  <w:vAlign w:val="center"/>
                </w:tcPr>
                <w:p w14:paraId="76DAD9E3">
                  <w:pPr>
                    <w:jc w:val="center"/>
                    <w:rPr>
                      <w:sz w:val="18"/>
                      <w:szCs w:val="18"/>
                    </w:rPr>
                  </w:pPr>
                  <w:r>
                    <w:rPr>
                      <w:sz w:val="18"/>
                      <w:szCs w:val="18"/>
                    </w:rPr>
                    <w:t>类比法</w:t>
                  </w:r>
                </w:p>
              </w:tc>
              <w:tc>
                <w:tcPr>
                  <w:tcW w:w="403" w:type="pct"/>
                  <w:vMerge w:val="restart"/>
                  <w:vAlign w:val="center"/>
                </w:tcPr>
                <w:p w14:paraId="38C7A3A8">
                  <w:pPr>
                    <w:jc w:val="center"/>
                    <w:rPr>
                      <w:sz w:val="18"/>
                      <w:szCs w:val="18"/>
                    </w:rPr>
                  </w:pPr>
                  <w:r>
                    <w:rPr>
                      <w:rFonts w:hint="eastAsia"/>
                      <w:sz w:val="18"/>
                      <w:szCs w:val="18"/>
                    </w:rPr>
                    <w:t>220.8</w:t>
                  </w:r>
                </w:p>
              </w:tc>
              <w:tc>
                <w:tcPr>
                  <w:tcW w:w="371" w:type="pct"/>
                  <w:vAlign w:val="center"/>
                </w:tcPr>
                <w:p w14:paraId="47724E10">
                  <w:pPr>
                    <w:jc w:val="center"/>
                    <w:rPr>
                      <w:sz w:val="18"/>
                      <w:szCs w:val="18"/>
                    </w:rPr>
                  </w:pPr>
                  <w:r>
                    <w:rPr>
                      <w:rFonts w:hint="eastAsia"/>
                      <w:sz w:val="18"/>
                      <w:szCs w:val="18"/>
                    </w:rPr>
                    <w:t>3</w:t>
                  </w:r>
                  <w:r>
                    <w:rPr>
                      <w:sz w:val="18"/>
                      <w:szCs w:val="18"/>
                    </w:rPr>
                    <w:t>0</w:t>
                  </w:r>
                  <w:r>
                    <w:rPr>
                      <w:rFonts w:hint="eastAsia"/>
                      <w:sz w:val="18"/>
                      <w:szCs w:val="18"/>
                    </w:rPr>
                    <w:t>0</w:t>
                  </w:r>
                </w:p>
              </w:tc>
              <w:tc>
                <w:tcPr>
                  <w:tcW w:w="427" w:type="pct"/>
                  <w:vAlign w:val="center"/>
                </w:tcPr>
                <w:p w14:paraId="1840B679">
                  <w:pPr>
                    <w:jc w:val="center"/>
                    <w:rPr>
                      <w:sz w:val="18"/>
                      <w:szCs w:val="18"/>
                    </w:rPr>
                  </w:pPr>
                  <w:r>
                    <w:rPr>
                      <w:sz w:val="18"/>
                      <w:szCs w:val="18"/>
                    </w:rPr>
                    <w:t>0.0</w:t>
                  </w:r>
                  <w:r>
                    <w:rPr>
                      <w:rFonts w:hint="eastAsia"/>
                      <w:sz w:val="18"/>
                      <w:szCs w:val="18"/>
                    </w:rPr>
                    <w:t>66</w:t>
                  </w:r>
                </w:p>
              </w:tc>
              <w:tc>
                <w:tcPr>
                  <w:tcW w:w="818" w:type="pct"/>
                  <w:vMerge w:val="restart"/>
                  <w:vAlign w:val="center"/>
                </w:tcPr>
                <w:p w14:paraId="25F4D2BA">
                  <w:pPr>
                    <w:jc w:val="center"/>
                    <w:rPr>
                      <w:sz w:val="18"/>
                      <w:szCs w:val="18"/>
                    </w:rPr>
                  </w:pPr>
                  <w:r>
                    <w:rPr>
                      <w:rFonts w:hint="eastAsia"/>
                      <w:sz w:val="18"/>
                    </w:rPr>
                    <w:t>排入防渗旱厕，定期清掏堆肥</w:t>
                  </w:r>
                </w:p>
              </w:tc>
              <w:tc>
                <w:tcPr>
                  <w:tcW w:w="334" w:type="pct"/>
                  <w:vAlign w:val="center"/>
                </w:tcPr>
                <w:p w14:paraId="46796523">
                  <w:pPr>
                    <w:jc w:val="center"/>
                    <w:rPr>
                      <w:sz w:val="18"/>
                      <w:szCs w:val="18"/>
                    </w:rPr>
                  </w:pPr>
                  <w:r>
                    <w:rPr>
                      <w:sz w:val="18"/>
                      <w:szCs w:val="18"/>
                    </w:rPr>
                    <w:t>/</w:t>
                  </w:r>
                </w:p>
              </w:tc>
              <w:tc>
                <w:tcPr>
                  <w:tcW w:w="242" w:type="pct"/>
                  <w:vMerge w:val="restart"/>
                  <w:vAlign w:val="center"/>
                </w:tcPr>
                <w:p w14:paraId="3DC79ADA">
                  <w:pPr>
                    <w:jc w:val="center"/>
                    <w:rPr>
                      <w:sz w:val="18"/>
                      <w:szCs w:val="18"/>
                    </w:rPr>
                  </w:pPr>
                  <w:r>
                    <w:rPr>
                      <w:sz w:val="18"/>
                      <w:szCs w:val="18"/>
                    </w:rPr>
                    <w:t>类比法</w:t>
                  </w:r>
                </w:p>
              </w:tc>
              <w:tc>
                <w:tcPr>
                  <w:tcW w:w="384" w:type="pct"/>
                  <w:vMerge w:val="restart"/>
                  <w:vAlign w:val="center"/>
                </w:tcPr>
                <w:p w14:paraId="05BAC54A">
                  <w:pPr>
                    <w:jc w:val="center"/>
                    <w:rPr>
                      <w:sz w:val="18"/>
                      <w:szCs w:val="18"/>
                    </w:rPr>
                  </w:pPr>
                  <w:r>
                    <w:rPr>
                      <w:rFonts w:hint="eastAsia"/>
                      <w:sz w:val="18"/>
                      <w:szCs w:val="18"/>
                    </w:rPr>
                    <w:t>不外排</w:t>
                  </w:r>
                </w:p>
              </w:tc>
              <w:tc>
                <w:tcPr>
                  <w:tcW w:w="372" w:type="pct"/>
                  <w:vAlign w:val="center"/>
                </w:tcPr>
                <w:p w14:paraId="3FE1FE5B">
                  <w:pPr>
                    <w:jc w:val="center"/>
                    <w:rPr>
                      <w:sz w:val="18"/>
                      <w:szCs w:val="18"/>
                    </w:rPr>
                  </w:pPr>
                  <w:r>
                    <w:rPr>
                      <w:sz w:val="18"/>
                      <w:szCs w:val="18"/>
                    </w:rPr>
                    <w:t>0</w:t>
                  </w:r>
                </w:p>
              </w:tc>
              <w:tc>
                <w:tcPr>
                  <w:tcW w:w="427" w:type="pct"/>
                  <w:vAlign w:val="center"/>
                </w:tcPr>
                <w:p w14:paraId="63BBCFBF">
                  <w:pPr>
                    <w:jc w:val="center"/>
                    <w:rPr>
                      <w:sz w:val="18"/>
                      <w:szCs w:val="18"/>
                    </w:rPr>
                  </w:pPr>
                  <w:r>
                    <w:rPr>
                      <w:sz w:val="18"/>
                      <w:szCs w:val="18"/>
                    </w:rPr>
                    <w:t>0</w:t>
                  </w:r>
                </w:p>
              </w:tc>
              <w:tc>
                <w:tcPr>
                  <w:tcW w:w="315" w:type="pct"/>
                  <w:vMerge w:val="restart"/>
                  <w:vAlign w:val="center"/>
                </w:tcPr>
                <w:p w14:paraId="3B2440EB">
                  <w:pPr>
                    <w:jc w:val="center"/>
                    <w:rPr>
                      <w:sz w:val="18"/>
                      <w:szCs w:val="18"/>
                    </w:rPr>
                  </w:pPr>
                  <w:r>
                    <w:rPr>
                      <w:sz w:val="18"/>
                      <w:szCs w:val="18"/>
                    </w:rPr>
                    <w:t>240</w:t>
                  </w:r>
                  <w:r>
                    <w:rPr>
                      <w:rFonts w:hint="eastAsia"/>
                      <w:sz w:val="18"/>
                      <w:szCs w:val="18"/>
                    </w:rPr>
                    <w:t>0</w:t>
                  </w:r>
                </w:p>
              </w:tc>
            </w:tr>
            <w:tr w14:paraId="425D39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continue"/>
                  <w:vAlign w:val="center"/>
                </w:tcPr>
                <w:p w14:paraId="34E4DA2C">
                  <w:pPr>
                    <w:jc w:val="center"/>
                    <w:rPr>
                      <w:sz w:val="18"/>
                      <w:szCs w:val="18"/>
                    </w:rPr>
                  </w:pPr>
                </w:p>
              </w:tc>
              <w:tc>
                <w:tcPr>
                  <w:tcW w:w="429" w:type="pct"/>
                  <w:vAlign w:val="center"/>
                </w:tcPr>
                <w:p w14:paraId="009278BB">
                  <w:pPr>
                    <w:jc w:val="center"/>
                    <w:rPr>
                      <w:sz w:val="18"/>
                      <w:szCs w:val="18"/>
                    </w:rPr>
                  </w:pPr>
                  <w:r>
                    <w:rPr>
                      <w:sz w:val="18"/>
                      <w:szCs w:val="18"/>
                    </w:rPr>
                    <w:t>NH</w:t>
                  </w:r>
                  <w:r>
                    <w:rPr>
                      <w:sz w:val="18"/>
                      <w:szCs w:val="18"/>
                      <w:vertAlign w:val="subscript"/>
                    </w:rPr>
                    <w:t>3</w:t>
                  </w:r>
                  <w:r>
                    <w:rPr>
                      <w:sz w:val="18"/>
                      <w:szCs w:val="18"/>
                    </w:rPr>
                    <w:t>-N</w:t>
                  </w:r>
                </w:p>
              </w:tc>
              <w:tc>
                <w:tcPr>
                  <w:tcW w:w="237" w:type="pct"/>
                  <w:vMerge w:val="continue"/>
                  <w:vAlign w:val="center"/>
                </w:tcPr>
                <w:p w14:paraId="2E5EC4C3">
                  <w:pPr>
                    <w:jc w:val="center"/>
                    <w:rPr>
                      <w:sz w:val="18"/>
                      <w:szCs w:val="18"/>
                    </w:rPr>
                  </w:pPr>
                </w:p>
              </w:tc>
              <w:tc>
                <w:tcPr>
                  <w:tcW w:w="403" w:type="pct"/>
                  <w:vMerge w:val="continue"/>
                  <w:vAlign w:val="center"/>
                </w:tcPr>
                <w:p w14:paraId="287EF1CF">
                  <w:pPr>
                    <w:jc w:val="center"/>
                    <w:rPr>
                      <w:sz w:val="18"/>
                      <w:szCs w:val="18"/>
                    </w:rPr>
                  </w:pPr>
                </w:p>
              </w:tc>
              <w:tc>
                <w:tcPr>
                  <w:tcW w:w="371" w:type="pct"/>
                  <w:vAlign w:val="center"/>
                </w:tcPr>
                <w:p w14:paraId="05DF5220">
                  <w:pPr>
                    <w:jc w:val="center"/>
                    <w:rPr>
                      <w:sz w:val="18"/>
                      <w:szCs w:val="18"/>
                    </w:rPr>
                  </w:pPr>
                  <w:r>
                    <w:rPr>
                      <w:sz w:val="18"/>
                      <w:szCs w:val="18"/>
                    </w:rPr>
                    <w:t>25</w:t>
                  </w:r>
                </w:p>
              </w:tc>
              <w:tc>
                <w:tcPr>
                  <w:tcW w:w="427" w:type="pct"/>
                  <w:vAlign w:val="center"/>
                </w:tcPr>
                <w:p w14:paraId="3DD3C9D9">
                  <w:pPr>
                    <w:jc w:val="center"/>
                    <w:rPr>
                      <w:sz w:val="18"/>
                      <w:szCs w:val="18"/>
                    </w:rPr>
                  </w:pPr>
                  <w:r>
                    <w:rPr>
                      <w:sz w:val="18"/>
                      <w:szCs w:val="18"/>
                    </w:rPr>
                    <w:t>0.00</w:t>
                  </w:r>
                  <w:r>
                    <w:rPr>
                      <w:rFonts w:hint="eastAsia"/>
                      <w:sz w:val="18"/>
                      <w:szCs w:val="18"/>
                    </w:rPr>
                    <w:t>6</w:t>
                  </w:r>
                </w:p>
              </w:tc>
              <w:tc>
                <w:tcPr>
                  <w:tcW w:w="818" w:type="pct"/>
                  <w:vMerge w:val="continue"/>
                  <w:vAlign w:val="center"/>
                </w:tcPr>
                <w:p w14:paraId="5AE4BA8D">
                  <w:pPr>
                    <w:jc w:val="center"/>
                    <w:rPr>
                      <w:sz w:val="18"/>
                      <w:szCs w:val="18"/>
                    </w:rPr>
                  </w:pPr>
                </w:p>
              </w:tc>
              <w:tc>
                <w:tcPr>
                  <w:tcW w:w="334" w:type="pct"/>
                  <w:vAlign w:val="center"/>
                </w:tcPr>
                <w:p w14:paraId="581EC4B6">
                  <w:pPr>
                    <w:jc w:val="center"/>
                    <w:rPr>
                      <w:sz w:val="18"/>
                      <w:szCs w:val="18"/>
                    </w:rPr>
                  </w:pPr>
                  <w:r>
                    <w:rPr>
                      <w:sz w:val="18"/>
                      <w:szCs w:val="18"/>
                    </w:rPr>
                    <w:t>/</w:t>
                  </w:r>
                </w:p>
              </w:tc>
              <w:tc>
                <w:tcPr>
                  <w:tcW w:w="242" w:type="pct"/>
                  <w:vMerge w:val="continue"/>
                  <w:vAlign w:val="center"/>
                </w:tcPr>
                <w:p w14:paraId="2A69405A">
                  <w:pPr>
                    <w:jc w:val="center"/>
                    <w:rPr>
                      <w:sz w:val="18"/>
                      <w:szCs w:val="18"/>
                    </w:rPr>
                  </w:pPr>
                </w:p>
              </w:tc>
              <w:tc>
                <w:tcPr>
                  <w:tcW w:w="384" w:type="pct"/>
                  <w:vMerge w:val="continue"/>
                  <w:vAlign w:val="center"/>
                </w:tcPr>
                <w:p w14:paraId="1D39652E">
                  <w:pPr>
                    <w:jc w:val="center"/>
                    <w:rPr>
                      <w:sz w:val="18"/>
                      <w:szCs w:val="18"/>
                    </w:rPr>
                  </w:pPr>
                </w:p>
              </w:tc>
              <w:tc>
                <w:tcPr>
                  <w:tcW w:w="372" w:type="pct"/>
                  <w:vAlign w:val="center"/>
                </w:tcPr>
                <w:p w14:paraId="2BC52C66">
                  <w:pPr>
                    <w:jc w:val="center"/>
                    <w:rPr>
                      <w:sz w:val="18"/>
                      <w:szCs w:val="18"/>
                    </w:rPr>
                  </w:pPr>
                  <w:r>
                    <w:rPr>
                      <w:sz w:val="18"/>
                      <w:szCs w:val="18"/>
                    </w:rPr>
                    <w:t>0</w:t>
                  </w:r>
                </w:p>
              </w:tc>
              <w:tc>
                <w:tcPr>
                  <w:tcW w:w="427" w:type="pct"/>
                  <w:vAlign w:val="center"/>
                </w:tcPr>
                <w:p w14:paraId="2D6B8CFE">
                  <w:pPr>
                    <w:jc w:val="center"/>
                    <w:rPr>
                      <w:sz w:val="18"/>
                      <w:szCs w:val="18"/>
                    </w:rPr>
                  </w:pPr>
                  <w:r>
                    <w:rPr>
                      <w:sz w:val="18"/>
                      <w:szCs w:val="18"/>
                    </w:rPr>
                    <w:t>0</w:t>
                  </w:r>
                </w:p>
              </w:tc>
              <w:tc>
                <w:tcPr>
                  <w:tcW w:w="315" w:type="pct"/>
                  <w:vMerge w:val="continue"/>
                  <w:vAlign w:val="center"/>
                </w:tcPr>
                <w:p w14:paraId="371D5661">
                  <w:pPr>
                    <w:jc w:val="center"/>
                    <w:rPr>
                      <w:sz w:val="18"/>
                      <w:szCs w:val="18"/>
                    </w:rPr>
                  </w:pPr>
                </w:p>
              </w:tc>
            </w:tr>
            <w:tr w14:paraId="5EBA09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restart"/>
                  <w:vAlign w:val="center"/>
                </w:tcPr>
                <w:p w14:paraId="18201A90">
                  <w:pPr>
                    <w:jc w:val="center"/>
                    <w:rPr>
                      <w:sz w:val="18"/>
                      <w:szCs w:val="18"/>
                    </w:rPr>
                  </w:pPr>
                  <w:r>
                    <w:rPr>
                      <w:rFonts w:hint="eastAsia"/>
                      <w:sz w:val="18"/>
                      <w:szCs w:val="18"/>
                    </w:rPr>
                    <w:t>清洗废水</w:t>
                  </w:r>
                </w:p>
              </w:tc>
              <w:tc>
                <w:tcPr>
                  <w:tcW w:w="429" w:type="pct"/>
                  <w:vAlign w:val="center"/>
                </w:tcPr>
                <w:p w14:paraId="1796D88A">
                  <w:pPr>
                    <w:jc w:val="center"/>
                    <w:rPr>
                      <w:sz w:val="18"/>
                      <w:szCs w:val="18"/>
                    </w:rPr>
                  </w:pPr>
                  <w:r>
                    <w:rPr>
                      <w:rFonts w:hint="eastAsia"/>
                      <w:sz w:val="18"/>
                      <w:szCs w:val="18"/>
                    </w:rPr>
                    <w:t>S</w:t>
                  </w:r>
                  <w:r>
                    <w:rPr>
                      <w:sz w:val="18"/>
                      <w:szCs w:val="18"/>
                    </w:rPr>
                    <w:t>S</w:t>
                  </w:r>
                </w:p>
              </w:tc>
              <w:tc>
                <w:tcPr>
                  <w:tcW w:w="237" w:type="pct"/>
                  <w:vMerge w:val="restart"/>
                  <w:vAlign w:val="center"/>
                </w:tcPr>
                <w:p w14:paraId="3D09FA27">
                  <w:pPr>
                    <w:jc w:val="center"/>
                    <w:rPr>
                      <w:sz w:val="18"/>
                      <w:szCs w:val="18"/>
                    </w:rPr>
                  </w:pPr>
                  <w:r>
                    <w:rPr>
                      <w:sz w:val="18"/>
                      <w:szCs w:val="18"/>
                    </w:rPr>
                    <w:t>类比法</w:t>
                  </w:r>
                </w:p>
              </w:tc>
              <w:tc>
                <w:tcPr>
                  <w:tcW w:w="403" w:type="pct"/>
                  <w:vMerge w:val="restart"/>
                  <w:vAlign w:val="center"/>
                </w:tcPr>
                <w:p w14:paraId="33FC2560">
                  <w:pPr>
                    <w:jc w:val="center"/>
                    <w:rPr>
                      <w:sz w:val="18"/>
                      <w:szCs w:val="18"/>
                    </w:rPr>
                  </w:pPr>
                  <w:r>
                    <w:rPr>
                      <w:rFonts w:hint="eastAsia"/>
                      <w:sz w:val="18"/>
                      <w:szCs w:val="18"/>
                    </w:rPr>
                    <w:t>24000</w:t>
                  </w:r>
                </w:p>
              </w:tc>
              <w:tc>
                <w:tcPr>
                  <w:tcW w:w="371" w:type="pct"/>
                  <w:vAlign w:val="center"/>
                </w:tcPr>
                <w:p w14:paraId="23335A88">
                  <w:pPr>
                    <w:jc w:val="center"/>
                    <w:rPr>
                      <w:sz w:val="18"/>
                      <w:szCs w:val="18"/>
                    </w:rPr>
                  </w:pPr>
                  <w:r>
                    <w:rPr>
                      <w:rFonts w:hint="eastAsia"/>
                      <w:sz w:val="18"/>
                      <w:szCs w:val="18"/>
                    </w:rPr>
                    <w:t>1400</w:t>
                  </w:r>
                </w:p>
              </w:tc>
              <w:tc>
                <w:tcPr>
                  <w:tcW w:w="427" w:type="pct"/>
                  <w:vAlign w:val="center"/>
                </w:tcPr>
                <w:p w14:paraId="1327B119">
                  <w:pPr>
                    <w:jc w:val="center"/>
                    <w:rPr>
                      <w:sz w:val="18"/>
                      <w:szCs w:val="18"/>
                    </w:rPr>
                  </w:pPr>
                  <w:r>
                    <w:rPr>
                      <w:rFonts w:hint="eastAsia"/>
                      <w:sz w:val="18"/>
                      <w:szCs w:val="18"/>
                    </w:rPr>
                    <w:t>33.6</w:t>
                  </w:r>
                </w:p>
              </w:tc>
              <w:tc>
                <w:tcPr>
                  <w:tcW w:w="818" w:type="pct"/>
                  <w:vMerge w:val="restart"/>
                  <w:vAlign w:val="center"/>
                </w:tcPr>
                <w:p w14:paraId="254ABF9E">
                  <w:pPr>
                    <w:jc w:val="center"/>
                    <w:rPr>
                      <w:sz w:val="18"/>
                      <w:szCs w:val="18"/>
                    </w:rPr>
                  </w:pPr>
                  <w:r>
                    <w:rPr>
                      <w:rFonts w:hint="eastAsia"/>
                      <w:sz w:val="18"/>
                      <w:szCs w:val="18"/>
                    </w:rPr>
                    <w:t>絮凝沉淀处理后循环利用</w:t>
                  </w:r>
                </w:p>
              </w:tc>
              <w:tc>
                <w:tcPr>
                  <w:tcW w:w="334" w:type="pct"/>
                  <w:vAlign w:val="center"/>
                </w:tcPr>
                <w:p w14:paraId="26447D31">
                  <w:pPr>
                    <w:jc w:val="center"/>
                    <w:rPr>
                      <w:sz w:val="18"/>
                      <w:szCs w:val="18"/>
                    </w:rPr>
                  </w:pPr>
                  <w:r>
                    <w:rPr>
                      <w:rFonts w:hint="eastAsia"/>
                      <w:sz w:val="18"/>
                      <w:szCs w:val="18"/>
                    </w:rPr>
                    <w:t>8</w:t>
                  </w:r>
                  <w:r>
                    <w:rPr>
                      <w:sz w:val="18"/>
                      <w:szCs w:val="18"/>
                    </w:rPr>
                    <w:t>0</w:t>
                  </w:r>
                </w:p>
              </w:tc>
              <w:tc>
                <w:tcPr>
                  <w:tcW w:w="242" w:type="pct"/>
                  <w:vMerge w:val="restart"/>
                  <w:vAlign w:val="center"/>
                </w:tcPr>
                <w:p w14:paraId="4CA0E464">
                  <w:pPr>
                    <w:jc w:val="center"/>
                    <w:rPr>
                      <w:sz w:val="18"/>
                      <w:szCs w:val="18"/>
                    </w:rPr>
                  </w:pPr>
                  <w:r>
                    <w:rPr>
                      <w:sz w:val="18"/>
                      <w:szCs w:val="18"/>
                    </w:rPr>
                    <w:t>类比法</w:t>
                  </w:r>
                </w:p>
              </w:tc>
              <w:tc>
                <w:tcPr>
                  <w:tcW w:w="384" w:type="pct"/>
                  <w:vMerge w:val="restart"/>
                  <w:vAlign w:val="center"/>
                </w:tcPr>
                <w:p w14:paraId="5645EE47">
                  <w:pPr>
                    <w:jc w:val="center"/>
                    <w:rPr>
                      <w:sz w:val="18"/>
                      <w:szCs w:val="18"/>
                    </w:rPr>
                  </w:pPr>
                  <w:r>
                    <w:rPr>
                      <w:rFonts w:hint="eastAsia"/>
                      <w:sz w:val="18"/>
                      <w:szCs w:val="18"/>
                    </w:rPr>
                    <w:t>不外排</w:t>
                  </w:r>
                </w:p>
              </w:tc>
              <w:tc>
                <w:tcPr>
                  <w:tcW w:w="372" w:type="pct"/>
                  <w:vAlign w:val="center"/>
                </w:tcPr>
                <w:p w14:paraId="52D6574B">
                  <w:pPr>
                    <w:jc w:val="center"/>
                    <w:rPr>
                      <w:sz w:val="18"/>
                      <w:szCs w:val="18"/>
                    </w:rPr>
                  </w:pPr>
                  <w:r>
                    <w:rPr>
                      <w:sz w:val="18"/>
                      <w:szCs w:val="18"/>
                    </w:rPr>
                    <w:t>0</w:t>
                  </w:r>
                </w:p>
              </w:tc>
              <w:tc>
                <w:tcPr>
                  <w:tcW w:w="427" w:type="pct"/>
                  <w:vAlign w:val="center"/>
                </w:tcPr>
                <w:p w14:paraId="42D152B5">
                  <w:pPr>
                    <w:jc w:val="center"/>
                    <w:rPr>
                      <w:sz w:val="18"/>
                      <w:szCs w:val="18"/>
                    </w:rPr>
                  </w:pPr>
                  <w:r>
                    <w:rPr>
                      <w:sz w:val="18"/>
                      <w:szCs w:val="18"/>
                    </w:rPr>
                    <w:t>0</w:t>
                  </w:r>
                </w:p>
              </w:tc>
              <w:tc>
                <w:tcPr>
                  <w:tcW w:w="315" w:type="pct"/>
                  <w:vMerge w:val="continue"/>
                  <w:vAlign w:val="center"/>
                </w:tcPr>
                <w:p w14:paraId="426CD67B">
                  <w:pPr>
                    <w:jc w:val="center"/>
                    <w:rPr>
                      <w:sz w:val="18"/>
                      <w:szCs w:val="18"/>
                    </w:rPr>
                  </w:pPr>
                </w:p>
              </w:tc>
            </w:tr>
            <w:tr w14:paraId="5803A3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continue"/>
                  <w:vAlign w:val="center"/>
                </w:tcPr>
                <w:p w14:paraId="30FA58BF">
                  <w:pPr>
                    <w:jc w:val="center"/>
                    <w:rPr>
                      <w:sz w:val="18"/>
                      <w:szCs w:val="18"/>
                    </w:rPr>
                  </w:pPr>
                </w:p>
              </w:tc>
              <w:tc>
                <w:tcPr>
                  <w:tcW w:w="429" w:type="pct"/>
                  <w:vAlign w:val="center"/>
                </w:tcPr>
                <w:p w14:paraId="27894864">
                  <w:pPr>
                    <w:jc w:val="center"/>
                    <w:rPr>
                      <w:sz w:val="18"/>
                      <w:szCs w:val="18"/>
                    </w:rPr>
                  </w:pPr>
                  <w:r>
                    <w:rPr>
                      <w:rFonts w:hint="eastAsia"/>
                      <w:sz w:val="18"/>
                      <w:szCs w:val="18"/>
                    </w:rPr>
                    <w:t>C</w:t>
                  </w:r>
                  <w:r>
                    <w:rPr>
                      <w:sz w:val="18"/>
                      <w:szCs w:val="18"/>
                    </w:rPr>
                    <w:t>OD</w:t>
                  </w:r>
                </w:p>
              </w:tc>
              <w:tc>
                <w:tcPr>
                  <w:tcW w:w="237" w:type="pct"/>
                  <w:vMerge w:val="continue"/>
                  <w:vAlign w:val="center"/>
                </w:tcPr>
                <w:p w14:paraId="4043CCC8">
                  <w:pPr>
                    <w:jc w:val="center"/>
                    <w:rPr>
                      <w:sz w:val="18"/>
                      <w:szCs w:val="18"/>
                    </w:rPr>
                  </w:pPr>
                </w:p>
              </w:tc>
              <w:tc>
                <w:tcPr>
                  <w:tcW w:w="403" w:type="pct"/>
                  <w:vMerge w:val="continue"/>
                  <w:vAlign w:val="center"/>
                </w:tcPr>
                <w:p w14:paraId="36FC0F8D">
                  <w:pPr>
                    <w:jc w:val="center"/>
                    <w:rPr>
                      <w:sz w:val="18"/>
                      <w:szCs w:val="18"/>
                    </w:rPr>
                  </w:pPr>
                </w:p>
              </w:tc>
              <w:tc>
                <w:tcPr>
                  <w:tcW w:w="371" w:type="pct"/>
                  <w:vAlign w:val="center"/>
                </w:tcPr>
                <w:p w14:paraId="371F96DE">
                  <w:pPr>
                    <w:jc w:val="center"/>
                    <w:rPr>
                      <w:sz w:val="18"/>
                      <w:szCs w:val="18"/>
                    </w:rPr>
                  </w:pPr>
                  <w:r>
                    <w:rPr>
                      <w:rFonts w:hint="eastAsia"/>
                      <w:sz w:val="18"/>
                      <w:szCs w:val="18"/>
                    </w:rPr>
                    <w:t>420</w:t>
                  </w:r>
                </w:p>
              </w:tc>
              <w:tc>
                <w:tcPr>
                  <w:tcW w:w="427" w:type="pct"/>
                  <w:vAlign w:val="center"/>
                </w:tcPr>
                <w:p w14:paraId="177FC286">
                  <w:pPr>
                    <w:jc w:val="center"/>
                    <w:rPr>
                      <w:sz w:val="18"/>
                      <w:szCs w:val="18"/>
                    </w:rPr>
                  </w:pPr>
                  <w:r>
                    <w:rPr>
                      <w:rFonts w:hint="eastAsia"/>
                      <w:sz w:val="18"/>
                      <w:szCs w:val="18"/>
                    </w:rPr>
                    <w:t>10.08</w:t>
                  </w:r>
                </w:p>
              </w:tc>
              <w:tc>
                <w:tcPr>
                  <w:tcW w:w="818" w:type="pct"/>
                  <w:vMerge w:val="continue"/>
                  <w:vAlign w:val="center"/>
                </w:tcPr>
                <w:p w14:paraId="5456A2E5">
                  <w:pPr>
                    <w:jc w:val="center"/>
                    <w:rPr>
                      <w:sz w:val="18"/>
                      <w:szCs w:val="18"/>
                    </w:rPr>
                  </w:pPr>
                </w:p>
              </w:tc>
              <w:tc>
                <w:tcPr>
                  <w:tcW w:w="334" w:type="pct"/>
                  <w:vAlign w:val="center"/>
                </w:tcPr>
                <w:p w14:paraId="22EC6260">
                  <w:pPr>
                    <w:jc w:val="center"/>
                    <w:rPr>
                      <w:sz w:val="18"/>
                      <w:szCs w:val="18"/>
                    </w:rPr>
                  </w:pPr>
                  <w:r>
                    <w:rPr>
                      <w:rFonts w:hint="eastAsia"/>
                      <w:sz w:val="18"/>
                      <w:szCs w:val="18"/>
                    </w:rPr>
                    <w:t>80</w:t>
                  </w:r>
                </w:p>
              </w:tc>
              <w:tc>
                <w:tcPr>
                  <w:tcW w:w="242" w:type="pct"/>
                  <w:vMerge w:val="continue"/>
                  <w:vAlign w:val="center"/>
                </w:tcPr>
                <w:p w14:paraId="6A00F54F">
                  <w:pPr>
                    <w:jc w:val="center"/>
                    <w:rPr>
                      <w:sz w:val="18"/>
                      <w:szCs w:val="18"/>
                    </w:rPr>
                  </w:pPr>
                </w:p>
              </w:tc>
              <w:tc>
                <w:tcPr>
                  <w:tcW w:w="384" w:type="pct"/>
                  <w:vMerge w:val="continue"/>
                  <w:vAlign w:val="center"/>
                </w:tcPr>
                <w:p w14:paraId="1975CD25">
                  <w:pPr>
                    <w:jc w:val="center"/>
                    <w:rPr>
                      <w:sz w:val="18"/>
                      <w:szCs w:val="18"/>
                    </w:rPr>
                  </w:pPr>
                </w:p>
              </w:tc>
              <w:tc>
                <w:tcPr>
                  <w:tcW w:w="372" w:type="pct"/>
                  <w:vAlign w:val="center"/>
                </w:tcPr>
                <w:p w14:paraId="14938C26">
                  <w:pPr>
                    <w:jc w:val="center"/>
                    <w:rPr>
                      <w:sz w:val="18"/>
                      <w:szCs w:val="18"/>
                    </w:rPr>
                  </w:pPr>
                  <w:r>
                    <w:rPr>
                      <w:sz w:val="18"/>
                      <w:szCs w:val="18"/>
                    </w:rPr>
                    <w:t>0</w:t>
                  </w:r>
                </w:p>
              </w:tc>
              <w:tc>
                <w:tcPr>
                  <w:tcW w:w="427" w:type="pct"/>
                  <w:vAlign w:val="center"/>
                </w:tcPr>
                <w:p w14:paraId="4DCC2716">
                  <w:pPr>
                    <w:jc w:val="center"/>
                    <w:rPr>
                      <w:sz w:val="18"/>
                      <w:szCs w:val="18"/>
                    </w:rPr>
                  </w:pPr>
                  <w:r>
                    <w:rPr>
                      <w:sz w:val="18"/>
                      <w:szCs w:val="18"/>
                    </w:rPr>
                    <w:t>0</w:t>
                  </w:r>
                </w:p>
              </w:tc>
              <w:tc>
                <w:tcPr>
                  <w:tcW w:w="315" w:type="pct"/>
                  <w:vMerge w:val="continue"/>
                  <w:vAlign w:val="center"/>
                </w:tcPr>
                <w:p w14:paraId="5AE019DB">
                  <w:pPr>
                    <w:jc w:val="center"/>
                    <w:rPr>
                      <w:sz w:val="18"/>
                      <w:szCs w:val="18"/>
                    </w:rPr>
                  </w:pPr>
                </w:p>
              </w:tc>
            </w:tr>
            <w:tr w14:paraId="750888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5" w:type="pct"/>
                  <w:vMerge w:val="continue"/>
                  <w:vAlign w:val="center"/>
                </w:tcPr>
                <w:p w14:paraId="5CB19329">
                  <w:pPr>
                    <w:jc w:val="center"/>
                    <w:rPr>
                      <w:sz w:val="18"/>
                      <w:szCs w:val="18"/>
                    </w:rPr>
                  </w:pPr>
                </w:p>
              </w:tc>
              <w:tc>
                <w:tcPr>
                  <w:tcW w:w="429" w:type="pct"/>
                  <w:vAlign w:val="center"/>
                </w:tcPr>
                <w:p w14:paraId="40D9E841">
                  <w:pPr>
                    <w:jc w:val="center"/>
                    <w:rPr>
                      <w:sz w:val="18"/>
                      <w:szCs w:val="18"/>
                    </w:rPr>
                  </w:pPr>
                  <w:r>
                    <w:rPr>
                      <w:rFonts w:hint="eastAsia"/>
                      <w:sz w:val="18"/>
                      <w:szCs w:val="18"/>
                    </w:rPr>
                    <w:t>氨氮</w:t>
                  </w:r>
                </w:p>
              </w:tc>
              <w:tc>
                <w:tcPr>
                  <w:tcW w:w="237" w:type="pct"/>
                  <w:vMerge w:val="continue"/>
                  <w:vAlign w:val="center"/>
                </w:tcPr>
                <w:p w14:paraId="5BD61B8A">
                  <w:pPr>
                    <w:jc w:val="center"/>
                    <w:rPr>
                      <w:sz w:val="18"/>
                      <w:szCs w:val="18"/>
                    </w:rPr>
                  </w:pPr>
                </w:p>
              </w:tc>
              <w:tc>
                <w:tcPr>
                  <w:tcW w:w="403" w:type="pct"/>
                  <w:vMerge w:val="continue"/>
                  <w:vAlign w:val="center"/>
                </w:tcPr>
                <w:p w14:paraId="4EDF6C1E">
                  <w:pPr>
                    <w:jc w:val="center"/>
                    <w:rPr>
                      <w:sz w:val="18"/>
                      <w:szCs w:val="18"/>
                    </w:rPr>
                  </w:pPr>
                </w:p>
              </w:tc>
              <w:tc>
                <w:tcPr>
                  <w:tcW w:w="371" w:type="pct"/>
                  <w:vAlign w:val="center"/>
                </w:tcPr>
                <w:p w14:paraId="394ECCA9">
                  <w:pPr>
                    <w:jc w:val="center"/>
                    <w:rPr>
                      <w:sz w:val="18"/>
                      <w:szCs w:val="18"/>
                    </w:rPr>
                  </w:pPr>
                  <w:r>
                    <w:rPr>
                      <w:rFonts w:hint="eastAsia"/>
                      <w:sz w:val="18"/>
                      <w:szCs w:val="18"/>
                    </w:rPr>
                    <w:t>21.2</w:t>
                  </w:r>
                </w:p>
              </w:tc>
              <w:tc>
                <w:tcPr>
                  <w:tcW w:w="427" w:type="pct"/>
                  <w:vAlign w:val="center"/>
                </w:tcPr>
                <w:p w14:paraId="0253BC7E">
                  <w:pPr>
                    <w:jc w:val="center"/>
                    <w:rPr>
                      <w:sz w:val="18"/>
                      <w:szCs w:val="18"/>
                    </w:rPr>
                  </w:pPr>
                  <w:r>
                    <w:rPr>
                      <w:rFonts w:hint="eastAsia"/>
                      <w:sz w:val="18"/>
                      <w:szCs w:val="18"/>
                    </w:rPr>
                    <w:t>0.5088</w:t>
                  </w:r>
                </w:p>
              </w:tc>
              <w:tc>
                <w:tcPr>
                  <w:tcW w:w="818" w:type="pct"/>
                  <w:vMerge w:val="continue"/>
                  <w:vAlign w:val="center"/>
                </w:tcPr>
                <w:p w14:paraId="5BE63FBC">
                  <w:pPr>
                    <w:jc w:val="center"/>
                    <w:rPr>
                      <w:sz w:val="18"/>
                      <w:szCs w:val="18"/>
                    </w:rPr>
                  </w:pPr>
                </w:p>
              </w:tc>
              <w:tc>
                <w:tcPr>
                  <w:tcW w:w="334" w:type="pct"/>
                  <w:vAlign w:val="center"/>
                </w:tcPr>
                <w:p w14:paraId="38F64277">
                  <w:pPr>
                    <w:jc w:val="center"/>
                    <w:rPr>
                      <w:sz w:val="18"/>
                      <w:szCs w:val="18"/>
                    </w:rPr>
                  </w:pPr>
                  <w:r>
                    <w:rPr>
                      <w:rFonts w:hint="eastAsia"/>
                      <w:sz w:val="18"/>
                      <w:szCs w:val="18"/>
                    </w:rPr>
                    <w:t>90</w:t>
                  </w:r>
                </w:p>
              </w:tc>
              <w:tc>
                <w:tcPr>
                  <w:tcW w:w="242" w:type="pct"/>
                  <w:vMerge w:val="continue"/>
                  <w:vAlign w:val="center"/>
                </w:tcPr>
                <w:p w14:paraId="4162A9F9">
                  <w:pPr>
                    <w:jc w:val="center"/>
                    <w:rPr>
                      <w:sz w:val="18"/>
                      <w:szCs w:val="18"/>
                    </w:rPr>
                  </w:pPr>
                </w:p>
              </w:tc>
              <w:tc>
                <w:tcPr>
                  <w:tcW w:w="384" w:type="pct"/>
                  <w:vMerge w:val="continue"/>
                  <w:vAlign w:val="center"/>
                </w:tcPr>
                <w:p w14:paraId="08CDD541">
                  <w:pPr>
                    <w:jc w:val="center"/>
                    <w:rPr>
                      <w:sz w:val="18"/>
                      <w:szCs w:val="18"/>
                    </w:rPr>
                  </w:pPr>
                </w:p>
              </w:tc>
              <w:tc>
                <w:tcPr>
                  <w:tcW w:w="372" w:type="pct"/>
                  <w:vAlign w:val="center"/>
                </w:tcPr>
                <w:p w14:paraId="07510084">
                  <w:pPr>
                    <w:jc w:val="center"/>
                    <w:rPr>
                      <w:sz w:val="18"/>
                      <w:szCs w:val="18"/>
                    </w:rPr>
                  </w:pPr>
                  <w:r>
                    <w:rPr>
                      <w:rFonts w:hint="eastAsia"/>
                      <w:sz w:val="18"/>
                      <w:szCs w:val="18"/>
                    </w:rPr>
                    <w:t>0</w:t>
                  </w:r>
                </w:p>
              </w:tc>
              <w:tc>
                <w:tcPr>
                  <w:tcW w:w="427" w:type="pct"/>
                  <w:vAlign w:val="center"/>
                </w:tcPr>
                <w:p w14:paraId="4EF43CBC">
                  <w:pPr>
                    <w:jc w:val="center"/>
                    <w:rPr>
                      <w:sz w:val="18"/>
                      <w:szCs w:val="18"/>
                    </w:rPr>
                  </w:pPr>
                  <w:r>
                    <w:rPr>
                      <w:rFonts w:hint="eastAsia"/>
                      <w:sz w:val="18"/>
                      <w:szCs w:val="18"/>
                    </w:rPr>
                    <w:t>0</w:t>
                  </w:r>
                </w:p>
              </w:tc>
              <w:tc>
                <w:tcPr>
                  <w:tcW w:w="315" w:type="pct"/>
                  <w:vMerge w:val="continue"/>
                  <w:vAlign w:val="center"/>
                </w:tcPr>
                <w:p w14:paraId="609CB055">
                  <w:pPr>
                    <w:jc w:val="center"/>
                    <w:rPr>
                      <w:sz w:val="18"/>
                      <w:szCs w:val="18"/>
                    </w:rPr>
                  </w:pPr>
                </w:p>
              </w:tc>
            </w:tr>
          </w:tbl>
          <w:p w14:paraId="3891D691">
            <w:pPr>
              <w:pStyle w:val="221"/>
              <w:numPr>
                <w:ilvl w:val="0"/>
                <w:numId w:val="3"/>
              </w:numPr>
              <w:spacing w:line="360" w:lineRule="auto"/>
              <w:ind w:firstLine="480" w:firstLineChars="0"/>
              <w:rPr>
                <w:rFonts w:ascii="Times New Roman" w:hAnsi="Times New Roman"/>
                <w:sz w:val="24"/>
              </w:rPr>
            </w:pPr>
            <w:r>
              <w:rPr>
                <w:rFonts w:hint="eastAsia" w:ascii="Times New Roman" w:hAnsi="Times New Roman"/>
                <w:sz w:val="24"/>
              </w:rPr>
              <w:t>生产废水循环使用可行性分析</w:t>
            </w:r>
          </w:p>
          <w:p w14:paraId="25CEAF47">
            <w:pPr>
              <w:pStyle w:val="221"/>
              <w:spacing w:line="360" w:lineRule="auto"/>
              <w:ind w:firstLine="480"/>
              <w:rPr>
                <w:rFonts w:ascii="Times New Roman" w:hAnsi="Times New Roman"/>
                <w:sz w:val="24"/>
              </w:rPr>
            </w:pPr>
            <w:r>
              <w:rPr>
                <w:rFonts w:hint="eastAsia" w:ascii="Times New Roman" w:hAnsi="Times New Roman"/>
                <w:sz w:val="24"/>
              </w:rPr>
              <w:t>本项目回收的废塑料从周边废品收购站进行采购，在各收购站分类打包完成后，进厂原料不得携带液体残留物，塑料原料成分比较干净，仅携带少量泥沙，清洗废水主要成分为原料带入的细沙、泥土等无机物，有机物含量较少，清洗过程中不添加清洗剂，产生的废水组成较为简单，利用经加入絮凝剂絮凝沉淀后可轻易去除清洗废水内含的少量灰尘、泥沙，且项目对清洗用水的清洁度要求不高，只要水不呈黏糊状态，即可满足生产需求。项目清水池容积120m</w:t>
            </w:r>
            <w:r>
              <w:rPr>
                <w:rFonts w:hint="eastAsia" w:ascii="Times New Roman" w:hAnsi="Times New Roman"/>
                <w:sz w:val="24"/>
                <w:vertAlign w:val="superscript"/>
              </w:rPr>
              <w:t>3</w:t>
            </w:r>
            <w:r>
              <w:rPr>
                <w:rFonts w:hint="eastAsia" w:ascii="Times New Roman" w:hAnsi="Times New Roman"/>
                <w:sz w:val="24"/>
              </w:rPr>
              <w:t>，项目每天运行需要水量约100m</w:t>
            </w:r>
            <w:r>
              <w:rPr>
                <w:rFonts w:hint="eastAsia" w:ascii="Times New Roman" w:hAnsi="Times New Roman"/>
                <w:sz w:val="24"/>
                <w:vertAlign w:val="superscript"/>
              </w:rPr>
              <w:t>3</w:t>
            </w:r>
            <w:r>
              <w:rPr>
                <w:rFonts w:hint="eastAsia" w:ascii="Times New Roman" w:hAnsi="Times New Roman"/>
                <w:sz w:val="24"/>
              </w:rPr>
              <w:t>/d，项目每天运行10小时，故每天有足够时间使产生的生产废水进行絮凝沉淀处理，且生产废水在循环使用的过程中会伴随着自然挥发，需要定期补充清水，补充清水后就会提高循环废水的清洁度，故在整个废水循环过程中，水量足够供应生产使用，水的清洁度也能达到生产要求，故生产废水的循环</w:t>
            </w:r>
            <w:r>
              <w:rPr>
                <w:rFonts w:hint="eastAsia" w:ascii="Times New Roman" w:hAnsi="Times New Roman"/>
                <w:sz w:val="24"/>
                <w:lang w:eastAsia="zh"/>
              </w:rPr>
              <w:t>采取</w:t>
            </w:r>
            <w:r>
              <w:rPr>
                <w:rFonts w:hint="eastAsia" w:ascii="Times New Roman" w:hAnsi="Times New Roman"/>
                <w:sz w:val="24"/>
              </w:rPr>
              <w:t>措施可行。</w:t>
            </w:r>
          </w:p>
          <w:p w14:paraId="4C9AB7BB">
            <w:pPr>
              <w:pStyle w:val="221"/>
              <w:spacing w:line="360" w:lineRule="auto"/>
              <w:ind w:firstLine="480"/>
              <w:rPr>
                <w:rFonts w:ascii="Times New Roman" w:hAnsi="Times New Roman"/>
                <w:sz w:val="24"/>
              </w:rPr>
            </w:pPr>
            <w:r>
              <w:rPr>
                <w:rFonts w:hint="eastAsia" w:ascii="Times New Roman" w:hAnsi="Times New Roman"/>
                <w:sz w:val="24"/>
              </w:rPr>
              <w:t>（4）生产废水工艺可行性分析</w:t>
            </w:r>
          </w:p>
          <w:p w14:paraId="433877F8">
            <w:pPr>
              <w:pStyle w:val="221"/>
              <w:spacing w:line="360" w:lineRule="auto"/>
              <w:ind w:firstLine="480"/>
              <w:rPr>
                <w:rFonts w:ascii="Times New Roman" w:hAnsi="Times New Roman"/>
                <w:sz w:val="24"/>
              </w:rPr>
            </w:pPr>
            <w:r>
              <w:rPr>
                <w:rFonts w:ascii="Times New Roman" w:hAnsi="Times New Roman"/>
                <w:sz w:val="24"/>
              </w:rPr>
              <w:t>本项目为塑料回收利用项目，本项目废水污染物主要为SS，进行</w:t>
            </w:r>
            <w:r>
              <w:rPr>
                <w:rFonts w:hint="eastAsia" w:ascii="Times New Roman" w:hAnsi="Times New Roman"/>
                <w:sz w:val="24"/>
              </w:rPr>
              <w:t>絮凝沉淀</w:t>
            </w:r>
            <w:r>
              <w:rPr>
                <w:rFonts w:ascii="Times New Roman" w:hAnsi="Times New Roman"/>
                <w:sz w:val="24"/>
              </w:rPr>
              <w:t>后进行</w:t>
            </w:r>
            <w:r>
              <w:rPr>
                <w:rFonts w:hint="eastAsia" w:ascii="Times New Roman" w:hAnsi="Times New Roman"/>
                <w:sz w:val="24"/>
              </w:rPr>
              <w:t>循环利用</w:t>
            </w:r>
            <w:r>
              <w:rPr>
                <w:rFonts w:ascii="Times New Roman" w:hAnsi="Times New Roman"/>
                <w:sz w:val="24"/>
              </w:rPr>
              <w:t>，根据《排污许可证申请与核发技术规范 废弃资源加工工业》（HJ1034-2019）表A.2废弃资源加工工业排污单位废水污染防治可行技术参考表，本项目采用絮凝沉淀处理方式后回用为生产可行技术</w:t>
            </w:r>
            <w:r>
              <w:rPr>
                <w:rFonts w:hint="eastAsia" w:ascii="Times New Roman" w:hAnsi="Times New Roman"/>
                <w:sz w:val="24"/>
              </w:rPr>
              <w:t>。本项目设置其中污水池2座，清水池1座，</w:t>
            </w:r>
            <w:r>
              <w:rPr>
                <w:rFonts w:hint="eastAsia" w:ascii="Times New Roman" w:hAnsi="Times New Roman"/>
                <w:sz w:val="24"/>
                <w:lang w:val="en-US" w:eastAsia="zh-CN"/>
              </w:rPr>
              <w:t>污泥池1座，</w:t>
            </w:r>
            <w:r>
              <w:rPr>
                <w:rFonts w:hint="eastAsia" w:ascii="Times New Roman" w:hAnsi="Times New Roman"/>
                <w:sz w:val="24"/>
              </w:rPr>
              <w:t>污水池容积分别为</w:t>
            </w:r>
            <w:r>
              <w:rPr>
                <w:rFonts w:ascii="Times New Roman" w:hAnsi="Times New Roman"/>
                <w:sz w:val="24"/>
              </w:rPr>
              <w:t>6</w:t>
            </w:r>
            <w:r>
              <w:rPr>
                <w:rFonts w:hint="eastAsia" w:ascii="Times New Roman" w:hAnsi="Times New Roman"/>
                <w:sz w:val="24"/>
              </w:rPr>
              <w:t>m</w:t>
            </w:r>
            <w:r>
              <w:rPr>
                <w:rFonts w:ascii="Times New Roman" w:hAnsi="Times New Roman"/>
                <w:sz w:val="24"/>
                <w:vertAlign w:val="superscript"/>
              </w:rPr>
              <w:t>3</w:t>
            </w:r>
            <w:r>
              <w:rPr>
                <w:rFonts w:hint="eastAsia" w:ascii="Times New Roman" w:hAnsi="Times New Roman"/>
                <w:sz w:val="24"/>
              </w:rPr>
              <w:t>、5m</w:t>
            </w:r>
            <w:r>
              <w:rPr>
                <w:rFonts w:ascii="Times New Roman" w:hAnsi="Times New Roman"/>
                <w:sz w:val="24"/>
                <w:vertAlign w:val="superscript"/>
              </w:rPr>
              <w:t>3</w:t>
            </w:r>
            <w:r>
              <w:rPr>
                <w:rFonts w:hint="eastAsia" w:ascii="Times New Roman" w:hAnsi="Times New Roman"/>
                <w:sz w:val="24"/>
              </w:rPr>
              <w:t>，清水池容积为120m</w:t>
            </w:r>
            <w:r>
              <w:rPr>
                <w:rFonts w:ascii="Times New Roman" w:hAnsi="Times New Roman"/>
                <w:sz w:val="24"/>
                <w:vertAlign w:val="superscript"/>
              </w:rPr>
              <w:t>3</w:t>
            </w:r>
            <w:r>
              <w:rPr>
                <w:rFonts w:hint="eastAsia" w:ascii="Times New Roman" w:hAnsi="Times New Roman"/>
                <w:sz w:val="24"/>
              </w:rPr>
              <w:t>，</w:t>
            </w:r>
            <w:r>
              <w:rPr>
                <w:rFonts w:hint="eastAsia" w:ascii="Times New Roman" w:hAnsi="Times New Roman"/>
                <w:sz w:val="24"/>
                <w:lang w:val="en-US" w:eastAsia="zh-CN"/>
              </w:rPr>
              <w:t>污泥池容积2</w:t>
            </w:r>
            <w:r>
              <w:rPr>
                <w:rFonts w:hint="eastAsia" w:ascii="Times New Roman" w:hAnsi="Times New Roman"/>
                <w:sz w:val="24"/>
              </w:rPr>
              <w:t>m</w:t>
            </w:r>
            <w:r>
              <w:rPr>
                <w:rFonts w:ascii="Times New Roman" w:hAnsi="Times New Roman"/>
                <w:sz w:val="24"/>
                <w:vertAlign w:val="superscript"/>
              </w:rPr>
              <w:t>3</w:t>
            </w:r>
            <w:r>
              <w:rPr>
                <w:rFonts w:hint="eastAsia" w:ascii="Times New Roman" w:hAnsi="Times New Roman"/>
                <w:sz w:val="24"/>
              </w:rPr>
              <w:t>，可满足清洗破碎废水的处置需求。</w:t>
            </w:r>
          </w:p>
          <w:p w14:paraId="7DE86A1A">
            <w:pPr>
              <w:pStyle w:val="221"/>
              <w:spacing w:line="360" w:lineRule="auto"/>
              <w:ind w:firstLine="480"/>
              <w:rPr>
                <w:rFonts w:ascii="Times New Roman" w:hAnsi="Times New Roman"/>
                <w:sz w:val="24"/>
              </w:rPr>
            </w:pPr>
            <w:r>
              <w:rPr>
                <w:rFonts w:hint="eastAsia" w:ascii="Times New Roman" w:hAnsi="Times New Roman"/>
                <w:sz w:val="24"/>
              </w:rPr>
              <w:t>（5）水环境影响分析</w:t>
            </w:r>
          </w:p>
          <w:p w14:paraId="36B85F1F">
            <w:pPr>
              <w:pStyle w:val="221"/>
              <w:spacing w:line="360" w:lineRule="auto"/>
              <w:ind w:firstLine="480"/>
              <w:rPr>
                <w:rFonts w:hint="eastAsia" w:ascii="Times New Roman" w:hAnsi="Times New Roman"/>
                <w:sz w:val="24"/>
              </w:rPr>
            </w:pPr>
            <w:r>
              <w:rPr>
                <w:rFonts w:hint="eastAsia" w:ascii="Times New Roman" w:hAnsi="Times New Roman"/>
                <w:sz w:val="24"/>
              </w:rPr>
              <w:t>本项目实施后产生的废水主要为生活污水和湿法破碎和清洗废水。生活污水排入防渗旱厕，定期清掏、外运堆肥，不外排；湿法破碎和清洗废水排入沉淀池处理后，循环利用于生产，不外排。</w:t>
            </w:r>
            <w:r>
              <w:rPr>
                <w:rFonts w:hint="eastAsia" w:ascii="Times New Roman" w:hAnsi="Times New Roman"/>
                <w:sz w:val="24"/>
                <w:lang w:val="en-US" w:eastAsia="zh-CN"/>
              </w:rPr>
              <w:t>项目</w:t>
            </w:r>
            <w:r>
              <w:rPr>
                <w:rFonts w:hint="eastAsia" w:ascii="Times New Roman" w:hAnsi="Times New Roman"/>
                <w:sz w:val="24"/>
              </w:rPr>
              <w:t>停产期污水池废水处理后</w:t>
            </w:r>
            <w:r>
              <w:rPr>
                <w:rFonts w:hint="eastAsia" w:ascii="Times New Roman" w:hAnsi="Times New Roman"/>
                <w:sz w:val="24"/>
                <w:lang w:val="en-US" w:eastAsia="zh-CN"/>
              </w:rPr>
              <w:t>由鸡东县瀚科水务有限公司拉运处理</w:t>
            </w:r>
            <w:r>
              <w:rPr>
                <w:rFonts w:hint="eastAsia" w:ascii="Times New Roman" w:hAnsi="Times New Roman"/>
                <w:sz w:val="24"/>
              </w:rPr>
              <w:t>，清水池废水处理后用于周边植被绿化措施。不会对项目周边水环境产生污染影响。</w:t>
            </w:r>
          </w:p>
          <w:p w14:paraId="76E6A679">
            <w:pPr>
              <w:pStyle w:val="91"/>
              <w:spacing w:line="360" w:lineRule="auto"/>
              <w:ind w:firstLine="480"/>
              <w:rPr>
                <w:szCs w:val="24"/>
              </w:rPr>
            </w:pPr>
            <w:r>
              <w:rPr>
                <w:rFonts w:hint="eastAsia"/>
              </w:rPr>
              <w:t>3.</w:t>
            </w:r>
            <w:r>
              <w:t>噪声环</w:t>
            </w:r>
            <w:r>
              <w:rPr>
                <w:szCs w:val="24"/>
              </w:rPr>
              <w:t>境影响和保护措施</w:t>
            </w:r>
          </w:p>
          <w:p w14:paraId="520775FE">
            <w:pPr>
              <w:adjustRightInd w:val="0"/>
              <w:snapToGrid w:val="0"/>
              <w:spacing w:line="360" w:lineRule="auto"/>
              <w:ind w:firstLine="480" w:firstLineChars="200"/>
              <w:rPr>
                <w:bCs/>
                <w:sz w:val="24"/>
              </w:rPr>
            </w:pPr>
            <w:r>
              <w:rPr>
                <w:bCs/>
                <w:sz w:val="24"/>
              </w:rPr>
              <w:t>根据《环境影响评价技术导则声环境》（HJ2.4-2021），由于厂界周边</w:t>
            </w:r>
            <w:r>
              <w:rPr>
                <w:rFonts w:hint="eastAsia"/>
                <w:bCs/>
                <w:sz w:val="24"/>
              </w:rPr>
              <w:t>11</w:t>
            </w:r>
            <w:r>
              <w:rPr>
                <w:bCs/>
                <w:sz w:val="24"/>
              </w:rPr>
              <w:t>0m范围内有声环境保护敏感目标，故应进行噪声厂界</w:t>
            </w:r>
            <w:r>
              <w:rPr>
                <w:rFonts w:hint="eastAsia"/>
                <w:bCs/>
                <w:sz w:val="24"/>
              </w:rPr>
              <w:t>及</w:t>
            </w:r>
            <w:r>
              <w:rPr>
                <w:bCs/>
                <w:sz w:val="24"/>
              </w:rPr>
              <w:t>敏感点达标情况分析。</w:t>
            </w:r>
          </w:p>
          <w:p w14:paraId="55CD2D74">
            <w:pPr>
              <w:pStyle w:val="221"/>
              <w:spacing w:line="360" w:lineRule="auto"/>
              <w:ind w:firstLine="480"/>
              <w:rPr>
                <w:rFonts w:ascii="Times New Roman" w:hAnsi="Times New Roman"/>
                <w:sz w:val="24"/>
              </w:rPr>
            </w:pPr>
            <w:r>
              <w:rPr>
                <w:rFonts w:ascii="Times New Roman" w:hAnsi="Times New Roman"/>
                <w:sz w:val="24"/>
              </w:rPr>
              <w:t>噪声预测方法</w:t>
            </w:r>
          </w:p>
          <w:p w14:paraId="4433D59C">
            <w:pPr>
              <w:pStyle w:val="42"/>
              <w:spacing w:line="360" w:lineRule="auto"/>
              <w:ind w:firstLine="480" w:firstLineChars="200"/>
              <w:rPr>
                <w:rFonts w:ascii="Times New Roman"/>
                <w:bCs/>
                <w:szCs w:val="24"/>
              </w:rPr>
            </w:pPr>
            <w:r>
              <w:rPr>
                <w:rFonts w:ascii="Times New Roman"/>
                <w:bCs/>
                <w:szCs w:val="24"/>
              </w:rPr>
              <w:t>本评价采用《环境影响评价技术导则 声环境》（HJ2.4-2021）中的噪声距离衰减和叠加模式进行预测，具体预测公式如下：</w:t>
            </w:r>
          </w:p>
          <w:p w14:paraId="4630E37A">
            <w:pPr>
              <w:pStyle w:val="43"/>
              <w:numPr>
                <w:ilvl w:val="0"/>
                <w:numId w:val="4"/>
              </w:numPr>
              <w:autoSpaceDE/>
              <w:autoSpaceDN/>
              <w:snapToGrid w:val="0"/>
              <w:spacing w:line="360" w:lineRule="auto"/>
              <w:ind w:firstLine="480" w:firstLineChars="200"/>
              <w:textAlignment w:val="auto"/>
              <w:rPr>
                <w:rFonts w:ascii="Times New Roman"/>
                <w:spacing w:val="0"/>
                <w:szCs w:val="24"/>
              </w:rPr>
            </w:pPr>
            <w:r>
              <w:rPr>
                <w:rFonts w:ascii="Times New Roman"/>
                <w:spacing w:val="0"/>
                <w:szCs w:val="24"/>
              </w:rPr>
              <w:t>噪声距离衰减公式：</w:t>
            </w:r>
          </w:p>
          <w:p w14:paraId="20799A7A">
            <w:pPr>
              <w:pStyle w:val="43"/>
              <w:autoSpaceDE/>
              <w:autoSpaceDN/>
              <w:snapToGrid w:val="0"/>
              <w:spacing w:line="360" w:lineRule="auto"/>
              <w:ind w:left="2100" w:leftChars="1000"/>
              <w:textAlignment w:val="auto"/>
              <w:rPr>
                <w:rFonts w:ascii="Times New Roman"/>
                <w:spacing w:val="0"/>
                <w:szCs w:val="24"/>
              </w:rPr>
            </w:pPr>
            <w:r>
              <w:rPr>
                <w:rFonts w:ascii="Times New Roman"/>
                <w:spacing w:val="0"/>
                <w:szCs w:val="24"/>
              </w:rPr>
              <w:t>LP(r)=LP(r0)-20lg(r/r0)-a(r-r0)</w:t>
            </w:r>
          </w:p>
          <w:p w14:paraId="7C9E04C0">
            <w:pPr>
              <w:pStyle w:val="43"/>
              <w:autoSpaceDE/>
              <w:autoSpaceDN/>
              <w:snapToGrid w:val="0"/>
              <w:spacing w:line="360" w:lineRule="auto"/>
              <w:textAlignment w:val="auto"/>
              <w:rPr>
                <w:rFonts w:ascii="Times New Roman"/>
                <w:spacing w:val="0"/>
                <w:szCs w:val="24"/>
              </w:rPr>
            </w:pPr>
            <w:r>
              <w:rPr>
                <w:rFonts w:ascii="Times New Roman"/>
                <w:spacing w:val="0"/>
                <w:szCs w:val="24"/>
              </w:rPr>
              <w:t>式中：LP（r）—预测点所接受的声压级，dB(A)；</w:t>
            </w:r>
          </w:p>
          <w:p w14:paraId="02070C90">
            <w:pPr>
              <w:pStyle w:val="43"/>
              <w:autoSpaceDE/>
              <w:autoSpaceDN/>
              <w:snapToGrid w:val="0"/>
              <w:spacing w:line="360" w:lineRule="auto"/>
              <w:ind w:firstLine="720" w:firstLineChars="300"/>
              <w:textAlignment w:val="auto"/>
              <w:rPr>
                <w:rFonts w:ascii="Times New Roman"/>
                <w:spacing w:val="0"/>
                <w:szCs w:val="24"/>
              </w:rPr>
            </w:pPr>
            <w:r>
              <w:rPr>
                <w:rFonts w:ascii="Times New Roman"/>
                <w:spacing w:val="0"/>
                <w:szCs w:val="24"/>
              </w:rPr>
              <w:t>LP(r0)—参考位置r0的声压级，dB(A)；</w:t>
            </w:r>
          </w:p>
          <w:p w14:paraId="51A703B3">
            <w:pPr>
              <w:pStyle w:val="43"/>
              <w:autoSpaceDE/>
              <w:autoSpaceDN/>
              <w:snapToGrid w:val="0"/>
              <w:spacing w:line="360" w:lineRule="auto"/>
              <w:ind w:firstLine="720" w:firstLineChars="300"/>
              <w:textAlignment w:val="auto"/>
              <w:rPr>
                <w:rFonts w:ascii="Times New Roman"/>
                <w:spacing w:val="0"/>
                <w:szCs w:val="24"/>
              </w:rPr>
            </w:pPr>
            <w:r>
              <w:rPr>
                <w:rFonts w:ascii="Times New Roman"/>
                <w:spacing w:val="0"/>
                <w:szCs w:val="24"/>
              </w:rPr>
              <w:t>r—预测点至声源的距离，m；</w:t>
            </w:r>
          </w:p>
          <w:p w14:paraId="659DAA72">
            <w:pPr>
              <w:pStyle w:val="43"/>
              <w:autoSpaceDE/>
              <w:autoSpaceDN/>
              <w:snapToGrid w:val="0"/>
              <w:spacing w:line="360" w:lineRule="auto"/>
              <w:ind w:firstLine="720" w:firstLineChars="300"/>
              <w:textAlignment w:val="auto"/>
              <w:rPr>
                <w:rFonts w:ascii="Times New Roman"/>
                <w:spacing w:val="0"/>
                <w:szCs w:val="24"/>
              </w:rPr>
            </w:pPr>
            <w:r>
              <w:rPr>
                <w:rFonts w:ascii="Times New Roman"/>
                <w:spacing w:val="0"/>
                <w:szCs w:val="24"/>
              </w:rPr>
              <w:t>r0—参考位置距声源的距离；</w:t>
            </w:r>
          </w:p>
          <w:p w14:paraId="0462134B">
            <w:pPr>
              <w:pStyle w:val="43"/>
              <w:autoSpaceDE/>
              <w:autoSpaceDN/>
              <w:snapToGrid w:val="0"/>
              <w:spacing w:line="360" w:lineRule="auto"/>
              <w:ind w:firstLine="720" w:firstLineChars="300"/>
              <w:textAlignment w:val="auto"/>
              <w:rPr>
                <w:rFonts w:ascii="Times New Roman"/>
                <w:b/>
                <w:spacing w:val="0"/>
                <w:szCs w:val="24"/>
              </w:rPr>
            </w:pPr>
            <w:r>
              <w:rPr>
                <w:rFonts w:ascii="Times New Roman"/>
                <w:spacing w:val="0"/>
                <w:szCs w:val="24"/>
              </w:rPr>
              <w:t>a—大气对声波的吸收系数，dB(A)/m，平均值为0.008dB(A)/m；</w:t>
            </w:r>
          </w:p>
          <w:p w14:paraId="20FA5341">
            <w:pPr>
              <w:numPr>
                <w:ilvl w:val="0"/>
                <w:numId w:val="4"/>
              </w:numPr>
              <w:adjustRightInd w:val="0"/>
              <w:snapToGrid w:val="0"/>
              <w:spacing w:line="360" w:lineRule="auto"/>
              <w:ind w:firstLine="480" w:firstLineChars="200"/>
              <w:rPr>
                <w:sz w:val="24"/>
              </w:rPr>
            </w:pPr>
            <w:r>
              <w:rPr>
                <w:sz w:val="24"/>
              </w:rPr>
              <w:t>噪声叠加模式：</w:t>
            </w:r>
          </w:p>
          <w:p w14:paraId="7E4AF3D2">
            <w:pPr>
              <w:pStyle w:val="13"/>
              <w:spacing w:line="360" w:lineRule="auto"/>
              <w:ind w:left="420" w:leftChars="200"/>
              <w:jc w:val="center"/>
              <w:rPr>
                <w:sz w:val="24"/>
                <w:szCs w:val="24"/>
              </w:rPr>
            </w:pPr>
            <w:r>
              <w:rPr>
                <w:sz w:val="24"/>
                <w:szCs w:val="24"/>
              </w:rPr>
              <w:drawing>
                <wp:inline distT="0" distB="0" distL="114300" distR="114300">
                  <wp:extent cx="1676400" cy="628650"/>
                  <wp:effectExtent l="0" t="0" r="0" b="0"/>
                  <wp:docPr id="18"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5"/>
                          <pic:cNvPicPr>
                            <a:picLocks noChangeAspect="1"/>
                          </pic:cNvPicPr>
                        </pic:nvPicPr>
                        <pic:blipFill>
                          <a:blip r:embed="rId14"/>
                          <a:srcRect l="25424"/>
                          <a:stretch>
                            <a:fillRect/>
                          </a:stretch>
                        </pic:blipFill>
                        <pic:spPr>
                          <a:xfrm>
                            <a:off x="0" y="0"/>
                            <a:ext cx="1676400" cy="628650"/>
                          </a:xfrm>
                          <a:prstGeom prst="rect">
                            <a:avLst/>
                          </a:prstGeom>
                          <a:noFill/>
                          <a:ln>
                            <a:noFill/>
                          </a:ln>
                        </pic:spPr>
                      </pic:pic>
                    </a:graphicData>
                  </a:graphic>
                </wp:inline>
              </w:drawing>
            </w:r>
          </w:p>
          <w:p w14:paraId="6890E101">
            <w:pPr>
              <w:pStyle w:val="42"/>
              <w:spacing w:line="360" w:lineRule="auto"/>
              <w:rPr>
                <w:rFonts w:ascii="Times New Roman"/>
                <w:szCs w:val="24"/>
              </w:rPr>
            </w:pPr>
            <w:r>
              <w:rPr>
                <w:rFonts w:ascii="Times New Roman"/>
                <w:szCs w:val="24"/>
              </w:rPr>
              <w:t>式中：L－为n个噪声源的声级，dB（A）；</w:t>
            </w:r>
          </w:p>
          <w:p w14:paraId="01656E32">
            <w:pPr>
              <w:pStyle w:val="42"/>
              <w:adjustRightInd w:val="0"/>
              <w:snapToGrid w:val="0"/>
              <w:spacing w:line="360" w:lineRule="auto"/>
              <w:ind w:firstLine="720" w:firstLineChars="300"/>
              <w:rPr>
                <w:rFonts w:ascii="Times New Roman"/>
                <w:szCs w:val="24"/>
              </w:rPr>
            </w:pPr>
            <w:r>
              <w:rPr>
                <w:rFonts w:ascii="Times New Roman"/>
                <w:szCs w:val="24"/>
              </w:rPr>
              <w:t>Li－第i个噪声源的声级，dB(A)；</w:t>
            </w:r>
          </w:p>
          <w:p w14:paraId="0E77DB79">
            <w:pPr>
              <w:pStyle w:val="91"/>
              <w:spacing w:line="360" w:lineRule="auto"/>
              <w:ind w:firstLine="480"/>
              <w:rPr>
                <w:szCs w:val="24"/>
              </w:rPr>
            </w:pPr>
            <w:r>
              <w:rPr>
                <w:szCs w:val="24"/>
              </w:rPr>
              <w:t>n—为噪声源的个数。</w:t>
            </w:r>
          </w:p>
          <w:p w14:paraId="393E8978">
            <w:pPr>
              <w:pStyle w:val="91"/>
              <w:spacing w:line="360" w:lineRule="auto"/>
              <w:ind w:firstLine="480"/>
            </w:pPr>
            <w:r>
              <w:rPr>
                <w:szCs w:val="24"/>
              </w:rPr>
              <w:t>本项目使用</w:t>
            </w:r>
            <w:r>
              <w:rPr>
                <w:rFonts w:hint="eastAsia"/>
                <w:szCs w:val="24"/>
              </w:rPr>
              <w:t>粉碎机、风</w:t>
            </w:r>
            <w:r>
              <w:rPr>
                <w:rFonts w:hint="eastAsia"/>
              </w:rPr>
              <w:t>机、水泵</w:t>
            </w:r>
            <w:r>
              <w:t>等生产设备会产生一定强度的噪声，其噪声值约在80～85dB(A)之间，</w:t>
            </w:r>
            <w:r>
              <w:rPr>
                <w:szCs w:val="24"/>
              </w:rPr>
              <w:t>项目</w:t>
            </w:r>
            <w:r>
              <w:t>噪声污染源源强核算结果及相关参数见表4-11，运营期噪声监测要求见表4-</w:t>
            </w:r>
            <w:r>
              <w:rPr>
                <w:rFonts w:hint="eastAsia"/>
              </w:rPr>
              <w:t>2</w:t>
            </w:r>
            <w:r>
              <w:rPr>
                <w:szCs w:val="24"/>
              </w:rPr>
              <w:t>。</w:t>
            </w:r>
          </w:p>
          <w:p w14:paraId="6D562B5E">
            <w:pPr>
              <w:pStyle w:val="103"/>
            </w:pPr>
            <w:r>
              <w:t>表4-</w:t>
            </w:r>
            <w:r>
              <w:rPr>
                <w:rFonts w:hint="eastAsia"/>
              </w:rPr>
              <w:t>2</w:t>
            </w:r>
            <w:r>
              <w:t xml:space="preserve">  噪声污染源源强核算结果及相关参数一览表</w:t>
            </w:r>
          </w:p>
          <w:tbl>
            <w:tblPr>
              <w:tblStyle w:val="32"/>
              <w:tblW w:w="4935"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357"/>
              <w:gridCol w:w="505"/>
              <w:gridCol w:w="714"/>
              <w:gridCol w:w="473"/>
              <w:gridCol w:w="756"/>
              <w:gridCol w:w="765"/>
              <w:gridCol w:w="583"/>
              <w:gridCol w:w="794"/>
              <w:gridCol w:w="765"/>
              <w:gridCol w:w="856"/>
              <w:gridCol w:w="720"/>
              <w:gridCol w:w="630"/>
              <w:gridCol w:w="392"/>
            </w:tblGrid>
            <w:tr w14:paraId="6A583E7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214" w:type="pct"/>
                  <w:tcBorders>
                    <w:tl2br w:val="nil"/>
                    <w:tr2bl w:val="nil"/>
                  </w:tcBorders>
                  <w:noWrap/>
                  <w:vAlign w:val="center"/>
                </w:tcPr>
                <w:p w14:paraId="58C4DDD2">
                  <w:pPr>
                    <w:widowControl/>
                    <w:jc w:val="center"/>
                    <w:textAlignment w:val="bottom"/>
                    <w:rPr>
                      <w:b/>
                      <w:bCs/>
                      <w:szCs w:val="21"/>
                    </w:rPr>
                  </w:pPr>
                  <w:r>
                    <w:rPr>
                      <w:b/>
                      <w:bCs/>
                      <w:kern w:val="0"/>
                      <w:szCs w:val="21"/>
                      <w:lang w:bidi="ar"/>
                    </w:rPr>
                    <w:t>序号</w:t>
                  </w:r>
                </w:p>
              </w:tc>
              <w:tc>
                <w:tcPr>
                  <w:tcW w:w="303" w:type="pct"/>
                  <w:tcBorders>
                    <w:tl2br w:val="nil"/>
                    <w:tr2bl w:val="nil"/>
                  </w:tcBorders>
                  <w:noWrap/>
                  <w:vAlign w:val="center"/>
                </w:tcPr>
                <w:p w14:paraId="570F5393">
                  <w:pPr>
                    <w:widowControl/>
                    <w:jc w:val="center"/>
                    <w:textAlignment w:val="bottom"/>
                    <w:rPr>
                      <w:b/>
                      <w:bCs/>
                      <w:szCs w:val="21"/>
                    </w:rPr>
                  </w:pPr>
                  <w:r>
                    <w:rPr>
                      <w:b/>
                      <w:bCs/>
                      <w:kern w:val="0"/>
                      <w:szCs w:val="21"/>
                      <w:lang w:bidi="ar"/>
                    </w:rPr>
                    <w:t>声源名称</w:t>
                  </w:r>
                </w:p>
              </w:tc>
              <w:tc>
                <w:tcPr>
                  <w:tcW w:w="429" w:type="pct"/>
                  <w:tcBorders>
                    <w:tl2br w:val="nil"/>
                    <w:tr2bl w:val="nil"/>
                  </w:tcBorders>
                  <w:noWrap/>
                  <w:vAlign w:val="center"/>
                </w:tcPr>
                <w:p w14:paraId="1C4C808F">
                  <w:pPr>
                    <w:widowControl/>
                    <w:jc w:val="center"/>
                    <w:textAlignment w:val="bottom"/>
                    <w:rPr>
                      <w:b/>
                      <w:bCs/>
                      <w:szCs w:val="21"/>
                    </w:rPr>
                  </w:pPr>
                  <w:r>
                    <w:rPr>
                      <w:b/>
                      <w:bCs/>
                      <w:kern w:val="0"/>
                      <w:szCs w:val="21"/>
                      <w:lang w:bidi="ar"/>
                    </w:rPr>
                    <w:t>声功率级/dB(A)</w:t>
                  </w:r>
                </w:p>
              </w:tc>
              <w:tc>
                <w:tcPr>
                  <w:tcW w:w="284" w:type="pct"/>
                  <w:tcBorders>
                    <w:tl2br w:val="nil"/>
                    <w:tr2bl w:val="nil"/>
                  </w:tcBorders>
                  <w:noWrap/>
                  <w:vAlign w:val="center"/>
                </w:tcPr>
                <w:p w14:paraId="5097F82B">
                  <w:pPr>
                    <w:widowControl/>
                    <w:jc w:val="center"/>
                    <w:textAlignment w:val="bottom"/>
                    <w:rPr>
                      <w:b/>
                      <w:bCs/>
                      <w:szCs w:val="21"/>
                    </w:rPr>
                  </w:pPr>
                  <w:r>
                    <w:rPr>
                      <w:b/>
                      <w:bCs/>
                      <w:kern w:val="0"/>
                      <w:szCs w:val="21"/>
                      <w:lang w:bidi="ar"/>
                    </w:rPr>
                    <w:t>声源控制措施</w:t>
                  </w:r>
                </w:p>
              </w:tc>
              <w:tc>
                <w:tcPr>
                  <w:tcW w:w="454" w:type="pct"/>
                  <w:tcBorders>
                    <w:tl2br w:val="nil"/>
                    <w:tr2bl w:val="nil"/>
                  </w:tcBorders>
                  <w:noWrap/>
                  <w:vAlign w:val="center"/>
                </w:tcPr>
                <w:p w14:paraId="606897CB">
                  <w:pPr>
                    <w:widowControl/>
                    <w:jc w:val="center"/>
                    <w:textAlignment w:val="bottom"/>
                    <w:rPr>
                      <w:b/>
                      <w:bCs/>
                      <w:szCs w:val="21"/>
                    </w:rPr>
                  </w:pPr>
                  <w:r>
                    <w:rPr>
                      <w:b/>
                      <w:bCs/>
                      <w:kern w:val="0"/>
                      <w:szCs w:val="21"/>
                      <w:lang w:bidi="ar"/>
                    </w:rPr>
                    <w:t>x坐标/m</w:t>
                  </w:r>
                </w:p>
              </w:tc>
              <w:tc>
                <w:tcPr>
                  <w:tcW w:w="460" w:type="pct"/>
                  <w:tcBorders>
                    <w:tl2br w:val="nil"/>
                    <w:tr2bl w:val="nil"/>
                  </w:tcBorders>
                  <w:noWrap/>
                  <w:vAlign w:val="center"/>
                </w:tcPr>
                <w:p w14:paraId="75F224BF">
                  <w:pPr>
                    <w:widowControl/>
                    <w:jc w:val="center"/>
                    <w:textAlignment w:val="bottom"/>
                    <w:rPr>
                      <w:b/>
                      <w:bCs/>
                      <w:szCs w:val="21"/>
                    </w:rPr>
                  </w:pPr>
                  <w:r>
                    <w:rPr>
                      <w:b/>
                      <w:bCs/>
                      <w:kern w:val="0"/>
                      <w:szCs w:val="21"/>
                      <w:lang w:bidi="ar"/>
                    </w:rPr>
                    <w:t>y坐标/m</w:t>
                  </w:r>
                </w:p>
              </w:tc>
              <w:tc>
                <w:tcPr>
                  <w:tcW w:w="351" w:type="pct"/>
                  <w:tcBorders>
                    <w:tl2br w:val="nil"/>
                    <w:tr2bl w:val="nil"/>
                  </w:tcBorders>
                  <w:noWrap/>
                  <w:vAlign w:val="center"/>
                </w:tcPr>
                <w:p w14:paraId="0BF7739D">
                  <w:pPr>
                    <w:widowControl/>
                    <w:jc w:val="center"/>
                    <w:textAlignment w:val="bottom"/>
                    <w:rPr>
                      <w:b/>
                      <w:bCs/>
                      <w:szCs w:val="21"/>
                    </w:rPr>
                  </w:pPr>
                  <w:r>
                    <w:rPr>
                      <w:b/>
                      <w:bCs/>
                      <w:kern w:val="0"/>
                      <w:szCs w:val="21"/>
                      <w:lang w:bidi="ar"/>
                    </w:rPr>
                    <w:t>z坐标/m</w:t>
                  </w:r>
                </w:p>
              </w:tc>
              <w:tc>
                <w:tcPr>
                  <w:tcW w:w="478" w:type="pct"/>
                  <w:tcBorders>
                    <w:tl2br w:val="nil"/>
                    <w:tr2bl w:val="nil"/>
                  </w:tcBorders>
                  <w:noWrap/>
                  <w:vAlign w:val="center"/>
                </w:tcPr>
                <w:p w14:paraId="63F7412E">
                  <w:pPr>
                    <w:widowControl/>
                    <w:jc w:val="center"/>
                    <w:textAlignment w:val="bottom"/>
                    <w:rPr>
                      <w:b/>
                      <w:bCs/>
                      <w:szCs w:val="21"/>
                    </w:rPr>
                  </w:pPr>
                  <w:r>
                    <w:rPr>
                      <w:b/>
                      <w:bCs/>
                      <w:kern w:val="0"/>
                      <w:szCs w:val="21"/>
                      <w:lang w:bidi="ar"/>
                    </w:rPr>
                    <w:t>距室内边界距离/m</w:t>
                  </w:r>
                </w:p>
              </w:tc>
              <w:tc>
                <w:tcPr>
                  <w:tcW w:w="460" w:type="pct"/>
                  <w:tcBorders>
                    <w:tl2br w:val="nil"/>
                    <w:tr2bl w:val="nil"/>
                  </w:tcBorders>
                  <w:noWrap/>
                  <w:vAlign w:val="center"/>
                </w:tcPr>
                <w:p w14:paraId="5636BF12">
                  <w:pPr>
                    <w:widowControl/>
                    <w:jc w:val="center"/>
                    <w:textAlignment w:val="bottom"/>
                    <w:rPr>
                      <w:b/>
                      <w:bCs/>
                      <w:szCs w:val="21"/>
                    </w:rPr>
                  </w:pPr>
                  <w:r>
                    <w:rPr>
                      <w:b/>
                      <w:bCs/>
                      <w:kern w:val="0"/>
                      <w:szCs w:val="21"/>
                      <w:lang w:bidi="ar"/>
                    </w:rPr>
                    <w:t>室内边界声级/dB(A)</w:t>
                  </w:r>
                </w:p>
              </w:tc>
              <w:tc>
                <w:tcPr>
                  <w:tcW w:w="514" w:type="pct"/>
                  <w:tcBorders>
                    <w:tl2br w:val="nil"/>
                    <w:tr2bl w:val="nil"/>
                  </w:tcBorders>
                  <w:noWrap/>
                  <w:vAlign w:val="center"/>
                </w:tcPr>
                <w:p w14:paraId="593DD4B3">
                  <w:pPr>
                    <w:widowControl/>
                    <w:jc w:val="center"/>
                    <w:textAlignment w:val="bottom"/>
                    <w:rPr>
                      <w:b/>
                      <w:bCs/>
                      <w:szCs w:val="21"/>
                    </w:rPr>
                  </w:pPr>
                  <w:r>
                    <w:rPr>
                      <w:b/>
                      <w:bCs/>
                      <w:kern w:val="0"/>
                      <w:szCs w:val="21"/>
                      <w:lang w:bidi="ar"/>
                    </w:rPr>
                    <w:t>建筑物插入损失/dB(A)</w:t>
                  </w:r>
                </w:p>
              </w:tc>
              <w:tc>
                <w:tcPr>
                  <w:tcW w:w="433" w:type="pct"/>
                  <w:tcBorders>
                    <w:tl2br w:val="nil"/>
                    <w:tr2bl w:val="nil"/>
                  </w:tcBorders>
                  <w:noWrap/>
                  <w:vAlign w:val="center"/>
                </w:tcPr>
                <w:p w14:paraId="520A1225">
                  <w:pPr>
                    <w:widowControl/>
                    <w:jc w:val="center"/>
                    <w:textAlignment w:val="bottom"/>
                    <w:rPr>
                      <w:b/>
                      <w:bCs/>
                      <w:szCs w:val="21"/>
                    </w:rPr>
                  </w:pPr>
                  <w:r>
                    <w:rPr>
                      <w:b/>
                      <w:bCs/>
                      <w:kern w:val="0"/>
                      <w:szCs w:val="21"/>
                      <w:lang w:bidi="ar"/>
                    </w:rPr>
                    <w:t>声压级/dB(A)</w:t>
                  </w:r>
                </w:p>
              </w:tc>
              <w:tc>
                <w:tcPr>
                  <w:tcW w:w="379" w:type="pct"/>
                  <w:tcBorders>
                    <w:tl2br w:val="nil"/>
                    <w:tr2bl w:val="nil"/>
                  </w:tcBorders>
                  <w:noWrap/>
                  <w:vAlign w:val="center"/>
                </w:tcPr>
                <w:p w14:paraId="13F77FB7">
                  <w:pPr>
                    <w:widowControl/>
                    <w:jc w:val="center"/>
                    <w:textAlignment w:val="bottom"/>
                    <w:rPr>
                      <w:b/>
                      <w:bCs/>
                      <w:szCs w:val="21"/>
                    </w:rPr>
                  </w:pPr>
                  <w:r>
                    <w:rPr>
                      <w:b/>
                      <w:bCs/>
                      <w:kern w:val="0"/>
                      <w:szCs w:val="21"/>
                      <w:lang w:bidi="ar"/>
                    </w:rPr>
                    <w:t>建筑物外距离</w:t>
                  </w:r>
                </w:p>
              </w:tc>
              <w:tc>
                <w:tcPr>
                  <w:tcW w:w="236" w:type="pct"/>
                  <w:tcBorders>
                    <w:tl2br w:val="nil"/>
                    <w:tr2bl w:val="nil"/>
                  </w:tcBorders>
                  <w:noWrap/>
                  <w:vAlign w:val="center"/>
                </w:tcPr>
                <w:p w14:paraId="7FE06BE9">
                  <w:pPr>
                    <w:widowControl/>
                    <w:jc w:val="center"/>
                    <w:textAlignment w:val="bottom"/>
                    <w:rPr>
                      <w:b/>
                      <w:bCs/>
                      <w:kern w:val="0"/>
                      <w:szCs w:val="21"/>
                      <w:lang w:bidi="ar"/>
                    </w:rPr>
                  </w:pPr>
                  <w:r>
                    <w:rPr>
                      <w:b/>
                      <w:bCs/>
                      <w:kern w:val="0"/>
                      <w:szCs w:val="21"/>
                      <w:lang w:bidi="ar"/>
                    </w:rPr>
                    <w:t>持续时间</w:t>
                  </w:r>
                </w:p>
              </w:tc>
            </w:tr>
            <w:tr w14:paraId="6ACD6AA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214" w:type="pct"/>
                  <w:vMerge w:val="restart"/>
                  <w:tcBorders>
                    <w:tl2br w:val="nil"/>
                    <w:tr2bl w:val="nil"/>
                  </w:tcBorders>
                  <w:noWrap/>
                  <w:vAlign w:val="center"/>
                </w:tcPr>
                <w:p w14:paraId="4C845A67">
                  <w:pPr>
                    <w:widowControl/>
                    <w:jc w:val="center"/>
                    <w:textAlignment w:val="bottom"/>
                    <w:rPr>
                      <w:szCs w:val="21"/>
                    </w:rPr>
                  </w:pPr>
                  <w:r>
                    <w:rPr>
                      <w:kern w:val="0"/>
                      <w:szCs w:val="21"/>
                      <w:lang w:bidi="ar"/>
                    </w:rPr>
                    <w:t>1</w:t>
                  </w:r>
                </w:p>
              </w:tc>
              <w:tc>
                <w:tcPr>
                  <w:tcW w:w="303" w:type="pct"/>
                  <w:vMerge w:val="restart"/>
                  <w:tcBorders>
                    <w:tl2br w:val="nil"/>
                    <w:tr2bl w:val="nil"/>
                  </w:tcBorders>
                  <w:noWrap/>
                  <w:vAlign w:val="center"/>
                </w:tcPr>
                <w:p w14:paraId="536BFB45">
                  <w:pPr>
                    <w:widowControl/>
                    <w:jc w:val="center"/>
                    <w:textAlignment w:val="bottom"/>
                    <w:rPr>
                      <w:szCs w:val="21"/>
                    </w:rPr>
                  </w:pPr>
                  <w:r>
                    <w:rPr>
                      <w:kern w:val="0"/>
                      <w:szCs w:val="21"/>
                      <w:lang w:bidi="ar"/>
                    </w:rPr>
                    <w:t>脱标机</w:t>
                  </w:r>
                </w:p>
              </w:tc>
              <w:tc>
                <w:tcPr>
                  <w:tcW w:w="429" w:type="pct"/>
                  <w:vMerge w:val="restart"/>
                  <w:tcBorders>
                    <w:tl2br w:val="nil"/>
                    <w:tr2bl w:val="nil"/>
                  </w:tcBorders>
                  <w:noWrap/>
                  <w:vAlign w:val="center"/>
                </w:tcPr>
                <w:p w14:paraId="61E65F45">
                  <w:pPr>
                    <w:widowControl/>
                    <w:jc w:val="center"/>
                    <w:textAlignment w:val="bottom"/>
                    <w:rPr>
                      <w:szCs w:val="21"/>
                    </w:rPr>
                  </w:pPr>
                  <w:r>
                    <w:rPr>
                      <w:kern w:val="0"/>
                      <w:szCs w:val="21"/>
                      <w:lang w:bidi="ar"/>
                    </w:rPr>
                    <w:t>80</w:t>
                  </w:r>
                </w:p>
              </w:tc>
              <w:tc>
                <w:tcPr>
                  <w:tcW w:w="284" w:type="pct"/>
                  <w:vMerge w:val="restart"/>
                  <w:tcBorders>
                    <w:tl2br w:val="nil"/>
                    <w:tr2bl w:val="nil"/>
                  </w:tcBorders>
                  <w:noWrap/>
                  <w:vAlign w:val="center"/>
                </w:tcPr>
                <w:p w14:paraId="580E0B97">
                  <w:pPr>
                    <w:widowControl/>
                    <w:jc w:val="center"/>
                    <w:textAlignment w:val="bottom"/>
                    <w:rPr>
                      <w:szCs w:val="21"/>
                    </w:rPr>
                  </w:pPr>
                  <w:r>
                    <w:rPr>
                      <w:szCs w:val="21"/>
                    </w:rPr>
                    <w:t>基础减振、厂房隔声</w:t>
                  </w:r>
                </w:p>
              </w:tc>
              <w:tc>
                <w:tcPr>
                  <w:tcW w:w="454" w:type="pct"/>
                  <w:tcBorders>
                    <w:tl2br w:val="nil"/>
                    <w:tr2bl w:val="nil"/>
                  </w:tcBorders>
                  <w:noWrap/>
                  <w:vAlign w:val="center"/>
                </w:tcPr>
                <w:p w14:paraId="629B7D19">
                  <w:pPr>
                    <w:widowControl/>
                    <w:jc w:val="center"/>
                    <w:textAlignment w:val="bottom"/>
                    <w:rPr>
                      <w:szCs w:val="21"/>
                    </w:rPr>
                  </w:pPr>
                  <w:r>
                    <w:rPr>
                      <w:kern w:val="0"/>
                      <w:szCs w:val="21"/>
                      <w:lang w:bidi="ar"/>
                    </w:rPr>
                    <w:t>234.1</w:t>
                  </w:r>
                </w:p>
              </w:tc>
              <w:tc>
                <w:tcPr>
                  <w:tcW w:w="460" w:type="pct"/>
                  <w:tcBorders>
                    <w:tl2br w:val="nil"/>
                    <w:tr2bl w:val="nil"/>
                  </w:tcBorders>
                  <w:noWrap/>
                  <w:vAlign w:val="center"/>
                </w:tcPr>
                <w:p w14:paraId="2BD1C9C5">
                  <w:pPr>
                    <w:widowControl/>
                    <w:jc w:val="center"/>
                    <w:textAlignment w:val="bottom"/>
                    <w:rPr>
                      <w:szCs w:val="21"/>
                    </w:rPr>
                  </w:pPr>
                  <w:r>
                    <w:rPr>
                      <w:kern w:val="0"/>
                      <w:szCs w:val="21"/>
                      <w:lang w:bidi="ar"/>
                    </w:rPr>
                    <w:t>219.9</w:t>
                  </w:r>
                </w:p>
              </w:tc>
              <w:tc>
                <w:tcPr>
                  <w:tcW w:w="351" w:type="pct"/>
                  <w:tcBorders>
                    <w:tl2br w:val="nil"/>
                    <w:tr2bl w:val="nil"/>
                  </w:tcBorders>
                  <w:noWrap/>
                  <w:vAlign w:val="center"/>
                </w:tcPr>
                <w:p w14:paraId="0477401D">
                  <w:pPr>
                    <w:widowControl/>
                    <w:jc w:val="center"/>
                    <w:textAlignment w:val="bottom"/>
                    <w:rPr>
                      <w:szCs w:val="21"/>
                    </w:rPr>
                  </w:pPr>
                  <w:r>
                    <w:rPr>
                      <w:kern w:val="0"/>
                      <w:szCs w:val="21"/>
                      <w:lang w:bidi="ar"/>
                    </w:rPr>
                    <w:t>1.5</w:t>
                  </w:r>
                </w:p>
              </w:tc>
              <w:tc>
                <w:tcPr>
                  <w:tcW w:w="478" w:type="pct"/>
                  <w:tcBorders>
                    <w:tl2br w:val="nil"/>
                    <w:tr2bl w:val="nil"/>
                  </w:tcBorders>
                  <w:noWrap/>
                  <w:vAlign w:val="center"/>
                </w:tcPr>
                <w:p w14:paraId="340BAB3B">
                  <w:pPr>
                    <w:widowControl/>
                    <w:jc w:val="center"/>
                    <w:textAlignment w:val="bottom"/>
                    <w:rPr>
                      <w:szCs w:val="21"/>
                    </w:rPr>
                  </w:pPr>
                  <w:r>
                    <w:rPr>
                      <w:kern w:val="0"/>
                      <w:szCs w:val="21"/>
                      <w:lang w:bidi="ar"/>
                    </w:rPr>
                    <w:t>60.35</w:t>
                  </w:r>
                </w:p>
              </w:tc>
              <w:tc>
                <w:tcPr>
                  <w:tcW w:w="460" w:type="pct"/>
                  <w:tcBorders>
                    <w:tl2br w:val="nil"/>
                    <w:tr2bl w:val="nil"/>
                  </w:tcBorders>
                  <w:noWrap/>
                  <w:vAlign w:val="center"/>
                </w:tcPr>
                <w:p w14:paraId="07A310F1">
                  <w:pPr>
                    <w:widowControl/>
                    <w:jc w:val="center"/>
                    <w:textAlignment w:val="bottom"/>
                    <w:rPr>
                      <w:szCs w:val="21"/>
                    </w:rPr>
                  </w:pPr>
                  <w:r>
                    <w:rPr>
                      <w:kern w:val="0"/>
                      <w:szCs w:val="21"/>
                      <w:lang w:bidi="ar"/>
                    </w:rPr>
                    <w:t>56.82</w:t>
                  </w:r>
                </w:p>
              </w:tc>
              <w:tc>
                <w:tcPr>
                  <w:tcW w:w="514" w:type="pct"/>
                  <w:tcBorders>
                    <w:tl2br w:val="nil"/>
                    <w:tr2bl w:val="nil"/>
                  </w:tcBorders>
                  <w:noWrap/>
                  <w:vAlign w:val="center"/>
                </w:tcPr>
                <w:p w14:paraId="16204615">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7D84F4F">
                  <w:pPr>
                    <w:widowControl/>
                    <w:jc w:val="center"/>
                    <w:textAlignment w:val="bottom"/>
                    <w:rPr>
                      <w:szCs w:val="21"/>
                    </w:rPr>
                  </w:pPr>
                  <w:r>
                    <w:rPr>
                      <w:kern w:val="0"/>
                      <w:szCs w:val="21"/>
                      <w:lang w:bidi="ar"/>
                    </w:rPr>
                    <w:t>31.74</w:t>
                  </w:r>
                </w:p>
              </w:tc>
              <w:tc>
                <w:tcPr>
                  <w:tcW w:w="379" w:type="pct"/>
                  <w:tcBorders>
                    <w:tl2br w:val="nil"/>
                    <w:tr2bl w:val="nil"/>
                  </w:tcBorders>
                  <w:noWrap/>
                  <w:vAlign w:val="center"/>
                </w:tcPr>
                <w:p w14:paraId="6EFD1D2A">
                  <w:pPr>
                    <w:widowControl/>
                    <w:jc w:val="center"/>
                    <w:textAlignment w:val="bottom"/>
                    <w:rPr>
                      <w:szCs w:val="21"/>
                    </w:rPr>
                  </w:pPr>
                  <w:r>
                    <w:rPr>
                      <w:kern w:val="0"/>
                      <w:szCs w:val="21"/>
                      <w:lang w:bidi="ar"/>
                    </w:rPr>
                    <w:t>1m</w:t>
                  </w:r>
                </w:p>
              </w:tc>
              <w:tc>
                <w:tcPr>
                  <w:tcW w:w="236" w:type="pct"/>
                  <w:vMerge w:val="restart"/>
                  <w:tcBorders>
                    <w:tl2br w:val="nil"/>
                    <w:tr2bl w:val="nil"/>
                  </w:tcBorders>
                  <w:noWrap/>
                  <w:vAlign w:val="center"/>
                </w:tcPr>
                <w:p w14:paraId="714888C6">
                  <w:pPr>
                    <w:widowControl/>
                    <w:jc w:val="center"/>
                    <w:textAlignment w:val="bottom"/>
                    <w:rPr>
                      <w:kern w:val="0"/>
                      <w:szCs w:val="21"/>
                      <w:lang w:bidi="ar"/>
                    </w:rPr>
                  </w:pPr>
                  <w:r>
                    <w:rPr>
                      <w:rFonts w:hint="eastAsia"/>
                      <w:kern w:val="0"/>
                      <w:szCs w:val="21"/>
                      <w:lang w:bidi="ar"/>
                    </w:rPr>
                    <w:t>2400h</w:t>
                  </w:r>
                </w:p>
              </w:tc>
            </w:tr>
            <w:tr w14:paraId="024228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36DFB260">
                  <w:pPr>
                    <w:widowControl/>
                    <w:jc w:val="center"/>
                    <w:textAlignment w:val="bottom"/>
                    <w:rPr>
                      <w:szCs w:val="21"/>
                    </w:rPr>
                  </w:pPr>
                </w:p>
              </w:tc>
              <w:tc>
                <w:tcPr>
                  <w:tcW w:w="303" w:type="pct"/>
                  <w:vMerge w:val="continue"/>
                  <w:tcBorders>
                    <w:tl2br w:val="nil"/>
                    <w:tr2bl w:val="nil"/>
                  </w:tcBorders>
                  <w:noWrap/>
                  <w:vAlign w:val="center"/>
                </w:tcPr>
                <w:p w14:paraId="395BCC44">
                  <w:pPr>
                    <w:widowControl/>
                    <w:jc w:val="center"/>
                    <w:textAlignment w:val="bottom"/>
                    <w:rPr>
                      <w:szCs w:val="21"/>
                    </w:rPr>
                  </w:pPr>
                </w:p>
              </w:tc>
              <w:tc>
                <w:tcPr>
                  <w:tcW w:w="429" w:type="pct"/>
                  <w:vMerge w:val="continue"/>
                  <w:tcBorders>
                    <w:tl2br w:val="nil"/>
                    <w:tr2bl w:val="nil"/>
                  </w:tcBorders>
                  <w:noWrap/>
                  <w:vAlign w:val="center"/>
                </w:tcPr>
                <w:p w14:paraId="478FC50E">
                  <w:pPr>
                    <w:widowControl/>
                    <w:jc w:val="center"/>
                    <w:textAlignment w:val="bottom"/>
                    <w:rPr>
                      <w:szCs w:val="21"/>
                    </w:rPr>
                  </w:pPr>
                </w:p>
              </w:tc>
              <w:tc>
                <w:tcPr>
                  <w:tcW w:w="284" w:type="pct"/>
                  <w:vMerge w:val="continue"/>
                  <w:tcBorders>
                    <w:tl2br w:val="nil"/>
                    <w:tr2bl w:val="nil"/>
                  </w:tcBorders>
                  <w:noWrap/>
                  <w:vAlign w:val="center"/>
                </w:tcPr>
                <w:p w14:paraId="445D8915">
                  <w:pPr>
                    <w:jc w:val="center"/>
                    <w:rPr>
                      <w:szCs w:val="21"/>
                    </w:rPr>
                  </w:pPr>
                </w:p>
              </w:tc>
              <w:tc>
                <w:tcPr>
                  <w:tcW w:w="454" w:type="pct"/>
                  <w:tcBorders>
                    <w:tl2br w:val="nil"/>
                    <w:tr2bl w:val="nil"/>
                  </w:tcBorders>
                  <w:noWrap/>
                  <w:vAlign w:val="center"/>
                </w:tcPr>
                <w:p w14:paraId="4281CDE8">
                  <w:pPr>
                    <w:widowControl/>
                    <w:jc w:val="center"/>
                    <w:textAlignment w:val="bottom"/>
                    <w:rPr>
                      <w:szCs w:val="21"/>
                    </w:rPr>
                  </w:pPr>
                  <w:r>
                    <w:rPr>
                      <w:kern w:val="0"/>
                      <w:szCs w:val="21"/>
                      <w:lang w:bidi="ar"/>
                    </w:rPr>
                    <w:t>234.1</w:t>
                  </w:r>
                </w:p>
              </w:tc>
              <w:tc>
                <w:tcPr>
                  <w:tcW w:w="460" w:type="pct"/>
                  <w:tcBorders>
                    <w:tl2br w:val="nil"/>
                    <w:tr2bl w:val="nil"/>
                  </w:tcBorders>
                  <w:noWrap/>
                  <w:vAlign w:val="center"/>
                </w:tcPr>
                <w:p w14:paraId="2A9831CE">
                  <w:pPr>
                    <w:widowControl/>
                    <w:jc w:val="center"/>
                    <w:textAlignment w:val="bottom"/>
                    <w:rPr>
                      <w:szCs w:val="21"/>
                    </w:rPr>
                  </w:pPr>
                  <w:r>
                    <w:rPr>
                      <w:kern w:val="0"/>
                      <w:szCs w:val="21"/>
                      <w:lang w:bidi="ar"/>
                    </w:rPr>
                    <w:t>219.9</w:t>
                  </w:r>
                </w:p>
              </w:tc>
              <w:tc>
                <w:tcPr>
                  <w:tcW w:w="351" w:type="pct"/>
                  <w:tcBorders>
                    <w:tl2br w:val="nil"/>
                    <w:tr2bl w:val="nil"/>
                  </w:tcBorders>
                  <w:noWrap/>
                  <w:vAlign w:val="center"/>
                </w:tcPr>
                <w:p w14:paraId="0FCCCD1C">
                  <w:pPr>
                    <w:widowControl/>
                    <w:jc w:val="center"/>
                    <w:textAlignment w:val="bottom"/>
                    <w:rPr>
                      <w:szCs w:val="21"/>
                    </w:rPr>
                  </w:pPr>
                  <w:r>
                    <w:rPr>
                      <w:kern w:val="0"/>
                      <w:szCs w:val="21"/>
                      <w:lang w:bidi="ar"/>
                    </w:rPr>
                    <w:t>1.5</w:t>
                  </w:r>
                </w:p>
              </w:tc>
              <w:tc>
                <w:tcPr>
                  <w:tcW w:w="478" w:type="pct"/>
                  <w:tcBorders>
                    <w:tl2br w:val="nil"/>
                    <w:tr2bl w:val="nil"/>
                  </w:tcBorders>
                  <w:noWrap/>
                  <w:vAlign w:val="center"/>
                </w:tcPr>
                <w:p w14:paraId="78918731">
                  <w:pPr>
                    <w:widowControl/>
                    <w:jc w:val="center"/>
                    <w:textAlignment w:val="bottom"/>
                    <w:rPr>
                      <w:szCs w:val="21"/>
                    </w:rPr>
                  </w:pPr>
                  <w:r>
                    <w:rPr>
                      <w:kern w:val="0"/>
                      <w:szCs w:val="21"/>
                      <w:lang w:bidi="ar"/>
                    </w:rPr>
                    <w:t>8.52</w:t>
                  </w:r>
                </w:p>
              </w:tc>
              <w:tc>
                <w:tcPr>
                  <w:tcW w:w="460" w:type="pct"/>
                  <w:tcBorders>
                    <w:tl2br w:val="nil"/>
                    <w:tr2bl w:val="nil"/>
                  </w:tcBorders>
                  <w:noWrap/>
                  <w:vAlign w:val="center"/>
                </w:tcPr>
                <w:p w14:paraId="156568BB">
                  <w:pPr>
                    <w:widowControl/>
                    <w:jc w:val="center"/>
                    <w:textAlignment w:val="bottom"/>
                    <w:rPr>
                      <w:szCs w:val="21"/>
                    </w:rPr>
                  </w:pPr>
                  <w:r>
                    <w:rPr>
                      <w:kern w:val="0"/>
                      <w:szCs w:val="21"/>
                      <w:lang w:bidi="ar"/>
                    </w:rPr>
                    <w:t>58.42</w:t>
                  </w:r>
                </w:p>
              </w:tc>
              <w:tc>
                <w:tcPr>
                  <w:tcW w:w="514" w:type="pct"/>
                  <w:tcBorders>
                    <w:tl2br w:val="nil"/>
                    <w:tr2bl w:val="nil"/>
                  </w:tcBorders>
                  <w:noWrap/>
                  <w:vAlign w:val="center"/>
                </w:tcPr>
                <w:p w14:paraId="1B63611B">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20EB1076">
                  <w:pPr>
                    <w:widowControl/>
                    <w:jc w:val="center"/>
                    <w:textAlignment w:val="bottom"/>
                    <w:rPr>
                      <w:szCs w:val="21"/>
                    </w:rPr>
                  </w:pPr>
                  <w:r>
                    <w:rPr>
                      <w:kern w:val="0"/>
                      <w:szCs w:val="21"/>
                      <w:lang w:bidi="ar"/>
                    </w:rPr>
                    <w:t>39.19</w:t>
                  </w:r>
                </w:p>
              </w:tc>
              <w:tc>
                <w:tcPr>
                  <w:tcW w:w="379" w:type="pct"/>
                  <w:tcBorders>
                    <w:tl2br w:val="nil"/>
                    <w:tr2bl w:val="nil"/>
                  </w:tcBorders>
                  <w:noWrap/>
                  <w:vAlign w:val="center"/>
                </w:tcPr>
                <w:p w14:paraId="0E32DD36">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5445BC42">
                  <w:pPr>
                    <w:widowControl/>
                    <w:jc w:val="center"/>
                    <w:textAlignment w:val="bottom"/>
                    <w:rPr>
                      <w:kern w:val="0"/>
                      <w:szCs w:val="21"/>
                      <w:lang w:bidi="ar"/>
                    </w:rPr>
                  </w:pPr>
                </w:p>
              </w:tc>
            </w:tr>
            <w:tr w14:paraId="42D0B6B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07A6FAD8">
                  <w:pPr>
                    <w:widowControl/>
                    <w:jc w:val="center"/>
                    <w:textAlignment w:val="bottom"/>
                    <w:rPr>
                      <w:szCs w:val="21"/>
                    </w:rPr>
                  </w:pPr>
                </w:p>
              </w:tc>
              <w:tc>
                <w:tcPr>
                  <w:tcW w:w="303" w:type="pct"/>
                  <w:vMerge w:val="continue"/>
                  <w:tcBorders>
                    <w:tl2br w:val="nil"/>
                    <w:tr2bl w:val="nil"/>
                  </w:tcBorders>
                  <w:noWrap/>
                  <w:vAlign w:val="center"/>
                </w:tcPr>
                <w:p w14:paraId="47F0F0E8">
                  <w:pPr>
                    <w:widowControl/>
                    <w:jc w:val="center"/>
                    <w:textAlignment w:val="bottom"/>
                    <w:rPr>
                      <w:szCs w:val="21"/>
                    </w:rPr>
                  </w:pPr>
                </w:p>
              </w:tc>
              <w:tc>
                <w:tcPr>
                  <w:tcW w:w="429" w:type="pct"/>
                  <w:vMerge w:val="continue"/>
                  <w:tcBorders>
                    <w:tl2br w:val="nil"/>
                    <w:tr2bl w:val="nil"/>
                  </w:tcBorders>
                  <w:noWrap/>
                  <w:vAlign w:val="center"/>
                </w:tcPr>
                <w:p w14:paraId="120CC353">
                  <w:pPr>
                    <w:widowControl/>
                    <w:jc w:val="center"/>
                    <w:textAlignment w:val="bottom"/>
                    <w:rPr>
                      <w:szCs w:val="21"/>
                    </w:rPr>
                  </w:pPr>
                </w:p>
              </w:tc>
              <w:tc>
                <w:tcPr>
                  <w:tcW w:w="284" w:type="pct"/>
                  <w:vMerge w:val="continue"/>
                  <w:tcBorders>
                    <w:tl2br w:val="nil"/>
                    <w:tr2bl w:val="nil"/>
                  </w:tcBorders>
                  <w:noWrap/>
                  <w:vAlign w:val="center"/>
                </w:tcPr>
                <w:p w14:paraId="46F3FAC6">
                  <w:pPr>
                    <w:jc w:val="center"/>
                    <w:rPr>
                      <w:szCs w:val="21"/>
                    </w:rPr>
                  </w:pPr>
                </w:p>
              </w:tc>
              <w:tc>
                <w:tcPr>
                  <w:tcW w:w="454" w:type="pct"/>
                  <w:tcBorders>
                    <w:tl2br w:val="nil"/>
                    <w:tr2bl w:val="nil"/>
                  </w:tcBorders>
                  <w:noWrap/>
                  <w:vAlign w:val="center"/>
                </w:tcPr>
                <w:p w14:paraId="221DB00E">
                  <w:pPr>
                    <w:widowControl/>
                    <w:jc w:val="center"/>
                    <w:textAlignment w:val="bottom"/>
                    <w:rPr>
                      <w:szCs w:val="21"/>
                    </w:rPr>
                  </w:pPr>
                  <w:r>
                    <w:rPr>
                      <w:kern w:val="0"/>
                      <w:szCs w:val="21"/>
                      <w:lang w:bidi="ar"/>
                    </w:rPr>
                    <w:t>234.1</w:t>
                  </w:r>
                </w:p>
              </w:tc>
              <w:tc>
                <w:tcPr>
                  <w:tcW w:w="460" w:type="pct"/>
                  <w:tcBorders>
                    <w:tl2br w:val="nil"/>
                    <w:tr2bl w:val="nil"/>
                  </w:tcBorders>
                  <w:noWrap/>
                  <w:vAlign w:val="center"/>
                </w:tcPr>
                <w:p w14:paraId="780C1FD3">
                  <w:pPr>
                    <w:widowControl/>
                    <w:jc w:val="center"/>
                    <w:textAlignment w:val="bottom"/>
                    <w:rPr>
                      <w:szCs w:val="21"/>
                    </w:rPr>
                  </w:pPr>
                  <w:r>
                    <w:rPr>
                      <w:kern w:val="0"/>
                      <w:szCs w:val="21"/>
                      <w:lang w:bidi="ar"/>
                    </w:rPr>
                    <w:t>219.9</w:t>
                  </w:r>
                </w:p>
              </w:tc>
              <w:tc>
                <w:tcPr>
                  <w:tcW w:w="351" w:type="pct"/>
                  <w:tcBorders>
                    <w:tl2br w:val="nil"/>
                    <w:tr2bl w:val="nil"/>
                  </w:tcBorders>
                  <w:noWrap/>
                  <w:vAlign w:val="center"/>
                </w:tcPr>
                <w:p w14:paraId="78216998">
                  <w:pPr>
                    <w:widowControl/>
                    <w:jc w:val="center"/>
                    <w:textAlignment w:val="bottom"/>
                    <w:rPr>
                      <w:szCs w:val="21"/>
                    </w:rPr>
                  </w:pPr>
                  <w:r>
                    <w:rPr>
                      <w:kern w:val="0"/>
                      <w:szCs w:val="21"/>
                      <w:lang w:bidi="ar"/>
                    </w:rPr>
                    <w:t>1.5</w:t>
                  </w:r>
                </w:p>
              </w:tc>
              <w:tc>
                <w:tcPr>
                  <w:tcW w:w="478" w:type="pct"/>
                  <w:tcBorders>
                    <w:tl2br w:val="nil"/>
                    <w:tr2bl w:val="nil"/>
                  </w:tcBorders>
                  <w:noWrap/>
                  <w:vAlign w:val="center"/>
                </w:tcPr>
                <w:p w14:paraId="4FC5955B">
                  <w:pPr>
                    <w:widowControl/>
                    <w:jc w:val="center"/>
                    <w:textAlignment w:val="bottom"/>
                    <w:rPr>
                      <w:szCs w:val="21"/>
                    </w:rPr>
                  </w:pPr>
                  <w:r>
                    <w:rPr>
                      <w:kern w:val="0"/>
                      <w:szCs w:val="21"/>
                      <w:lang w:bidi="ar"/>
                    </w:rPr>
                    <w:t>8.67</w:t>
                  </w:r>
                </w:p>
              </w:tc>
              <w:tc>
                <w:tcPr>
                  <w:tcW w:w="460" w:type="pct"/>
                  <w:tcBorders>
                    <w:tl2br w:val="nil"/>
                    <w:tr2bl w:val="nil"/>
                  </w:tcBorders>
                  <w:noWrap/>
                  <w:vAlign w:val="center"/>
                </w:tcPr>
                <w:p w14:paraId="6876FD68">
                  <w:pPr>
                    <w:widowControl/>
                    <w:jc w:val="center"/>
                    <w:textAlignment w:val="bottom"/>
                    <w:rPr>
                      <w:szCs w:val="21"/>
                    </w:rPr>
                  </w:pPr>
                  <w:r>
                    <w:rPr>
                      <w:kern w:val="0"/>
                      <w:szCs w:val="21"/>
                      <w:lang w:bidi="ar"/>
                    </w:rPr>
                    <w:t>58.37</w:t>
                  </w:r>
                </w:p>
              </w:tc>
              <w:tc>
                <w:tcPr>
                  <w:tcW w:w="514" w:type="pct"/>
                  <w:tcBorders>
                    <w:tl2br w:val="nil"/>
                    <w:tr2bl w:val="nil"/>
                  </w:tcBorders>
                  <w:noWrap/>
                  <w:vAlign w:val="center"/>
                </w:tcPr>
                <w:p w14:paraId="1E82D04F">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1CDCEB3B">
                  <w:pPr>
                    <w:widowControl/>
                    <w:jc w:val="center"/>
                    <w:textAlignment w:val="bottom"/>
                    <w:rPr>
                      <w:szCs w:val="21"/>
                    </w:rPr>
                  </w:pPr>
                  <w:r>
                    <w:rPr>
                      <w:kern w:val="0"/>
                      <w:szCs w:val="21"/>
                      <w:lang w:bidi="ar"/>
                    </w:rPr>
                    <w:t>33.29</w:t>
                  </w:r>
                </w:p>
              </w:tc>
              <w:tc>
                <w:tcPr>
                  <w:tcW w:w="379" w:type="pct"/>
                  <w:tcBorders>
                    <w:tl2br w:val="nil"/>
                    <w:tr2bl w:val="nil"/>
                  </w:tcBorders>
                  <w:noWrap/>
                  <w:vAlign w:val="center"/>
                </w:tcPr>
                <w:p w14:paraId="14ABC703">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3B26129">
                  <w:pPr>
                    <w:widowControl/>
                    <w:jc w:val="center"/>
                    <w:textAlignment w:val="bottom"/>
                    <w:rPr>
                      <w:kern w:val="0"/>
                      <w:szCs w:val="21"/>
                      <w:lang w:bidi="ar"/>
                    </w:rPr>
                  </w:pPr>
                </w:p>
              </w:tc>
            </w:tr>
            <w:tr w14:paraId="3B88F04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32582C05">
                  <w:pPr>
                    <w:widowControl/>
                    <w:jc w:val="center"/>
                    <w:textAlignment w:val="bottom"/>
                    <w:rPr>
                      <w:szCs w:val="21"/>
                    </w:rPr>
                  </w:pPr>
                </w:p>
              </w:tc>
              <w:tc>
                <w:tcPr>
                  <w:tcW w:w="303" w:type="pct"/>
                  <w:vMerge w:val="continue"/>
                  <w:tcBorders>
                    <w:tl2br w:val="nil"/>
                    <w:tr2bl w:val="nil"/>
                  </w:tcBorders>
                  <w:noWrap/>
                  <w:vAlign w:val="center"/>
                </w:tcPr>
                <w:p w14:paraId="0F5A8A23">
                  <w:pPr>
                    <w:widowControl/>
                    <w:jc w:val="center"/>
                    <w:textAlignment w:val="bottom"/>
                    <w:rPr>
                      <w:szCs w:val="21"/>
                    </w:rPr>
                  </w:pPr>
                </w:p>
              </w:tc>
              <w:tc>
                <w:tcPr>
                  <w:tcW w:w="429" w:type="pct"/>
                  <w:vMerge w:val="continue"/>
                  <w:tcBorders>
                    <w:tl2br w:val="nil"/>
                    <w:tr2bl w:val="nil"/>
                  </w:tcBorders>
                  <w:noWrap/>
                  <w:vAlign w:val="center"/>
                </w:tcPr>
                <w:p w14:paraId="036F6260">
                  <w:pPr>
                    <w:widowControl/>
                    <w:jc w:val="center"/>
                    <w:textAlignment w:val="bottom"/>
                    <w:rPr>
                      <w:szCs w:val="21"/>
                    </w:rPr>
                  </w:pPr>
                </w:p>
              </w:tc>
              <w:tc>
                <w:tcPr>
                  <w:tcW w:w="284" w:type="pct"/>
                  <w:vMerge w:val="continue"/>
                  <w:tcBorders>
                    <w:tl2br w:val="nil"/>
                    <w:tr2bl w:val="nil"/>
                  </w:tcBorders>
                  <w:noWrap/>
                  <w:vAlign w:val="center"/>
                </w:tcPr>
                <w:p w14:paraId="1ECF582E">
                  <w:pPr>
                    <w:jc w:val="center"/>
                    <w:rPr>
                      <w:szCs w:val="21"/>
                    </w:rPr>
                  </w:pPr>
                </w:p>
              </w:tc>
              <w:tc>
                <w:tcPr>
                  <w:tcW w:w="454" w:type="pct"/>
                  <w:tcBorders>
                    <w:tl2br w:val="nil"/>
                    <w:tr2bl w:val="nil"/>
                  </w:tcBorders>
                  <w:noWrap/>
                  <w:vAlign w:val="center"/>
                </w:tcPr>
                <w:p w14:paraId="3A26212F">
                  <w:pPr>
                    <w:widowControl/>
                    <w:jc w:val="center"/>
                    <w:textAlignment w:val="bottom"/>
                    <w:rPr>
                      <w:szCs w:val="21"/>
                    </w:rPr>
                  </w:pPr>
                  <w:r>
                    <w:rPr>
                      <w:kern w:val="0"/>
                      <w:szCs w:val="21"/>
                      <w:lang w:bidi="ar"/>
                    </w:rPr>
                    <w:t>234.1</w:t>
                  </w:r>
                </w:p>
              </w:tc>
              <w:tc>
                <w:tcPr>
                  <w:tcW w:w="460" w:type="pct"/>
                  <w:tcBorders>
                    <w:tl2br w:val="nil"/>
                    <w:tr2bl w:val="nil"/>
                  </w:tcBorders>
                  <w:noWrap/>
                  <w:vAlign w:val="center"/>
                </w:tcPr>
                <w:p w14:paraId="6A5EE271">
                  <w:pPr>
                    <w:widowControl/>
                    <w:jc w:val="center"/>
                    <w:textAlignment w:val="bottom"/>
                    <w:rPr>
                      <w:szCs w:val="21"/>
                    </w:rPr>
                  </w:pPr>
                  <w:r>
                    <w:rPr>
                      <w:kern w:val="0"/>
                      <w:szCs w:val="21"/>
                      <w:lang w:bidi="ar"/>
                    </w:rPr>
                    <w:t>219.9</w:t>
                  </w:r>
                </w:p>
              </w:tc>
              <w:tc>
                <w:tcPr>
                  <w:tcW w:w="351" w:type="pct"/>
                  <w:tcBorders>
                    <w:tl2br w:val="nil"/>
                    <w:tr2bl w:val="nil"/>
                  </w:tcBorders>
                  <w:noWrap/>
                  <w:vAlign w:val="center"/>
                </w:tcPr>
                <w:p w14:paraId="34E69A8E">
                  <w:pPr>
                    <w:widowControl/>
                    <w:jc w:val="center"/>
                    <w:textAlignment w:val="bottom"/>
                    <w:rPr>
                      <w:szCs w:val="21"/>
                    </w:rPr>
                  </w:pPr>
                  <w:r>
                    <w:rPr>
                      <w:kern w:val="0"/>
                      <w:szCs w:val="21"/>
                      <w:lang w:bidi="ar"/>
                    </w:rPr>
                    <w:t>1.5</w:t>
                  </w:r>
                </w:p>
              </w:tc>
              <w:tc>
                <w:tcPr>
                  <w:tcW w:w="478" w:type="pct"/>
                  <w:tcBorders>
                    <w:tl2br w:val="nil"/>
                    <w:tr2bl w:val="nil"/>
                  </w:tcBorders>
                  <w:noWrap/>
                  <w:vAlign w:val="center"/>
                </w:tcPr>
                <w:p w14:paraId="486B2251">
                  <w:pPr>
                    <w:widowControl/>
                    <w:jc w:val="center"/>
                    <w:textAlignment w:val="bottom"/>
                    <w:rPr>
                      <w:szCs w:val="21"/>
                    </w:rPr>
                  </w:pPr>
                  <w:r>
                    <w:rPr>
                      <w:kern w:val="0"/>
                      <w:szCs w:val="21"/>
                      <w:lang w:bidi="ar"/>
                    </w:rPr>
                    <w:t>8.5</w:t>
                  </w:r>
                </w:p>
              </w:tc>
              <w:tc>
                <w:tcPr>
                  <w:tcW w:w="460" w:type="pct"/>
                  <w:tcBorders>
                    <w:tl2br w:val="nil"/>
                    <w:tr2bl w:val="nil"/>
                  </w:tcBorders>
                  <w:noWrap/>
                  <w:vAlign w:val="center"/>
                </w:tcPr>
                <w:p w14:paraId="099490A3">
                  <w:pPr>
                    <w:widowControl/>
                    <w:jc w:val="center"/>
                    <w:textAlignment w:val="bottom"/>
                    <w:rPr>
                      <w:szCs w:val="21"/>
                    </w:rPr>
                  </w:pPr>
                  <w:r>
                    <w:rPr>
                      <w:kern w:val="0"/>
                      <w:szCs w:val="21"/>
                      <w:lang w:bidi="ar"/>
                    </w:rPr>
                    <w:t>58.43</w:t>
                  </w:r>
                </w:p>
              </w:tc>
              <w:tc>
                <w:tcPr>
                  <w:tcW w:w="514" w:type="pct"/>
                  <w:tcBorders>
                    <w:tl2br w:val="nil"/>
                    <w:tr2bl w:val="nil"/>
                  </w:tcBorders>
                  <w:noWrap/>
                  <w:vAlign w:val="center"/>
                </w:tcPr>
                <w:p w14:paraId="7760E345">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5F823CE1">
                  <w:pPr>
                    <w:widowControl/>
                    <w:jc w:val="center"/>
                    <w:textAlignment w:val="bottom"/>
                    <w:rPr>
                      <w:szCs w:val="21"/>
                    </w:rPr>
                  </w:pPr>
                  <w:r>
                    <w:rPr>
                      <w:kern w:val="0"/>
                      <w:szCs w:val="21"/>
                      <w:lang w:bidi="ar"/>
                    </w:rPr>
                    <w:t>39.2</w:t>
                  </w:r>
                </w:p>
              </w:tc>
              <w:tc>
                <w:tcPr>
                  <w:tcW w:w="379" w:type="pct"/>
                  <w:tcBorders>
                    <w:tl2br w:val="nil"/>
                    <w:tr2bl w:val="nil"/>
                  </w:tcBorders>
                  <w:noWrap/>
                  <w:vAlign w:val="center"/>
                </w:tcPr>
                <w:p w14:paraId="5417C217">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4F54ABCA">
                  <w:pPr>
                    <w:widowControl/>
                    <w:jc w:val="center"/>
                    <w:textAlignment w:val="bottom"/>
                    <w:rPr>
                      <w:kern w:val="0"/>
                      <w:szCs w:val="21"/>
                      <w:lang w:bidi="ar"/>
                    </w:rPr>
                  </w:pPr>
                </w:p>
              </w:tc>
            </w:tr>
            <w:tr w14:paraId="7DAD6C6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restart"/>
                  <w:tcBorders>
                    <w:tl2br w:val="nil"/>
                    <w:tr2bl w:val="nil"/>
                  </w:tcBorders>
                  <w:noWrap/>
                  <w:vAlign w:val="center"/>
                </w:tcPr>
                <w:p w14:paraId="6D69EDBF">
                  <w:pPr>
                    <w:widowControl/>
                    <w:jc w:val="center"/>
                    <w:textAlignment w:val="bottom"/>
                    <w:rPr>
                      <w:szCs w:val="21"/>
                    </w:rPr>
                  </w:pPr>
                  <w:r>
                    <w:rPr>
                      <w:rFonts w:hint="eastAsia"/>
                      <w:szCs w:val="21"/>
                    </w:rPr>
                    <w:t>2</w:t>
                  </w:r>
                </w:p>
              </w:tc>
              <w:tc>
                <w:tcPr>
                  <w:tcW w:w="303" w:type="pct"/>
                  <w:vMerge w:val="restart"/>
                  <w:tcBorders>
                    <w:tl2br w:val="nil"/>
                    <w:tr2bl w:val="nil"/>
                  </w:tcBorders>
                  <w:noWrap/>
                  <w:vAlign w:val="center"/>
                </w:tcPr>
                <w:p w14:paraId="47741469">
                  <w:pPr>
                    <w:widowControl/>
                    <w:jc w:val="center"/>
                    <w:textAlignment w:val="bottom"/>
                    <w:rPr>
                      <w:szCs w:val="21"/>
                    </w:rPr>
                  </w:pPr>
                  <w:r>
                    <w:rPr>
                      <w:kern w:val="0"/>
                      <w:szCs w:val="21"/>
                      <w:lang w:bidi="ar"/>
                    </w:rPr>
                    <w:t>粉碎机1</w:t>
                  </w:r>
                </w:p>
              </w:tc>
              <w:tc>
                <w:tcPr>
                  <w:tcW w:w="429" w:type="pct"/>
                  <w:vMerge w:val="restart"/>
                  <w:tcBorders>
                    <w:tl2br w:val="nil"/>
                    <w:tr2bl w:val="nil"/>
                  </w:tcBorders>
                  <w:noWrap/>
                  <w:vAlign w:val="center"/>
                </w:tcPr>
                <w:p w14:paraId="0331D265">
                  <w:pPr>
                    <w:widowControl/>
                    <w:jc w:val="center"/>
                    <w:textAlignment w:val="bottom"/>
                    <w:rPr>
                      <w:szCs w:val="21"/>
                    </w:rPr>
                  </w:pPr>
                  <w:r>
                    <w:rPr>
                      <w:rFonts w:hint="eastAsia"/>
                      <w:szCs w:val="21"/>
                    </w:rPr>
                    <w:t>80</w:t>
                  </w:r>
                </w:p>
              </w:tc>
              <w:tc>
                <w:tcPr>
                  <w:tcW w:w="284" w:type="pct"/>
                  <w:vMerge w:val="continue"/>
                  <w:tcBorders>
                    <w:tl2br w:val="nil"/>
                    <w:tr2bl w:val="nil"/>
                  </w:tcBorders>
                  <w:noWrap/>
                  <w:vAlign w:val="center"/>
                </w:tcPr>
                <w:p w14:paraId="1C5EDE30">
                  <w:pPr>
                    <w:jc w:val="center"/>
                    <w:rPr>
                      <w:szCs w:val="21"/>
                    </w:rPr>
                  </w:pPr>
                </w:p>
              </w:tc>
              <w:tc>
                <w:tcPr>
                  <w:tcW w:w="454" w:type="pct"/>
                  <w:tcBorders>
                    <w:tl2br w:val="nil"/>
                    <w:tr2bl w:val="nil"/>
                  </w:tcBorders>
                  <w:noWrap/>
                  <w:vAlign w:val="center"/>
                </w:tcPr>
                <w:p w14:paraId="2C981C88">
                  <w:pPr>
                    <w:widowControl/>
                    <w:jc w:val="center"/>
                    <w:textAlignment w:val="bottom"/>
                    <w:rPr>
                      <w:szCs w:val="21"/>
                    </w:rPr>
                  </w:pPr>
                  <w:r>
                    <w:rPr>
                      <w:kern w:val="0"/>
                      <w:szCs w:val="21"/>
                      <w:lang w:bidi="ar"/>
                    </w:rPr>
                    <w:t>237</w:t>
                  </w:r>
                </w:p>
              </w:tc>
              <w:tc>
                <w:tcPr>
                  <w:tcW w:w="460" w:type="pct"/>
                  <w:tcBorders>
                    <w:tl2br w:val="nil"/>
                    <w:tr2bl w:val="nil"/>
                  </w:tcBorders>
                  <w:noWrap/>
                  <w:vAlign w:val="center"/>
                </w:tcPr>
                <w:p w14:paraId="48F3CD99">
                  <w:pPr>
                    <w:widowControl/>
                    <w:jc w:val="center"/>
                    <w:textAlignment w:val="bottom"/>
                    <w:rPr>
                      <w:szCs w:val="21"/>
                    </w:rPr>
                  </w:pPr>
                  <w:r>
                    <w:rPr>
                      <w:kern w:val="0"/>
                      <w:szCs w:val="21"/>
                      <w:lang w:bidi="ar"/>
                    </w:rPr>
                    <w:t>229.3</w:t>
                  </w:r>
                </w:p>
              </w:tc>
              <w:tc>
                <w:tcPr>
                  <w:tcW w:w="351" w:type="pct"/>
                  <w:tcBorders>
                    <w:tl2br w:val="nil"/>
                    <w:tr2bl w:val="nil"/>
                  </w:tcBorders>
                  <w:noWrap/>
                  <w:vAlign w:val="center"/>
                </w:tcPr>
                <w:p w14:paraId="3DEF60BF">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201B1259">
                  <w:pPr>
                    <w:widowControl/>
                    <w:jc w:val="center"/>
                    <w:textAlignment w:val="bottom"/>
                    <w:rPr>
                      <w:szCs w:val="21"/>
                    </w:rPr>
                  </w:pPr>
                  <w:r>
                    <w:rPr>
                      <w:kern w:val="0"/>
                      <w:szCs w:val="21"/>
                      <w:lang w:bidi="ar"/>
                    </w:rPr>
                    <w:t>51.43</w:t>
                  </w:r>
                </w:p>
              </w:tc>
              <w:tc>
                <w:tcPr>
                  <w:tcW w:w="460" w:type="pct"/>
                  <w:tcBorders>
                    <w:tl2br w:val="nil"/>
                    <w:tr2bl w:val="nil"/>
                  </w:tcBorders>
                  <w:noWrap/>
                  <w:vAlign w:val="center"/>
                </w:tcPr>
                <w:p w14:paraId="7EF3304B">
                  <w:pPr>
                    <w:widowControl/>
                    <w:jc w:val="center"/>
                    <w:textAlignment w:val="bottom"/>
                    <w:rPr>
                      <w:szCs w:val="21"/>
                    </w:rPr>
                  </w:pPr>
                  <w:r>
                    <w:rPr>
                      <w:kern w:val="0"/>
                      <w:szCs w:val="21"/>
                      <w:lang w:bidi="ar"/>
                    </w:rPr>
                    <w:t>56.83</w:t>
                  </w:r>
                </w:p>
              </w:tc>
              <w:tc>
                <w:tcPr>
                  <w:tcW w:w="514" w:type="pct"/>
                  <w:tcBorders>
                    <w:tl2br w:val="nil"/>
                    <w:tr2bl w:val="nil"/>
                  </w:tcBorders>
                  <w:noWrap/>
                  <w:vAlign w:val="center"/>
                </w:tcPr>
                <w:p w14:paraId="3684F065">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382E202">
                  <w:pPr>
                    <w:widowControl/>
                    <w:jc w:val="center"/>
                    <w:textAlignment w:val="bottom"/>
                    <w:rPr>
                      <w:szCs w:val="21"/>
                    </w:rPr>
                  </w:pPr>
                  <w:r>
                    <w:rPr>
                      <w:kern w:val="0"/>
                      <w:szCs w:val="21"/>
                      <w:lang w:bidi="ar"/>
                    </w:rPr>
                    <w:t>31.75</w:t>
                  </w:r>
                </w:p>
              </w:tc>
              <w:tc>
                <w:tcPr>
                  <w:tcW w:w="379" w:type="pct"/>
                  <w:tcBorders>
                    <w:tl2br w:val="nil"/>
                    <w:tr2bl w:val="nil"/>
                  </w:tcBorders>
                  <w:noWrap/>
                  <w:vAlign w:val="center"/>
                </w:tcPr>
                <w:p w14:paraId="416C4D57">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A8AD415">
                  <w:pPr>
                    <w:widowControl/>
                    <w:jc w:val="center"/>
                    <w:textAlignment w:val="bottom"/>
                    <w:rPr>
                      <w:kern w:val="0"/>
                      <w:szCs w:val="21"/>
                      <w:lang w:bidi="ar"/>
                    </w:rPr>
                  </w:pPr>
                </w:p>
              </w:tc>
            </w:tr>
            <w:tr w14:paraId="2C4CC7C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195F8841">
                  <w:pPr>
                    <w:widowControl/>
                    <w:jc w:val="center"/>
                    <w:textAlignment w:val="bottom"/>
                    <w:rPr>
                      <w:szCs w:val="21"/>
                    </w:rPr>
                  </w:pPr>
                </w:p>
              </w:tc>
              <w:tc>
                <w:tcPr>
                  <w:tcW w:w="303" w:type="pct"/>
                  <w:vMerge w:val="continue"/>
                  <w:tcBorders>
                    <w:tl2br w:val="nil"/>
                    <w:tr2bl w:val="nil"/>
                  </w:tcBorders>
                  <w:noWrap/>
                  <w:vAlign w:val="center"/>
                </w:tcPr>
                <w:p w14:paraId="476A7FEA">
                  <w:pPr>
                    <w:widowControl/>
                    <w:jc w:val="center"/>
                    <w:textAlignment w:val="bottom"/>
                    <w:rPr>
                      <w:szCs w:val="21"/>
                    </w:rPr>
                  </w:pPr>
                </w:p>
              </w:tc>
              <w:tc>
                <w:tcPr>
                  <w:tcW w:w="429" w:type="pct"/>
                  <w:vMerge w:val="continue"/>
                  <w:tcBorders>
                    <w:tl2br w:val="nil"/>
                    <w:tr2bl w:val="nil"/>
                  </w:tcBorders>
                  <w:noWrap/>
                  <w:vAlign w:val="center"/>
                </w:tcPr>
                <w:p w14:paraId="3F727D79">
                  <w:pPr>
                    <w:widowControl/>
                    <w:jc w:val="center"/>
                    <w:textAlignment w:val="bottom"/>
                    <w:rPr>
                      <w:szCs w:val="21"/>
                    </w:rPr>
                  </w:pPr>
                </w:p>
              </w:tc>
              <w:tc>
                <w:tcPr>
                  <w:tcW w:w="284" w:type="pct"/>
                  <w:vMerge w:val="continue"/>
                  <w:tcBorders>
                    <w:tl2br w:val="nil"/>
                    <w:tr2bl w:val="nil"/>
                  </w:tcBorders>
                  <w:noWrap/>
                  <w:vAlign w:val="center"/>
                </w:tcPr>
                <w:p w14:paraId="065F4D89">
                  <w:pPr>
                    <w:jc w:val="center"/>
                    <w:rPr>
                      <w:szCs w:val="21"/>
                    </w:rPr>
                  </w:pPr>
                </w:p>
              </w:tc>
              <w:tc>
                <w:tcPr>
                  <w:tcW w:w="454" w:type="pct"/>
                  <w:tcBorders>
                    <w:tl2br w:val="nil"/>
                    <w:tr2bl w:val="nil"/>
                  </w:tcBorders>
                  <w:noWrap/>
                  <w:vAlign w:val="center"/>
                </w:tcPr>
                <w:p w14:paraId="158FA82D">
                  <w:pPr>
                    <w:widowControl/>
                    <w:jc w:val="center"/>
                    <w:textAlignment w:val="bottom"/>
                    <w:rPr>
                      <w:szCs w:val="21"/>
                    </w:rPr>
                  </w:pPr>
                  <w:r>
                    <w:rPr>
                      <w:kern w:val="0"/>
                      <w:szCs w:val="21"/>
                      <w:lang w:bidi="ar"/>
                    </w:rPr>
                    <w:t>237</w:t>
                  </w:r>
                </w:p>
              </w:tc>
              <w:tc>
                <w:tcPr>
                  <w:tcW w:w="460" w:type="pct"/>
                  <w:tcBorders>
                    <w:tl2br w:val="nil"/>
                    <w:tr2bl w:val="nil"/>
                  </w:tcBorders>
                  <w:noWrap/>
                  <w:vAlign w:val="center"/>
                </w:tcPr>
                <w:p w14:paraId="0BA6C46F">
                  <w:pPr>
                    <w:widowControl/>
                    <w:jc w:val="center"/>
                    <w:textAlignment w:val="bottom"/>
                    <w:rPr>
                      <w:szCs w:val="21"/>
                    </w:rPr>
                  </w:pPr>
                  <w:r>
                    <w:rPr>
                      <w:kern w:val="0"/>
                      <w:szCs w:val="21"/>
                      <w:lang w:bidi="ar"/>
                    </w:rPr>
                    <w:t>229.3</w:t>
                  </w:r>
                </w:p>
              </w:tc>
              <w:tc>
                <w:tcPr>
                  <w:tcW w:w="351" w:type="pct"/>
                  <w:tcBorders>
                    <w:tl2br w:val="nil"/>
                    <w:tr2bl w:val="nil"/>
                  </w:tcBorders>
                  <w:noWrap/>
                  <w:vAlign w:val="center"/>
                </w:tcPr>
                <w:p w14:paraId="1F62B9F9">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61F6AB55">
                  <w:pPr>
                    <w:widowControl/>
                    <w:jc w:val="center"/>
                    <w:textAlignment w:val="bottom"/>
                    <w:rPr>
                      <w:szCs w:val="21"/>
                    </w:rPr>
                  </w:pPr>
                  <w:r>
                    <w:rPr>
                      <w:kern w:val="0"/>
                      <w:szCs w:val="21"/>
                      <w:lang w:bidi="ar"/>
                    </w:rPr>
                    <w:t>12.88</w:t>
                  </w:r>
                </w:p>
              </w:tc>
              <w:tc>
                <w:tcPr>
                  <w:tcW w:w="460" w:type="pct"/>
                  <w:tcBorders>
                    <w:tl2br w:val="nil"/>
                    <w:tr2bl w:val="nil"/>
                  </w:tcBorders>
                  <w:noWrap/>
                  <w:vAlign w:val="center"/>
                </w:tcPr>
                <w:p w14:paraId="526F7FE6">
                  <w:pPr>
                    <w:widowControl/>
                    <w:jc w:val="center"/>
                    <w:textAlignment w:val="bottom"/>
                    <w:rPr>
                      <w:szCs w:val="21"/>
                    </w:rPr>
                  </w:pPr>
                  <w:r>
                    <w:rPr>
                      <w:kern w:val="0"/>
                      <w:szCs w:val="21"/>
                      <w:lang w:bidi="ar"/>
                    </w:rPr>
                    <w:t>57.57</w:t>
                  </w:r>
                </w:p>
              </w:tc>
              <w:tc>
                <w:tcPr>
                  <w:tcW w:w="514" w:type="pct"/>
                  <w:tcBorders>
                    <w:tl2br w:val="nil"/>
                    <w:tr2bl w:val="nil"/>
                  </w:tcBorders>
                  <w:noWrap/>
                  <w:vAlign w:val="center"/>
                </w:tcPr>
                <w:p w14:paraId="58958D20">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7F06C32A">
                  <w:pPr>
                    <w:widowControl/>
                    <w:jc w:val="center"/>
                    <w:textAlignment w:val="bottom"/>
                    <w:rPr>
                      <w:szCs w:val="21"/>
                    </w:rPr>
                  </w:pPr>
                  <w:r>
                    <w:rPr>
                      <w:kern w:val="0"/>
                      <w:szCs w:val="21"/>
                      <w:lang w:bidi="ar"/>
                    </w:rPr>
                    <w:t>38.35</w:t>
                  </w:r>
                </w:p>
              </w:tc>
              <w:tc>
                <w:tcPr>
                  <w:tcW w:w="379" w:type="pct"/>
                  <w:tcBorders>
                    <w:tl2br w:val="nil"/>
                    <w:tr2bl w:val="nil"/>
                  </w:tcBorders>
                  <w:noWrap/>
                  <w:vAlign w:val="center"/>
                </w:tcPr>
                <w:p w14:paraId="324302A5">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64B39CDB">
                  <w:pPr>
                    <w:widowControl/>
                    <w:jc w:val="center"/>
                    <w:textAlignment w:val="bottom"/>
                    <w:rPr>
                      <w:kern w:val="0"/>
                      <w:szCs w:val="21"/>
                      <w:lang w:bidi="ar"/>
                    </w:rPr>
                  </w:pPr>
                </w:p>
              </w:tc>
            </w:tr>
            <w:tr w14:paraId="504DCC6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3EE930E5">
                  <w:pPr>
                    <w:widowControl/>
                    <w:jc w:val="center"/>
                    <w:textAlignment w:val="bottom"/>
                    <w:rPr>
                      <w:szCs w:val="21"/>
                    </w:rPr>
                  </w:pPr>
                </w:p>
              </w:tc>
              <w:tc>
                <w:tcPr>
                  <w:tcW w:w="303" w:type="pct"/>
                  <w:vMerge w:val="continue"/>
                  <w:tcBorders>
                    <w:tl2br w:val="nil"/>
                    <w:tr2bl w:val="nil"/>
                  </w:tcBorders>
                  <w:noWrap/>
                  <w:vAlign w:val="center"/>
                </w:tcPr>
                <w:p w14:paraId="0CB51498">
                  <w:pPr>
                    <w:widowControl/>
                    <w:jc w:val="center"/>
                    <w:textAlignment w:val="bottom"/>
                    <w:rPr>
                      <w:szCs w:val="21"/>
                    </w:rPr>
                  </w:pPr>
                </w:p>
              </w:tc>
              <w:tc>
                <w:tcPr>
                  <w:tcW w:w="429" w:type="pct"/>
                  <w:vMerge w:val="continue"/>
                  <w:tcBorders>
                    <w:tl2br w:val="nil"/>
                    <w:tr2bl w:val="nil"/>
                  </w:tcBorders>
                  <w:noWrap/>
                  <w:vAlign w:val="center"/>
                </w:tcPr>
                <w:p w14:paraId="2F56DC18">
                  <w:pPr>
                    <w:widowControl/>
                    <w:jc w:val="center"/>
                    <w:textAlignment w:val="bottom"/>
                    <w:rPr>
                      <w:szCs w:val="21"/>
                    </w:rPr>
                  </w:pPr>
                </w:p>
              </w:tc>
              <w:tc>
                <w:tcPr>
                  <w:tcW w:w="284" w:type="pct"/>
                  <w:vMerge w:val="continue"/>
                  <w:tcBorders>
                    <w:tl2br w:val="nil"/>
                    <w:tr2bl w:val="nil"/>
                  </w:tcBorders>
                  <w:noWrap/>
                  <w:vAlign w:val="center"/>
                </w:tcPr>
                <w:p w14:paraId="50B0F440">
                  <w:pPr>
                    <w:jc w:val="center"/>
                    <w:rPr>
                      <w:szCs w:val="21"/>
                    </w:rPr>
                  </w:pPr>
                </w:p>
              </w:tc>
              <w:tc>
                <w:tcPr>
                  <w:tcW w:w="454" w:type="pct"/>
                  <w:tcBorders>
                    <w:tl2br w:val="nil"/>
                    <w:tr2bl w:val="nil"/>
                  </w:tcBorders>
                  <w:noWrap/>
                  <w:vAlign w:val="center"/>
                </w:tcPr>
                <w:p w14:paraId="186086CC">
                  <w:pPr>
                    <w:widowControl/>
                    <w:jc w:val="center"/>
                    <w:textAlignment w:val="bottom"/>
                    <w:rPr>
                      <w:szCs w:val="21"/>
                    </w:rPr>
                  </w:pPr>
                  <w:r>
                    <w:rPr>
                      <w:kern w:val="0"/>
                      <w:szCs w:val="21"/>
                      <w:lang w:bidi="ar"/>
                    </w:rPr>
                    <w:t>237</w:t>
                  </w:r>
                </w:p>
              </w:tc>
              <w:tc>
                <w:tcPr>
                  <w:tcW w:w="460" w:type="pct"/>
                  <w:tcBorders>
                    <w:tl2br w:val="nil"/>
                    <w:tr2bl w:val="nil"/>
                  </w:tcBorders>
                  <w:noWrap/>
                  <w:vAlign w:val="center"/>
                </w:tcPr>
                <w:p w14:paraId="15CC518C">
                  <w:pPr>
                    <w:widowControl/>
                    <w:jc w:val="center"/>
                    <w:textAlignment w:val="bottom"/>
                    <w:rPr>
                      <w:szCs w:val="21"/>
                    </w:rPr>
                  </w:pPr>
                  <w:r>
                    <w:rPr>
                      <w:kern w:val="0"/>
                      <w:szCs w:val="21"/>
                      <w:lang w:bidi="ar"/>
                    </w:rPr>
                    <w:t>229.3</w:t>
                  </w:r>
                </w:p>
              </w:tc>
              <w:tc>
                <w:tcPr>
                  <w:tcW w:w="351" w:type="pct"/>
                  <w:tcBorders>
                    <w:tl2br w:val="nil"/>
                    <w:tr2bl w:val="nil"/>
                  </w:tcBorders>
                  <w:noWrap/>
                  <w:vAlign w:val="center"/>
                </w:tcPr>
                <w:p w14:paraId="658913AF">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3FADE517">
                  <w:pPr>
                    <w:widowControl/>
                    <w:jc w:val="center"/>
                    <w:textAlignment w:val="bottom"/>
                    <w:rPr>
                      <w:szCs w:val="21"/>
                    </w:rPr>
                  </w:pPr>
                  <w:r>
                    <w:rPr>
                      <w:kern w:val="0"/>
                      <w:szCs w:val="21"/>
                      <w:lang w:bidi="ar"/>
                    </w:rPr>
                    <w:t>13</w:t>
                  </w:r>
                </w:p>
              </w:tc>
              <w:tc>
                <w:tcPr>
                  <w:tcW w:w="460" w:type="pct"/>
                  <w:tcBorders>
                    <w:tl2br w:val="nil"/>
                    <w:tr2bl w:val="nil"/>
                  </w:tcBorders>
                  <w:noWrap/>
                  <w:vAlign w:val="center"/>
                </w:tcPr>
                <w:p w14:paraId="20D975C1">
                  <w:pPr>
                    <w:widowControl/>
                    <w:jc w:val="center"/>
                    <w:textAlignment w:val="bottom"/>
                    <w:rPr>
                      <w:szCs w:val="21"/>
                    </w:rPr>
                  </w:pPr>
                  <w:r>
                    <w:rPr>
                      <w:kern w:val="0"/>
                      <w:szCs w:val="21"/>
                      <w:lang w:bidi="ar"/>
                    </w:rPr>
                    <w:t>57.56</w:t>
                  </w:r>
                </w:p>
              </w:tc>
              <w:tc>
                <w:tcPr>
                  <w:tcW w:w="514" w:type="pct"/>
                  <w:tcBorders>
                    <w:tl2br w:val="nil"/>
                    <w:tr2bl w:val="nil"/>
                  </w:tcBorders>
                  <w:noWrap/>
                  <w:vAlign w:val="center"/>
                </w:tcPr>
                <w:p w14:paraId="70D0F8DE">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5EDE1E1">
                  <w:pPr>
                    <w:widowControl/>
                    <w:jc w:val="center"/>
                    <w:textAlignment w:val="bottom"/>
                    <w:rPr>
                      <w:szCs w:val="21"/>
                    </w:rPr>
                  </w:pPr>
                  <w:r>
                    <w:rPr>
                      <w:kern w:val="0"/>
                      <w:szCs w:val="21"/>
                      <w:lang w:bidi="ar"/>
                    </w:rPr>
                    <w:t>32.48</w:t>
                  </w:r>
                </w:p>
              </w:tc>
              <w:tc>
                <w:tcPr>
                  <w:tcW w:w="379" w:type="pct"/>
                  <w:tcBorders>
                    <w:tl2br w:val="nil"/>
                    <w:tr2bl w:val="nil"/>
                  </w:tcBorders>
                  <w:noWrap/>
                  <w:vAlign w:val="center"/>
                </w:tcPr>
                <w:p w14:paraId="666E2438">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13F8342C">
                  <w:pPr>
                    <w:widowControl/>
                    <w:jc w:val="center"/>
                    <w:textAlignment w:val="bottom"/>
                    <w:rPr>
                      <w:kern w:val="0"/>
                      <w:szCs w:val="21"/>
                      <w:lang w:bidi="ar"/>
                    </w:rPr>
                  </w:pPr>
                </w:p>
              </w:tc>
            </w:tr>
            <w:tr w14:paraId="1204B5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493BF2DF">
                  <w:pPr>
                    <w:widowControl/>
                    <w:jc w:val="center"/>
                    <w:textAlignment w:val="bottom"/>
                    <w:rPr>
                      <w:szCs w:val="21"/>
                    </w:rPr>
                  </w:pPr>
                </w:p>
              </w:tc>
              <w:tc>
                <w:tcPr>
                  <w:tcW w:w="303" w:type="pct"/>
                  <w:vMerge w:val="continue"/>
                  <w:tcBorders>
                    <w:tl2br w:val="nil"/>
                    <w:tr2bl w:val="nil"/>
                  </w:tcBorders>
                  <w:noWrap/>
                  <w:vAlign w:val="center"/>
                </w:tcPr>
                <w:p w14:paraId="1B750836">
                  <w:pPr>
                    <w:widowControl/>
                    <w:jc w:val="center"/>
                    <w:textAlignment w:val="bottom"/>
                    <w:rPr>
                      <w:szCs w:val="21"/>
                    </w:rPr>
                  </w:pPr>
                </w:p>
              </w:tc>
              <w:tc>
                <w:tcPr>
                  <w:tcW w:w="429" w:type="pct"/>
                  <w:vMerge w:val="continue"/>
                  <w:tcBorders>
                    <w:tl2br w:val="nil"/>
                    <w:tr2bl w:val="nil"/>
                  </w:tcBorders>
                  <w:noWrap/>
                  <w:vAlign w:val="center"/>
                </w:tcPr>
                <w:p w14:paraId="065B7F64">
                  <w:pPr>
                    <w:widowControl/>
                    <w:jc w:val="center"/>
                    <w:textAlignment w:val="bottom"/>
                    <w:rPr>
                      <w:szCs w:val="21"/>
                    </w:rPr>
                  </w:pPr>
                </w:p>
              </w:tc>
              <w:tc>
                <w:tcPr>
                  <w:tcW w:w="284" w:type="pct"/>
                  <w:vMerge w:val="continue"/>
                  <w:tcBorders>
                    <w:tl2br w:val="nil"/>
                    <w:tr2bl w:val="nil"/>
                  </w:tcBorders>
                  <w:noWrap/>
                  <w:vAlign w:val="center"/>
                </w:tcPr>
                <w:p w14:paraId="49017E44">
                  <w:pPr>
                    <w:jc w:val="center"/>
                    <w:rPr>
                      <w:szCs w:val="21"/>
                    </w:rPr>
                  </w:pPr>
                </w:p>
              </w:tc>
              <w:tc>
                <w:tcPr>
                  <w:tcW w:w="454" w:type="pct"/>
                  <w:tcBorders>
                    <w:tl2br w:val="nil"/>
                    <w:tr2bl w:val="nil"/>
                  </w:tcBorders>
                  <w:noWrap/>
                  <w:vAlign w:val="center"/>
                </w:tcPr>
                <w:p w14:paraId="56069EB8">
                  <w:pPr>
                    <w:widowControl/>
                    <w:jc w:val="center"/>
                    <w:textAlignment w:val="bottom"/>
                    <w:rPr>
                      <w:szCs w:val="21"/>
                    </w:rPr>
                  </w:pPr>
                  <w:r>
                    <w:rPr>
                      <w:kern w:val="0"/>
                      <w:szCs w:val="21"/>
                      <w:lang w:bidi="ar"/>
                    </w:rPr>
                    <w:t>237</w:t>
                  </w:r>
                </w:p>
              </w:tc>
              <w:tc>
                <w:tcPr>
                  <w:tcW w:w="460" w:type="pct"/>
                  <w:tcBorders>
                    <w:tl2br w:val="nil"/>
                    <w:tr2bl w:val="nil"/>
                  </w:tcBorders>
                  <w:noWrap/>
                  <w:vAlign w:val="center"/>
                </w:tcPr>
                <w:p w14:paraId="14455B8A">
                  <w:pPr>
                    <w:widowControl/>
                    <w:jc w:val="center"/>
                    <w:textAlignment w:val="bottom"/>
                    <w:rPr>
                      <w:szCs w:val="21"/>
                    </w:rPr>
                  </w:pPr>
                  <w:r>
                    <w:rPr>
                      <w:kern w:val="0"/>
                      <w:szCs w:val="21"/>
                      <w:lang w:bidi="ar"/>
                    </w:rPr>
                    <w:t>229.3</w:t>
                  </w:r>
                </w:p>
              </w:tc>
              <w:tc>
                <w:tcPr>
                  <w:tcW w:w="351" w:type="pct"/>
                  <w:tcBorders>
                    <w:tl2br w:val="nil"/>
                    <w:tr2bl w:val="nil"/>
                  </w:tcBorders>
                  <w:noWrap/>
                  <w:vAlign w:val="center"/>
                </w:tcPr>
                <w:p w14:paraId="317E40AF">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07F7AB09">
                  <w:pPr>
                    <w:widowControl/>
                    <w:jc w:val="center"/>
                    <w:textAlignment w:val="bottom"/>
                    <w:rPr>
                      <w:szCs w:val="21"/>
                    </w:rPr>
                  </w:pPr>
                  <w:r>
                    <w:rPr>
                      <w:kern w:val="0"/>
                      <w:szCs w:val="21"/>
                      <w:lang w:bidi="ar"/>
                    </w:rPr>
                    <w:t>12.84</w:t>
                  </w:r>
                </w:p>
              </w:tc>
              <w:tc>
                <w:tcPr>
                  <w:tcW w:w="460" w:type="pct"/>
                  <w:tcBorders>
                    <w:tl2br w:val="nil"/>
                    <w:tr2bl w:val="nil"/>
                  </w:tcBorders>
                  <w:noWrap/>
                  <w:vAlign w:val="center"/>
                </w:tcPr>
                <w:p w14:paraId="37FA6AC0">
                  <w:pPr>
                    <w:widowControl/>
                    <w:jc w:val="center"/>
                    <w:textAlignment w:val="bottom"/>
                    <w:rPr>
                      <w:szCs w:val="21"/>
                    </w:rPr>
                  </w:pPr>
                  <w:r>
                    <w:rPr>
                      <w:kern w:val="0"/>
                      <w:szCs w:val="21"/>
                      <w:lang w:bidi="ar"/>
                    </w:rPr>
                    <w:t>57.58</w:t>
                  </w:r>
                </w:p>
              </w:tc>
              <w:tc>
                <w:tcPr>
                  <w:tcW w:w="514" w:type="pct"/>
                  <w:tcBorders>
                    <w:tl2br w:val="nil"/>
                    <w:tr2bl w:val="nil"/>
                  </w:tcBorders>
                  <w:noWrap/>
                  <w:vAlign w:val="center"/>
                </w:tcPr>
                <w:p w14:paraId="3E17B436">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581F183C">
                  <w:pPr>
                    <w:widowControl/>
                    <w:jc w:val="center"/>
                    <w:textAlignment w:val="bottom"/>
                    <w:rPr>
                      <w:szCs w:val="21"/>
                    </w:rPr>
                  </w:pPr>
                  <w:r>
                    <w:rPr>
                      <w:kern w:val="0"/>
                      <w:szCs w:val="21"/>
                      <w:lang w:bidi="ar"/>
                    </w:rPr>
                    <w:t>38.35</w:t>
                  </w:r>
                </w:p>
              </w:tc>
              <w:tc>
                <w:tcPr>
                  <w:tcW w:w="379" w:type="pct"/>
                  <w:tcBorders>
                    <w:tl2br w:val="nil"/>
                    <w:tr2bl w:val="nil"/>
                  </w:tcBorders>
                  <w:noWrap/>
                  <w:vAlign w:val="center"/>
                </w:tcPr>
                <w:p w14:paraId="1ABCE665">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25FE2780">
                  <w:pPr>
                    <w:widowControl/>
                    <w:jc w:val="center"/>
                    <w:textAlignment w:val="bottom"/>
                    <w:rPr>
                      <w:kern w:val="0"/>
                      <w:szCs w:val="21"/>
                      <w:lang w:bidi="ar"/>
                    </w:rPr>
                  </w:pPr>
                </w:p>
              </w:tc>
            </w:tr>
            <w:tr w14:paraId="0978BC6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restart"/>
                  <w:tcBorders>
                    <w:tl2br w:val="nil"/>
                    <w:tr2bl w:val="nil"/>
                  </w:tcBorders>
                  <w:noWrap/>
                  <w:vAlign w:val="center"/>
                </w:tcPr>
                <w:p w14:paraId="7F792045">
                  <w:pPr>
                    <w:widowControl/>
                    <w:jc w:val="center"/>
                    <w:textAlignment w:val="bottom"/>
                    <w:rPr>
                      <w:szCs w:val="21"/>
                    </w:rPr>
                  </w:pPr>
                  <w:r>
                    <w:rPr>
                      <w:rFonts w:hint="eastAsia"/>
                      <w:szCs w:val="21"/>
                    </w:rPr>
                    <w:t>3</w:t>
                  </w:r>
                </w:p>
              </w:tc>
              <w:tc>
                <w:tcPr>
                  <w:tcW w:w="303" w:type="pct"/>
                  <w:vMerge w:val="restart"/>
                  <w:tcBorders>
                    <w:tl2br w:val="nil"/>
                    <w:tr2bl w:val="nil"/>
                  </w:tcBorders>
                  <w:noWrap/>
                  <w:vAlign w:val="center"/>
                </w:tcPr>
                <w:p w14:paraId="7430DEA1">
                  <w:pPr>
                    <w:widowControl/>
                    <w:jc w:val="center"/>
                    <w:textAlignment w:val="bottom"/>
                    <w:rPr>
                      <w:szCs w:val="21"/>
                    </w:rPr>
                  </w:pPr>
                  <w:r>
                    <w:rPr>
                      <w:kern w:val="0"/>
                      <w:szCs w:val="21"/>
                      <w:lang w:bidi="ar"/>
                    </w:rPr>
                    <w:t>粉碎机2</w:t>
                  </w:r>
                </w:p>
              </w:tc>
              <w:tc>
                <w:tcPr>
                  <w:tcW w:w="429" w:type="pct"/>
                  <w:vMerge w:val="restart"/>
                  <w:tcBorders>
                    <w:tl2br w:val="nil"/>
                    <w:tr2bl w:val="nil"/>
                  </w:tcBorders>
                  <w:noWrap/>
                  <w:vAlign w:val="center"/>
                </w:tcPr>
                <w:p w14:paraId="1675B8EB">
                  <w:pPr>
                    <w:widowControl/>
                    <w:jc w:val="center"/>
                    <w:textAlignment w:val="bottom"/>
                    <w:rPr>
                      <w:szCs w:val="21"/>
                    </w:rPr>
                  </w:pPr>
                  <w:r>
                    <w:rPr>
                      <w:rFonts w:hint="eastAsia"/>
                      <w:szCs w:val="21"/>
                    </w:rPr>
                    <w:t>80</w:t>
                  </w:r>
                </w:p>
              </w:tc>
              <w:tc>
                <w:tcPr>
                  <w:tcW w:w="284" w:type="pct"/>
                  <w:vMerge w:val="continue"/>
                  <w:tcBorders>
                    <w:tl2br w:val="nil"/>
                    <w:tr2bl w:val="nil"/>
                  </w:tcBorders>
                  <w:noWrap/>
                  <w:vAlign w:val="center"/>
                </w:tcPr>
                <w:p w14:paraId="4E642A2C">
                  <w:pPr>
                    <w:jc w:val="center"/>
                    <w:rPr>
                      <w:szCs w:val="21"/>
                    </w:rPr>
                  </w:pPr>
                </w:p>
              </w:tc>
              <w:tc>
                <w:tcPr>
                  <w:tcW w:w="454" w:type="pct"/>
                  <w:tcBorders>
                    <w:tl2br w:val="nil"/>
                    <w:tr2bl w:val="nil"/>
                  </w:tcBorders>
                  <w:noWrap/>
                  <w:vAlign w:val="center"/>
                </w:tcPr>
                <w:p w14:paraId="67F11CFE">
                  <w:pPr>
                    <w:widowControl/>
                    <w:jc w:val="center"/>
                    <w:textAlignment w:val="bottom"/>
                    <w:rPr>
                      <w:szCs w:val="21"/>
                    </w:rPr>
                  </w:pPr>
                  <w:r>
                    <w:rPr>
                      <w:kern w:val="0"/>
                      <w:szCs w:val="21"/>
                      <w:lang w:bidi="ar"/>
                    </w:rPr>
                    <w:t>243.1</w:t>
                  </w:r>
                </w:p>
              </w:tc>
              <w:tc>
                <w:tcPr>
                  <w:tcW w:w="460" w:type="pct"/>
                  <w:tcBorders>
                    <w:tl2br w:val="nil"/>
                    <w:tr2bl w:val="nil"/>
                  </w:tcBorders>
                  <w:noWrap/>
                  <w:vAlign w:val="center"/>
                </w:tcPr>
                <w:p w14:paraId="048A7631">
                  <w:pPr>
                    <w:widowControl/>
                    <w:jc w:val="center"/>
                    <w:textAlignment w:val="bottom"/>
                    <w:rPr>
                      <w:szCs w:val="21"/>
                    </w:rPr>
                  </w:pPr>
                  <w:r>
                    <w:rPr>
                      <w:kern w:val="0"/>
                      <w:szCs w:val="21"/>
                      <w:lang w:bidi="ar"/>
                    </w:rPr>
                    <w:t>223.7</w:t>
                  </w:r>
                </w:p>
              </w:tc>
              <w:tc>
                <w:tcPr>
                  <w:tcW w:w="351" w:type="pct"/>
                  <w:tcBorders>
                    <w:tl2br w:val="nil"/>
                    <w:tr2bl w:val="nil"/>
                  </w:tcBorders>
                  <w:noWrap/>
                  <w:vAlign w:val="center"/>
                </w:tcPr>
                <w:p w14:paraId="06904D0A">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7212F240">
                  <w:pPr>
                    <w:widowControl/>
                    <w:jc w:val="center"/>
                    <w:textAlignment w:val="bottom"/>
                    <w:rPr>
                      <w:szCs w:val="21"/>
                    </w:rPr>
                  </w:pPr>
                  <w:r>
                    <w:rPr>
                      <w:kern w:val="0"/>
                      <w:szCs w:val="21"/>
                      <w:lang w:bidi="ar"/>
                    </w:rPr>
                    <w:t>51.47</w:t>
                  </w:r>
                </w:p>
              </w:tc>
              <w:tc>
                <w:tcPr>
                  <w:tcW w:w="460" w:type="pct"/>
                  <w:tcBorders>
                    <w:tl2br w:val="nil"/>
                    <w:tr2bl w:val="nil"/>
                  </w:tcBorders>
                  <w:noWrap/>
                  <w:vAlign w:val="center"/>
                </w:tcPr>
                <w:p w14:paraId="7AE0B26D">
                  <w:pPr>
                    <w:widowControl/>
                    <w:jc w:val="center"/>
                    <w:textAlignment w:val="bottom"/>
                    <w:rPr>
                      <w:szCs w:val="21"/>
                    </w:rPr>
                  </w:pPr>
                  <w:r>
                    <w:rPr>
                      <w:kern w:val="0"/>
                      <w:szCs w:val="21"/>
                      <w:lang w:bidi="ar"/>
                    </w:rPr>
                    <w:t>56.83</w:t>
                  </w:r>
                </w:p>
              </w:tc>
              <w:tc>
                <w:tcPr>
                  <w:tcW w:w="514" w:type="pct"/>
                  <w:tcBorders>
                    <w:tl2br w:val="nil"/>
                    <w:tr2bl w:val="nil"/>
                  </w:tcBorders>
                  <w:noWrap/>
                  <w:vAlign w:val="center"/>
                </w:tcPr>
                <w:p w14:paraId="7F4132AF">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4EC4D21E">
                  <w:pPr>
                    <w:widowControl/>
                    <w:jc w:val="center"/>
                    <w:textAlignment w:val="bottom"/>
                    <w:rPr>
                      <w:szCs w:val="21"/>
                    </w:rPr>
                  </w:pPr>
                  <w:r>
                    <w:rPr>
                      <w:kern w:val="0"/>
                      <w:szCs w:val="21"/>
                      <w:lang w:bidi="ar"/>
                    </w:rPr>
                    <w:t>31.75</w:t>
                  </w:r>
                </w:p>
              </w:tc>
              <w:tc>
                <w:tcPr>
                  <w:tcW w:w="379" w:type="pct"/>
                  <w:tcBorders>
                    <w:tl2br w:val="nil"/>
                    <w:tr2bl w:val="nil"/>
                  </w:tcBorders>
                  <w:noWrap/>
                  <w:vAlign w:val="center"/>
                </w:tcPr>
                <w:p w14:paraId="3760CAE7">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2D4810DD">
                  <w:pPr>
                    <w:widowControl/>
                    <w:jc w:val="center"/>
                    <w:textAlignment w:val="bottom"/>
                    <w:rPr>
                      <w:kern w:val="0"/>
                      <w:szCs w:val="21"/>
                      <w:lang w:bidi="ar"/>
                    </w:rPr>
                  </w:pPr>
                </w:p>
              </w:tc>
            </w:tr>
            <w:tr w14:paraId="6565754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1E06545F">
                  <w:pPr>
                    <w:widowControl/>
                    <w:jc w:val="center"/>
                    <w:textAlignment w:val="bottom"/>
                    <w:rPr>
                      <w:szCs w:val="21"/>
                    </w:rPr>
                  </w:pPr>
                </w:p>
              </w:tc>
              <w:tc>
                <w:tcPr>
                  <w:tcW w:w="303" w:type="pct"/>
                  <w:vMerge w:val="continue"/>
                  <w:tcBorders>
                    <w:tl2br w:val="nil"/>
                    <w:tr2bl w:val="nil"/>
                  </w:tcBorders>
                  <w:noWrap/>
                  <w:vAlign w:val="center"/>
                </w:tcPr>
                <w:p w14:paraId="73BCADEF">
                  <w:pPr>
                    <w:widowControl/>
                    <w:jc w:val="center"/>
                    <w:textAlignment w:val="bottom"/>
                    <w:rPr>
                      <w:szCs w:val="21"/>
                    </w:rPr>
                  </w:pPr>
                </w:p>
              </w:tc>
              <w:tc>
                <w:tcPr>
                  <w:tcW w:w="429" w:type="pct"/>
                  <w:vMerge w:val="continue"/>
                  <w:tcBorders>
                    <w:tl2br w:val="nil"/>
                    <w:tr2bl w:val="nil"/>
                  </w:tcBorders>
                  <w:noWrap/>
                  <w:vAlign w:val="center"/>
                </w:tcPr>
                <w:p w14:paraId="276CCFE6">
                  <w:pPr>
                    <w:widowControl/>
                    <w:jc w:val="center"/>
                    <w:textAlignment w:val="bottom"/>
                    <w:rPr>
                      <w:szCs w:val="21"/>
                    </w:rPr>
                  </w:pPr>
                </w:p>
              </w:tc>
              <w:tc>
                <w:tcPr>
                  <w:tcW w:w="284" w:type="pct"/>
                  <w:vMerge w:val="continue"/>
                  <w:tcBorders>
                    <w:tl2br w:val="nil"/>
                    <w:tr2bl w:val="nil"/>
                  </w:tcBorders>
                  <w:noWrap/>
                  <w:vAlign w:val="center"/>
                </w:tcPr>
                <w:p w14:paraId="6BD7F3B5">
                  <w:pPr>
                    <w:jc w:val="center"/>
                    <w:rPr>
                      <w:szCs w:val="21"/>
                    </w:rPr>
                  </w:pPr>
                </w:p>
              </w:tc>
              <w:tc>
                <w:tcPr>
                  <w:tcW w:w="454" w:type="pct"/>
                  <w:tcBorders>
                    <w:tl2br w:val="nil"/>
                    <w:tr2bl w:val="nil"/>
                  </w:tcBorders>
                  <w:noWrap/>
                  <w:vAlign w:val="center"/>
                </w:tcPr>
                <w:p w14:paraId="7800FCB9">
                  <w:pPr>
                    <w:widowControl/>
                    <w:jc w:val="center"/>
                    <w:textAlignment w:val="bottom"/>
                    <w:rPr>
                      <w:szCs w:val="21"/>
                    </w:rPr>
                  </w:pPr>
                  <w:r>
                    <w:rPr>
                      <w:kern w:val="0"/>
                      <w:szCs w:val="21"/>
                      <w:lang w:bidi="ar"/>
                    </w:rPr>
                    <w:t>243.1</w:t>
                  </w:r>
                </w:p>
              </w:tc>
              <w:tc>
                <w:tcPr>
                  <w:tcW w:w="460" w:type="pct"/>
                  <w:tcBorders>
                    <w:tl2br w:val="nil"/>
                    <w:tr2bl w:val="nil"/>
                  </w:tcBorders>
                  <w:noWrap/>
                  <w:vAlign w:val="center"/>
                </w:tcPr>
                <w:p w14:paraId="20D71643">
                  <w:pPr>
                    <w:widowControl/>
                    <w:jc w:val="center"/>
                    <w:textAlignment w:val="bottom"/>
                    <w:rPr>
                      <w:szCs w:val="21"/>
                    </w:rPr>
                  </w:pPr>
                  <w:r>
                    <w:rPr>
                      <w:kern w:val="0"/>
                      <w:szCs w:val="21"/>
                      <w:lang w:bidi="ar"/>
                    </w:rPr>
                    <w:t>223.7</w:t>
                  </w:r>
                </w:p>
              </w:tc>
              <w:tc>
                <w:tcPr>
                  <w:tcW w:w="351" w:type="pct"/>
                  <w:tcBorders>
                    <w:tl2br w:val="nil"/>
                    <w:tr2bl w:val="nil"/>
                  </w:tcBorders>
                  <w:noWrap/>
                  <w:vAlign w:val="center"/>
                </w:tcPr>
                <w:p w14:paraId="47B88A0E">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25CDDDD4">
                  <w:pPr>
                    <w:widowControl/>
                    <w:jc w:val="center"/>
                    <w:textAlignment w:val="bottom"/>
                    <w:rPr>
                      <w:szCs w:val="21"/>
                    </w:rPr>
                  </w:pPr>
                  <w:r>
                    <w:rPr>
                      <w:kern w:val="0"/>
                      <w:szCs w:val="21"/>
                      <w:lang w:bidi="ar"/>
                    </w:rPr>
                    <w:t>4.57</w:t>
                  </w:r>
                </w:p>
              </w:tc>
              <w:tc>
                <w:tcPr>
                  <w:tcW w:w="460" w:type="pct"/>
                  <w:tcBorders>
                    <w:tl2br w:val="nil"/>
                    <w:tr2bl w:val="nil"/>
                  </w:tcBorders>
                  <w:noWrap/>
                  <w:vAlign w:val="center"/>
                </w:tcPr>
                <w:p w14:paraId="7D36CD9A">
                  <w:pPr>
                    <w:widowControl/>
                    <w:jc w:val="center"/>
                    <w:textAlignment w:val="bottom"/>
                    <w:rPr>
                      <w:szCs w:val="21"/>
                    </w:rPr>
                  </w:pPr>
                  <w:r>
                    <w:rPr>
                      <w:kern w:val="0"/>
                      <w:szCs w:val="21"/>
                      <w:lang w:bidi="ar"/>
                    </w:rPr>
                    <w:t>60.92</w:t>
                  </w:r>
                </w:p>
              </w:tc>
              <w:tc>
                <w:tcPr>
                  <w:tcW w:w="514" w:type="pct"/>
                  <w:tcBorders>
                    <w:tl2br w:val="nil"/>
                    <w:tr2bl w:val="nil"/>
                  </w:tcBorders>
                  <w:noWrap/>
                  <w:vAlign w:val="center"/>
                </w:tcPr>
                <w:p w14:paraId="303306A2">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775669FF">
                  <w:pPr>
                    <w:widowControl/>
                    <w:jc w:val="center"/>
                    <w:textAlignment w:val="bottom"/>
                    <w:rPr>
                      <w:szCs w:val="21"/>
                    </w:rPr>
                  </w:pPr>
                  <w:r>
                    <w:rPr>
                      <w:kern w:val="0"/>
                      <w:szCs w:val="21"/>
                      <w:lang w:bidi="ar"/>
                    </w:rPr>
                    <w:t>41.7</w:t>
                  </w:r>
                </w:p>
              </w:tc>
              <w:tc>
                <w:tcPr>
                  <w:tcW w:w="379" w:type="pct"/>
                  <w:tcBorders>
                    <w:tl2br w:val="nil"/>
                    <w:tr2bl w:val="nil"/>
                  </w:tcBorders>
                  <w:noWrap/>
                  <w:vAlign w:val="center"/>
                </w:tcPr>
                <w:p w14:paraId="0EF1F62B">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6FDD9C9">
                  <w:pPr>
                    <w:widowControl/>
                    <w:jc w:val="center"/>
                    <w:textAlignment w:val="bottom"/>
                    <w:rPr>
                      <w:kern w:val="0"/>
                      <w:szCs w:val="21"/>
                      <w:lang w:bidi="ar"/>
                    </w:rPr>
                  </w:pPr>
                </w:p>
              </w:tc>
            </w:tr>
            <w:tr w14:paraId="5B6285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24483219">
                  <w:pPr>
                    <w:widowControl/>
                    <w:jc w:val="center"/>
                    <w:textAlignment w:val="bottom"/>
                    <w:rPr>
                      <w:szCs w:val="21"/>
                    </w:rPr>
                  </w:pPr>
                </w:p>
              </w:tc>
              <w:tc>
                <w:tcPr>
                  <w:tcW w:w="303" w:type="pct"/>
                  <w:vMerge w:val="continue"/>
                  <w:tcBorders>
                    <w:tl2br w:val="nil"/>
                    <w:tr2bl w:val="nil"/>
                  </w:tcBorders>
                  <w:noWrap/>
                  <w:vAlign w:val="center"/>
                </w:tcPr>
                <w:p w14:paraId="67A57460">
                  <w:pPr>
                    <w:widowControl/>
                    <w:jc w:val="center"/>
                    <w:textAlignment w:val="bottom"/>
                    <w:rPr>
                      <w:szCs w:val="21"/>
                    </w:rPr>
                  </w:pPr>
                </w:p>
              </w:tc>
              <w:tc>
                <w:tcPr>
                  <w:tcW w:w="429" w:type="pct"/>
                  <w:vMerge w:val="continue"/>
                  <w:tcBorders>
                    <w:tl2br w:val="nil"/>
                    <w:tr2bl w:val="nil"/>
                  </w:tcBorders>
                  <w:noWrap/>
                  <w:vAlign w:val="center"/>
                </w:tcPr>
                <w:p w14:paraId="052AFFCD">
                  <w:pPr>
                    <w:widowControl/>
                    <w:jc w:val="center"/>
                    <w:textAlignment w:val="bottom"/>
                    <w:rPr>
                      <w:szCs w:val="21"/>
                    </w:rPr>
                  </w:pPr>
                </w:p>
              </w:tc>
              <w:tc>
                <w:tcPr>
                  <w:tcW w:w="284" w:type="pct"/>
                  <w:vMerge w:val="continue"/>
                  <w:tcBorders>
                    <w:tl2br w:val="nil"/>
                    <w:tr2bl w:val="nil"/>
                  </w:tcBorders>
                  <w:noWrap/>
                  <w:vAlign w:val="center"/>
                </w:tcPr>
                <w:p w14:paraId="53358B81">
                  <w:pPr>
                    <w:jc w:val="center"/>
                    <w:rPr>
                      <w:szCs w:val="21"/>
                    </w:rPr>
                  </w:pPr>
                </w:p>
              </w:tc>
              <w:tc>
                <w:tcPr>
                  <w:tcW w:w="454" w:type="pct"/>
                  <w:tcBorders>
                    <w:tl2br w:val="nil"/>
                    <w:tr2bl w:val="nil"/>
                  </w:tcBorders>
                  <w:noWrap/>
                  <w:vAlign w:val="center"/>
                </w:tcPr>
                <w:p w14:paraId="72A26158">
                  <w:pPr>
                    <w:widowControl/>
                    <w:jc w:val="center"/>
                    <w:textAlignment w:val="bottom"/>
                    <w:rPr>
                      <w:szCs w:val="21"/>
                    </w:rPr>
                  </w:pPr>
                  <w:r>
                    <w:rPr>
                      <w:kern w:val="0"/>
                      <w:szCs w:val="21"/>
                      <w:lang w:bidi="ar"/>
                    </w:rPr>
                    <w:t>243.1</w:t>
                  </w:r>
                </w:p>
              </w:tc>
              <w:tc>
                <w:tcPr>
                  <w:tcW w:w="460" w:type="pct"/>
                  <w:tcBorders>
                    <w:tl2br w:val="nil"/>
                    <w:tr2bl w:val="nil"/>
                  </w:tcBorders>
                  <w:noWrap/>
                  <w:vAlign w:val="center"/>
                </w:tcPr>
                <w:p w14:paraId="7B8AB8E1">
                  <w:pPr>
                    <w:widowControl/>
                    <w:jc w:val="center"/>
                    <w:textAlignment w:val="bottom"/>
                    <w:rPr>
                      <w:szCs w:val="21"/>
                    </w:rPr>
                  </w:pPr>
                  <w:r>
                    <w:rPr>
                      <w:kern w:val="0"/>
                      <w:szCs w:val="21"/>
                      <w:lang w:bidi="ar"/>
                    </w:rPr>
                    <w:t>223.7</w:t>
                  </w:r>
                </w:p>
              </w:tc>
              <w:tc>
                <w:tcPr>
                  <w:tcW w:w="351" w:type="pct"/>
                  <w:tcBorders>
                    <w:tl2br w:val="nil"/>
                    <w:tr2bl w:val="nil"/>
                  </w:tcBorders>
                  <w:noWrap/>
                  <w:vAlign w:val="center"/>
                </w:tcPr>
                <w:p w14:paraId="701B7601">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0851BA9E">
                  <w:pPr>
                    <w:widowControl/>
                    <w:jc w:val="center"/>
                    <w:textAlignment w:val="bottom"/>
                    <w:rPr>
                      <w:szCs w:val="21"/>
                    </w:rPr>
                  </w:pPr>
                  <w:r>
                    <w:rPr>
                      <w:kern w:val="0"/>
                      <w:szCs w:val="21"/>
                      <w:lang w:bidi="ar"/>
                    </w:rPr>
                    <w:t>4.65</w:t>
                  </w:r>
                </w:p>
              </w:tc>
              <w:tc>
                <w:tcPr>
                  <w:tcW w:w="460" w:type="pct"/>
                  <w:tcBorders>
                    <w:tl2br w:val="nil"/>
                    <w:tr2bl w:val="nil"/>
                  </w:tcBorders>
                  <w:noWrap/>
                  <w:vAlign w:val="center"/>
                </w:tcPr>
                <w:p w14:paraId="0AC38A15">
                  <w:pPr>
                    <w:widowControl/>
                    <w:jc w:val="center"/>
                    <w:textAlignment w:val="bottom"/>
                    <w:rPr>
                      <w:szCs w:val="21"/>
                    </w:rPr>
                  </w:pPr>
                  <w:r>
                    <w:rPr>
                      <w:kern w:val="0"/>
                      <w:szCs w:val="21"/>
                      <w:lang w:bidi="ar"/>
                    </w:rPr>
                    <w:t>60.84</w:t>
                  </w:r>
                </w:p>
              </w:tc>
              <w:tc>
                <w:tcPr>
                  <w:tcW w:w="514" w:type="pct"/>
                  <w:tcBorders>
                    <w:tl2br w:val="nil"/>
                    <w:tr2bl w:val="nil"/>
                  </w:tcBorders>
                  <w:noWrap/>
                  <w:vAlign w:val="center"/>
                </w:tcPr>
                <w:p w14:paraId="116BA755">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0A6396B7">
                  <w:pPr>
                    <w:widowControl/>
                    <w:jc w:val="center"/>
                    <w:textAlignment w:val="bottom"/>
                    <w:rPr>
                      <w:szCs w:val="21"/>
                    </w:rPr>
                  </w:pPr>
                  <w:r>
                    <w:rPr>
                      <w:kern w:val="0"/>
                      <w:szCs w:val="21"/>
                      <w:lang w:bidi="ar"/>
                    </w:rPr>
                    <w:t>35.76</w:t>
                  </w:r>
                </w:p>
              </w:tc>
              <w:tc>
                <w:tcPr>
                  <w:tcW w:w="379" w:type="pct"/>
                  <w:tcBorders>
                    <w:tl2br w:val="nil"/>
                    <w:tr2bl w:val="nil"/>
                  </w:tcBorders>
                  <w:noWrap/>
                  <w:vAlign w:val="center"/>
                </w:tcPr>
                <w:p w14:paraId="4BC09985">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16CAFAF7">
                  <w:pPr>
                    <w:widowControl/>
                    <w:jc w:val="center"/>
                    <w:textAlignment w:val="bottom"/>
                    <w:rPr>
                      <w:kern w:val="0"/>
                      <w:szCs w:val="21"/>
                      <w:lang w:bidi="ar"/>
                    </w:rPr>
                  </w:pPr>
                </w:p>
              </w:tc>
            </w:tr>
            <w:tr w14:paraId="0E803E8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2AC481E7">
                  <w:pPr>
                    <w:widowControl/>
                    <w:jc w:val="center"/>
                    <w:textAlignment w:val="bottom"/>
                    <w:rPr>
                      <w:szCs w:val="21"/>
                    </w:rPr>
                  </w:pPr>
                </w:p>
              </w:tc>
              <w:tc>
                <w:tcPr>
                  <w:tcW w:w="303" w:type="pct"/>
                  <w:vMerge w:val="continue"/>
                  <w:tcBorders>
                    <w:tl2br w:val="nil"/>
                    <w:tr2bl w:val="nil"/>
                  </w:tcBorders>
                  <w:noWrap/>
                  <w:vAlign w:val="center"/>
                </w:tcPr>
                <w:p w14:paraId="7FDF719C">
                  <w:pPr>
                    <w:widowControl/>
                    <w:jc w:val="center"/>
                    <w:textAlignment w:val="bottom"/>
                    <w:rPr>
                      <w:szCs w:val="21"/>
                    </w:rPr>
                  </w:pPr>
                </w:p>
              </w:tc>
              <w:tc>
                <w:tcPr>
                  <w:tcW w:w="429" w:type="pct"/>
                  <w:vMerge w:val="continue"/>
                  <w:tcBorders>
                    <w:tl2br w:val="nil"/>
                    <w:tr2bl w:val="nil"/>
                  </w:tcBorders>
                  <w:noWrap/>
                  <w:vAlign w:val="center"/>
                </w:tcPr>
                <w:p w14:paraId="65BA1602">
                  <w:pPr>
                    <w:widowControl/>
                    <w:jc w:val="center"/>
                    <w:textAlignment w:val="bottom"/>
                    <w:rPr>
                      <w:szCs w:val="21"/>
                    </w:rPr>
                  </w:pPr>
                </w:p>
              </w:tc>
              <w:tc>
                <w:tcPr>
                  <w:tcW w:w="284" w:type="pct"/>
                  <w:vMerge w:val="continue"/>
                  <w:tcBorders>
                    <w:tl2br w:val="nil"/>
                    <w:tr2bl w:val="nil"/>
                  </w:tcBorders>
                  <w:noWrap/>
                  <w:vAlign w:val="center"/>
                </w:tcPr>
                <w:p w14:paraId="10BB5BF2">
                  <w:pPr>
                    <w:jc w:val="center"/>
                    <w:rPr>
                      <w:szCs w:val="21"/>
                    </w:rPr>
                  </w:pPr>
                </w:p>
              </w:tc>
              <w:tc>
                <w:tcPr>
                  <w:tcW w:w="454" w:type="pct"/>
                  <w:tcBorders>
                    <w:tl2br w:val="nil"/>
                    <w:tr2bl w:val="nil"/>
                  </w:tcBorders>
                  <w:noWrap/>
                  <w:vAlign w:val="center"/>
                </w:tcPr>
                <w:p w14:paraId="53CF4153">
                  <w:pPr>
                    <w:widowControl/>
                    <w:jc w:val="center"/>
                    <w:textAlignment w:val="bottom"/>
                    <w:rPr>
                      <w:szCs w:val="21"/>
                    </w:rPr>
                  </w:pPr>
                  <w:r>
                    <w:rPr>
                      <w:kern w:val="0"/>
                      <w:szCs w:val="21"/>
                      <w:lang w:bidi="ar"/>
                    </w:rPr>
                    <w:t>243.1</w:t>
                  </w:r>
                </w:p>
              </w:tc>
              <w:tc>
                <w:tcPr>
                  <w:tcW w:w="460" w:type="pct"/>
                  <w:tcBorders>
                    <w:tl2br w:val="nil"/>
                    <w:tr2bl w:val="nil"/>
                  </w:tcBorders>
                  <w:noWrap/>
                  <w:vAlign w:val="center"/>
                </w:tcPr>
                <w:p w14:paraId="2D1B8C29">
                  <w:pPr>
                    <w:widowControl/>
                    <w:jc w:val="center"/>
                    <w:textAlignment w:val="bottom"/>
                    <w:rPr>
                      <w:szCs w:val="21"/>
                    </w:rPr>
                  </w:pPr>
                  <w:r>
                    <w:rPr>
                      <w:kern w:val="0"/>
                      <w:szCs w:val="21"/>
                      <w:lang w:bidi="ar"/>
                    </w:rPr>
                    <w:t>223.7</w:t>
                  </w:r>
                </w:p>
              </w:tc>
              <w:tc>
                <w:tcPr>
                  <w:tcW w:w="351" w:type="pct"/>
                  <w:tcBorders>
                    <w:tl2br w:val="nil"/>
                    <w:tr2bl w:val="nil"/>
                  </w:tcBorders>
                  <w:noWrap/>
                  <w:vAlign w:val="center"/>
                </w:tcPr>
                <w:p w14:paraId="5714C517">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262F1E72">
                  <w:pPr>
                    <w:widowControl/>
                    <w:jc w:val="center"/>
                    <w:textAlignment w:val="bottom"/>
                    <w:rPr>
                      <w:szCs w:val="21"/>
                    </w:rPr>
                  </w:pPr>
                  <w:r>
                    <w:rPr>
                      <w:kern w:val="0"/>
                      <w:szCs w:val="21"/>
                      <w:lang w:bidi="ar"/>
                    </w:rPr>
                    <w:t>15.92</w:t>
                  </w:r>
                </w:p>
              </w:tc>
              <w:tc>
                <w:tcPr>
                  <w:tcW w:w="460" w:type="pct"/>
                  <w:tcBorders>
                    <w:tl2br w:val="nil"/>
                    <w:tr2bl w:val="nil"/>
                  </w:tcBorders>
                  <w:noWrap/>
                  <w:vAlign w:val="center"/>
                </w:tcPr>
                <w:p w14:paraId="716A6C3D">
                  <w:pPr>
                    <w:widowControl/>
                    <w:jc w:val="center"/>
                    <w:textAlignment w:val="bottom"/>
                    <w:rPr>
                      <w:szCs w:val="21"/>
                    </w:rPr>
                  </w:pPr>
                  <w:r>
                    <w:rPr>
                      <w:kern w:val="0"/>
                      <w:szCs w:val="21"/>
                      <w:lang w:bidi="ar"/>
                    </w:rPr>
                    <w:t>57.32</w:t>
                  </w:r>
                </w:p>
              </w:tc>
              <w:tc>
                <w:tcPr>
                  <w:tcW w:w="514" w:type="pct"/>
                  <w:tcBorders>
                    <w:tl2br w:val="nil"/>
                    <w:tr2bl w:val="nil"/>
                  </w:tcBorders>
                  <w:noWrap/>
                  <w:vAlign w:val="center"/>
                </w:tcPr>
                <w:p w14:paraId="0A99B377">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1EE84068">
                  <w:pPr>
                    <w:widowControl/>
                    <w:jc w:val="center"/>
                    <w:textAlignment w:val="bottom"/>
                    <w:rPr>
                      <w:szCs w:val="21"/>
                    </w:rPr>
                  </w:pPr>
                  <w:r>
                    <w:rPr>
                      <w:kern w:val="0"/>
                      <w:szCs w:val="21"/>
                      <w:lang w:bidi="ar"/>
                    </w:rPr>
                    <w:t>38.09</w:t>
                  </w:r>
                </w:p>
              </w:tc>
              <w:tc>
                <w:tcPr>
                  <w:tcW w:w="379" w:type="pct"/>
                  <w:tcBorders>
                    <w:tl2br w:val="nil"/>
                    <w:tr2bl w:val="nil"/>
                  </w:tcBorders>
                  <w:noWrap/>
                  <w:vAlign w:val="center"/>
                </w:tcPr>
                <w:p w14:paraId="6B0C4208">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D19EED0">
                  <w:pPr>
                    <w:widowControl/>
                    <w:jc w:val="center"/>
                    <w:textAlignment w:val="bottom"/>
                    <w:rPr>
                      <w:kern w:val="0"/>
                      <w:szCs w:val="21"/>
                      <w:lang w:bidi="ar"/>
                    </w:rPr>
                  </w:pPr>
                </w:p>
              </w:tc>
            </w:tr>
            <w:tr w14:paraId="79DF960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restart"/>
                  <w:tcBorders>
                    <w:tl2br w:val="nil"/>
                    <w:tr2bl w:val="nil"/>
                  </w:tcBorders>
                  <w:noWrap/>
                  <w:vAlign w:val="center"/>
                </w:tcPr>
                <w:p w14:paraId="7FD49C7C">
                  <w:pPr>
                    <w:widowControl/>
                    <w:jc w:val="center"/>
                    <w:textAlignment w:val="bottom"/>
                    <w:rPr>
                      <w:szCs w:val="21"/>
                    </w:rPr>
                  </w:pPr>
                  <w:r>
                    <w:rPr>
                      <w:rFonts w:hint="eastAsia"/>
                      <w:szCs w:val="21"/>
                    </w:rPr>
                    <w:t>4</w:t>
                  </w:r>
                </w:p>
              </w:tc>
              <w:tc>
                <w:tcPr>
                  <w:tcW w:w="303" w:type="pct"/>
                  <w:vMerge w:val="restart"/>
                  <w:tcBorders>
                    <w:tl2br w:val="nil"/>
                    <w:tr2bl w:val="nil"/>
                  </w:tcBorders>
                  <w:noWrap/>
                  <w:vAlign w:val="center"/>
                </w:tcPr>
                <w:p w14:paraId="26F65957">
                  <w:pPr>
                    <w:widowControl/>
                    <w:jc w:val="center"/>
                    <w:textAlignment w:val="bottom"/>
                    <w:rPr>
                      <w:szCs w:val="21"/>
                    </w:rPr>
                  </w:pPr>
                  <w:r>
                    <w:rPr>
                      <w:kern w:val="0"/>
                      <w:szCs w:val="21"/>
                      <w:lang w:bidi="ar"/>
                    </w:rPr>
                    <w:t>提料机</w:t>
                  </w:r>
                </w:p>
              </w:tc>
              <w:tc>
                <w:tcPr>
                  <w:tcW w:w="429" w:type="pct"/>
                  <w:vMerge w:val="restart"/>
                  <w:tcBorders>
                    <w:tl2br w:val="nil"/>
                    <w:tr2bl w:val="nil"/>
                  </w:tcBorders>
                  <w:noWrap/>
                  <w:vAlign w:val="center"/>
                </w:tcPr>
                <w:p w14:paraId="5E217A3C">
                  <w:pPr>
                    <w:widowControl/>
                    <w:jc w:val="center"/>
                    <w:textAlignment w:val="bottom"/>
                    <w:rPr>
                      <w:szCs w:val="21"/>
                    </w:rPr>
                  </w:pPr>
                  <w:r>
                    <w:rPr>
                      <w:kern w:val="0"/>
                      <w:szCs w:val="21"/>
                      <w:lang w:bidi="ar"/>
                    </w:rPr>
                    <w:t>85</w:t>
                  </w:r>
                </w:p>
              </w:tc>
              <w:tc>
                <w:tcPr>
                  <w:tcW w:w="284" w:type="pct"/>
                  <w:vMerge w:val="continue"/>
                  <w:tcBorders>
                    <w:tl2br w:val="nil"/>
                    <w:tr2bl w:val="nil"/>
                  </w:tcBorders>
                  <w:noWrap/>
                  <w:vAlign w:val="center"/>
                </w:tcPr>
                <w:p w14:paraId="58DE877E">
                  <w:pPr>
                    <w:jc w:val="center"/>
                    <w:rPr>
                      <w:szCs w:val="21"/>
                    </w:rPr>
                  </w:pPr>
                </w:p>
              </w:tc>
              <w:tc>
                <w:tcPr>
                  <w:tcW w:w="454" w:type="pct"/>
                  <w:tcBorders>
                    <w:tl2br w:val="nil"/>
                    <w:tr2bl w:val="nil"/>
                  </w:tcBorders>
                  <w:noWrap/>
                  <w:vAlign w:val="center"/>
                </w:tcPr>
                <w:p w14:paraId="6F737EAA">
                  <w:pPr>
                    <w:widowControl/>
                    <w:jc w:val="center"/>
                    <w:textAlignment w:val="bottom"/>
                    <w:rPr>
                      <w:szCs w:val="21"/>
                    </w:rPr>
                  </w:pPr>
                  <w:r>
                    <w:rPr>
                      <w:kern w:val="0"/>
                      <w:szCs w:val="21"/>
                      <w:lang w:bidi="ar"/>
                    </w:rPr>
                    <w:t>244.5</w:t>
                  </w:r>
                </w:p>
              </w:tc>
              <w:tc>
                <w:tcPr>
                  <w:tcW w:w="460" w:type="pct"/>
                  <w:tcBorders>
                    <w:tl2br w:val="nil"/>
                    <w:tr2bl w:val="nil"/>
                  </w:tcBorders>
                  <w:noWrap/>
                  <w:vAlign w:val="center"/>
                </w:tcPr>
                <w:p w14:paraId="3C8931BA">
                  <w:pPr>
                    <w:widowControl/>
                    <w:jc w:val="center"/>
                    <w:textAlignment w:val="bottom"/>
                    <w:rPr>
                      <w:szCs w:val="21"/>
                    </w:rPr>
                  </w:pPr>
                  <w:r>
                    <w:rPr>
                      <w:kern w:val="0"/>
                      <w:szCs w:val="21"/>
                      <w:lang w:bidi="ar"/>
                    </w:rPr>
                    <w:t>232.1</w:t>
                  </w:r>
                </w:p>
              </w:tc>
              <w:tc>
                <w:tcPr>
                  <w:tcW w:w="351" w:type="pct"/>
                  <w:tcBorders>
                    <w:tl2br w:val="nil"/>
                    <w:tr2bl w:val="nil"/>
                  </w:tcBorders>
                  <w:noWrap/>
                  <w:vAlign w:val="center"/>
                </w:tcPr>
                <w:p w14:paraId="757B8801">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3390BCB8">
                  <w:pPr>
                    <w:widowControl/>
                    <w:jc w:val="center"/>
                    <w:textAlignment w:val="bottom"/>
                    <w:rPr>
                      <w:szCs w:val="21"/>
                    </w:rPr>
                  </w:pPr>
                  <w:r>
                    <w:rPr>
                      <w:kern w:val="0"/>
                      <w:szCs w:val="21"/>
                      <w:lang w:bidi="ar"/>
                    </w:rPr>
                    <w:t>44.29</w:t>
                  </w:r>
                </w:p>
              </w:tc>
              <w:tc>
                <w:tcPr>
                  <w:tcW w:w="460" w:type="pct"/>
                  <w:tcBorders>
                    <w:tl2br w:val="nil"/>
                    <w:tr2bl w:val="nil"/>
                  </w:tcBorders>
                  <w:noWrap/>
                  <w:vAlign w:val="center"/>
                </w:tcPr>
                <w:p w14:paraId="44BBA023">
                  <w:pPr>
                    <w:widowControl/>
                    <w:jc w:val="center"/>
                    <w:textAlignment w:val="bottom"/>
                    <w:rPr>
                      <w:szCs w:val="21"/>
                    </w:rPr>
                  </w:pPr>
                  <w:r>
                    <w:rPr>
                      <w:kern w:val="0"/>
                      <w:szCs w:val="21"/>
                      <w:lang w:bidi="ar"/>
                    </w:rPr>
                    <w:t>61.85</w:t>
                  </w:r>
                </w:p>
              </w:tc>
              <w:tc>
                <w:tcPr>
                  <w:tcW w:w="514" w:type="pct"/>
                  <w:tcBorders>
                    <w:tl2br w:val="nil"/>
                    <w:tr2bl w:val="nil"/>
                  </w:tcBorders>
                  <w:noWrap/>
                  <w:vAlign w:val="center"/>
                </w:tcPr>
                <w:p w14:paraId="2430B8DF">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4735A030">
                  <w:pPr>
                    <w:widowControl/>
                    <w:jc w:val="center"/>
                    <w:textAlignment w:val="bottom"/>
                    <w:rPr>
                      <w:szCs w:val="21"/>
                    </w:rPr>
                  </w:pPr>
                  <w:r>
                    <w:rPr>
                      <w:kern w:val="0"/>
                      <w:szCs w:val="21"/>
                      <w:lang w:bidi="ar"/>
                    </w:rPr>
                    <w:t>36.77</w:t>
                  </w:r>
                </w:p>
              </w:tc>
              <w:tc>
                <w:tcPr>
                  <w:tcW w:w="379" w:type="pct"/>
                  <w:tcBorders>
                    <w:tl2br w:val="nil"/>
                    <w:tr2bl w:val="nil"/>
                  </w:tcBorders>
                  <w:noWrap/>
                  <w:vAlign w:val="center"/>
                </w:tcPr>
                <w:p w14:paraId="1E94C914">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AB3F1A4">
                  <w:pPr>
                    <w:widowControl/>
                    <w:jc w:val="center"/>
                    <w:textAlignment w:val="bottom"/>
                    <w:rPr>
                      <w:kern w:val="0"/>
                      <w:szCs w:val="21"/>
                      <w:lang w:bidi="ar"/>
                    </w:rPr>
                  </w:pPr>
                </w:p>
              </w:tc>
            </w:tr>
            <w:tr w14:paraId="1808A52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7733C9F4">
                  <w:pPr>
                    <w:widowControl/>
                    <w:jc w:val="center"/>
                    <w:textAlignment w:val="bottom"/>
                    <w:rPr>
                      <w:szCs w:val="21"/>
                    </w:rPr>
                  </w:pPr>
                </w:p>
              </w:tc>
              <w:tc>
                <w:tcPr>
                  <w:tcW w:w="303" w:type="pct"/>
                  <w:vMerge w:val="continue"/>
                  <w:tcBorders>
                    <w:tl2br w:val="nil"/>
                    <w:tr2bl w:val="nil"/>
                  </w:tcBorders>
                  <w:noWrap/>
                  <w:vAlign w:val="center"/>
                </w:tcPr>
                <w:p w14:paraId="14394F1A">
                  <w:pPr>
                    <w:widowControl/>
                    <w:jc w:val="center"/>
                    <w:textAlignment w:val="bottom"/>
                    <w:rPr>
                      <w:szCs w:val="21"/>
                    </w:rPr>
                  </w:pPr>
                </w:p>
              </w:tc>
              <w:tc>
                <w:tcPr>
                  <w:tcW w:w="429" w:type="pct"/>
                  <w:vMerge w:val="continue"/>
                  <w:tcBorders>
                    <w:tl2br w:val="nil"/>
                    <w:tr2bl w:val="nil"/>
                  </w:tcBorders>
                  <w:noWrap/>
                  <w:vAlign w:val="center"/>
                </w:tcPr>
                <w:p w14:paraId="7E02FEAA">
                  <w:pPr>
                    <w:widowControl/>
                    <w:jc w:val="center"/>
                    <w:textAlignment w:val="bottom"/>
                    <w:rPr>
                      <w:szCs w:val="21"/>
                    </w:rPr>
                  </w:pPr>
                </w:p>
              </w:tc>
              <w:tc>
                <w:tcPr>
                  <w:tcW w:w="284" w:type="pct"/>
                  <w:vMerge w:val="continue"/>
                  <w:tcBorders>
                    <w:tl2br w:val="nil"/>
                    <w:tr2bl w:val="nil"/>
                  </w:tcBorders>
                  <w:noWrap/>
                  <w:vAlign w:val="center"/>
                </w:tcPr>
                <w:p w14:paraId="4874248F">
                  <w:pPr>
                    <w:jc w:val="center"/>
                    <w:rPr>
                      <w:szCs w:val="21"/>
                    </w:rPr>
                  </w:pPr>
                </w:p>
              </w:tc>
              <w:tc>
                <w:tcPr>
                  <w:tcW w:w="454" w:type="pct"/>
                  <w:tcBorders>
                    <w:tl2br w:val="nil"/>
                    <w:tr2bl w:val="nil"/>
                  </w:tcBorders>
                  <w:noWrap/>
                  <w:vAlign w:val="center"/>
                </w:tcPr>
                <w:p w14:paraId="5B629A88">
                  <w:pPr>
                    <w:widowControl/>
                    <w:jc w:val="center"/>
                    <w:textAlignment w:val="bottom"/>
                    <w:rPr>
                      <w:szCs w:val="21"/>
                    </w:rPr>
                  </w:pPr>
                  <w:r>
                    <w:rPr>
                      <w:kern w:val="0"/>
                      <w:szCs w:val="21"/>
                      <w:lang w:bidi="ar"/>
                    </w:rPr>
                    <w:t>244.5</w:t>
                  </w:r>
                </w:p>
              </w:tc>
              <w:tc>
                <w:tcPr>
                  <w:tcW w:w="460" w:type="pct"/>
                  <w:tcBorders>
                    <w:tl2br w:val="nil"/>
                    <w:tr2bl w:val="nil"/>
                  </w:tcBorders>
                  <w:noWrap/>
                  <w:vAlign w:val="center"/>
                </w:tcPr>
                <w:p w14:paraId="2C6C9173">
                  <w:pPr>
                    <w:widowControl/>
                    <w:jc w:val="center"/>
                    <w:textAlignment w:val="bottom"/>
                    <w:rPr>
                      <w:szCs w:val="21"/>
                    </w:rPr>
                  </w:pPr>
                  <w:r>
                    <w:rPr>
                      <w:kern w:val="0"/>
                      <w:szCs w:val="21"/>
                      <w:lang w:bidi="ar"/>
                    </w:rPr>
                    <w:t>232.1</w:t>
                  </w:r>
                </w:p>
              </w:tc>
              <w:tc>
                <w:tcPr>
                  <w:tcW w:w="351" w:type="pct"/>
                  <w:tcBorders>
                    <w:tl2br w:val="nil"/>
                    <w:tr2bl w:val="nil"/>
                  </w:tcBorders>
                  <w:noWrap/>
                  <w:vAlign w:val="center"/>
                </w:tcPr>
                <w:p w14:paraId="35E57F96">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4B1580B9">
                  <w:pPr>
                    <w:widowControl/>
                    <w:jc w:val="center"/>
                    <w:textAlignment w:val="bottom"/>
                    <w:rPr>
                      <w:szCs w:val="21"/>
                    </w:rPr>
                  </w:pPr>
                  <w:r>
                    <w:rPr>
                      <w:kern w:val="0"/>
                      <w:szCs w:val="21"/>
                      <w:lang w:bidi="ar"/>
                    </w:rPr>
                    <w:t>9.37</w:t>
                  </w:r>
                </w:p>
              </w:tc>
              <w:tc>
                <w:tcPr>
                  <w:tcW w:w="460" w:type="pct"/>
                  <w:tcBorders>
                    <w:tl2br w:val="nil"/>
                    <w:tr2bl w:val="nil"/>
                  </w:tcBorders>
                  <w:noWrap/>
                  <w:vAlign w:val="center"/>
                </w:tcPr>
                <w:p w14:paraId="0738A907">
                  <w:pPr>
                    <w:widowControl/>
                    <w:jc w:val="center"/>
                    <w:textAlignment w:val="bottom"/>
                    <w:rPr>
                      <w:szCs w:val="21"/>
                    </w:rPr>
                  </w:pPr>
                  <w:r>
                    <w:rPr>
                      <w:kern w:val="0"/>
                      <w:szCs w:val="21"/>
                      <w:lang w:bidi="ar"/>
                    </w:rPr>
                    <w:t>63.18</w:t>
                  </w:r>
                </w:p>
              </w:tc>
              <w:tc>
                <w:tcPr>
                  <w:tcW w:w="514" w:type="pct"/>
                  <w:tcBorders>
                    <w:tl2br w:val="nil"/>
                    <w:tr2bl w:val="nil"/>
                  </w:tcBorders>
                  <w:noWrap/>
                  <w:vAlign w:val="center"/>
                </w:tcPr>
                <w:p w14:paraId="7E7D0EFA">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1A01BB4">
                  <w:pPr>
                    <w:widowControl/>
                    <w:jc w:val="center"/>
                    <w:textAlignment w:val="bottom"/>
                    <w:rPr>
                      <w:szCs w:val="21"/>
                    </w:rPr>
                  </w:pPr>
                  <w:r>
                    <w:rPr>
                      <w:kern w:val="0"/>
                      <w:szCs w:val="21"/>
                      <w:lang w:bidi="ar"/>
                    </w:rPr>
                    <w:t>43.95</w:t>
                  </w:r>
                </w:p>
              </w:tc>
              <w:tc>
                <w:tcPr>
                  <w:tcW w:w="379" w:type="pct"/>
                  <w:tcBorders>
                    <w:tl2br w:val="nil"/>
                    <w:tr2bl w:val="nil"/>
                  </w:tcBorders>
                  <w:noWrap/>
                  <w:vAlign w:val="center"/>
                </w:tcPr>
                <w:p w14:paraId="3E75C212">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30B8E9B1">
                  <w:pPr>
                    <w:widowControl/>
                    <w:jc w:val="center"/>
                    <w:textAlignment w:val="bottom"/>
                    <w:rPr>
                      <w:kern w:val="0"/>
                      <w:szCs w:val="21"/>
                      <w:lang w:bidi="ar"/>
                    </w:rPr>
                  </w:pPr>
                </w:p>
              </w:tc>
            </w:tr>
            <w:tr w14:paraId="4C2DB79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29E67E34">
                  <w:pPr>
                    <w:widowControl/>
                    <w:jc w:val="center"/>
                    <w:textAlignment w:val="bottom"/>
                    <w:rPr>
                      <w:szCs w:val="21"/>
                    </w:rPr>
                  </w:pPr>
                </w:p>
              </w:tc>
              <w:tc>
                <w:tcPr>
                  <w:tcW w:w="303" w:type="pct"/>
                  <w:vMerge w:val="continue"/>
                  <w:tcBorders>
                    <w:tl2br w:val="nil"/>
                    <w:tr2bl w:val="nil"/>
                  </w:tcBorders>
                  <w:noWrap/>
                  <w:vAlign w:val="center"/>
                </w:tcPr>
                <w:p w14:paraId="37D797F5">
                  <w:pPr>
                    <w:widowControl/>
                    <w:jc w:val="center"/>
                    <w:textAlignment w:val="bottom"/>
                    <w:rPr>
                      <w:szCs w:val="21"/>
                    </w:rPr>
                  </w:pPr>
                </w:p>
              </w:tc>
              <w:tc>
                <w:tcPr>
                  <w:tcW w:w="429" w:type="pct"/>
                  <w:vMerge w:val="continue"/>
                  <w:tcBorders>
                    <w:tl2br w:val="nil"/>
                    <w:tr2bl w:val="nil"/>
                  </w:tcBorders>
                  <w:noWrap/>
                  <w:vAlign w:val="center"/>
                </w:tcPr>
                <w:p w14:paraId="138BC836">
                  <w:pPr>
                    <w:widowControl/>
                    <w:jc w:val="center"/>
                    <w:textAlignment w:val="bottom"/>
                    <w:rPr>
                      <w:szCs w:val="21"/>
                    </w:rPr>
                  </w:pPr>
                </w:p>
              </w:tc>
              <w:tc>
                <w:tcPr>
                  <w:tcW w:w="284" w:type="pct"/>
                  <w:vMerge w:val="continue"/>
                  <w:tcBorders>
                    <w:tl2br w:val="nil"/>
                    <w:tr2bl w:val="nil"/>
                  </w:tcBorders>
                  <w:noWrap/>
                  <w:vAlign w:val="center"/>
                </w:tcPr>
                <w:p w14:paraId="1FC69589">
                  <w:pPr>
                    <w:jc w:val="center"/>
                    <w:rPr>
                      <w:szCs w:val="21"/>
                    </w:rPr>
                  </w:pPr>
                </w:p>
              </w:tc>
              <w:tc>
                <w:tcPr>
                  <w:tcW w:w="454" w:type="pct"/>
                  <w:tcBorders>
                    <w:tl2br w:val="nil"/>
                    <w:tr2bl w:val="nil"/>
                  </w:tcBorders>
                  <w:noWrap/>
                  <w:vAlign w:val="center"/>
                </w:tcPr>
                <w:p w14:paraId="68BC3FF3">
                  <w:pPr>
                    <w:widowControl/>
                    <w:jc w:val="center"/>
                    <w:textAlignment w:val="bottom"/>
                    <w:rPr>
                      <w:szCs w:val="21"/>
                    </w:rPr>
                  </w:pPr>
                  <w:r>
                    <w:rPr>
                      <w:kern w:val="0"/>
                      <w:szCs w:val="21"/>
                      <w:lang w:bidi="ar"/>
                    </w:rPr>
                    <w:t>244.5</w:t>
                  </w:r>
                </w:p>
              </w:tc>
              <w:tc>
                <w:tcPr>
                  <w:tcW w:w="460" w:type="pct"/>
                  <w:tcBorders>
                    <w:tl2br w:val="nil"/>
                    <w:tr2bl w:val="nil"/>
                  </w:tcBorders>
                  <w:noWrap/>
                  <w:vAlign w:val="center"/>
                </w:tcPr>
                <w:p w14:paraId="0A12131A">
                  <w:pPr>
                    <w:widowControl/>
                    <w:jc w:val="center"/>
                    <w:textAlignment w:val="bottom"/>
                    <w:rPr>
                      <w:szCs w:val="21"/>
                    </w:rPr>
                  </w:pPr>
                  <w:r>
                    <w:rPr>
                      <w:kern w:val="0"/>
                      <w:szCs w:val="21"/>
                      <w:lang w:bidi="ar"/>
                    </w:rPr>
                    <w:t>232.1</w:t>
                  </w:r>
                </w:p>
              </w:tc>
              <w:tc>
                <w:tcPr>
                  <w:tcW w:w="351" w:type="pct"/>
                  <w:tcBorders>
                    <w:tl2br w:val="nil"/>
                    <w:tr2bl w:val="nil"/>
                  </w:tcBorders>
                  <w:noWrap/>
                  <w:vAlign w:val="center"/>
                </w:tcPr>
                <w:p w14:paraId="1FA0A8CF">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64A1DA50">
                  <w:pPr>
                    <w:widowControl/>
                    <w:jc w:val="center"/>
                    <w:textAlignment w:val="bottom"/>
                    <w:rPr>
                      <w:szCs w:val="21"/>
                    </w:rPr>
                  </w:pPr>
                  <w:r>
                    <w:rPr>
                      <w:kern w:val="0"/>
                      <w:szCs w:val="21"/>
                      <w:lang w:bidi="ar"/>
                    </w:rPr>
                    <w:t>9.4</w:t>
                  </w:r>
                </w:p>
              </w:tc>
              <w:tc>
                <w:tcPr>
                  <w:tcW w:w="460" w:type="pct"/>
                  <w:tcBorders>
                    <w:tl2br w:val="nil"/>
                    <w:tr2bl w:val="nil"/>
                  </w:tcBorders>
                  <w:noWrap/>
                  <w:vAlign w:val="center"/>
                </w:tcPr>
                <w:p w14:paraId="71A3FDCB">
                  <w:pPr>
                    <w:widowControl/>
                    <w:jc w:val="center"/>
                    <w:textAlignment w:val="bottom"/>
                    <w:rPr>
                      <w:szCs w:val="21"/>
                    </w:rPr>
                  </w:pPr>
                  <w:r>
                    <w:rPr>
                      <w:kern w:val="0"/>
                      <w:szCs w:val="21"/>
                      <w:lang w:bidi="ar"/>
                    </w:rPr>
                    <w:t>63.17</w:t>
                  </w:r>
                </w:p>
              </w:tc>
              <w:tc>
                <w:tcPr>
                  <w:tcW w:w="514" w:type="pct"/>
                  <w:tcBorders>
                    <w:tl2br w:val="nil"/>
                    <w:tr2bl w:val="nil"/>
                  </w:tcBorders>
                  <w:noWrap/>
                  <w:vAlign w:val="center"/>
                </w:tcPr>
                <w:p w14:paraId="55F2633F">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1F07D711">
                  <w:pPr>
                    <w:widowControl/>
                    <w:jc w:val="center"/>
                    <w:textAlignment w:val="bottom"/>
                    <w:rPr>
                      <w:szCs w:val="21"/>
                    </w:rPr>
                  </w:pPr>
                  <w:r>
                    <w:rPr>
                      <w:kern w:val="0"/>
                      <w:szCs w:val="21"/>
                      <w:lang w:bidi="ar"/>
                    </w:rPr>
                    <w:t>38.09</w:t>
                  </w:r>
                </w:p>
              </w:tc>
              <w:tc>
                <w:tcPr>
                  <w:tcW w:w="379" w:type="pct"/>
                  <w:tcBorders>
                    <w:tl2br w:val="nil"/>
                    <w:tr2bl w:val="nil"/>
                  </w:tcBorders>
                  <w:noWrap/>
                  <w:vAlign w:val="center"/>
                </w:tcPr>
                <w:p w14:paraId="4DC5C813">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68431053">
                  <w:pPr>
                    <w:widowControl/>
                    <w:jc w:val="center"/>
                    <w:textAlignment w:val="bottom"/>
                    <w:rPr>
                      <w:kern w:val="0"/>
                      <w:szCs w:val="21"/>
                      <w:lang w:bidi="ar"/>
                    </w:rPr>
                  </w:pPr>
                </w:p>
              </w:tc>
            </w:tr>
            <w:tr w14:paraId="130ECEF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42513119">
                  <w:pPr>
                    <w:widowControl/>
                    <w:jc w:val="center"/>
                    <w:textAlignment w:val="bottom"/>
                    <w:rPr>
                      <w:szCs w:val="21"/>
                    </w:rPr>
                  </w:pPr>
                </w:p>
              </w:tc>
              <w:tc>
                <w:tcPr>
                  <w:tcW w:w="303" w:type="pct"/>
                  <w:vMerge w:val="continue"/>
                  <w:tcBorders>
                    <w:tl2br w:val="nil"/>
                    <w:tr2bl w:val="nil"/>
                  </w:tcBorders>
                  <w:noWrap/>
                  <w:vAlign w:val="center"/>
                </w:tcPr>
                <w:p w14:paraId="1DF9F7F6">
                  <w:pPr>
                    <w:widowControl/>
                    <w:jc w:val="center"/>
                    <w:textAlignment w:val="bottom"/>
                    <w:rPr>
                      <w:szCs w:val="21"/>
                    </w:rPr>
                  </w:pPr>
                </w:p>
              </w:tc>
              <w:tc>
                <w:tcPr>
                  <w:tcW w:w="429" w:type="pct"/>
                  <w:vMerge w:val="continue"/>
                  <w:tcBorders>
                    <w:tl2br w:val="nil"/>
                    <w:tr2bl w:val="nil"/>
                  </w:tcBorders>
                  <w:noWrap/>
                  <w:vAlign w:val="center"/>
                </w:tcPr>
                <w:p w14:paraId="337E10B3">
                  <w:pPr>
                    <w:widowControl/>
                    <w:jc w:val="center"/>
                    <w:textAlignment w:val="bottom"/>
                    <w:rPr>
                      <w:szCs w:val="21"/>
                    </w:rPr>
                  </w:pPr>
                </w:p>
              </w:tc>
              <w:tc>
                <w:tcPr>
                  <w:tcW w:w="284" w:type="pct"/>
                  <w:vMerge w:val="continue"/>
                  <w:tcBorders>
                    <w:tl2br w:val="nil"/>
                    <w:tr2bl w:val="nil"/>
                  </w:tcBorders>
                  <w:noWrap/>
                  <w:vAlign w:val="center"/>
                </w:tcPr>
                <w:p w14:paraId="4C973067">
                  <w:pPr>
                    <w:jc w:val="center"/>
                    <w:rPr>
                      <w:szCs w:val="21"/>
                    </w:rPr>
                  </w:pPr>
                </w:p>
              </w:tc>
              <w:tc>
                <w:tcPr>
                  <w:tcW w:w="454" w:type="pct"/>
                  <w:tcBorders>
                    <w:tl2br w:val="nil"/>
                    <w:tr2bl w:val="nil"/>
                  </w:tcBorders>
                  <w:noWrap/>
                  <w:vAlign w:val="center"/>
                </w:tcPr>
                <w:p w14:paraId="268B4073">
                  <w:pPr>
                    <w:widowControl/>
                    <w:jc w:val="center"/>
                    <w:textAlignment w:val="bottom"/>
                    <w:rPr>
                      <w:szCs w:val="21"/>
                    </w:rPr>
                  </w:pPr>
                  <w:r>
                    <w:rPr>
                      <w:kern w:val="0"/>
                      <w:szCs w:val="21"/>
                      <w:lang w:bidi="ar"/>
                    </w:rPr>
                    <w:t>244.5</w:t>
                  </w:r>
                </w:p>
              </w:tc>
              <w:tc>
                <w:tcPr>
                  <w:tcW w:w="460" w:type="pct"/>
                  <w:tcBorders>
                    <w:tl2br w:val="nil"/>
                    <w:tr2bl w:val="nil"/>
                  </w:tcBorders>
                  <w:noWrap/>
                  <w:vAlign w:val="center"/>
                </w:tcPr>
                <w:p w14:paraId="0EDA57CA">
                  <w:pPr>
                    <w:widowControl/>
                    <w:jc w:val="center"/>
                    <w:textAlignment w:val="bottom"/>
                    <w:rPr>
                      <w:szCs w:val="21"/>
                    </w:rPr>
                  </w:pPr>
                  <w:r>
                    <w:rPr>
                      <w:kern w:val="0"/>
                      <w:szCs w:val="21"/>
                      <w:lang w:bidi="ar"/>
                    </w:rPr>
                    <w:t>232.1</w:t>
                  </w:r>
                </w:p>
              </w:tc>
              <w:tc>
                <w:tcPr>
                  <w:tcW w:w="351" w:type="pct"/>
                  <w:tcBorders>
                    <w:tl2br w:val="nil"/>
                    <w:tr2bl w:val="nil"/>
                  </w:tcBorders>
                  <w:noWrap/>
                  <w:vAlign w:val="center"/>
                </w:tcPr>
                <w:p w14:paraId="362E78E6">
                  <w:pPr>
                    <w:widowControl/>
                    <w:jc w:val="center"/>
                    <w:textAlignment w:val="bottom"/>
                    <w:rPr>
                      <w:szCs w:val="21"/>
                    </w:rPr>
                  </w:pPr>
                  <w:r>
                    <w:rPr>
                      <w:kern w:val="0"/>
                      <w:szCs w:val="21"/>
                      <w:lang w:bidi="ar"/>
                    </w:rPr>
                    <w:t>1.2</w:t>
                  </w:r>
                </w:p>
              </w:tc>
              <w:tc>
                <w:tcPr>
                  <w:tcW w:w="478" w:type="pct"/>
                  <w:tcBorders>
                    <w:tl2br w:val="nil"/>
                    <w:tr2bl w:val="nil"/>
                  </w:tcBorders>
                  <w:noWrap/>
                  <w:vAlign w:val="center"/>
                </w:tcPr>
                <w:p w14:paraId="6AC397AC">
                  <w:pPr>
                    <w:widowControl/>
                    <w:jc w:val="center"/>
                    <w:textAlignment w:val="bottom"/>
                    <w:rPr>
                      <w:szCs w:val="21"/>
                    </w:rPr>
                  </w:pPr>
                  <w:r>
                    <w:rPr>
                      <w:kern w:val="0"/>
                      <w:szCs w:val="21"/>
                      <w:lang w:bidi="ar"/>
                    </w:rPr>
                    <w:t>9.3</w:t>
                  </w:r>
                </w:p>
              </w:tc>
              <w:tc>
                <w:tcPr>
                  <w:tcW w:w="460" w:type="pct"/>
                  <w:tcBorders>
                    <w:tl2br w:val="nil"/>
                    <w:tr2bl w:val="nil"/>
                  </w:tcBorders>
                  <w:noWrap/>
                  <w:vAlign w:val="center"/>
                </w:tcPr>
                <w:p w14:paraId="10DCAA07">
                  <w:pPr>
                    <w:widowControl/>
                    <w:jc w:val="center"/>
                    <w:textAlignment w:val="bottom"/>
                    <w:rPr>
                      <w:szCs w:val="21"/>
                    </w:rPr>
                  </w:pPr>
                  <w:r>
                    <w:rPr>
                      <w:kern w:val="0"/>
                      <w:szCs w:val="21"/>
                      <w:lang w:bidi="ar"/>
                    </w:rPr>
                    <w:t>63.2</w:t>
                  </w:r>
                </w:p>
              </w:tc>
              <w:tc>
                <w:tcPr>
                  <w:tcW w:w="514" w:type="pct"/>
                  <w:tcBorders>
                    <w:tl2br w:val="nil"/>
                    <w:tr2bl w:val="nil"/>
                  </w:tcBorders>
                  <w:noWrap/>
                  <w:vAlign w:val="center"/>
                </w:tcPr>
                <w:p w14:paraId="6E22369B">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116A5354">
                  <w:pPr>
                    <w:widowControl/>
                    <w:jc w:val="center"/>
                    <w:textAlignment w:val="bottom"/>
                    <w:rPr>
                      <w:szCs w:val="21"/>
                    </w:rPr>
                  </w:pPr>
                  <w:r>
                    <w:rPr>
                      <w:kern w:val="0"/>
                      <w:szCs w:val="21"/>
                      <w:lang w:bidi="ar"/>
                    </w:rPr>
                    <w:t>43.97</w:t>
                  </w:r>
                </w:p>
              </w:tc>
              <w:tc>
                <w:tcPr>
                  <w:tcW w:w="379" w:type="pct"/>
                  <w:tcBorders>
                    <w:tl2br w:val="nil"/>
                    <w:tr2bl w:val="nil"/>
                  </w:tcBorders>
                  <w:noWrap/>
                  <w:vAlign w:val="center"/>
                </w:tcPr>
                <w:p w14:paraId="4904994E">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63A188DB">
                  <w:pPr>
                    <w:widowControl/>
                    <w:jc w:val="center"/>
                    <w:textAlignment w:val="bottom"/>
                    <w:rPr>
                      <w:kern w:val="0"/>
                      <w:szCs w:val="21"/>
                      <w:lang w:bidi="ar"/>
                    </w:rPr>
                  </w:pPr>
                </w:p>
              </w:tc>
            </w:tr>
            <w:tr w14:paraId="7C7ADE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restart"/>
                  <w:tcBorders>
                    <w:tl2br w:val="nil"/>
                    <w:tr2bl w:val="nil"/>
                  </w:tcBorders>
                  <w:noWrap/>
                  <w:vAlign w:val="center"/>
                </w:tcPr>
                <w:p w14:paraId="5709D960">
                  <w:pPr>
                    <w:widowControl/>
                    <w:jc w:val="center"/>
                    <w:textAlignment w:val="bottom"/>
                    <w:rPr>
                      <w:szCs w:val="21"/>
                    </w:rPr>
                  </w:pPr>
                  <w:r>
                    <w:rPr>
                      <w:rFonts w:hint="eastAsia"/>
                      <w:szCs w:val="21"/>
                    </w:rPr>
                    <w:t>5</w:t>
                  </w:r>
                </w:p>
              </w:tc>
              <w:tc>
                <w:tcPr>
                  <w:tcW w:w="303" w:type="pct"/>
                  <w:vMerge w:val="restart"/>
                  <w:tcBorders>
                    <w:tl2br w:val="nil"/>
                    <w:tr2bl w:val="nil"/>
                  </w:tcBorders>
                  <w:noWrap/>
                  <w:vAlign w:val="center"/>
                </w:tcPr>
                <w:p w14:paraId="361A2452">
                  <w:pPr>
                    <w:widowControl/>
                    <w:jc w:val="center"/>
                    <w:textAlignment w:val="bottom"/>
                    <w:rPr>
                      <w:szCs w:val="21"/>
                    </w:rPr>
                  </w:pPr>
                  <w:r>
                    <w:rPr>
                      <w:kern w:val="0"/>
                      <w:szCs w:val="21"/>
                      <w:lang w:bidi="ar"/>
                    </w:rPr>
                    <w:t>甩干机</w:t>
                  </w:r>
                </w:p>
              </w:tc>
              <w:tc>
                <w:tcPr>
                  <w:tcW w:w="429" w:type="pct"/>
                  <w:vMerge w:val="restart"/>
                  <w:tcBorders>
                    <w:tl2br w:val="nil"/>
                    <w:tr2bl w:val="nil"/>
                  </w:tcBorders>
                  <w:noWrap/>
                  <w:vAlign w:val="center"/>
                </w:tcPr>
                <w:p w14:paraId="3A090F87">
                  <w:pPr>
                    <w:widowControl/>
                    <w:jc w:val="center"/>
                    <w:textAlignment w:val="bottom"/>
                    <w:rPr>
                      <w:szCs w:val="21"/>
                    </w:rPr>
                  </w:pPr>
                  <w:r>
                    <w:rPr>
                      <w:rFonts w:hint="eastAsia"/>
                      <w:szCs w:val="21"/>
                    </w:rPr>
                    <w:t>80</w:t>
                  </w:r>
                </w:p>
              </w:tc>
              <w:tc>
                <w:tcPr>
                  <w:tcW w:w="284" w:type="pct"/>
                  <w:vMerge w:val="continue"/>
                  <w:tcBorders>
                    <w:tl2br w:val="nil"/>
                    <w:tr2bl w:val="nil"/>
                  </w:tcBorders>
                  <w:noWrap/>
                  <w:vAlign w:val="center"/>
                </w:tcPr>
                <w:p w14:paraId="44D4B379">
                  <w:pPr>
                    <w:jc w:val="center"/>
                    <w:rPr>
                      <w:szCs w:val="21"/>
                    </w:rPr>
                  </w:pPr>
                </w:p>
              </w:tc>
              <w:tc>
                <w:tcPr>
                  <w:tcW w:w="454" w:type="pct"/>
                  <w:tcBorders>
                    <w:tl2br w:val="nil"/>
                    <w:tr2bl w:val="nil"/>
                  </w:tcBorders>
                  <w:noWrap/>
                  <w:vAlign w:val="center"/>
                </w:tcPr>
                <w:p w14:paraId="0BF341B0">
                  <w:pPr>
                    <w:widowControl/>
                    <w:jc w:val="center"/>
                    <w:textAlignment w:val="bottom"/>
                    <w:rPr>
                      <w:szCs w:val="21"/>
                    </w:rPr>
                  </w:pPr>
                  <w:r>
                    <w:rPr>
                      <w:kern w:val="0"/>
                      <w:szCs w:val="21"/>
                      <w:lang w:bidi="ar"/>
                    </w:rPr>
                    <w:t>251.5</w:t>
                  </w:r>
                </w:p>
              </w:tc>
              <w:tc>
                <w:tcPr>
                  <w:tcW w:w="460" w:type="pct"/>
                  <w:tcBorders>
                    <w:tl2br w:val="nil"/>
                    <w:tr2bl w:val="nil"/>
                  </w:tcBorders>
                  <w:noWrap/>
                  <w:vAlign w:val="center"/>
                </w:tcPr>
                <w:p w14:paraId="57DED7FC">
                  <w:pPr>
                    <w:widowControl/>
                    <w:jc w:val="center"/>
                    <w:textAlignment w:val="bottom"/>
                    <w:rPr>
                      <w:szCs w:val="21"/>
                    </w:rPr>
                  </w:pPr>
                  <w:r>
                    <w:rPr>
                      <w:kern w:val="0"/>
                      <w:szCs w:val="21"/>
                      <w:lang w:bidi="ar"/>
                    </w:rPr>
                    <w:t>238.2</w:t>
                  </w:r>
                </w:p>
              </w:tc>
              <w:tc>
                <w:tcPr>
                  <w:tcW w:w="351" w:type="pct"/>
                  <w:tcBorders>
                    <w:tl2br w:val="nil"/>
                    <w:tr2bl w:val="nil"/>
                  </w:tcBorders>
                  <w:noWrap/>
                  <w:vAlign w:val="center"/>
                </w:tcPr>
                <w:p w14:paraId="44CE5FD4">
                  <w:pPr>
                    <w:widowControl/>
                    <w:jc w:val="center"/>
                    <w:textAlignment w:val="bottom"/>
                    <w:rPr>
                      <w:szCs w:val="21"/>
                    </w:rPr>
                  </w:pPr>
                  <w:r>
                    <w:rPr>
                      <w:kern w:val="0"/>
                      <w:szCs w:val="21"/>
                      <w:lang w:bidi="ar"/>
                    </w:rPr>
                    <w:t>1</w:t>
                  </w:r>
                </w:p>
              </w:tc>
              <w:tc>
                <w:tcPr>
                  <w:tcW w:w="478" w:type="pct"/>
                  <w:tcBorders>
                    <w:tl2br w:val="nil"/>
                    <w:tr2bl w:val="nil"/>
                  </w:tcBorders>
                  <w:noWrap/>
                  <w:vAlign w:val="center"/>
                </w:tcPr>
                <w:p w14:paraId="376FEC70">
                  <w:pPr>
                    <w:widowControl/>
                    <w:jc w:val="center"/>
                    <w:textAlignment w:val="bottom"/>
                    <w:rPr>
                      <w:szCs w:val="21"/>
                    </w:rPr>
                  </w:pPr>
                  <w:r>
                    <w:rPr>
                      <w:kern w:val="0"/>
                      <w:szCs w:val="21"/>
                      <w:lang w:bidi="ar"/>
                    </w:rPr>
                    <w:t>35.02</w:t>
                  </w:r>
                </w:p>
              </w:tc>
              <w:tc>
                <w:tcPr>
                  <w:tcW w:w="460" w:type="pct"/>
                  <w:tcBorders>
                    <w:tl2br w:val="nil"/>
                    <w:tr2bl w:val="nil"/>
                  </w:tcBorders>
                  <w:noWrap/>
                  <w:vAlign w:val="center"/>
                </w:tcPr>
                <w:p w14:paraId="59BF9106">
                  <w:pPr>
                    <w:widowControl/>
                    <w:jc w:val="center"/>
                    <w:textAlignment w:val="bottom"/>
                    <w:rPr>
                      <w:szCs w:val="21"/>
                    </w:rPr>
                  </w:pPr>
                  <w:r>
                    <w:rPr>
                      <w:kern w:val="0"/>
                      <w:szCs w:val="21"/>
                      <w:lang w:bidi="ar"/>
                    </w:rPr>
                    <w:t>56.89</w:t>
                  </w:r>
                </w:p>
              </w:tc>
              <w:tc>
                <w:tcPr>
                  <w:tcW w:w="514" w:type="pct"/>
                  <w:tcBorders>
                    <w:tl2br w:val="nil"/>
                    <w:tr2bl w:val="nil"/>
                  </w:tcBorders>
                  <w:noWrap/>
                  <w:vAlign w:val="center"/>
                </w:tcPr>
                <w:p w14:paraId="5321D360">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3F12B420">
                  <w:pPr>
                    <w:widowControl/>
                    <w:jc w:val="center"/>
                    <w:textAlignment w:val="bottom"/>
                    <w:rPr>
                      <w:szCs w:val="21"/>
                    </w:rPr>
                  </w:pPr>
                  <w:r>
                    <w:rPr>
                      <w:kern w:val="0"/>
                      <w:szCs w:val="21"/>
                      <w:lang w:bidi="ar"/>
                    </w:rPr>
                    <w:t>31.81</w:t>
                  </w:r>
                </w:p>
              </w:tc>
              <w:tc>
                <w:tcPr>
                  <w:tcW w:w="379" w:type="pct"/>
                  <w:tcBorders>
                    <w:tl2br w:val="nil"/>
                    <w:tr2bl w:val="nil"/>
                  </w:tcBorders>
                  <w:noWrap/>
                  <w:vAlign w:val="center"/>
                </w:tcPr>
                <w:p w14:paraId="61E9DC8F">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2AC213F7">
                  <w:pPr>
                    <w:widowControl/>
                    <w:jc w:val="center"/>
                    <w:textAlignment w:val="bottom"/>
                    <w:rPr>
                      <w:kern w:val="0"/>
                      <w:szCs w:val="21"/>
                      <w:lang w:bidi="ar"/>
                    </w:rPr>
                  </w:pPr>
                </w:p>
              </w:tc>
            </w:tr>
            <w:tr w14:paraId="56B4BE5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600233FD">
                  <w:pPr>
                    <w:widowControl/>
                    <w:jc w:val="center"/>
                    <w:textAlignment w:val="bottom"/>
                    <w:rPr>
                      <w:szCs w:val="21"/>
                    </w:rPr>
                  </w:pPr>
                </w:p>
              </w:tc>
              <w:tc>
                <w:tcPr>
                  <w:tcW w:w="303" w:type="pct"/>
                  <w:vMerge w:val="continue"/>
                  <w:tcBorders>
                    <w:tl2br w:val="nil"/>
                    <w:tr2bl w:val="nil"/>
                  </w:tcBorders>
                  <w:noWrap/>
                  <w:vAlign w:val="center"/>
                </w:tcPr>
                <w:p w14:paraId="07245BFB">
                  <w:pPr>
                    <w:widowControl/>
                    <w:jc w:val="center"/>
                    <w:textAlignment w:val="bottom"/>
                    <w:rPr>
                      <w:szCs w:val="21"/>
                    </w:rPr>
                  </w:pPr>
                </w:p>
              </w:tc>
              <w:tc>
                <w:tcPr>
                  <w:tcW w:w="429" w:type="pct"/>
                  <w:vMerge w:val="continue"/>
                  <w:tcBorders>
                    <w:tl2br w:val="nil"/>
                    <w:tr2bl w:val="nil"/>
                  </w:tcBorders>
                  <w:noWrap/>
                  <w:vAlign w:val="center"/>
                </w:tcPr>
                <w:p w14:paraId="28D232EF">
                  <w:pPr>
                    <w:widowControl/>
                    <w:jc w:val="center"/>
                    <w:textAlignment w:val="bottom"/>
                    <w:rPr>
                      <w:szCs w:val="21"/>
                    </w:rPr>
                  </w:pPr>
                </w:p>
              </w:tc>
              <w:tc>
                <w:tcPr>
                  <w:tcW w:w="284" w:type="pct"/>
                  <w:vMerge w:val="continue"/>
                  <w:tcBorders>
                    <w:tl2br w:val="nil"/>
                    <w:tr2bl w:val="nil"/>
                  </w:tcBorders>
                  <w:noWrap/>
                  <w:vAlign w:val="center"/>
                </w:tcPr>
                <w:p w14:paraId="7E747340">
                  <w:pPr>
                    <w:jc w:val="center"/>
                    <w:rPr>
                      <w:szCs w:val="21"/>
                    </w:rPr>
                  </w:pPr>
                </w:p>
              </w:tc>
              <w:tc>
                <w:tcPr>
                  <w:tcW w:w="454" w:type="pct"/>
                  <w:tcBorders>
                    <w:tl2br w:val="nil"/>
                    <w:tr2bl w:val="nil"/>
                  </w:tcBorders>
                  <w:noWrap/>
                  <w:vAlign w:val="center"/>
                </w:tcPr>
                <w:p w14:paraId="44E2B047">
                  <w:pPr>
                    <w:widowControl/>
                    <w:jc w:val="center"/>
                    <w:textAlignment w:val="bottom"/>
                    <w:rPr>
                      <w:szCs w:val="21"/>
                    </w:rPr>
                  </w:pPr>
                  <w:r>
                    <w:rPr>
                      <w:kern w:val="0"/>
                      <w:szCs w:val="21"/>
                      <w:lang w:bidi="ar"/>
                    </w:rPr>
                    <w:t>251.5</w:t>
                  </w:r>
                </w:p>
              </w:tc>
              <w:tc>
                <w:tcPr>
                  <w:tcW w:w="460" w:type="pct"/>
                  <w:tcBorders>
                    <w:tl2br w:val="nil"/>
                    <w:tr2bl w:val="nil"/>
                  </w:tcBorders>
                  <w:noWrap/>
                  <w:vAlign w:val="center"/>
                </w:tcPr>
                <w:p w14:paraId="3F20190E">
                  <w:pPr>
                    <w:widowControl/>
                    <w:jc w:val="center"/>
                    <w:textAlignment w:val="bottom"/>
                    <w:rPr>
                      <w:szCs w:val="21"/>
                    </w:rPr>
                  </w:pPr>
                  <w:r>
                    <w:rPr>
                      <w:kern w:val="0"/>
                      <w:szCs w:val="21"/>
                      <w:lang w:bidi="ar"/>
                    </w:rPr>
                    <w:t>238.2</w:t>
                  </w:r>
                </w:p>
              </w:tc>
              <w:tc>
                <w:tcPr>
                  <w:tcW w:w="351" w:type="pct"/>
                  <w:tcBorders>
                    <w:tl2br w:val="nil"/>
                    <w:tr2bl w:val="nil"/>
                  </w:tcBorders>
                  <w:noWrap/>
                  <w:vAlign w:val="center"/>
                </w:tcPr>
                <w:p w14:paraId="1E81DEE0">
                  <w:pPr>
                    <w:widowControl/>
                    <w:jc w:val="center"/>
                    <w:textAlignment w:val="bottom"/>
                    <w:rPr>
                      <w:szCs w:val="21"/>
                    </w:rPr>
                  </w:pPr>
                  <w:r>
                    <w:rPr>
                      <w:kern w:val="0"/>
                      <w:szCs w:val="21"/>
                      <w:lang w:bidi="ar"/>
                    </w:rPr>
                    <w:t>1</w:t>
                  </w:r>
                </w:p>
              </w:tc>
              <w:tc>
                <w:tcPr>
                  <w:tcW w:w="478" w:type="pct"/>
                  <w:tcBorders>
                    <w:tl2br w:val="nil"/>
                    <w:tr2bl w:val="nil"/>
                  </w:tcBorders>
                  <w:noWrap/>
                  <w:vAlign w:val="center"/>
                </w:tcPr>
                <w:p w14:paraId="1EBF6E67">
                  <w:pPr>
                    <w:widowControl/>
                    <w:jc w:val="center"/>
                    <w:textAlignment w:val="bottom"/>
                    <w:rPr>
                      <w:szCs w:val="21"/>
                    </w:rPr>
                  </w:pPr>
                  <w:r>
                    <w:rPr>
                      <w:kern w:val="0"/>
                      <w:szCs w:val="21"/>
                      <w:lang w:bidi="ar"/>
                    </w:rPr>
                    <w:t>8.4</w:t>
                  </w:r>
                </w:p>
              </w:tc>
              <w:tc>
                <w:tcPr>
                  <w:tcW w:w="460" w:type="pct"/>
                  <w:tcBorders>
                    <w:tl2br w:val="nil"/>
                    <w:tr2bl w:val="nil"/>
                  </w:tcBorders>
                  <w:noWrap/>
                  <w:vAlign w:val="center"/>
                </w:tcPr>
                <w:p w14:paraId="3A861F3A">
                  <w:pPr>
                    <w:widowControl/>
                    <w:jc w:val="center"/>
                    <w:textAlignment w:val="bottom"/>
                    <w:rPr>
                      <w:szCs w:val="21"/>
                    </w:rPr>
                  </w:pPr>
                  <w:r>
                    <w:rPr>
                      <w:kern w:val="0"/>
                      <w:szCs w:val="21"/>
                      <w:lang w:bidi="ar"/>
                    </w:rPr>
                    <w:t>58.46</w:t>
                  </w:r>
                </w:p>
              </w:tc>
              <w:tc>
                <w:tcPr>
                  <w:tcW w:w="514" w:type="pct"/>
                  <w:tcBorders>
                    <w:tl2br w:val="nil"/>
                    <w:tr2bl w:val="nil"/>
                  </w:tcBorders>
                  <w:noWrap/>
                  <w:vAlign w:val="center"/>
                </w:tcPr>
                <w:p w14:paraId="00AC826E">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9C9325A">
                  <w:pPr>
                    <w:widowControl/>
                    <w:jc w:val="center"/>
                    <w:textAlignment w:val="bottom"/>
                    <w:rPr>
                      <w:szCs w:val="21"/>
                    </w:rPr>
                  </w:pPr>
                  <w:r>
                    <w:rPr>
                      <w:kern w:val="0"/>
                      <w:szCs w:val="21"/>
                      <w:lang w:bidi="ar"/>
                    </w:rPr>
                    <w:t>39.23</w:t>
                  </w:r>
                </w:p>
              </w:tc>
              <w:tc>
                <w:tcPr>
                  <w:tcW w:w="379" w:type="pct"/>
                  <w:tcBorders>
                    <w:tl2br w:val="nil"/>
                    <w:tr2bl w:val="nil"/>
                  </w:tcBorders>
                  <w:noWrap/>
                  <w:vAlign w:val="center"/>
                </w:tcPr>
                <w:p w14:paraId="33DA4D6E">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4D38382C">
                  <w:pPr>
                    <w:widowControl/>
                    <w:jc w:val="center"/>
                    <w:textAlignment w:val="bottom"/>
                    <w:rPr>
                      <w:kern w:val="0"/>
                      <w:szCs w:val="21"/>
                      <w:lang w:bidi="ar"/>
                    </w:rPr>
                  </w:pPr>
                </w:p>
              </w:tc>
            </w:tr>
            <w:tr w14:paraId="4BCDF7B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5B1C645D">
                  <w:pPr>
                    <w:widowControl/>
                    <w:jc w:val="center"/>
                    <w:textAlignment w:val="bottom"/>
                    <w:rPr>
                      <w:szCs w:val="21"/>
                    </w:rPr>
                  </w:pPr>
                </w:p>
              </w:tc>
              <w:tc>
                <w:tcPr>
                  <w:tcW w:w="303" w:type="pct"/>
                  <w:vMerge w:val="continue"/>
                  <w:tcBorders>
                    <w:tl2br w:val="nil"/>
                    <w:tr2bl w:val="nil"/>
                  </w:tcBorders>
                  <w:noWrap/>
                  <w:vAlign w:val="center"/>
                </w:tcPr>
                <w:p w14:paraId="676B90B8">
                  <w:pPr>
                    <w:widowControl/>
                    <w:jc w:val="center"/>
                    <w:textAlignment w:val="bottom"/>
                    <w:rPr>
                      <w:szCs w:val="21"/>
                    </w:rPr>
                  </w:pPr>
                </w:p>
              </w:tc>
              <w:tc>
                <w:tcPr>
                  <w:tcW w:w="429" w:type="pct"/>
                  <w:vMerge w:val="continue"/>
                  <w:tcBorders>
                    <w:tl2br w:val="nil"/>
                    <w:tr2bl w:val="nil"/>
                  </w:tcBorders>
                  <w:noWrap/>
                  <w:vAlign w:val="center"/>
                </w:tcPr>
                <w:p w14:paraId="7844715A">
                  <w:pPr>
                    <w:widowControl/>
                    <w:jc w:val="center"/>
                    <w:textAlignment w:val="bottom"/>
                    <w:rPr>
                      <w:szCs w:val="21"/>
                    </w:rPr>
                  </w:pPr>
                </w:p>
              </w:tc>
              <w:tc>
                <w:tcPr>
                  <w:tcW w:w="284" w:type="pct"/>
                  <w:vMerge w:val="continue"/>
                  <w:tcBorders>
                    <w:tl2br w:val="nil"/>
                    <w:tr2bl w:val="nil"/>
                  </w:tcBorders>
                  <w:noWrap/>
                  <w:vAlign w:val="center"/>
                </w:tcPr>
                <w:p w14:paraId="092E7FC9">
                  <w:pPr>
                    <w:jc w:val="center"/>
                    <w:rPr>
                      <w:szCs w:val="21"/>
                    </w:rPr>
                  </w:pPr>
                </w:p>
              </w:tc>
              <w:tc>
                <w:tcPr>
                  <w:tcW w:w="454" w:type="pct"/>
                  <w:tcBorders>
                    <w:tl2br w:val="nil"/>
                    <w:tr2bl w:val="nil"/>
                  </w:tcBorders>
                  <w:noWrap/>
                  <w:vAlign w:val="center"/>
                </w:tcPr>
                <w:p w14:paraId="2036C288">
                  <w:pPr>
                    <w:widowControl/>
                    <w:jc w:val="center"/>
                    <w:textAlignment w:val="bottom"/>
                    <w:rPr>
                      <w:szCs w:val="21"/>
                    </w:rPr>
                  </w:pPr>
                  <w:r>
                    <w:rPr>
                      <w:kern w:val="0"/>
                      <w:szCs w:val="21"/>
                      <w:lang w:bidi="ar"/>
                    </w:rPr>
                    <w:t>251.5</w:t>
                  </w:r>
                </w:p>
              </w:tc>
              <w:tc>
                <w:tcPr>
                  <w:tcW w:w="460" w:type="pct"/>
                  <w:tcBorders>
                    <w:tl2br w:val="nil"/>
                    <w:tr2bl w:val="nil"/>
                  </w:tcBorders>
                  <w:noWrap/>
                  <w:vAlign w:val="center"/>
                </w:tcPr>
                <w:p w14:paraId="5B413211">
                  <w:pPr>
                    <w:widowControl/>
                    <w:jc w:val="center"/>
                    <w:textAlignment w:val="bottom"/>
                    <w:rPr>
                      <w:szCs w:val="21"/>
                    </w:rPr>
                  </w:pPr>
                  <w:r>
                    <w:rPr>
                      <w:kern w:val="0"/>
                      <w:szCs w:val="21"/>
                      <w:lang w:bidi="ar"/>
                    </w:rPr>
                    <w:t>238.2</w:t>
                  </w:r>
                </w:p>
              </w:tc>
              <w:tc>
                <w:tcPr>
                  <w:tcW w:w="351" w:type="pct"/>
                  <w:tcBorders>
                    <w:tl2br w:val="nil"/>
                    <w:tr2bl w:val="nil"/>
                  </w:tcBorders>
                  <w:noWrap/>
                  <w:vAlign w:val="center"/>
                </w:tcPr>
                <w:p w14:paraId="4C02EBDC">
                  <w:pPr>
                    <w:widowControl/>
                    <w:jc w:val="center"/>
                    <w:textAlignment w:val="bottom"/>
                    <w:rPr>
                      <w:szCs w:val="21"/>
                    </w:rPr>
                  </w:pPr>
                  <w:r>
                    <w:rPr>
                      <w:kern w:val="0"/>
                      <w:szCs w:val="21"/>
                      <w:lang w:bidi="ar"/>
                    </w:rPr>
                    <w:t>1</w:t>
                  </w:r>
                </w:p>
              </w:tc>
              <w:tc>
                <w:tcPr>
                  <w:tcW w:w="478" w:type="pct"/>
                  <w:tcBorders>
                    <w:tl2br w:val="nil"/>
                    <w:tr2bl w:val="nil"/>
                  </w:tcBorders>
                  <w:noWrap/>
                  <w:vAlign w:val="center"/>
                </w:tcPr>
                <w:p w14:paraId="71D2C548">
                  <w:pPr>
                    <w:widowControl/>
                    <w:jc w:val="center"/>
                    <w:textAlignment w:val="bottom"/>
                    <w:rPr>
                      <w:szCs w:val="21"/>
                    </w:rPr>
                  </w:pPr>
                  <w:r>
                    <w:rPr>
                      <w:kern w:val="0"/>
                      <w:szCs w:val="21"/>
                      <w:lang w:bidi="ar"/>
                    </w:rPr>
                    <w:t>8.54</w:t>
                  </w:r>
                </w:p>
              </w:tc>
              <w:tc>
                <w:tcPr>
                  <w:tcW w:w="460" w:type="pct"/>
                  <w:tcBorders>
                    <w:tl2br w:val="nil"/>
                    <w:tr2bl w:val="nil"/>
                  </w:tcBorders>
                  <w:noWrap/>
                  <w:vAlign w:val="center"/>
                </w:tcPr>
                <w:p w14:paraId="5007DB71">
                  <w:pPr>
                    <w:widowControl/>
                    <w:jc w:val="center"/>
                    <w:textAlignment w:val="bottom"/>
                    <w:rPr>
                      <w:szCs w:val="21"/>
                    </w:rPr>
                  </w:pPr>
                  <w:r>
                    <w:rPr>
                      <w:kern w:val="0"/>
                      <w:szCs w:val="21"/>
                      <w:lang w:bidi="ar"/>
                    </w:rPr>
                    <w:t>58.42</w:t>
                  </w:r>
                </w:p>
              </w:tc>
              <w:tc>
                <w:tcPr>
                  <w:tcW w:w="514" w:type="pct"/>
                  <w:tcBorders>
                    <w:tl2br w:val="nil"/>
                    <w:tr2bl w:val="nil"/>
                  </w:tcBorders>
                  <w:noWrap/>
                  <w:vAlign w:val="center"/>
                </w:tcPr>
                <w:p w14:paraId="5677EBE4">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75577CFD">
                  <w:pPr>
                    <w:widowControl/>
                    <w:jc w:val="center"/>
                    <w:textAlignment w:val="bottom"/>
                    <w:rPr>
                      <w:szCs w:val="21"/>
                    </w:rPr>
                  </w:pPr>
                  <w:r>
                    <w:rPr>
                      <w:kern w:val="0"/>
                      <w:szCs w:val="21"/>
                      <w:lang w:bidi="ar"/>
                    </w:rPr>
                    <w:t>33.34</w:t>
                  </w:r>
                </w:p>
              </w:tc>
              <w:tc>
                <w:tcPr>
                  <w:tcW w:w="379" w:type="pct"/>
                  <w:tcBorders>
                    <w:tl2br w:val="nil"/>
                    <w:tr2bl w:val="nil"/>
                  </w:tcBorders>
                  <w:noWrap/>
                  <w:vAlign w:val="center"/>
                </w:tcPr>
                <w:p w14:paraId="10997B37">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57139F29">
                  <w:pPr>
                    <w:widowControl/>
                    <w:jc w:val="center"/>
                    <w:textAlignment w:val="bottom"/>
                    <w:rPr>
                      <w:kern w:val="0"/>
                      <w:szCs w:val="21"/>
                      <w:lang w:bidi="ar"/>
                    </w:rPr>
                  </w:pPr>
                </w:p>
              </w:tc>
            </w:tr>
            <w:tr w14:paraId="7D4AB3F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49389D1B">
                  <w:pPr>
                    <w:widowControl/>
                    <w:jc w:val="center"/>
                    <w:textAlignment w:val="bottom"/>
                    <w:rPr>
                      <w:szCs w:val="21"/>
                    </w:rPr>
                  </w:pPr>
                </w:p>
              </w:tc>
              <w:tc>
                <w:tcPr>
                  <w:tcW w:w="303" w:type="pct"/>
                  <w:vMerge w:val="continue"/>
                  <w:tcBorders>
                    <w:tl2br w:val="nil"/>
                    <w:tr2bl w:val="nil"/>
                  </w:tcBorders>
                  <w:noWrap/>
                  <w:vAlign w:val="center"/>
                </w:tcPr>
                <w:p w14:paraId="0D6B9E78">
                  <w:pPr>
                    <w:widowControl/>
                    <w:jc w:val="center"/>
                    <w:textAlignment w:val="bottom"/>
                    <w:rPr>
                      <w:szCs w:val="21"/>
                    </w:rPr>
                  </w:pPr>
                </w:p>
              </w:tc>
              <w:tc>
                <w:tcPr>
                  <w:tcW w:w="429" w:type="pct"/>
                  <w:vMerge w:val="continue"/>
                  <w:tcBorders>
                    <w:tl2br w:val="nil"/>
                    <w:tr2bl w:val="nil"/>
                  </w:tcBorders>
                  <w:noWrap/>
                  <w:vAlign w:val="center"/>
                </w:tcPr>
                <w:p w14:paraId="08F84FF7">
                  <w:pPr>
                    <w:widowControl/>
                    <w:jc w:val="center"/>
                    <w:textAlignment w:val="bottom"/>
                    <w:rPr>
                      <w:szCs w:val="21"/>
                    </w:rPr>
                  </w:pPr>
                </w:p>
              </w:tc>
              <w:tc>
                <w:tcPr>
                  <w:tcW w:w="284" w:type="pct"/>
                  <w:vMerge w:val="continue"/>
                  <w:tcBorders>
                    <w:tl2br w:val="nil"/>
                    <w:tr2bl w:val="nil"/>
                  </w:tcBorders>
                  <w:noWrap/>
                  <w:vAlign w:val="center"/>
                </w:tcPr>
                <w:p w14:paraId="2638AB42">
                  <w:pPr>
                    <w:jc w:val="center"/>
                    <w:rPr>
                      <w:szCs w:val="21"/>
                    </w:rPr>
                  </w:pPr>
                </w:p>
              </w:tc>
              <w:tc>
                <w:tcPr>
                  <w:tcW w:w="454" w:type="pct"/>
                  <w:tcBorders>
                    <w:tl2br w:val="nil"/>
                    <w:tr2bl w:val="nil"/>
                  </w:tcBorders>
                  <w:noWrap/>
                  <w:vAlign w:val="center"/>
                </w:tcPr>
                <w:p w14:paraId="140F4EC4">
                  <w:pPr>
                    <w:widowControl/>
                    <w:jc w:val="center"/>
                    <w:textAlignment w:val="bottom"/>
                    <w:rPr>
                      <w:szCs w:val="21"/>
                    </w:rPr>
                  </w:pPr>
                  <w:r>
                    <w:rPr>
                      <w:kern w:val="0"/>
                      <w:szCs w:val="21"/>
                      <w:lang w:bidi="ar"/>
                    </w:rPr>
                    <w:t>251.5</w:t>
                  </w:r>
                </w:p>
              </w:tc>
              <w:tc>
                <w:tcPr>
                  <w:tcW w:w="460" w:type="pct"/>
                  <w:tcBorders>
                    <w:tl2br w:val="nil"/>
                    <w:tr2bl w:val="nil"/>
                  </w:tcBorders>
                  <w:noWrap/>
                  <w:vAlign w:val="center"/>
                </w:tcPr>
                <w:p w14:paraId="43A428E1">
                  <w:pPr>
                    <w:widowControl/>
                    <w:jc w:val="center"/>
                    <w:textAlignment w:val="bottom"/>
                    <w:rPr>
                      <w:szCs w:val="21"/>
                    </w:rPr>
                  </w:pPr>
                  <w:r>
                    <w:rPr>
                      <w:kern w:val="0"/>
                      <w:szCs w:val="21"/>
                      <w:lang w:bidi="ar"/>
                    </w:rPr>
                    <w:t>238.2</w:t>
                  </w:r>
                </w:p>
              </w:tc>
              <w:tc>
                <w:tcPr>
                  <w:tcW w:w="351" w:type="pct"/>
                  <w:tcBorders>
                    <w:tl2br w:val="nil"/>
                    <w:tr2bl w:val="nil"/>
                  </w:tcBorders>
                  <w:noWrap/>
                  <w:vAlign w:val="center"/>
                </w:tcPr>
                <w:p w14:paraId="497646A2">
                  <w:pPr>
                    <w:widowControl/>
                    <w:jc w:val="center"/>
                    <w:textAlignment w:val="bottom"/>
                    <w:rPr>
                      <w:szCs w:val="21"/>
                    </w:rPr>
                  </w:pPr>
                  <w:r>
                    <w:rPr>
                      <w:kern w:val="0"/>
                      <w:szCs w:val="21"/>
                      <w:lang w:bidi="ar"/>
                    </w:rPr>
                    <w:t>1</w:t>
                  </w:r>
                </w:p>
              </w:tc>
              <w:tc>
                <w:tcPr>
                  <w:tcW w:w="478" w:type="pct"/>
                  <w:tcBorders>
                    <w:tl2br w:val="nil"/>
                    <w:tr2bl w:val="nil"/>
                  </w:tcBorders>
                  <w:noWrap/>
                  <w:vAlign w:val="center"/>
                </w:tcPr>
                <w:p w14:paraId="315B09FB">
                  <w:pPr>
                    <w:widowControl/>
                    <w:jc w:val="center"/>
                    <w:textAlignment w:val="bottom"/>
                    <w:rPr>
                      <w:szCs w:val="21"/>
                    </w:rPr>
                  </w:pPr>
                  <w:r>
                    <w:rPr>
                      <w:kern w:val="0"/>
                      <w:szCs w:val="21"/>
                      <w:lang w:bidi="ar"/>
                    </w:rPr>
                    <w:t>12.7</w:t>
                  </w:r>
                </w:p>
              </w:tc>
              <w:tc>
                <w:tcPr>
                  <w:tcW w:w="460" w:type="pct"/>
                  <w:tcBorders>
                    <w:tl2br w:val="nil"/>
                    <w:tr2bl w:val="nil"/>
                  </w:tcBorders>
                  <w:noWrap/>
                  <w:vAlign w:val="center"/>
                </w:tcPr>
                <w:p w14:paraId="4EF21D72">
                  <w:pPr>
                    <w:widowControl/>
                    <w:jc w:val="center"/>
                    <w:textAlignment w:val="bottom"/>
                    <w:rPr>
                      <w:szCs w:val="21"/>
                    </w:rPr>
                  </w:pPr>
                  <w:r>
                    <w:rPr>
                      <w:kern w:val="0"/>
                      <w:szCs w:val="21"/>
                      <w:lang w:bidi="ar"/>
                    </w:rPr>
                    <w:t>57.59</w:t>
                  </w:r>
                </w:p>
              </w:tc>
              <w:tc>
                <w:tcPr>
                  <w:tcW w:w="514" w:type="pct"/>
                  <w:tcBorders>
                    <w:tl2br w:val="nil"/>
                    <w:tr2bl w:val="nil"/>
                  </w:tcBorders>
                  <w:noWrap/>
                  <w:vAlign w:val="center"/>
                </w:tcPr>
                <w:p w14:paraId="664BD7FD">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27F74D6E">
                  <w:pPr>
                    <w:widowControl/>
                    <w:jc w:val="center"/>
                    <w:textAlignment w:val="bottom"/>
                    <w:rPr>
                      <w:szCs w:val="21"/>
                    </w:rPr>
                  </w:pPr>
                  <w:r>
                    <w:rPr>
                      <w:kern w:val="0"/>
                      <w:szCs w:val="21"/>
                      <w:lang w:bidi="ar"/>
                    </w:rPr>
                    <w:t>38.37</w:t>
                  </w:r>
                </w:p>
              </w:tc>
              <w:tc>
                <w:tcPr>
                  <w:tcW w:w="379" w:type="pct"/>
                  <w:tcBorders>
                    <w:tl2br w:val="nil"/>
                    <w:tr2bl w:val="nil"/>
                  </w:tcBorders>
                  <w:noWrap/>
                  <w:vAlign w:val="center"/>
                </w:tcPr>
                <w:p w14:paraId="39464A09">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7E2FA1E9">
                  <w:pPr>
                    <w:widowControl/>
                    <w:jc w:val="center"/>
                    <w:textAlignment w:val="bottom"/>
                    <w:rPr>
                      <w:kern w:val="0"/>
                      <w:szCs w:val="21"/>
                      <w:lang w:bidi="ar"/>
                    </w:rPr>
                  </w:pPr>
                </w:p>
              </w:tc>
            </w:tr>
            <w:tr w14:paraId="650ECE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restart"/>
                  <w:tcBorders>
                    <w:tl2br w:val="nil"/>
                    <w:tr2bl w:val="nil"/>
                  </w:tcBorders>
                  <w:noWrap/>
                  <w:vAlign w:val="center"/>
                </w:tcPr>
                <w:p w14:paraId="7DC93185">
                  <w:pPr>
                    <w:widowControl/>
                    <w:jc w:val="center"/>
                    <w:textAlignment w:val="bottom"/>
                    <w:rPr>
                      <w:szCs w:val="21"/>
                    </w:rPr>
                  </w:pPr>
                  <w:r>
                    <w:rPr>
                      <w:rFonts w:hint="eastAsia"/>
                      <w:szCs w:val="21"/>
                    </w:rPr>
                    <w:t>6</w:t>
                  </w:r>
                </w:p>
              </w:tc>
              <w:tc>
                <w:tcPr>
                  <w:tcW w:w="303" w:type="pct"/>
                  <w:vMerge w:val="restart"/>
                  <w:tcBorders>
                    <w:tl2br w:val="nil"/>
                    <w:tr2bl w:val="nil"/>
                  </w:tcBorders>
                  <w:noWrap/>
                  <w:vAlign w:val="center"/>
                </w:tcPr>
                <w:p w14:paraId="197275BC">
                  <w:pPr>
                    <w:widowControl/>
                    <w:jc w:val="center"/>
                    <w:textAlignment w:val="bottom"/>
                    <w:rPr>
                      <w:szCs w:val="21"/>
                    </w:rPr>
                  </w:pPr>
                  <w:r>
                    <w:rPr>
                      <w:kern w:val="0"/>
                      <w:szCs w:val="21"/>
                      <w:lang w:bidi="ar"/>
                    </w:rPr>
                    <w:t>水泵</w:t>
                  </w:r>
                </w:p>
              </w:tc>
              <w:tc>
                <w:tcPr>
                  <w:tcW w:w="429" w:type="pct"/>
                  <w:vMerge w:val="restart"/>
                  <w:tcBorders>
                    <w:tl2br w:val="nil"/>
                    <w:tr2bl w:val="nil"/>
                  </w:tcBorders>
                  <w:noWrap/>
                  <w:vAlign w:val="center"/>
                </w:tcPr>
                <w:p w14:paraId="0D6486E7">
                  <w:pPr>
                    <w:widowControl/>
                    <w:jc w:val="center"/>
                    <w:textAlignment w:val="bottom"/>
                    <w:rPr>
                      <w:szCs w:val="21"/>
                    </w:rPr>
                  </w:pPr>
                  <w:r>
                    <w:rPr>
                      <w:rFonts w:hint="eastAsia"/>
                      <w:szCs w:val="21"/>
                    </w:rPr>
                    <w:t>80</w:t>
                  </w:r>
                </w:p>
              </w:tc>
              <w:tc>
                <w:tcPr>
                  <w:tcW w:w="284" w:type="pct"/>
                  <w:vMerge w:val="continue"/>
                  <w:tcBorders>
                    <w:tl2br w:val="nil"/>
                    <w:tr2bl w:val="nil"/>
                  </w:tcBorders>
                  <w:noWrap/>
                  <w:vAlign w:val="center"/>
                </w:tcPr>
                <w:p w14:paraId="688F9D18">
                  <w:pPr>
                    <w:jc w:val="center"/>
                    <w:rPr>
                      <w:szCs w:val="21"/>
                    </w:rPr>
                  </w:pPr>
                </w:p>
              </w:tc>
              <w:tc>
                <w:tcPr>
                  <w:tcW w:w="454" w:type="pct"/>
                  <w:tcBorders>
                    <w:tl2br w:val="nil"/>
                    <w:tr2bl w:val="nil"/>
                  </w:tcBorders>
                  <w:noWrap/>
                  <w:vAlign w:val="center"/>
                </w:tcPr>
                <w:p w14:paraId="34EC70FE">
                  <w:pPr>
                    <w:widowControl/>
                    <w:jc w:val="center"/>
                    <w:textAlignment w:val="bottom"/>
                    <w:rPr>
                      <w:szCs w:val="21"/>
                    </w:rPr>
                  </w:pPr>
                  <w:r>
                    <w:rPr>
                      <w:kern w:val="0"/>
                      <w:szCs w:val="21"/>
                      <w:lang w:bidi="ar"/>
                    </w:rPr>
                    <w:t>258.1</w:t>
                  </w:r>
                </w:p>
              </w:tc>
              <w:tc>
                <w:tcPr>
                  <w:tcW w:w="460" w:type="pct"/>
                  <w:tcBorders>
                    <w:tl2br w:val="nil"/>
                    <w:tr2bl w:val="nil"/>
                  </w:tcBorders>
                  <w:noWrap/>
                  <w:vAlign w:val="center"/>
                </w:tcPr>
                <w:p w14:paraId="49370B6E">
                  <w:pPr>
                    <w:widowControl/>
                    <w:jc w:val="center"/>
                    <w:textAlignment w:val="bottom"/>
                    <w:rPr>
                      <w:szCs w:val="21"/>
                    </w:rPr>
                  </w:pPr>
                  <w:r>
                    <w:rPr>
                      <w:kern w:val="0"/>
                      <w:szCs w:val="21"/>
                      <w:lang w:bidi="ar"/>
                    </w:rPr>
                    <w:t>248.1</w:t>
                  </w:r>
                </w:p>
              </w:tc>
              <w:tc>
                <w:tcPr>
                  <w:tcW w:w="351" w:type="pct"/>
                  <w:tcBorders>
                    <w:tl2br w:val="nil"/>
                    <w:tr2bl w:val="nil"/>
                  </w:tcBorders>
                  <w:noWrap/>
                  <w:vAlign w:val="center"/>
                </w:tcPr>
                <w:p w14:paraId="707CB9A2">
                  <w:pPr>
                    <w:widowControl/>
                    <w:jc w:val="center"/>
                    <w:textAlignment w:val="bottom"/>
                    <w:rPr>
                      <w:szCs w:val="21"/>
                    </w:rPr>
                  </w:pPr>
                  <w:r>
                    <w:rPr>
                      <w:kern w:val="0"/>
                      <w:szCs w:val="21"/>
                      <w:lang w:bidi="ar"/>
                    </w:rPr>
                    <w:t>0.5</w:t>
                  </w:r>
                </w:p>
              </w:tc>
              <w:tc>
                <w:tcPr>
                  <w:tcW w:w="478" w:type="pct"/>
                  <w:tcBorders>
                    <w:tl2br w:val="nil"/>
                    <w:tr2bl w:val="nil"/>
                  </w:tcBorders>
                  <w:noWrap/>
                  <w:vAlign w:val="center"/>
                </w:tcPr>
                <w:p w14:paraId="204FCCFF">
                  <w:pPr>
                    <w:widowControl/>
                    <w:jc w:val="center"/>
                    <w:textAlignment w:val="bottom"/>
                    <w:rPr>
                      <w:szCs w:val="21"/>
                    </w:rPr>
                  </w:pPr>
                  <w:r>
                    <w:rPr>
                      <w:kern w:val="0"/>
                      <w:szCs w:val="21"/>
                      <w:lang w:bidi="ar"/>
                    </w:rPr>
                    <w:t>23.29</w:t>
                  </w:r>
                </w:p>
              </w:tc>
              <w:tc>
                <w:tcPr>
                  <w:tcW w:w="460" w:type="pct"/>
                  <w:tcBorders>
                    <w:tl2br w:val="nil"/>
                    <w:tr2bl w:val="nil"/>
                  </w:tcBorders>
                  <w:noWrap/>
                  <w:vAlign w:val="center"/>
                </w:tcPr>
                <w:p w14:paraId="0C18A956">
                  <w:pPr>
                    <w:widowControl/>
                    <w:jc w:val="center"/>
                    <w:textAlignment w:val="bottom"/>
                    <w:rPr>
                      <w:szCs w:val="21"/>
                    </w:rPr>
                  </w:pPr>
                  <w:r>
                    <w:rPr>
                      <w:kern w:val="0"/>
                      <w:szCs w:val="21"/>
                      <w:lang w:bidi="ar"/>
                    </w:rPr>
                    <w:t>57.04</w:t>
                  </w:r>
                </w:p>
              </w:tc>
              <w:tc>
                <w:tcPr>
                  <w:tcW w:w="514" w:type="pct"/>
                  <w:tcBorders>
                    <w:tl2br w:val="nil"/>
                    <w:tr2bl w:val="nil"/>
                  </w:tcBorders>
                  <w:noWrap/>
                  <w:vAlign w:val="center"/>
                </w:tcPr>
                <w:p w14:paraId="3B9E9B32">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78D497C0">
                  <w:pPr>
                    <w:widowControl/>
                    <w:jc w:val="center"/>
                    <w:textAlignment w:val="bottom"/>
                    <w:rPr>
                      <w:szCs w:val="21"/>
                    </w:rPr>
                  </w:pPr>
                  <w:r>
                    <w:rPr>
                      <w:kern w:val="0"/>
                      <w:szCs w:val="21"/>
                      <w:lang w:bidi="ar"/>
                    </w:rPr>
                    <w:t>31.96</w:t>
                  </w:r>
                </w:p>
              </w:tc>
              <w:tc>
                <w:tcPr>
                  <w:tcW w:w="379" w:type="pct"/>
                  <w:tcBorders>
                    <w:tl2br w:val="nil"/>
                    <w:tr2bl w:val="nil"/>
                  </w:tcBorders>
                  <w:noWrap/>
                  <w:vAlign w:val="center"/>
                </w:tcPr>
                <w:p w14:paraId="6E7D893C">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260EE779">
                  <w:pPr>
                    <w:widowControl/>
                    <w:jc w:val="center"/>
                    <w:textAlignment w:val="bottom"/>
                    <w:rPr>
                      <w:kern w:val="0"/>
                      <w:szCs w:val="21"/>
                      <w:lang w:bidi="ar"/>
                    </w:rPr>
                  </w:pPr>
                </w:p>
              </w:tc>
            </w:tr>
            <w:tr w14:paraId="74FE967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428B3803">
                  <w:pPr>
                    <w:widowControl/>
                    <w:jc w:val="center"/>
                    <w:textAlignment w:val="bottom"/>
                    <w:rPr>
                      <w:szCs w:val="21"/>
                    </w:rPr>
                  </w:pPr>
                </w:p>
              </w:tc>
              <w:tc>
                <w:tcPr>
                  <w:tcW w:w="303" w:type="pct"/>
                  <w:vMerge w:val="continue"/>
                  <w:tcBorders>
                    <w:tl2br w:val="nil"/>
                    <w:tr2bl w:val="nil"/>
                  </w:tcBorders>
                  <w:noWrap/>
                  <w:vAlign w:val="center"/>
                </w:tcPr>
                <w:p w14:paraId="6B7DE019">
                  <w:pPr>
                    <w:widowControl/>
                    <w:jc w:val="center"/>
                    <w:textAlignment w:val="bottom"/>
                    <w:rPr>
                      <w:szCs w:val="21"/>
                    </w:rPr>
                  </w:pPr>
                </w:p>
              </w:tc>
              <w:tc>
                <w:tcPr>
                  <w:tcW w:w="429" w:type="pct"/>
                  <w:vMerge w:val="continue"/>
                  <w:tcBorders>
                    <w:tl2br w:val="nil"/>
                    <w:tr2bl w:val="nil"/>
                  </w:tcBorders>
                  <w:noWrap/>
                  <w:vAlign w:val="center"/>
                </w:tcPr>
                <w:p w14:paraId="3DC5B332">
                  <w:pPr>
                    <w:widowControl/>
                    <w:jc w:val="center"/>
                    <w:textAlignment w:val="bottom"/>
                    <w:rPr>
                      <w:szCs w:val="21"/>
                    </w:rPr>
                  </w:pPr>
                </w:p>
              </w:tc>
              <w:tc>
                <w:tcPr>
                  <w:tcW w:w="284" w:type="pct"/>
                  <w:vMerge w:val="continue"/>
                  <w:tcBorders>
                    <w:tl2br w:val="nil"/>
                    <w:tr2bl w:val="nil"/>
                  </w:tcBorders>
                  <w:noWrap/>
                  <w:vAlign w:val="center"/>
                </w:tcPr>
                <w:p w14:paraId="1D89A9C0">
                  <w:pPr>
                    <w:jc w:val="center"/>
                    <w:rPr>
                      <w:szCs w:val="21"/>
                    </w:rPr>
                  </w:pPr>
                </w:p>
              </w:tc>
              <w:tc>
                <w:tcPr>
                  <w:tcW w:w="454" w:type="pct"/>
                  <w:tcBorders>
                    <w:tl2br w:val="nil"/>
                    <w:tr2bl w:val="nil"/>
                  </w:tcBorders>
                  <w:noWrap/>
                  <w:vAlign w:val="center"/>
                </w:tcPr>
                <w:p w14:paraId="3A3B181B">
                  <w:pPr>
                    <w:widowControl/>
                    <w:jc w:val="center"/>
                    <w:textAlignment w:val="bottom"/>
                    <w:rPr>
                      <w:szCs w:val="21"/>
                    </w:rPr>
                  </w:pPr>
                  <w:r>
                    <w:rPr>
                      <w:kern w:val="0"/>
                      <w:szCs w:val="21"/>
                      <w:lang w:bidi="ar"/>
                    </w:rPr>
                    <w:t>258.1</w:t>
                  </w:r>
                </w:p>
              </w:tc>
              <w:tc>
                <w:tcPr>
                  <w:tcW w:w="460" w:type="pct"/>
                  <w:tcBorders>
                    <w:tl2br w:val="nil"/>
                    <w:tr2bl w:val="nil"/>
                  </w:tcBorders>
                  <w:noWrap/>
                  <w:vAlign w:val="center"/>
                </w:tcPr>
                <w:p w14:paraId="1BF64F43">
                  <w:pPr>
                    <w:widowControl/>
                    <w:jc w:val="center"/>
                    <w:textAlignment w:val="bottom"/>
                    <w:rPr>
                      <w:szCs w:val="21"/>
                    </w:rPr>
                  </w:pPr>
                  <w:r>
                    <w:rPr>
                      <w:kern w:val="0"/>
                      <w:szCs w:val="21"/>
                      <w:lang w:bidi="ar"/>
                    </w:rPr>
                    <w:t>248.1</w:t>
                  </w:r>
                </w:p>
              </w:tc>
              <w:tc>
                <w:tcPr>
                  <w:tcW w:w="351" w:type="pct"/>
                  <w:tcBorders>
                    <w:tl2br w:val="nil"/>
                    <w:tr2bl w:val="nil"/>
                  </w:tcBorders>
                  <w:noWrap/>
                  <w:vAlign w:val="center"/>
                </w:tcPr>
                <w:p w14:paraId="38F55517">
                  <w:pPr>
                    <w:widowControl/>
                    <w:jc w:val="center"/>
                    <w:textAlignment w:val="bottom"/>
                    <w:rPr>
                      <w:szCs w:val="21"/>
                    </w:rPr>
                  </w:pPr>
                  <w:r>
                    <w:rPr>
                      <w:kern w:val="0"/>
                      <w:szCs w:val="21"/>
                      <w:lang w:bidi="ar"/>
                    </w:rPr>
                    <w:t>0.5</w:t>
                  </w:r>
                </w:p>
              </w:tc>
              <w:tc>
                <w:tcPr>
                  <w:tcW w:w="478" w:type="pct"/>
                  <w:tcBorders>
                    <w:tl2br w:val="nil"/>
                    <w:tr2bl w:val="nil"/>
                  </w:tcBorders>
                  <w:noWrap/>
                  <w:vAlign w:val="center"/>
                </w:tcPr>
                <w:p w14:paraId="350973B4">
                  <w:pPr>
                    <w:widowControl/>
                    <w:jc w:val="center"/>
                    <w:textAlignment w:val="bottom"/>
                    <w:rPr>
                      <w:szCs w:val="21"/>
                    </w:rPr>
                  </w:pPr>
                  <w:r>
                    <w:rPr>
                      <w:kern w:val="0"/>
                      <w:szCs w:val="21"/>
                      <w:lang w:bidi="ar"/>
                    </w:rPr>
                    <w:t>10.39</w:t>
                  </w:r>
                </w:p>
              </w:tc>
              <w:tc>
                <w:tcPr>
                  <w:tcW w:w="460" w:type="pct"/>
                  <w:tcBorders>
                    <w:tl2br w:val="nil"/>
                    <w:tr2bl w:val="nil"/>
                  </w:tcBorders>
                  <w:noWrap/>
                  <w:vAlign w:val="center"/>
                </w:tcPr>
                <w:p w14:paraId="6F327F2A">
                  <w:pPr>
                    <w:widowControl/>
                    <w:jc w:val="center"/>
                    <w:textAlignment w:val="bottom"/>
                    <w:rPr>
                      <w:szCs w:val="21"/>
                    </w:rPr>
                  </w:pPr>
                  <w:r>
                    <w:rPr>
                      <w:kern w:val="0"/>
                      <w:szCs w:val="21"/>
                      <w:lang w:bidi="ar"/>
                    </w:rPr>
                    <w:t>57.95</w:t>
                  </w:r>
                </w:p>
              </w:tc>
              <w:tc>
                <w:tcPr>
                  <w:tcW w:w="514" w:type="pct"/>
                  <w:tcBorders>
                    <w:tl2br w:val="nil"/>
                    <w:tr2bl w:val="nil"/>
                  </w:tcBorders>
                  <w:noWrap/>
                  <w:vAlign w:val="center"/>
                </w:tcPr>
                <w:p w14:paraId="22597D17">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55C6BAE1">
                  <w:pPr>
                    <w:widowControl/>
                    <w:jc w:val="center"/>
                    <w:textAlignment w:val="bottom"/>
                    <w:rPr>
                      <w:szCs w:val="21"/>
                    </w:rPr>
                  </w:pPr>
                  <w:r>
                    <w:rPr>
                      <w:kern w:val="0"/>
                      <w:szCs w:val="21"/>
                      <w:lang w:bidi="ar"/>
                    </w:rPr>
                    <w:t>38.72</w:t>
                  </w:r>
                </w:p>
              </w:tc>
              <w:tc>
                <w:tcPr>
                  <w:tcW w:w="379" w:type="pct"/>
                  <w:tcBorders>
                    <w:tl2br w:val="nil"/>
                    <w:tr2bl w:val="nil"/>
                  </w:tcBorders>
                  <w:noWrap/>
                  <w:vAlign w:val="center"/>
                </w:tcPr>
                <w:p w14:paraId="096F7A12">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5F72DB14">
                  <w:pPr>
                    <w:widowControl/>
                    <w:jc w:val="center"/>
                    <w:textAlignment w:val="bottom"/>
                    <w:rPr>
                      <w:kern w:val="0"/>
                      <w:szCs w:val="21"/>
                      <w:lang w:bidi="ar"/>
                    </w:rPr>
                  </w:pPr>
                </w:p>
              </w:tc>
            </w:tr>
            <w:tr w14:paraId="18F0889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55" w:hRule="atLeast"/>
              </w:trPr>
              <w:tc>
                <w:tcPr>
                  <w:tcW w:w="214" w:type="pct"/>
                  <w:vMerge w:val="continue"/>
                  <w:tcBorders>
                    <w:tl2br w:val="nil"/>
                    <w:tr2bl w:val="nil"/>
                  </w:tcBorders>
                  <w:noWrap/>
                  <w:vAlign w:val="center"/>
                </w:tcPr>
                <w:p w14:paraId="49F3C134">
                  <w:pPr>
                    <w:widowControl/>
                    <w:jc w:val="center"/>
                    <w:textAlignment w:val="bottom"/>
                    <w:rPr>
                      <w:szCs w:val="21"/>
                    </w:rPr>
                  </w:pPr>
                </w:p>
              </w:tc>
              <w:tc>
                <w:tcPr>
                  <w:tcW w:w="303" w:type="pct"/>
                  <w:vMerge w:val="continue"/>
                  <w:tcBorders>
                    <w:tl2br w:val="nil"/>
                    <w:tr2bl w:val="nil"/>
                  </w:tcBorders>
                  <w:noWrap/>
                  <w:vAlign w:val="center"/>
                </w:tcPr>
                <w:p w14:paraId="320BF85C">
                  <w:pPr>
                    <w:widowControl/>
                    <w:jc w:val="center"/>
                    <w:textAlignment w:val="bottom"/>
                    <w:rPr>
                      <w:szCs w:val="21"/>
                    </w:rPr>
                  </w:pPr>
                </w:p>
              </w:tc>
              <w:tc>
                <w:tcPr>
                  <w:tcW w:w="429" w:type="pct"/>
                  <w:vMerge w:val="continue"/>
                  <w:tcBorders>
                    <w:tl2br w:val="nil"/>
                    <w:tr2bl w:val="nil"/>
                  </w:tcBorders>
                  <w:noWrap/>
                  <w:vAlign w:val="center"/>
                </w:tcPr>
                <w:p w14:paraId="4BE9C9D1">
                  <w:pPr>
                    <w:widowControl/>
                    <w:jc w:val="center"/>
                    <w:textAlignment w:val="bottom"/>
                    <w:rPr>
                      <w:szCs w:val="21"/>
                    </w:rPr>
                  </w:pPr>
                </w:p>
              </w:tc>
              <w:tc>
                <w:tcPr>
                  <w:tcW w:w="284" w:type="pct"/>
                  <w:vMerge w:val="continue"/>
                  <w:tcBorders>
                    <w:tl2br w:val="nil"/>
                    <w:tr2bl w:val="nil"/>
                  </w:tcBorders>
                  <w:noWrap/>
                  <w:vAlign w:val="center"/>
                </w:tcPr>
                <w:p w14:paraId="2EA19456">
                  <w:pPr>
                    <w:jc w:val="center"/>
                    <w:rPr>
                      <w:szCs w:val="21"/>
                    </w:rPr>
                  </w:pPr>
                </w:p>
              </w:tc>
              <w:tc>
                <w:tcPr>
                  <w:tcW w:w="454" w:type="pct"/>
                  <w:tcBorders>
                    <w:tl2br w:val="nil"/>
                    <w:tr2bl w:val="nil"/>
                  </w:tcBorders>
                  <w:noWrap/>
                  <w:vAlign w:val="center"/>
                </w:tcPr>
                <w:p w14:paraId="61FB0854">
                  <w:pPr>
                    <w:widowControl/>
                    <w:jc w:val="center"/>
                    <w:textAlignment w:val="bottom"/>
                    <w:rPr>
                      <w:szCs w:val="21"/>
                    </w:rPr>
                  </w:pPr>
                  <w:r>
                    <w:rPr>
                      <w:kern w:val="0"/>
                      <w:szCs w:val="21"/>
                      <w:lang w:bidi="ar"/>
                    </w:rPr>
                    <w:t>258.1</w:t>
                  </w:r>
                </w:p>
              </w:tc>
              <w:tc>
                <w:tcPr>
                  <w:tcW w:w="460" w:type="pct"/>
                  <w:tcBorders>
                    <w:tl2br w:val="nil"/>
                    <w:tr2bl w:val="nil"/>
                  </w:tcBorders>
                  <w:noWrap/>
                  <w:vAlign w:val="center"/>
                </w:tcPr>
                <w:p w14:paraId="23E17B56">
                  <w:pPr>
                    <w:widowControl/>
                    <w:jc w:val="center"/>
                    <w:textAlignment w:val="bottom"/>
                    <w:rPr>
                      <w:szCs w:val="21"/>
                    </w:rPr>
                  </w:pPr>
                  <w:r>
                    <w:rPr>
                      <w:kern w:val="0"/>
                      <w:szCs w:val="21"/>
                      <w:lang w:bidi="ar"/>
                    </w:rPr>
                    <w:t>248.1</w:t>
                  </w:r>
                </w:p>
              </w:tc>
              <w:tc>
                <w:tcPr>
                  <w:tcW w:w="351" w:type="pct"/>
                  <w:tcBorders>
                    <w:tl2br w:val="nil"/>
                    <w:tr2bl w:val="nil"/>
                  </w:tcBorders>
                  <w:noWrap/>
                  <w:vAlign w:val="center"/>
                </w:tcPr>
                <w:p w14:paraId="440FD46D">
                  <w:pPr>
                    <w:widowControl/>
                    <w:jc w:val="center"/>
                    <w:textAlignment w:val="bottom"/>
                    <w:rPr>
                      <w:szCs w:val="21"/>
                    </w:rPr>
                  </w:pPr>
                  <w:r>
                    <w:rPr>
                      <w:kern w:val="0"/>
                      <w:szCs w:val="21"/>
                      <w:lang w:bidi="ar"/>
                    </w:rPr>
                    <w:t>0.5</w:t>
                  </w:r>
                </w:p>
              </w:tc>
              <w:tc>
                <w:tcPr>
                  <w:tcW w:w="478" w:type="pct"/>
                  <w:tcBorders>
                    <w:tl2br w:val="nil"/>
                    <w:tr2bl w:val="nil"/>
                  </w:tcBorders>
                  <w:noWrap/>
                  <w:vAlign w:val="center"/>
                </w:tcPr>
                <w:p w14:paraId="593055F6">
                  <w:pPr>
                    <w:widowControl/>
                    <w:jc w:val="center"/>
                    <w:textAlignment w:val="bottom"/>
                    <w:rPr>
                      <w:szCs w:val="21"/>
                    </w:rPr>
                  </w:pPr>
                  <w:r>
                    <w:rPr>
                      <w:kern w:val="0"/>
                      <w:szCs w:val="21"/>
                      <w:lang w:bidi="ar"/>
                    </w:rPr>
                    <w:t>10.49</w:t>
                  </w:r>
                </w:p>
              </w:tc>
              <w:tc>
                <w:tcPr>
                  <w:tcW w:w="460" w:type="pct"/>
                  <w:tcBorders>
                    <w:tl2br w:val="nil"/>
                    <w:tr2bl w:val="nil"/>
                  </w:tcBorders>
                  <w:noWrap/>
                  <w:vAlign w:val="center"/>
                </w:tcPr>
                <w:p w14:paraId="605076A4">
                  <w:pPr>
                    <w:widowControl/>
                    <w:jc w:val="center"/>
                    <w:textAlignment w:val="bottom"/>
                    <w:rPr>
                      <w:szCs w:val="21"/>
                    </w:rPr>
                  </w:pPr>
                  <w:r>
                    <w:rPr>
                      <w:kern w:val="0"/>
                      <w:szCs w:val="21"/>
                      <w:lang w:bidi="ar"/>
                    </w:rPr>
                    <w:t>57.93</w:t>
                  </w:r>
                </w:p>
              </w:tc>
              <w:tc>
                <w:tcPr>
                  <w:tcW w:w="514" w:type="pct"/>
                  <w:tcBorders>
                    <w:tl2br w:val="nil"/>
                    <w:tr2bl w:val="nil"/>
                  </w:tcBorders>
                  <w:noWrap/>
                  <w:vAlign w:val="center"/>
                </w:tcPr>
                <w:p w14:paraId="3623A46E">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3A9D7155">
                  <w:pPr>
                    <w:widowControl/>
                    <w:jc w:val="center"/>
                    <w:textAlignment w:val="bottom"/>
                    <w:rPr>
                      <w:szCs w:val="21"/>
                    </w:rPr>
                  </w:pPr>
                  <w:r>
                    <w:rPr>
                      <w:kern w:val="0"/>
                      <w:szCs w:val="21"/>
                      <w:lang w:bidi="ar"/>
                    </w:rPr>
                    <w:t>32.85</w:t>
                  </w:r>
                </w:p>
              </w:tc>
              <w:tc>
                <w:tcPr>
                  <w:tcW w:w="379" w:type="pct"/>
                  <w:tcBorders>
                    <w:tl2br w:val="nil"/>
                    <w:tr2bl w:val="nil"/>
                  </w:tcBorders>
                  <w:noWrap/>
                  <w:vAlign w:val="center"/>
                </w:tcPr>
                <w:p w14:paraId="367EEFA0">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0C6131FA">
                  <w:pPr>
                    <w:widowControl/>
                    <w:jc w:val="center"/>
                    <w:textAlignment w:val="bottom"/>
                    <w:rPr>
                      <w:kern w:val="0"/>
                      <w:szCs w:val="21"/>
                      <w:lang w:bidi="ar"/>
                    </w:rPr>
                  </w:pPr>
                </w:p>
              </w:tc>
            </w:tr>
            <w:tr w14:paraId="32A1E76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214" w:type="pct"/>
                  <w:vMerge w:val="continue"/>
                  <w:tcBorders>
                    <w:tl2br w:val="nil"/>
                    <w:tr2bl w:val="nil"/>
                  </w:tcBorders>
                  <w:noWrap/>
                  <w:vAlign w:val="center"/>
                </w:tcPr>
                <w:p w14:paraId="748278FA">
                  <w:pPr>
                    <w:widowControl/>
                    <w:jc w:val="center"/>
                    <w:textAlignment w:val="bottom"/>
                    <w:rPr>
                      <w:szCs w:val="21"/>
                    </w:rPr>
                  </w:pPr>
                </w:p>
              </w:tc>
              <w:tc>
                <w:tcPr>
                  <w:tcW w:w="303" w:type="pct"/>
                  <w:vMerge w:val="continue"/>
                  <w:tcBorders>
                    <w:tl2br w:val="nil"/>
                    <w:tr2bl w:val="nil"/>
                  </w:tcBorders>
                  <w:noWrap/>
                  <w:vAlign w:val="center"/>
                </w:tcPr>
                <w:p w14:paraId="74A18431">
                  <w:pPr>
                    <w:widowControl/>
                    <w:jc w:val="center"/>
                    <w:textAlignment w:val="bottom"/>
                    <w:rPr>
                      <w:szCs w:val="21"/>
                    </w:rPr>
                  </w:pPr>
                </w:p>
              </w:tc>
              <w:tc>
                <w:tcPr>
                  <w:tcW w:w="429" w:type="pct"/>
                  <w:vMerge w:val="continue"/>
                  <w:tcBorders>
                    <w:tl2br w:val="nil"/>
                    <w:tr2bl w:val="nil"/>
                  </w:tcBorders>
                  <w:noWrap/>
                  <w:vAlign w:val="center"/>
                </w:tcPr>
                <w:p w14:paraId="7E36A881">
                  <w:pPr>
                    <w:widowControl/>
                    <w:jc w:val="center"/>
                    <w:textAlignment w:val="bottom"/>
                    <w:rPr>
                      <w:szCs w:val="21"/>
                    </w:rPr>
                  </w:pPr>
                </w:p>
              </w:tc>
              <w:tc>
                <w:tcPr>
                  <w:tcW w:w="284" w:type="pct"/>
                  <w:vMerge w:val="continue"/>
                  <w:tcBorders>
                    <w:tl2br w:val="nil"/>
                    <w:tr2bl w:val="nil"/>
                  </w:tcBorders>
                  <w:noWrap/>
                  <w:vAlign w:val="center"/>
                </w:tcPr>
                <w:p w14:paraId="0AC2288D">
                  <w:pPr>
                    <w:jc w:val="center"/>
                    <w:rPr>
                      <w:szCs w:val="21"/>
                    </w:rPr>
                  </w:pPr>
                </w:p>
              </w:tc>
              <w:tc>
                <w:tcPr>
                  <w:tcW w:w="454" w:type="pct"/>
                  <w:tcBorders>
                    <w:tl2br w:val="nil"/>
                    <w:tr2bl w:val="nil"/>
                  </w:tcBorders>
                  <w:noWrap/>
                  <w:vAlign w:val="center"/>
                </w:tcPr>
                <w:p w14:paraId="3FB190F5">
                  <w:pPr>
                    <w:widowControl/>
                    <w:jc w:val="center"/>
                    <w:textAlignment w:val="bottom"/>
                    <w:rPr>
                      <w:szCs w:val="21"/>
                    </w:rPr>
                  </w:pPr>
                  <w:r>
                    <w:rPr>
                      <w:kern w:val="0"/>
                      <w:szCs w:val="21"/>
                      <w:lang w:bidi="ar"/>
                    </w:rPr>
                    <w:t>258.1</w:t>
                  </w:r>
                </w:p>
              </w:tc>
              <w:tc>
                <w:tcPr>
                  <w:tcW w:w="460" w:type="pct"/>
                  <w:tcBorders>
                    <w:tl2br w:val="nil"/>
                    <w:tr2bl w:val="nil"/>
                  </w:tcBorders>
                  <w:noWrap/>
                  <w:vAlign w:val="center"/>
                </w:tcPr>
                <w:p w14:paraId="79FB86AD">
                  <w:pPr>
                    <w:widowControl/>
                    <w:jc w:val="center"/>
                    <w:textAlignment w:val="bottom"/>
                    <w:rPr>
                      <w:szCs w:val="21"/>
                    </w:rPr>
                  </w:pPr>
                  <w:r>
                    <w:rPr>
                      <w:kern w:val="0"/>
                      <w:szCs w:val="21"/>
                      <w:lang w:bidi="ar"/>
                    </w:rPr>
                    <w:t>248.1</w:t>
                  </w:r>
                </w:p>
              </w:tc>
              <w:tc>
                <w:tcPr>
                  <w:tcW w:w="351" w:type="pct"/>
                  <w:tcBorders>
                    <w:tl2br w:val="nil"/>
                    <w:tr2bl w:val="nil"/>
                  </w:tcBorders>
                  <w:noWrap/>
                  <w:vAlign w:val="center"/>
                </w:tcPr>
                <w:p w14:paraId="403FD875">
                  <w:pPr>
                    <w:widowControl/>
                    <w:jc w:val="center"/>
                    <w:textAlignment w:val="bottom"/>
                    <w:rPr>
                      <w:szCs w:val="21"/>
                    </w:rPr>
                  </w:pPr>
                  <w:r>
                    <w:rPr>
                      <w:kern w:val="0"/>
                      <w:szCs w:val="21"/>
                      <w:lang w:bidi="ar"/>
                    </w:rPr>
                    <w:t>0.5</w:t>
                  </w:r>
                </w:p>
              </w:tc>
              <w:tc>
                <w:tcPr>
                  <w:tcW w:w="478" w:type="pct"/>
                  <w:tcBorders>
                    <w:tl2br w:val="nil"/>
                    <w:tr2bl w:val="nil"/>
                  </w:tcBorders>
                  <w:noWrap/>
                  <w:vAlign w:val="center"/>
                </w:tcPr>
                <w:p w14:paraId="143C4819">
                  <w:pPr>
                    <w:widowControl/>
                    <w:jc w:val="center"/>
                    <w:textAlignment w:val="bottom"/>
                    <w:rPr>
                      <w:szCs w:val="21"/>
                    </w:rPr>
                  </w:pPr>
                  <w:r>
                    <w:rPr>
                      <w:kern w:val="0"/>
                      <w:szCs w:val="21"/>
                      <w:lang w:bidi="ar"/>
                    </w:rPr>
                    <w:t>11.16</w:t>
                  </w:r>
                </w:p>
              </w:tc>
              <w:tc>
                <w:tcPr>
                  <w:tcW w:w="460" w:type="pct"/>
                  <w:tcBorders>
                    <w:tl2br w:val="nil"/>
                    <w:tr2bl w:val="nil"/>
                  </w:tcBorders>
                  <w:noWrap/>
                  <w:vAlign w:val="center"/>
                </w:tcPr>
                <w:p w14:paraId="6B69E95F">
                  <w:pPr>
                    <w:widowControl/>
                    <w:jc w:val="center"/>
                    <w:textAlignment w:val="bottom"/>
                    <w:rPr>
                      <w:szCs w:val="21"/>
                    </w:rPr>
                  </w:pPr>
                  <w:r>
                    <w:rPr>
                      <w:kern w:val="0"/>
                      <w:szCs w:val="21"/>
                      <w:lang w:bidi="ar"/>
                    </w:rPr>
                    <w:t>57.81</w:t>
                  </w:r>
                </w:p>
              </w:tc>
              <w:tc>
                <w:tcPr>
                  <w:tcW w:w="514" w:type="pct"/>
                  <w:tcBorders>
                    <w:tl2br w:val="nil"/>
                    <w:tr2bl w:val="nil"/>
                  </w:tcBorders>
                  <w:noWrap/>
                  <w:vAlign w:val="center"/>
                </w:tcPr>
                <w:p w14:paraId="36434262">
                  <w:pPr>
                    <w:widowControl/>
                    <w:jc w:val="center"/>
                    <w:textAlignment w:val="bottom"/>
                    <w:rPr>
                      <w:szCs w:val="21"/>
                    </w:rPr>
                  </w:pPr>
                  <w:r>
                    <w:rPr>
                      <w:kern w:val="0"/>
                      <w:szCs w:val="21"/>
                      <w:lang w:bidi="ar"/>
                    </w:rPr>
                    <w:t>30</w:t>
                  </w:r>
                </w:p>
              </w:tc>
              <w:tc>
                <w:tcPr>
                  <w:tcW w:w="433" w:type="pct"/>
                  <w:tcBorders>
                    <w:tl2br w:val="nil"/>
                    <w:tr2bl w:val="nil"/>
                  </w:tcBorders>
                  <w:noWrap/>
                  <w:vAlign w:val="center"/>
                </w:tcPr>
                <w:p w14:paraId="6B2EC5D4">
                  <w:pPr>
                    <w:widowControl/>
                    <w:jc w:val="center"/>
                    <w:textAlignment w:val="bottom"/>
                    <w:rPr>
                      <w:szCs w:val="21"/>
                    </w:rPr>
                  </w:pPr>
                  <w:r>
                    <w:rPr>
                      <w:kern w:val="0"/>
                      <w:szCs w:val="21"/>
                      <w:lang w:bidi="ar"/>
                    </w:rPr>
                    <w:t>38.58</w:t>
                  </w:r>
                </w:p>
              </w:tc>
              <w:tc>
                <w:tcPr>
                  <w:tcW w:w="379" w:type="pct"/>
                  <w:tcBorders>
                    <w:tl2br w:val="nil"/>
                    <w:tr2bl w:val="nil"/>
                  </w:tcBorders>
                  <w:noWrap/>
                  <w:vAlign w:val="center"/>
                </w:tcPr>
                <w:p w14:paraId="527D6B22">
                  <w:pPr>
                    <w:widowControl/>
                    <w:jc w:val="center"/>
                    <w:textAlignment w:val="bottom"/>
                    <w:rPr>
                      <w:szCs w:val="21"/>
                    </w:rPr>
                  </w:pPr>
                  <w:r>
                    <w:rPr>
                      <w:kern w:val="0"/>
                      <w:szCs w:val="21"/>
                      <w:lang w:bidi="ar"/>
                    </w:rPr>
                    <w:t>1m</w:t>
                  </w:r>
                </w:p>
              </w:tc>
              <w:tc>
                <w:tcPr>
                  <w:tcW w:w="236" w:type="pct"/>
                  <w:vMerge w:val="continue"/>
                  <w:tcBorders>
                    <w:tl2br w:val="nil"/>
                    <w:tr2bl w:val="nil"/>
                  </w:tcBorders>
                  <w:noWrap/>
                  <w:vAlign w:val="center"/>
                </w:tcPr>
                <w:p w14:paraId="1EFA2D55">
                  <w:pPr>
                    <w:widowControl/>
                    <w:jc w:val="center"/>
                    <w:textAlignment w:val="bottom"/>
                    <w:rPr>
                      <w:kern w:val="0"/>
                      <w:szCs w:val="21"/>
                      <w:lang w:bidi="ar"/>
                    </w:rPr>
                  </w:pPr>
                </w:p>
              </w:tc>
            </w:tr>
          </w:tbl>
          <w:p w14:paraId="7649AB0C">
            <w:pPr>
              <w:adjustRightInd w:val="0"/>
              <w:snapToGrid w:val="0"/>
              <w:spacing w:line="360" w:lineRule="auto"/>
              <w:ind w:firstLine="480" w:firstLineChars="200"/>
              <w:rPr>
                <w:sz w:val="24"/>
              </w:rPr>
            </w:pPr>
            <w:r>
              <w:rPr>
                <w:sz w:val="24"/>
              </w:rPr>
              <w:t>本项目所在区域</w:t>
            </w:r>
            <w:r>
              <w:rPr>
                <w:rFonts w:hint="eastAsia"/>
                <w:sz w:val="24"/>
              </w:rPr>
              <w:t>南侧110</w:t>
            </w:r>
            <w:r>
              <w:rPr>
                <w:sz w:val="24"/>
              </w:rPr>
              <w:t>m范围内有声环境敏感目标，本次评价至项目厂界外1m，进行厂界达标论证。采用上述预测方法，本项目主要噪声源对厂界噪声贡献值预测计算结果汇总见下表。</w:t>
            </w:r>
          </w:p>
          <w:p w14:paraId="10DA1EB9">
            <w:pPr>
              <w:pStyle w:val="103"/>
            </w:pPr>
            <w:r>
              <w:t>表4-</w:t>
            </w:r>
            <w:r>
              <w:rPr>
                <w:rFonts w:hint="eastAsia"/>
              </w:rPr>
              <w:t>3</w:t>
            </w:r>
            <w:r>
              <w:t xml:space="preserve"> 噪声预测结果表  单位：dB（A）</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484"/>
              <w:gridCol w:w="731"/>
              <w:gridCol w:w="826"/>
              <w:gridCol w:w="764"/>
              <w:gridCol w:w="661"/>
              <w:gridCol w:w="779"/>
              <w:gridCol w:w="825"/>
              <w:gridCol w:w="764"/>
              <w:gridCol w:w="692"/>
              <w:gridCol w:w="1888"/>
            </w:tblGrid>
            <w:tr w14:paraId="04C48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56" w:hRule="atLeast"/>
                <w:tblHeader/>
                <w:jc w:val="center"/>
              </w:trPr>
              <w:tc>
                <w:tcPr>
                  <w:tcW w:w="287" w:type="pct"/>
                  <w:vMerge w:val="restart"/>
                  <w:tcBorders>
                    <w:tl2br w:val="nil"/>
                    <w:tr2bl w:val="nil"/>
                  </w:tcBorders>
                  <w:vAlign w:val="center"/>
                </w:tcPr>
                <w:p w14:paraId="5E010BBE">
                  <w:pPr>
                    <w:adjustRightInd w:val="0"/>
                    <w:snapToGrid w:val="0"/>
                    <w:jc w:val="center"/>
                    <w:rPr>
                      <w:szCs w:val="21"/>
                    </w:rPr>
                  </w:pPr>
                  <w:r>
                    <w:rPr>
                      <w:szCs w:val="21"/>
                    </w:rPr>
                    <w:t>编号</w:t>
                  </w:r>
                </w:p>
              </w:tc>
              <w:tc>
                <w:tcPr>
                  <w:tcW w:w="434" w:type="pct"/>
                  <w:vMerge w:val="restart"/>
                  <w:tcBorders>
                    <w:tl2br w:val="nil"/>
                    <w:tr2bl w:val="nil"/>
                  </w:tcBorders>
                  <w:vAlign w:val="center"/>
                </w:tcPr>
                <w:p w14:paraId="69BA5B98">
                  <w:pPr>
                    <w:adjustRightInd w:val="0"/>
                    <w:snapToGrid w:val="0"/>
                    <w:jc w:val="center"/>
                    <w:rPr>
                      <w:szCs w:val="21"/>
                    </w:rPr>
                  </w:pPr>
                  <w:r>
                    <w:rPr>
                      <w:szCs w:val="21"/>
                    </w:rPr>
                    <w:t>预测点名称</w:t>
                  </w:r>
                </w:p>
              </w:tc>
              <w:tc>
                <w:tcPr>
                  <w:tcW w:w="1337" w:type="pct"/>
                  <w:gridSpan w:val="3"/>
                  <w:tcBorders>
                    <w:tl2br w:val="nil"/>
                    <w:tr2bl w:val="nil"/>
                  </w:tcBorders>
                  <w:vAlign w:val="center"/>
                </w:tcPr>
                <w:p w14:paraId="725C02DB">
                  <w:pPr>
                    <w:adjustRightInd w:val="0"/>
                    <w:snapToGrid w:val="0"/>
                    <w:jc w:val="center"/>
                    <w:rPr>
                      <w:szCs w:val="21"/>
                    </w:rPr>
                  </w:pPr>
                  <w:r>
                    <w:rPr>
                      <w:szCs w:val="21"/>
                    </w:rPr>
                    <w:t>位置</w:t>
                  </w:r>
                </w:p>
              </w:tc>
              <w:tc>
                <w:tcPr>
                  <w:tcW w:w="953" w:type="pct"/>
                  <w:gridSpan w:val="2"/>
                  <w:tcBorders>
                    <w:tl2br w:val="nil"/>
                    <w:tr2bl w:val="nil"/>
                  </w:tcBorders>
                  <w:vAlign w:val="center"/>
                </w:tcPr>
                <w:p w14:paraId="2D3BFCC6">
                  <w:pPr>
                    <w:adjustRightInd w:val="0"/>
                    <w:snapToGrid w:val="0"/>
                    <w:jc w:val="center"/>
                    <w:rPr>
                      <w:szCs w:val="21"/>
                    </w:rPr>
                  </w:pPr>
                  <w:r>
                    <w:rPr>
                      <w:rFonts w:hint="eastAsia"/>
                      <w:szCs w:val="21"/>
                    </w:rPr>
                    <w:t>项目</w:t>
                  </w:r>
                  <w:r>
                    <w:rPr>
                      <w:szCs w:val="21"/>
                    </w:rPr>
                    <w:t>贡献值</w:t>
                  </w:r>
                </w:p>
              </w:tc>
              <w:tc>
                <w:tcPr>
                  <w:tcW w:w="865" w:type="pct"/>
                  <w:gridSpan w:val="2"/>
                  <w:tcBorders>
                    <w:tl2br w:val="nil"/>
                    <w:tr2bl w:val="nil"/>
                  </w:tcBorders>
                  <w:vAlign w:val="center"/>
                </w:tcPr>
                <w:p w14:paraId="6B3B6F75">
                  <w:pPr>
                    <w:adjustRightInd w:val="0"/>
                    <w:snapToGrid w:val="0"/>
                    <w:jc w:val="center"/>
                    <w:rPr>
                      <w:szCs w:val="21"/>
                    </w:rPr>
                  </w:pPr>
                  <w:r>
                    <w:rPr>
                      <w:szCs w:val="21"/>
                    </w:rPr>
                    <w:t>预测值</w:t>
                  </w:r>
                </w:p>
              </w:tc>
              <w:tc>
                <w:tcPr>
                  <w:tcW w:w="1121" w:type="pct"/>
                  <w:vMerge w:val="restart"/>
                  <w:tcBorders>
                    <w:tl2br w:val="nil"/>
                    <w:tr2bl w:val="nil"/>
                  </w:tcBorders>
                  <w:vAlign w:val="center"/>
                </w:tcPr>
                <w:p w14:paraId="2D812ECE">
                  <w:pPr>
                    <w:adjustRightInd w:val="0"/>
                    <w:snapToGrid w:val="0"/>
                    <w:jc w:val="center"/>
                    <w:rPr>
                      <w:szCs w:val="21"/>
                    </w:rPr>
                  </w:pPr>
                  <w:r>
                    <w:rPr>
                      <w:szCs w:val="21"/>
                    </w:rPr>
                    <w:t>执行标准</w:t>
                  </w:r>
                </w:p>
              </w:tc>
            </w:tr>
            <w:tr w14:paraId="34989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99" w:hRule="atLeast"/>
                <w:tblHeader/>
                <w:jc w:val="center"/>
              </w:trPr>
              <w:tc>
                <w:tcPr>
                  <w:tcW w:w="287" w:type="pct"/>
                  <w:vMerge w:val="continue"/>
                  <w:tcBorders>
                    <w:tl2br w:val="nil"/>
                    <w:tr2bl w:val="nil"/>
                  </w:tcBorders>
                  <w:vAlign w:val="center"/>
                </w:tcPr>
                <w:p w14:paraId="1EB746EA">
                  <w:pPr>
                    <w:adjustRightInd w:val="0"/>
                    <w:snapToGrid w:val="0"/>
                    <w:jc w:val="center"/>
                    <w:rPr>
                      <w:szCs w:val="21"/>
                    </w:rPr>
                  </w:pPr>
                </w:p>
              </w:tc>
              <w:tc>
                <w:tcPr>
                  <w:tcW w:w="434" w:type="pct"/>
                  <w:vMerge w:val="continue"/>
                  <w:tcBorders>
                    <w:tl2br w:val="nil"/>
                    <w:tr2bl w:val="nil"/>
                  </w:tcBorders>
                  <w:vAlign w:val="center"/>
                </w:tcPr>
                <w:p w14:paraId="403EB14C">
                  <w:pPr>
                    <w:adjustRightInd w:val="0"/>
                    <w:snapToGrid w:val="0"/>
                    <w:jc w:val="center"/>
                    <w:rPr>
                      <w:szCs w:val="21"/>
                    </w:rPr>
                  </w:pPr>
                </w:p>
              </w:tc>
              <w:tc>
                <w:tcPr>
                  <w:tcW w:w="490" w:type="pct"/>
                  <w:tcBorders>
                    <w:tl2br w:val="nil"/>
                    <w:tr2bl w:val="nil"/>
                  </w:tcBorders>
                  <w:vAlign w:val="center"/>
                </w:tcPr>
                <w:p w14:paraId="13FF378E">
                  <w:pPr>
                    <w:adjustRightInd w:val="0"/>
                    <w:snapToGrid w:val="0"/>
                    <w:jc w:val="center"/>
                    <w:rPr>
                      <w:szCs w:val="21"/>
                    </w:rPr>
                  </w:pPr>
                  <w:r>
                    <w:rPr>
                      <w:szCs w:val="21"/>
                    </w:rPr>
                    <w:t>X</w:t>
                  </w:r>
                </w:p>
              </w:tc>
              <w:tc>
                <w:tcPr>
                  <w:tcW w:w="454" w:type="pct"/>
                  <w:tcBorders>
                    <w:tl2br w:val="nil"/>
                    <w:tr2bl w:val="nil"/>
                  </w:tcBorders>
                  <w:vAlign w:val="center"/>
                </w:tcPr>
                <w:p w14:paraId="623605D1">
                  <w:pPr>
                    <w:adjustRightInd w:val="0"/>
                    <w:snapToGrid w:val="0"/>
                    <w:jc w:val="center"/>
                    <w:rPr>
                      <w:szCs w:val="21"/>
                    </w:rPr>
                  </w:pPr>
                  <w:r>
                    <w:rPr>
                      <w:szCs w:val="21"/>
                    </w:rPr>
                    <w:t>Y</w:t>
                  </w:r>
                </w:p>
              </w:tc>
              <w:tc>
                <w:tcPr>
                  <w:tcW w:w="392" w:type="pct"/>
                  <w:tcBorders>
                    <w:tl2br w:val="nil"/>
                    <w:tr2bl w:val="nil"/>
                  </w:tcBorders>
                  <w:vAlign w:val="center"/>
                </w:tcPr>
                <w:p w14:paraId="46F9DCA5">
                  <w:pPr>
                    <w:adjustRightInd w:val="0"/>
                    <w:snapToGrid w:val="0"/>
                    <w:jc w:val="center"/>
                    <w:rPr>
                      <w:szCs w:val="21"/>
                    </w:rPr>
                  </w:pPr>
                  <w:r>
                    <w:rPr>
                      <w:szCs w:val="21"/>
                    </w:rPr>
                    <w:t>Z</w:t>
                  </w:r>
                </w:p>
              </w:tc>
              <w:tc>
                <w:tcPr>
                  <w:tcW w:w="463" w:type="pct"/>
                  <w:tcBorders>
                    <w:tl2br w:val="nil"/>
                    <w:tr2bl w:val="nil"/>
                  </w:tcBorders>
                  <w:vAlign w:val="center"/>
                </w:tcPr>
                <w:p w14:paraId="49B878AB">
                  <w:pPr>
                    <w:adjustRightInd w:val="0"/>
                    <w:snapToGrid w:val="0"/>
                    <w:jc w:val="center"/>
                    <w:rPr>
                      <w:szCs w:val="21"/>
                    </w:rPr>
                  </w:pPr>
                  <w:r>
                    <w:rPr>
                      <w:szCs w:val="21"/>
                    </w:rPr>
                    <w:t>昼间</w:t>
                  </w:r>
                </w:p>
              </w:tc>
              <w:tc>
                <w:tcPr>
                  <w:tcW w:w="490" w:type="pct"/>
                  <w:tcBorders>
                    <w:top w:val="single" w:color="auto" w:sz="4" w:space="0"/>
                    <w:tl2br w:val="nil"/>
                    <w:tr2bl w:val="nil"/>
                  </w:tcBorders>
                  <w:vAlign w:val="center"/>
                </w:tcPr>
                <w:p w14:paraId="7FA83584">
                  <w:pPr>
                    <w:adjustRightInd w:val="0"/>
                    <w:snapToGrid w:val="0"/>
                    <w:jc w:val="center"/>
                    <w:rPr>
                      <w:szCs w:val="21"/>
                    </w:rPr>
                  </w:pPr>
                  <w:r>
                    <w:rPr>
                      <w:szCs w:val="21"/>
                    </w:rPr>
                    <w:t>夜间</w:t>
                  </w:r>
                </w:p>
              </w:tc>
              <w:tc>
                <w:tcPr>
                  <w:tcW w:w="454" w:type="pct"/>
                  <w:tcBorders>
                    <w:top w:val="single" w:color="auto" w:sz="4" w:space="0"/>
                    <w:right w:val="single" w:color="auto" w:sz="4" w:space="0"/>
                    <w:tl2br w:val="nil"/>
                    <w:tr2bl w:val="nil"/>
                  </w:tcBorders>
                  <w:vAlign w:val="center"/>
                </w:tcPr>
                <w:p w14:paraId="6FBF4D4D">
                  <w:pPr>
                    <w:adjustRightInd w:val="0"/>
                    <w:snapToGrid w:val="0"/>
                    <w:jc w:val="center"/>
                    <w:rPr>
                      <w:szCs w:val="21"/>
                    </w:rPr>
                  </w:pPr>
                  <w:r>
                    <w:rPr>
                      <w:szCs w:val="21"/>
                    </w:rPr>
                    <w:t>昼间</w:t>
                  </w:r>
                </w:p>
              </w:tc>
              <w:tc>
                <w:tcPr>
                  <w:tcW w:w="411" w:type="pct"/>
                  <w:tcBorders>
                    <w:top w:val="single" w:color="auto" w:sz="4" w:space="0"/>
                    <w:left w:val="single" w:color="auto" w:sz="4" w:space="0"/>
                    <w:tl2br w:val="nil"/>
                    <w:tr2bl w:val="nil"/>
                  </w:tcBorders>
                  <w:vAlign w:val="center"/>
                </w:tcPr>
                <w:p w14:paraId="1D2D01F0">
                  <w:pPr>
                    <w:adjustRightInd w:val="0"/>
                    <w:snapToGrid w:val="0"/>
                    <w:jc w:val="center"/>
                    <w:rPr>
                      <w:szCs w:val="21"/>
                    </w:rPr>
                  </w:pPr>
                  <w:r>
                    <w:rPr>
                      <w:szCs w:val="21"/>
                    </w:rPr>
                    <w:t>夜间</w:t>
                  </w:r>
                </w:p>
              </w:tc>
              <w:tc>
                <w:tcPr>
                  <w:tcW w:w="1121" w:type="pct"/>
                  <w:vMerge w:val="continue"/>
                  <w:tcBorders>
                    <w:tl2br w:val="nil"/>
                    <w:tr2bl w:val="nil"/>
                  </w:tcBorders>
                  <w:vAlign w:val="center"/>
                </w:tcPr>
                <w:p w14:paraId="6A1041F4">
                  <w:pPr>
                    <w:adjustRightInd w:val="0"/>
                    <w:snapToGrid w:val="0"/>
                    <w:jc w:val="center"/>
                    <w:rPr>
                      <w:szCs w:val="21"/>
                    </w:rPr>
                  </w:pPr>
                </w:p>
              </w:tc>
            </w:tr>
            <w:tr w14:paraId="45442A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99" w:hRule="atLeast"/>
                <w:jc w:val="center"/>
              </w:trPr>
              <w:tc>
                <w:tcPr>
                  <w:tcW w:w="287" w:type="pct"/>
                  <w:tcBorders>
                    <w:tl2br w:val="nil"/>
                    <w:tr2bl w:val="nil"/>
                  </w:tcBorders>
                  <w:vAlign w:val="center"/>
                </w:tcPr>
                <w:p w14:paraId="3574E9B2">
                  <w:pPr>
                    <w:adjustRightInd w:val="0"/>
                    <w:snapToGrid w:val="0"/>
                    <w:jc w:val="center"/>
                    <w:rPr>
                      <w:szCs w:val="21"/>
                    </w:rPr>
                  </w:pPr>
                  <w:r>
                    <w:rPr>
                      <w:szCs w:val="21"/>
                    </w:rPr>
                    <w:t>1</w:t>
                  </w:r>
                </w:p>
              </w:tc>
              <w:tc>
                <w:tcPr>
                  <w:tcW w:w="434" w:type="pct"/>
                  <w:tcBorders>
                    <w:tl2br w:val="nil"/>
                    <w:tr2bl w:val="nil"/>
                  </w:tcBorders>
                  <w:vAlign w:val="center"/>
                </w:tcPr>
                <w:p w14:paraId="4A94D4AD">
                  <w:pPr>
                    <w:adjustRightInd w:val="0"/>
                    <w:snapToGrid w:val="0"/>
                    <w:jc w:val="center"/>
                    <w:rPr>
                      <w:szCs w:val="21"/>
                    </w:rPr>
                  </w:pPr>
                  <w:r>
                    <w:rPr>
                      <w:szCs w:val="21"/>
                    </w:rPr>
                    <w:t>厂区东侧</w:t>
                  </w:r>
                </w:p>
              </w:tc>
              <w:tc>
                <w:tcPr>
                  <w:tcW w:w="490" w:type="pct"/>
                  <w:tcBorders>
                    <w:tl2br w:val="nil"/>
                    <w:tr2bl w:val="nil"/>
                  </w:tcBorders>
                  <w:vAlign w:val="center"/>
                </w:tcPr>
                <w:p w14:paraId="074152F7">
                  <w:pPr>
                    <w:adjustRightInd w:val="0"/>
                    <w:snapToGrid w:val="0"/>
                    <w:jc w:val="center"/>
                    <w:rPr>
                      <w:szCs w:val="21"/>
                    </w:rPr>
                  </w:pPr>
                  <w:r>
                    <w:rPr>
                      <w:rFonts w:hint="eastAsia"/>
                      <w:szCs w:val="21"/>
                    </w:rPr>
                    <w:t>212.5</w:t>
                  </w:r>
                </w:p>
              </w:tc>
              <w:tc>
                <w:tcPr>
                  <w:tcW w:w="454" w:type="pct"/>
                  <w:tcBorders>
                    <w:tl2br w:val="nil"/>
                    <w:tr2bl w:val="nil"/>
                  </w:tcBorders>
                  <w:vAlign w:val="center"/>
                </w:tcPr>
                <w:p w14:paraId="4BF1384A">
                  <w:pPr>
                    <w:adjustRightInd w:val="0"/>
                    <w:snapToGrid w:val="0"/>
                    <w:jc w:val="center"/>
                    <w:rPr>
                      <w:szCs w:val="21"/>
                    </w:rPr>
                  </w:pPr>
                  <w:r>
                    <w:rPr>
                      <w:rFonts w:hint="eastAsia"/>
                      <w:szCs w:val="21"/>
                    </w:rPr>
                    <w:t>181.8</w:t>
                  </w:r>
                </w:p>
              </w:tc>
              <w:tc>
                <w:tcPr>
                  <w:tcW w:w="392" w:type="pct"/>
                  <w:tcBorders>
                    <w:tl2br w:val="nil"/>
                    <w:tr2bl w:val="nil"/>
                  </w:tcBorders>
                  <w:vAlign w:val="center"/>
                </w:tcPr>
                <w:p w14:paraId="0F1ACDF7">
                  <w:pPr>
                    <w:adjustRightInd w:val="0"/>
                    <w:snapToGrid w:val="0"/>
                    <w:jc w:val="center"/>
                    <w:rPr>
                      <w:szCs w:val="21"/>
                    </w:rPr>
                  </w:pPr>
                  <w:r>
                    <w:rPr>
                      <w:rFonts w:hint="eastAsia"/>
                      <w:szCs w:val="21"/>
                    </w:rPr>
                    <w:t>1.2</w:t>
                  </w:r>
                </w:p>
              </w:tc>
              <w:tc>
                <w:tcPr>
                  <w:tcW w:w="463" w:type="pct"/>
                  <w:tcBorders>
                    <w:tl2br w:val="nil"/>
                    <w:tr2bl w:val="nil"/>
                  </w:tcBorders>
                  <w:vAlign w:val="center"/>
                </w:tcPr>
                <w:p w14:paraId="5037C613">
                  <w:pPr>
                    <w:adjustRightInd w:val="0"/>
                    <w:snapToGrid w:val="0"/>
                    <w:jc w:val="center"/>
                    <w:rPr>
                      <w:szCs w:val="21"/>
                    </w:rPr>
                  </w:pPr>
                  <w:r>
                    <w:rPr>
                      <w:rFonts w:hint="eastAsia"/>
                      <w:szCs w:val="21"/>
                    </w:rPr>
                    <w:t>16.31</w:t>
                  </w:r>
                </w:p>
              </w:tc>
              <w:tc>
                <w:tcPr>
                  <w:tcW w:w="490" w:type="pct"/>
                  <w:tcBorders>
                    <w:tl2br w:val="nil"/>
                    <w:tr2bl w:val="nil"/>
                  </w:tcBorders>
                  <w:vAlign w:val="center"/>
                </w:tcPr>
                <w:p w14:paraId="50478A2B">
                  <w:pPr>
                    <w:adjustRightInd w:val="0"/>
                    <w:snapToGrid w:val="0"/>
                    <w:jc w:val="center"/>
                    <w:rPr>
                      <w:szCs w:val="21"/>
                    </w:rPr>
                  </w:pPr>
                  <w:r>
                    <w:rPr>
                      <w:rFonts w:hint="eastAsia"/>
                      <w:szCs w:val="21"/>
                    </w:rPr>
                    <w:t>16.31</w:t>
                  </w:r>
                </w:p>
              </w:tc>
              <w:tc>
                <w:tcPr>
                  <w:tcW w:w="454" w:type="pct"/>
                  <w:tcBorders>
                    <w:right w:val="single" w:color="auto" w:sz="4" w:space="0"/>
                    <w:tl2br w:val="nil"/>
                    <w:tr2bl w:val="nil"/>
                  </w:tcBorders>
                  <w:vAlign w:val="center"/>
                </w:tcPr>
                <w:p w14:paraId="1DCB69EF">
                  <w:pPr>
                    <w:adjustRightInd w:val="0"/>
                    <w:snapToGrid w:val="0"/>
                    <w:jc w:val="center"/>
                    <w:rPr>
                      <w:szCs w:val="21"/>
                    </w:rPr>
                  </w:pPr>
                  <w:r>
                    <w:rPr>
                      <w:szCs w:val="21"/>
                    </w:rPr>
                    <w:t>/</w:t>
                  </w:r>
                </w:p>
              </w:tc>
              <w:tc>
                <w:tcPr>
                  <w:tcW w:w="411" w:type="pct"/>
                  <w:tcBorders>
                    <w:left w:val="single" w:color="auto" w:sz="4" w:space="0"/>
                    <w:tl2br w:val="nil"/>
                    <w:tr2bl w:val="nil"/>
                  </w:tcBorders>
                  <w:vAlign w:val="center"/>
                </w:tcPr>
                <w:p w14:paraId="6454C131">
                  <w:pPr>
                    <w:adjustRightInd w:val="0"/>
                    <w:snapToGrid w:val="0"/>
                    <w:jc w:val="center"/>
                    <w:rPr>
                      <w:szCs w:val="21"/>
                    </w:rPr>
                  </w:pPr>
                  <w:r>
                    <w:rPr>
                      <w:szCs w:val="21"/>
                    </w:rPr>
                    <w:t>/</w:t>
                  </w:r>
                </w:p>
              </w:tc>
              <w:tc>
                <w:tcPr>
                  <w:tcW w:w="1121" w:type="pct"/>
                  <w:vMerge w:val="restart"/>
                  <w:tcBorders>
                    <w:tl2br w:val="nil"/>
                    <w:tr2bl w:val="nil"/>
                  </w:tcBorders>
                  <w:vAlign w:val="center"/>
                </w:tcPr>
                <w:p w14:paraId="39403EAE">
                  <w:pPr>
                    <w:adjustRightInd w:val="0"/>
                    <w:snapToGrid w:val="0"/>
                    <w:jc w:val="center"/>
                    <w:rPr>
                      <w:szCs w:val="21"/>
                    </w:rPr>
                  </w:pPr>
                  <w:r>
                    <w:rPr>
                      <w:szCs w:val="21"/>
                    </w:rPr>
                    <w:t>GB12348-2008昼间≤60；夜间≤50</w:t>
                  </w:r>
                </w:p>
              </w:tc>
            </w:tr>
            <w:tr w14:paraId="085890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99" w:hRule="atLeast"/>
                <w:jc w:val="center"/>
              </w:trPr>
              <w:tc>
                <w:tcPr>
                  <w:tcW w:w="287" w:type="pct"/>
                  <w:tcBorders>
                    <w:tl2br w:val="nil"/>
                    <w:tr2bl w:val="nil"/>
                  </w:tcBorders>
                  <w:vAlign w:val="center"/>
                </w:tcPr>
                <w:p w14:paraId="34FB3DB8">
                  <w:pPr>
                    <w:adjustRightInd w:val="0"/>
                    <w:snapToGrid w:val="0"/>
                    <w:jc w:val="center"/>
                    <w:rPr>
                      <w:szCs w:val="21"/>
                    </w:rPr>
                  </w:pPr>
                  <w:r>
                    <w:rPr>
                      <w:szCs w:val="21"/>
                    </w:rPr>
                    <w:t>2</w:t>
                  </w:r>
                </w:p>
              </w:tc>
              <w:tc>
                <w:tcPr>
                  <w:tcW w:w="434" w:type="pct"/>
                  <w:tcBorders>
                    <w:tl2br w:val="nil"/>
                    <w:tr2bl w:val="nil"/>
                  </w:tcBorders>
                  <w:vAlign w:val="center"/>
                </w:tcPr>
                <w:p w14:paraId="7E52D412">
                  <w:pPr>
                    <w:adjustRightInd w:val="0"/>
                    <w:snapToGrid w:val="0"/>
                    <w:jc w:val="center"/>
                    <w:rPr>
                      <w:szCs w:val="21"/>
                    </w:rPr>
                  </w:pPr>
                  <w:r>
                    <w:rPr>
                      <w:szCs w:val="21"/>
                    </w:rPr>
                    <w:t>厂区北侧</w:t>
                  </w:r>
                </w:p>
              </w:tc>
              <w:tc>
                <w:tcPr>
                  <w:tcW w:w="490" w:type="pct"/>
                  <w:tcBorders>
                    <w:tl2br w:val="nil"/>
                    <w:tr2bl w:val="nil"/>
                  </w:tcBorders>
                  <w:vAlign w:val="center"/>
                </w:tcPr>
                <w:p w14:paraId="135CC213">
                  <w:pPr>
                    <w:adjustRightInd w:val="0"/>
                    <w:snapToGrid w:val="0"/>
                    <w:jc w:val="center"/>
                    <w:rPr>
                      <w:szCs w:val="21"/>
                    </w:rPr>
                  </w:pPr>
                  <w:r>
                    <w:rPr>
                      <w:rFonts w:hint="eastAsia"/>
                      <w:szCs w:val="21"/>
                    </w:rPr>
                    <w:t>266.1</w:t>
                  </w:r>
                </w:p>
              </w:tc>
              <w:tc>
                <w:tcPr>
                  <w:tcW w:w="454" w:type="pct"/>
                  <w:tcBorders>
                    <w:tl2br w:val="nil"/>
                    <w:tr2bl w:val="nil"/>
                  </w:tcBorders>
                  <w:vAlign w:val="center"/>
                </w:tcPr>
                <w:p w14:paraId="22C91D6C">
                  <w:pPr>
                    <w:adjustRightInd w:val="0"/>
                    <w:snapToGrid w:val="0"/>
                    <w:jc w:val="center"/>
                    <w:rPr>
                      <w:szCs w:val="21"/>
                    </w:rPr>
                  </w:pPr>
                  <w:r>
                    <w:rPr>
                      <w:rFonts w:hint="eastAsia"/>
                      <w:szCs w:val="21"/>
                    </w:rPr>
                    <w:t>239.4</w:t>
                  </w:r>
                </w:p>
              </w:tc>
              <w:tc>
                <w:tcPr>
                  <w:tcW w:w="392" w:type="pct"/>
                  <w:tcBorders>
                    <w:tl2br w:val="nil"/>
                    <w:tr2bl w:val="nil"/>
                  </w:tcBorders>
                  <w:vAlign w:val="center"/>
                </w:tcPr>
                <w:p w14:paraId="17F2E631">
                  <w:pPr>
                    <w:adjustRightInd w:val="0"/>
                    <w:snapToGrid w:val="0"/>
                    <w:jc w:val="center"/>
                    <w:rPr>
                      <w:szCs w:val="21"/>
                    </w:rPr>
                  </w:pPr>
                  <w:r>
                    <w:rPr>
                      <w:rFonts w:hint="eastAsia"/>
                      <w:szCs w:val="21"/>
                    </w:rPr>
                    <w:t>1.2</w:t>
                  </w:r>
                </w:p>
              </w:tc>
              <w:tc>
                <w:tcPr>
                  <w:tcW w:w="463" w:type="pct"/>
                  <w:tcBorders>
                    <w:tl2br w:val="nil"/>
                    <w:tr2bl w:val="nil"/>
                  </w:tcBorders>
                  <w:vAlign w:val="center"/>
                </w:tcPr>
                <w:p w14:paraId="1C94CAD5">
                  <w:pPr>
                    <w:adjustRightInd w:val="0"/>
                    <w:snapToGrid w:val="0"/>
                    <w:jc w:val="center"/>
                    <w:rPr>
                      <w:szCs w:val="21"/>
                    </w:rPr>
                  </w:pPr>
                  <w:r>
                    <w:rPr>
                      <w:rFonts w:hint="eastAsia"/>
                      <w:szCs w:val="21"/>
                    </w:rPr>
                    <w:t>33.65</w:t>
                  </w:r>
                </w:p>
              </w:tc>
              <w:tc>
                <w:tcPr>
                  <w:tcW w:w="490" w:type="pct"/>
                  <w:tcBorders>
                    <w:tl2br w:val="nil"/>
                    <w:tr2bl w:val="nil"/>
                  </w:tcBorders>
                  <w:vAlign w:val="center"/>
                </w:tcPr>
                <w:p w14:paraId="45C75919">
                  <w:pPr>
                    <w:adjustRightInd w:val="0"/>
                    <w:snapToGrid w:val="0"/>
                    <w:jc w:val="center"/>
                    <w:rPr>
                      <w:szCs w:val="21"/>
                    </w:rPr>
                  </w:pPr>
                  <w:r>
                    <w:rPr>
                      <w:rFonts w:hint="eastAsia"/>
                      <w:szCs w:val="21"/>
                    </w:rPr>
                    <w:t>33.65</w:t>
                  </w:r>
                </w:p>
              </w:tc>
              <w:tc>
                <w:tcPr>
                  <w:tcW w:w="454" w:type="pct"/>
                  <w:tcBorders>
                    <w:tl2br w:val="nil"/>
                    <w:tr2bl w:val="nil"/>
                  </w:tcBorders>
                  <w:vAlign w:val="center"/>
                </w:tcPr>
                <w:p w14:paraId="2AAB34AF">
                  <w:pPr>
                    <w:adjustRightInd w:val="0"/>
                    <w:snapToGrid w:val="0"/>
                    <w:jc w:val="center"/>
                    <w:rPr>
                      <w:bCs/>
                      <w:szCs w:val="21"/>
                    </w:rPr>
                  </w:pPr>
                  <w:r>
                    <w:rPr>
                      <w:szCs w:val="21"/>
                    </w:rPr>
                    <w:t>/</w:t>
                  </w:r>
                </w:p>
              </w:tc>
              <w:tc>
                <w:tcPr>
                  <w:tcW w:w="411" w:type="pct"/>
                  <w:tcBorders>
                    <w:tl2br w:val="nil"/>
                    <w:tr2bl w:val="nil"/>
                  </w:tcBorders>
                  <w:vAlign w:val="center"/>
                </w:tcPr>
                <w:p w14:paraId="59B2B870">
                  <w:pPr>
                    <w:adjustRightInd w:val="0"/>
                    <w:snapToGrid w:val="0"/>
                    <w:jc w:val="center"/>
                    <w:rPr>
                      <w:bCs/>
                      <w:szCs w:val="21"/>
                    </w:rPr>
                  </w:pPr>
                  <w:r>
                    <w:rPr>
                      <w:szCs w:val="21"/>
                    </w:rPr>
                    <w:t>/</w:t>
                  </w:r>
                </w:p>
              </w:tc>
              <w:tc>
                <w:tcPr>
                  <w:tcW w:w="1121" w:type="pct"/>
                  <w:vMerge w:val="continue"/>
                  <w:tcBorders>
                    <w:tl2br w:val="nil"/>
                    <w:tr2bl w:val="nil"/>
                  </w:tcBorders>
                  <w:vAlign w:val="center"/>
                </w:tcPr>
                <w:p w14:paraId="45F93E74">
                  <w:pPr>
                    <w:adjustRightInd w:val="0"/>
                    <w:snapToGrid w:val="0"/>
                    <w:jc w:val="center"/>
                    <w:rPr>
                      <w:szCs w:val="21"/>
                      <w:lang w:val="zh-CN"/>
                    </w:rPr>
                  </w:pPr>
                </w:p>
              </w:tc>
            </w:tr>
            <w:tr w14:paraId="1439F5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99" w:hRule="atLeast"/>
                <w:jc w:val="center"/>
              </w:trPr>
              <w:tc>
                <w:tcPr>
                  <w:tcW w:w="287" w:type="pct"/>
                  <w:tcBorders>
                    <w:tl2br w:val="nil"/>
                    <w:tr2bl w:val="nil"/>
                  </w:tcBorders>
                  <w:vAlign w:val="center"/>
                </w:tcPr>
                <w:p w14:paraId="224AB3E4">
                  <w:pPr>
                    <w:adjustRightInd w:val="0"/>
                    <w:snapToGrid w:val="0"/>
                    <w:jc w:val="center"/>
                    <w:rPr>
                      <w:szCs w:val="21"/>
                    </w:rPr>
                  </w:pPr>
                  <w:r>
                    <w:rPr>
                      <w:szCs w:val="21"/>
                    </w:rPr>
                    <w:t>3</w:t>
                  </w:r>
                </w:p>
              </w:tc>
              <w:tc>
                <w:tcPr>
                  <w:tcW w:w="434" w:type="pct"/>
                  <w:tcBorders>
                    <w:tl2br w:val="nil"/>
                    <w:tr2bl w:val="nil"/>
                  </w:tcBorders>
                  <w:vAlign w:val="center"/>
                </w:tcPr>
                <w:p w14:paraId="3EBD9ED8">
                  <w:pPr>
                    <w:adjustRightInd w:val="0"/>
                    <w:snapToGrid w:val="0"/>
                    <w:jc w:val="center"/>
                    <w:rPr>
                      <w:szCs w:val="21"/>
                    </w:rPr>
                  </w:pPr>
                  <w:r>
                    <w:rPr>
                      <w:szCs w:val="21"/>
                    </w:rPr>
                    <w:t>厂区西侧</w:t>
                  </w:r>
                </w:p>
              </w:tc>
              <w:tc>
                <w:tcPr>
                  <w:tcW w:w="490" w:type="pct"/>
                  <w:tcBorders>
                    <w:tl2br w:val="nil"/>
                    <w:tr2bl w:val="nil"/>
                  </w:tcBorders>
                  <w:vAlign w:val="center"/>
                </w:tcPr>
                <w:p w14:paraId="21E1F7CD">
                  <w:pPr>
                    <w:adjustRightInd w:val="0"/>
                    <w:snapToGrid w:val="0"/>
                    <w:jc w:val="center"/>
                    <w:rPr>
                      <w:szCs w:val="21"/>
                    </w:rPr>
                  </w:pPr>
                  <w:r>
                    <w:rPr>
                      <w:rFonts w:hint="eastAsia"/>
                      <w:szCs w:val="21"/>
                    </w:rPr>
                    <w:t>198.1</w:t>
                  </w:r>
                </w:p>
              </w:tc>
              <w:tc>
                <w:tcPr>
                  <w:tcW w:w="454" w:type="pct"/>
                  <w:tcBorders>
                    <w:tl2br w:val="nil"/>
                    <w:tr2bl w:val="nil"/>
                  </w:tcBorders>
                  <w:vAlign w:val="center"/>
                </w:tcPr>
                <w:p w14:paraId="312AC35A">
                  <w:pPr>
                    <w:adjustRightInd w:val="0"/>
                    <w:snapToGrid w:val="0"/>
                    <w:jc w:val="center"/>
                    <w:rPr>
                      <w:szCs w:val="21"/>
                    </w:rPr>
                  </w:pPr>
                  <w:r>
                    <w:rPr>
                      <w:rFonts w:hint="eastAsia"/>
                      <w:szCs w:val="21"/>
                    </w:rPr>
                    <w:t>197.7</w:t>
                  </w:r>
                </w:p>
              </w:tc>
              <w:tc>
                <w:tcPr>
                  <w:tcW w:w="392" w:type="pct"/>
                  <w:tcBorders>
                    <w:tl2br w:val="nil"/>
                    <w:tr2bl w:val="nil"/>
                  </w:tcBorders>
                  <w:vAlign w:val="center"/>
                </w:tcPr>
                <w:p w14:paraId="549B2D69">
                  <w:pPr>
                    <w:adjustRightInd w:val="0"/>
                    <w:snapToGrid w:val="0"/>
                    <w:jc w:val="center"/>
                    <w:rPr>
                      <w:szCs w:val="21"/>
                    </w:rPr>
                  </w:pPr>
                  <w:r>
                    <w:rPr>
                      <w:rFonts w:hint="eastAsia"/>
                      <w:szCs w:val="21"/>
                    </w:rPr>
                    <w:t>1.2</w:t>
                  </w:r>
                </w:p>
              </w:tc>
              <w:tc>
                <w:tcPr>
                  <w:tcW w:w="463" w:type="pct"/>
                  <w:tcBorders>
                    <w:tl2br w:val="nil"/>
                    <w:tr2bl w:val="nil"/>
                  </w:tcBorders>
                  <w:vAlign w:val="center"/>
                </w:tcPr>
                <w:p w14:paraId="2D7FAE3C">
                  <w:pPr>
                    <w:adjustRightInd w:val="0"/>
                    <w:snapToGrid w:val="0"/>
                    <w:jc w:val="center"/>
                    <w:rPr>
                      <w:szCs w:val="21"/>
                    </w:rPr>
                  </w:pPr>
                  <w:r>
                    <w:rPr>
                      <w:rFonts w:hint="eastAsia"/>
                      <w:szCs w:val="21"/>
                    </w:rPr>
                    <w:t>16.12</w:t>
                  </w:r>
                </w:p>
              </w:tc>
              <w:tc>
                <w:tcPr>
                  <w:tcW w:w="490" w:type="pct"/>
                  <w:tcBorders>
                    <w:tl2br w:val="nil"/>
                    <w:tr2bl w:val="nil"/>
                  </w:tcBorders>
                  <w:vAlign w:val="center"/>
                </w:tcPr>
                <w:p w14:paraId="5A6479D4">
                  <w:pPr>
                    <w:adjustRightInd w:val="0"/>
                    <w:snapToGrid w:val="0"/>
                    <w:jc w:val="center"/>
                    <w:rPr>
                      <w:szCs w:val="21"/>
                    </w:rPr>
                  </w:pPr>
                  <w:r>
                    <w:rPr>
                      <w:rFonts w:hint="eastAsia"/>
                      <w:szCs w:val="21"/>
                    </w:rPr>
                    <w:t>16.12</w:t>
                  </w:r>
                </w:p>
              </w:tc>
              <w:tc>
                <w:tcPr>
                  <w:tcW w:w="454" w:type="pct"/>
                  <w:tcBorders>
                    <w:tl2br w:val="nil"/>
                    <w:tr2bl w:val="nil"/>
                  </w:tcBorders>
                  <w:vAlign w:val="center"/>
                </w:tcPr>
                <w:p w14:paraId="57AE000B">
                  <w:pPr>
                    <w:adjustRightInd w:val="0"/>
                    <w:snapToGrid w:val="0"/>
                    <w:jc w:val="center"/>
                    <w:rPr>
                      <w:bCs/>
                      <w:szCs w:val="21"/>
                    </w:rPr>
                  </w:pPr>
                  <w:r>
                    <w:rPr>
                      <w:szCs w:val="21"/>
                    </w:rPr>
                    <w:t>/</w:t>
                  </w:r>
                </w:p>
              </w:tc>
              <w:tc>
                <w:tcPr>
                  <w:tcW w:w="411" w:type="pct"/>
                  <w:tcBorders>
                    <w:tl2br w:val="nil"/>
                    <w:tr2bl w:val="nil"/>
                  </w:tcBorders>
                  <w:vAlign w:val="center"/>
                </w:tcPr>
                <w:p w14:paraId="55500DEB">
                  <w:pPr>
                    <w:adjustRightInd w:val="0"/>
                    <w:snapToGrid w:val="0"/>
                    <w:jc w:val="center"/>
                    <w:rPr>
                      <w:bCs/>
                      <w:szCs w:val="21"/>
                    </w:rPr>
                  </w:pPr>
                  <w:r>
                    <w:rPr>
                      <w:szCs w:val="21"/>
                    </w:rPr>
                    <w:t>/</w:t>
                  </w:r>
                </w:p>
              </w:tc>
              <w:tc>
                <w:tcPr>
                  <w:tcW w:w="1121" w:type="pct"/>
                  <w:vMerge w:val="continue"/>
                  <w:tcBorders>
                    <w:tl2br w:val="nil"/>
                    <w:tr2bl w:val="nil"/>
                  </w:tcBorders>
                  <w:vAlign w:val="center"/>
                </w:tcPr>
                <w:p w14:paraId="7230F5CB">
                  <w:pPr>
                    <w:adjustRightInd w:val="0"/>
                    <w:snapToGrid w:val="0"/>
                    <w:jc w:val="center"/>
                    <w:rPr>
                      <w:szCs w:val="21"/>
                      <w:lang w:val="zh-CN"/>
                    </w:rPr>
                  </w:pPr>
                </w:p>
              </w:tc>
            </w:tr>
            <w:tr w14:paraId="1680E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86" w:hRule="atLeast"/>
                <w:jc w:val="center"/>
              </w:trPr>
              <w:tc>
                <w:tcPr>
                  <w:tcW w:w="287" w:type="pct"/>
                  <w:tcBorders>
                    <w:tl2br w:val="nil"/>
                    <w:tr2bl w:val="nil"/>
                  </w:tcBorders>
                  <w:vAlign w:val="center"/>
                </w:tcPr>
                <w:p w14:paraId="762F26A2">
                  <w:pPr>
                    <w:adjustRightInd w:val="0"/>
                    <w:snapToGrid w:val="0"/>
                    <w:jc w:val="center"/>
                    <w:rPr>
                      <w:szCs w:val="21"/>
                    </w:rPr>
                  </w:pPr>
                  <w:r>
                    <w:rPr>
                      <w:szCs w:val="21"/>
                    </w:rPr>
                    <w:t>4</w:t>
                  </w:r>
                </w:p>
              </w:tc>
              <w:tc>
                <w:tcPr>
                  <w:tcW w:w="434" w:type="pct"/>
                  <w:tcBorders>
                    <w:tl2br w:val="nil"/>
                    <w:tr2bl w:val="nil"/>
                  </w:tcBorders>
                  <w:vAlign w:val="center"/>
                </w:tcPr>
                <w:p w14:paraId="6AD4BBA5">
                  <w:pPr>
                    <w:adjustRightInd w:val="0"/>
                    <w:snapToGrid w:val="0"/>
                    <w:jc w:val="center"/>
                    <w:rPr>
                      <w:szCs w:val="21"/>
                    </w:rPr>
                  </w:pPr>
                  <w:r>
                    <w:rPr>
                      <w:szCs w:val="21"/>
                    </w:rPr>
                    <w:t>厂区南侧</w:t>
                  </w:r>
                </w:p>
              </w:tc>
              <w:tc>
                <w:tcPr>
                  <w:tcW w:w="490" w:type="pct"/>
                  <w:tcBorders>
                    <w:tl2br w:val="nil"/>
                    <w:tr2bl w:val="nil"/>
                  </w:tcBorders>
                  <w:vAlign w:val="center"/>
                </w:tcPr>
                <w:p w14:paraId="6F28313C">
                  <w:pPr>
                    <w:adjustRightInd w:val="0"/>
                    <w:snapToGrid w:val="0"/>
                    <w:jc w:val="center"/>
                    <w:rPr>
                      <w:szCs w:val="21"/>
                    </w:rPr>
                  </w:pPr>
                  <w:r>
                    <w:rPr>
                      <w:rFonts w:hint="eastAsia"/>
                      <w:szCs w:val="21"/>
                    </w:rPr>
                    <w:t>282.6</w:t>
                  </w:r>
                </w:p>
              </w:tc>
              <w:tc>
                <w:tcPr>
                  <w:tcW w:w="454" w:type="pct"/>
                  <w:tcBorders>
                    <w:tl2br w:val="nil"/>
                    <w:tr2bl w:val="nil"/>
                  </w:tcBorders>
                  <w:vAlign w:val="center"/>
                </w:tcPr>
                <w:p w14:paraId="10D5F424">
                  <w:pPr>
                    <w:adjustRightInd w:val="0"/>
                    <w:snapToGrid w:val="0"/>
                    <w:jc w:val="center"/>
                    <w:rPr>
                      <w:szCs w:val="21"/>
                    </w:rPr>
                  </w:pPr>
                  <w:r>
                    <w:rPr>
                      <w:rFonts w:hint="eastAsia"/>
                      <w:szCs w:val="21"/>
                    </w:rPr>
                    <w:t>257.1</w:t>
                  </w:r>
                </w:p>
              </w:tc>
              <w:tc>
                <w:tcPr>
                  <w:tcW w:w="392" w:type="pct"/>
                  <w:tcBorders>
                    <w:tl2br w:val="nil"/>
                    <w:tr2bl w:val="nil"/>
                  </w:tcBorders>
                  <w:vAlign w:val="center"/>
                </w:tcPr>
                <w:p w14:paraId="60E915FC">
                  <w:pPr>
                    <w:adjustRightInd w:val="0"/>
                    <w:snapToGrid w:val="0"/>
                    <w:jc w:val="center"/>
                    <w:rPr>
                      <w:szCs w:val="21"/>
                    </w:rPr>
                  </w:pPr>
                  <w:r>
                    <w:rPr>
                      <w:rFonts w:hint="eastAsia"/>
                      <w:szCs w:val="21"/>
                    </w:rPr>
                    <w:t>1.2</w:t>
                  </w:r>
                </w:p>
              </w:tc>
              <w:tc>
                <w:tcPr>
                  <w:tcW w:w="463" w:type="pct"/>
                  <w:tcBorders>
                    <w:tl2br w:val="nil"/>
                    <w:tr2bl w:val="nil"/>
                  </w:tcBorders>
                  <w:vAlign w:val="center"/>
                </w:tcPr>
                <w:p w14:paraId="77DBCA4C">
                  <w:pPr>
                    <w:adjustRightInd w:val="0"/>
                    <w:snapToGrid w:val="0"/>
                    <w:jc w:val="center"/>
                    <w:rPr>
                      <w:szCs w:val="21"/>
                    </w:rPr>
                  </w:pPr>
                  <w:r>
                    <w:rPr>
                      <w:rFonts w:hint="eastAsia"/>
                      <w:szCs w:val="21"/>
                    </w:rPr>
                    <w:t>25.58</w:t>
                  </w:r>
                </w:p>
              </w:tc>
              <w:tc>
                <w:tcPr>
                  <w:tcW w:w="490" w:type="pct"/>
                  <w:tcBorders>
                    <w:tl2br w:val="nil"/>
                    <w:tr2bl w:val="nil"/>
                  </w:tcBorders>
                  <w:vAlign w:val="center"/>
                </w:tcPr>
                <w:p w14:paraId="71F0A1CC">
                  <w:pPr>
                    <w:adjustRightInd w:val="0"/>
                    <w:snapToGrid w:val="0"/>
                    <w:jc w:val="center"/>
                    <w:rPr>
                      <w:szCs w:val="21"/>
                    </w:rPr>
                  </w:pPr>
                  <w:r>
                    <w:rPr>
                      <w:rFonts w:hint="eastAsia"/>
                      <w:szCs w:val="21"/>
                    </w:rPr>
                    <w:t>25.58</w:t>
                  </w:r>
                </w:p>
              </w:tc>
              <w:tc>
                <w:tcPr>
                  <w:tcW w:w="454" w:type="pct"/>
                  <w:tcBorders>
                    <w:tl2br w:val="nil"/>
                    <w:tr2bl w:val="nil"/>
                  </w:tcBorders>
                  <w:vAlign w:val="center"/>
                </w:tcPr>
                <w:p w14:paraId="7143E3F7">
                  <w:pPr>
                    <w:adjustRightInd w:val="0"/>
                    <w:snapToGrid w:val="0"/>
                    <w:jc w:val="center"/>
                    <w:rPr>
                      <w:bCs/>
                      <w:szCs w:val="21"/>
                    </w:rPr>
                  </w:pPr>
                  <w:r>
                    <w:rPr>
                      <w:szCs w:val="21"/>
                    </w:rPr>
                    <w:t>/</w:t>
                  </w:r>
                </w:p>
              </w:tc>
              <w:tc>
                <w:tcPr>
                  <w:tcW w:w="411" w:type="pct"/>
                  <w:tcBorders>
                    <w:tl2br w:val="nil"/>
                    <w:tr2bl w:val="nil"/>
                  </w:tcBorders>
                  <w:vAlign w:val="center"/>
                </w:tcPr>
                <w:p w14:paraId="408283E7">
                  <w:pPr>
                    <w:adjustRightInd w:val="0"/>
                    <w:snapToGrid w:val="0"/>
                    <w:jc w:val="center"/>
                    <w:rPr>
                      <w:bCs/>
                      <w:szCs w:val="21"/>
                    </w:rPr>
                  </w:pPr>
                  <w:r>
                    <w:rPr>
                      <w:szCs w:val="21"/>
                    </w:rPr>
                    <w:t>/</w:t>
                  </w:r>
                </w:p>
              </w:tc>
              <w:tc>
                <w:tcPr>
                  <w:tcW w:w="1121" w:type="pct"/>
                  <w:vMerge w:val="continue"/>
                  <w:tcBorders>
                    <w:tl2br w:val="nil"/>
                    <w:tr2bl w:val="nil"/>
                  </w:tcBorders>
                  <w:vAlign w:val="center"/>
                </w:tcPr>
                <w:p w14:paraId="1DA090A9">
                  <w:pPr>
                    <w:adjustRightInd w:val="0"/>
                    <w:snapToGrid w:val="0"/>
                    <w:jc w:val="center"/>
                    <w:rPr>
                      <w:szCs w:val="21"/>
                    </w:rPr>
                  </w:pPr>
                </w:p>
              </w:tc>
            </w:tr>
            <w:tr w14:paraId="04D56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86" w:hRule="atLeast"/>
                <w:jc w:val="center"/>
              </w:trPr>
              <w:tc>
                <w:tcPr>
                  <w:tcW w:w="287" w:type="pct"/>
                  <w:tcBorders>
                    <w:tl2br w:val="nil"/>
                    <w:tr2bl w:val="nil"/>
                  </w:tcBorders>
                  <w:vAlign w:val="center"/>
                </w:tcPr>
                <w:p w14:paraId="7EC39CA1">
                  <w:pPr>
                    <w:adjustRightInd w:val="0"/>
                    <w:snapToGrid w:val="0"/>
                    <w:jc w:val="center"/>
                    <w:rPr>
                      <w:szCs w:val="21"/>
                    </w:rPr>
                  </w:pPr>
                  <w:r>
                    <w:rPr>
                      <w:szCs w:val="21"/>
                    </w:rPr>
                    <w:t>5</w:t>
                  </w:r>
                </w:p>
              </w:tc>
              <w:tc>
                <w:tcPr>
                  <w:tcW w:w="434" w:type="pct"/>
                  <w:tcBorders>
                    <w:tl2br w:val="nil"/>
                    <w:tr2bl w:val="nil"/>
                  </w:tcBorders>
                  <w:vAlign w:val="center"/>
                </w:tcPr>
                <w:p w14:paraId="2262A796">
                  <w:pPr>
                    <w:adjustRightInd w:val="0"/>
                    <w:snapToGrid w:val="0"/>
                    <w:jc w:val="center"/>
                    <w:rPr>
                      <w:szCs w:val="21"/>
                    </w:rPr>
                  </w:pPr>
                  <w:r>
                    <w:rPr>
                      <w:rFonts w:hint="eastAsia"/>
                      <w:szCs w:val="21"/>
                    </w:rPr>
                    <w:t>南</w:t>
                  </w:r>
                  <w:r>
                    <w:rPr>
                      <w:szCs w:val="21"/>
                    </w:rPr>
                    <w:t>侧居民</w:t>
                  </w:r>
                </w:p>
                <w:p w14:paraId="64F4C58A">
                  <w:pPr>
                    <w:adjustRightInd w:val="0"/>
                    <w:snapToGrid w:val="0"/>
                    <w:jc w:val="center"/>
                    <w:rPr>
                      <w:szCs w:val="21"/>
                    </w:rPr>
                  </w:pPr>
                  <w:r>
                    <w:rPr>
                      <w:szCs w:val="21"/>
                    </w:rPr>
                    <w:t>敏感点</w:t>
                  </w:r>
                </w:p>
              </w:tc>
              <w:tc>
                <w:tcPr>
                  <w:tcW w:w="490" w:type="pct"/>
                  <w:tcBorders>
                    <w:tl2br w:val="nil"/>
                    <w:tr2bl w:val="nil"/>
                  </w:tcBorders>
                  <w:vAlign w:val="center"/>
                </w:tcPr>
                <w:p w14:paraId="7E64E74E">
                  <w:pPr>
                    <w:adjustRightInd w:val="0"/>
                    <w:snapToGrid w:val="0"/>
                    <w:jc w:val="center"/>
                    <w:rPr>
                      <w:szCs w:val="21"/>
                    </w:rPr>
                  </w:pPr>
                  <w:r>
                    <w:rPr>
                      <w:rFonts w:hint="eastAsia"/>
                      <w:szCs w:val="21"/>
                    </w:rPr>
                    <w:t>271.3</w:t>
                  </w:r>
                </w:p>
              </w:tc>
              <w:tc>
                <w:tcPr>
                  <w:tcW w:w="454" w:type="pct"/>
                  <w:tcBorders>
                    <w:tl2br w:val="nil"/>
                    <w:tr2bl w:val="nil"/>
                  </w:tcBorders>
                  <w:vAlign w:val="center"/>
                </w:tcPr>
                <w:p w14:paraId="277ECA1C">
                  <w:pPr>
                    <w:adjustRightInd w:val="0"/>
                    <w:snapToGrid w:val="0"/>
                    <w:jc w:val="center"/>
                    <w:rPr>
                      <w:szCs w:val="21"/>
                    </w:rPr>
                  </w:pPr>
                  <w:r>
                    <w:rPr>
                      <w:rFonts w:hint="eastAsia"/>
                      <w:szCs w:val="21"/>
                    </w:rPr>
                    <w:t>98</w:t>
                  </w:r>
                </w:p>
              </w:tc>
              <w:tc>
                <w:tcPr>
                  <w:tcW w:w="392" w:type="pct"/>
                  <w:tcBorders>
                    <w:tl2br w:val="nil"/>
                    <w:tr2bl w:val="nil"/>
                  </w:tcBorders>
                  <w:vAlign w:val="center"/>
                </w:tcPr>
                <w:p w14:paraId="0FA09AED">
                  <w:pPr>
                    <w:adjustRightInd w:val="0"/>
                    <w:snapToGrid w:val="0"/>
                    <w:jc w:val="center"/>
                    <w:rPr>
                      <w:szCs w:val="21"/>
                    </w:rPr>
                  </w:pPr>
                  <w:r>
                    <w:rPr>
                      <w:rFonts w:hint="eastAsia"/>
                      <w:szCs w:val="21"/>
                    </w:rPr>
                    <w:t>1.2</w:t>
                  </w:r>
                </w:p>
              </w:tc>
              <w:tc>
                <w:tcPr>
                  <w:tcW w:w="463" w:type="pct"/>
                  <w:tcBorders>
                    <w:tl2br w:val="nil"/>
                    <w:tr2bl w:val="nil"/>
                  </w:tcBorders>
                  <w:vAlign w:val="center"/>
                </w:tcPr>
                <w:p w14:paraId="7957F506">
                  <w:pPr>
                    <w:adjustRightInd w:val="0"/>
                    <w:snapToGrid w:val="0"/>
                    <w:jc w:val="center"/>
                    <w:rPr>
                      <w:szCs w:val="21"/>
                    </w:rPr>
                  </w:pPr>
                  <w:r>
                    <w:rPr>
                      <w:rFonts w:hint="eastAsia"/>
                      <w:szCs w:val="21"/>
                    </w:rPr>
                    <w:t>4.35</w:t>
                  </w:r>
                </w:p>
              </w:tc>
              <w:tc>
                <w:tcPr>
                  <w:tcW w:w="490" w:type="pct"/>
                  <w:tcBorders>
                    <w:tl2br w:val="nil"/>
                    <w:tr2bl w:val="nil"/>
                  </w:tcBorders>
                  <w:vAlign w:val="center"/>
                </w:tcPr>
                <w:p w14:paraId="5FD09DBC">
                  <w:pPr>
                    <w:adjustRightInd w:val="0"/>
                    <w:snapToGrid w:val="0"/>
                    <w:jc w:val="center"/>
                    <w:rPr>
                      <w:szCs w:val="21"/>
                    </w:rPr>
                  </w:pPr>
                  <w:r>
                    <w:rPr>
                      <w:rFonts w:hint="eastAsia"/>
                      <w:szCs w:val="21"/>
                    </w:rPr>
                    <w:t>4.35</w:t>
                  </w:r>
                </w:p>
              </w:tc>
              <w:tc>
                <w:tcPr>
                  <w:tcW w:w="454" w:type="pct"/>
                  <w:tcBorders>
                    <w:tl2br w:val="nil"/>
                    <w:tr2bl w:val="nil"/>
                  </w:tcBorders>
                  <w:vAlign w:val="center"/>
                </w:tcPr>
                <w:p w14:paraId="331AC627">
                  <w:pPr>
                    <w:adjustRightInd w:val="0"/>
                    <w:snapToGrid w:val="0"/>
                    <w:jc w:val="center"/>
                    <w:rPr>
                      <w:szCs w:val="21"/>
                    </w:rPr>
                  </w:pPr>
                  <w:r>
                    <w:rPr>
                      <w:rFonts w:hint="eastAsia"/>
                      <w:szCs w:val="21"/>
                    </w:rPr>
                    <w:t>4.35</w:t>
                  </w:r>
                </w:p>
              </w:tc>
              <w:tc>
                <w:tcPr>
                  <w:tcW w:w="411" w:type="pct"/>
                  <w:tcBorders>
                    <w:tl2br w:val="nil"/>
                    <w:tr2bl w:val="nil"/>
                  </w:tcBorders>
                  <w:vAlign w:val="center"/>
                </w:tcPr>
                <w:p w14:paraId="3A47684F">
                  <w:pPr>
                    <w:adjustRightInd w:val="0"/>
                    <w:snapToGrid w:val="0"/>
                    <w:jc w:val="center"/>
                    <w:rPr>
                      <w:szCs w:val="21"/>
                    </w:rPr>
                  </w:pPr>
                  <w:r>
                    <w:rPr>
                      <w:rFonts w:hint="eastAsia"/>
                      <w:szCs w:val="21"/>
                    </w:rPr>
                    <w:t>4.35</w:t>
                  </w:r>
                </w:p>
              </w:tc>
              <w:tc>
                <w:tcPr>
                  <w:tcW w:w="1121" w:type="pct"/>
                  <w:tcBorders>
                    <w:tl2br w:val="nil"/>
                    <w:tr2bl w:val="nil"/>
                  </w:tcBorders>
                  <w:vAlign w:val="center"/>
                </w:tcPr>
                <w:p w14:paraId="2BA4ADF7">
                  <w:pPr>
                    <w:adjustRightInd w:val="0"/>
                    <w:snapToGrid w:val="0"/>
                    <w:jc w:val="center"/>
                    <w:rPr>
                      <w:szCs w:val="21"/>
                    </w:rPr>
                  </w:pPr>
                  <w:r>
                    <w:rPr>
                      <w:szCs w:val="21"/>
                    </w:rPr>
                    <w:t>GB3096-2008昼间≤60；夜间≤50</w:t>
                  </w:r>
                </w:p>
              </w:tc>
            </w:tr>
          </w:tbl>
          <w:p w14:paraId="7E1D4F58">
            <w:pPr>
              <w:pStyle w:val="91"/>
              <w:ind w:firstLine="480"/>
            </w:pPr>
            <w:r>
              <w:t>由预测结果可知，本项目选用低噪声设备，经基础减振、厂房建筑隔声等降噪措施后，项目厂界四周可满足《工业企业厂界环境噪声排放标准》（GB 12348-2008）表1中2类标准要求；</w:t>
            </w:r>
            <w:r>
              <w:rPr>
                <w:szCs w:val="24"/>
              </w:rPr>
              <w:t>周围敏感点噪声能够满足《声环境质量标准》（GB3096-2008）2类标准限值，对周围的环境影响较小。</w:t>
            </w:r>
          </w:p>
          <w:p w14:paraId="15B880D7">
            <w:pPr>
              <w:pStyle w:val="91"/>
              <w:ind w:firstLine="480"/>
            </w:pPr>
            <w:r>
              <w:rPr>
                <w:rFonts w:hint="eastAsia"/>
              </w:rPr>
              <w:t>根据《排污许可证申请与核发技术规范 废弃资源加工工业》（HJ1034-2019）、《排污单位自行监测技术指南 总则》（HJ 819-2017），本项目噪声监测计划见表</w:t>
            </w:r>
            <w:r>
              <w:rPr>
                <w:rFonts w:hint="eastAsia"/>
                <w:color w:val="FF0000"/>
              </w:rPr>
              <w:t>4</w:t>
            </w:r>
            <w:r>
              <w:rPr>
                <w:color w:val="FF0000"/>
              </w:rPr>
              <w:t>-</w:t>
            </w:r>
            <w:r>
              <w:rPr>
                <w:rFonts w:hint="eastAsia"/>
                <w:color w:val="FF0000"/>
                <w:lang w:eastAsia="zh"/>
                <w:woUserID w:val="1"/>
              </w:rPr>
              <w:t>4</w:t>
            </w:r>
            <w:r>
              <w:rPr>
                <w:rFonts w:hint="eastAsia"/>
              </w:rPr>
              <w:t>。</w:t>
            </w:r>
          </w:p>
          <w:p w14:paraId="29243E57">
            <w:pPr>
              <w:pStyle w:val="103"/>
            </w:pPr>
            <w:r>
              <w:rPr>
                <w:color w:val="FF0000"/>
              </w:rPr>
              <w:t>表4-</w:t>
            </w:r>
            <w:r>
              <w:rPr>
                <w:rFonts w:hint="eastAsia"/>
                <w:color w:val="FF0000"/>
                <w:lang w:eastAsia="zh"/>
                <w:woUserID w:val="1"/>
              </w:rPr>
              <w:t>4</w:t>
            </w:r>
            <w:r>
              <w:t xml:space="preserve">  噪声监测要求一览表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37"/>
              <w:gridCol w:w="1315"/>
              <w:gridCol w:w="1315"/>
              <w:gridCol w:w="4452"/>
            </w:tblGrid>
            <w:tr w14:paraId="6DAAB3D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4" w:type="pct"/>
                  <w:vAlign w:val="center"/>
                </w:tcPr>
                <w:p w14:paraId="7F8E0F03">
                  <w:pPr>
                    <w:jc w:val="center"/>
                    <w:rPr>
                      <w:szCs w:val="21"/>
                    </w:rPr>
                  </w:pPr>
                  <w:r>
                    <w:rPr>
                      <w:szCs w:val="21"/>
                    </w:rPr>
                    <w:t>监测因子</w:t>
                  </w:r>
                </w:p>
              </w:tc>
              <w:tc>
                <w:tcPr>
                  <w:tcW w:w="781" w:type="pct"/>
                  <w:vAlign w:val="center"/>
                </w:tcPr>
                <w:p w14:paraId="6D68E378">
                  <w:pPr>
                    <w:jc w:val="center"/>
                    <w:rPr>
                      <w:szCs w:val="21"/>
                    </w:rPr>
                  </w:pPr>
                  <w:r>
                    <w:rPr>
                      <w:szCs w:val="21"/>
                    </w:rPr>
                    <w:t>监测点位</w:t>
                  </w:r>
                </w:p>
              </w:tc>
              <w:tc>
                <w:tcPr>
                  <w:tcW w:w="781" w:type="pct"/>
                  <w:tcBorders>
                    <w:right w:val="single" w:color="auto" w:sz="4" w:space="0"/>
                  </w:tcBorders>
                  <w:vAlign w:val="center"/>
                </w:tcPr>
                <w:p w14:paraId="51D071FA">
                  <w:pPr>
                    <w:jc w:val="center"/>
                    <w:rPr>
                      <w:szCs w:val="21"/>
                    </w:rPr>
                  </w:pPr>
                  <w:r>
                    <w:rPr>
                      <w:szCs w:val="21"/>
                    </w:rPr>
                    <w:t>监测频次</w:t>
                  </w:r>
                </w:p>
              </w:tc>
              <w:tc>
                <w:tcPr>
                  <w:tcW w:w="2644" w:type="pct"/>
                  <w:vAlign w:val="center"/>
                </w:tcPr>
                <w:p w14:paraId="1FDC5989">
                  <w:pPr>
                    <w:jc w:val="center"/>
                    <w:rPr>
                      <w:szCs w:val="21"/>
                    </w:rPr>
                  </w:pPr>
                  <w:r>
                    <w:rPr>
                      <w:szCs w:val="21"/>
                    </w:rPr>
                    <w:t>执行标准</w:t>
                  </w:r>
                </w:p>
              </w:tc>
            </w:tr>
            <w:tr w14:paraId="0F00352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4" w:type="pct"/>
                  <w:vAlign w:val="center"/>
                </w:tcPr>
                <w:p w14:paraId="1283EEFB">
                  <w:pPr>
                    <w:jc w:val="center"/>
                    <w:rPr>
                      <w:szCs w:val="21"/>
                    </w:rPr>
                  </w:pPr>
                  <w:r>
                    <w:t>昼/夜Leq</w:t>
                  </w:r>
                </w:p>
              </w:tc>
              <w:tc>
                <w:tcPr>
                  <w:tcW w:w="781" w:type="pct"/>
                  <w:vAlign w:val="center"/>
                </w:tcPr>
                <w:p w14:paraId="6792EDCA">
                  <w:pPr>
                    <w:jc w:val="center"/>
                    <w:rPr>
                      <w:szCs w:val="21"/>
                    </w:rPr>
                  </w:pPr>
                  <w:r>
                    <w:rPr>
                      <w:rFonts w:hint="eastAsia"/>
                      <w:szCs w:val="21"/>
                    </w:rPr>
                    <w:t>厂界</w:t>
                  </w:r>
                  <w:r>
                    <w:rPr>
                      <w:szCs w:val="21"/>
                    </w:rPr>
                    <w:t>四周</w:t>
                  </w:r>
                </w:p>
              </w:tc>
              <w:tc>
                <w:tcPr>
                  <w:tcW w:w="781" w:type="pct"/>
                  <w:tcBorders>
                    <w:right w:val="single" w:color="auto" w:sz="4" w:space="0"/>
                  </w:tcBorders>
                  <w:vAlign w:val="center"/>
                </w:tcPr>
                <w:p w14:paraId="2E638DDA">
                  <w:pPr>
                    <w:jc w:val="center"/>
                    <w:rPr>
                      <w:szCs w:val="21"/>
                    </w:rPr>
                  </w:pPr>
                  <w:r>
                    <w:rPr>
                      <w:szCs w:val="21"/>
                    </w:rPr>
                    <w:t>每</w:t>
                  </w:r>
                  <w:r>
                    <w:rPr>
                      <w:rFonts w:hint="eastAsia"/>
                      <w:szCs w:val="21"/>
                    </w:rPr>
                    <w:t>季度</w:t>
                  </w:r>
                  <w:r>
                    <w:rPr>
                      <w:szCs w:val="21"/>
                    </w:rPr>
                    <w:t>一次</w:t>
                  </w:r>
                </w:p>
              </w:tc>
              <w:tc>
                <w:tcPr>
                  <w:tcW w:w="2644" w:type="pct"/>
                  <w:vAlign w:val="center"/>
                </w:tcPr>
                <w:p w14:paraId="6CFA4CB6">
                  <w:pPr>
                    <w:jc w:val="center"/>
                  </w:pPr>
                  <w:r>
                    <w:t>《工业企业厂界环境噪声排放标准》</w:t>
                  </w:r>
                </w:p>
                <w:p w14:paraId="42741798">
                  <w:pPr>
                    <w:jc w:val="center"/>
                    <w:rPr>
                      <w:szCs w:val="21"/>
                    </w:rPr>
                  </w:pPr>
                  <w:r>
                    <w:t>（GB12348-2008）表1中</w:t>
                  </w:r>
                  <w:r>
                    <w:rPr>
                      <w:rFonts w:hint="eastAsia"/>
                    </w:rPr>
                    <w:t>2</w:t>
                  </w:r>
                  <w:r>
                    <w:t>类标准</w:t>
                  </w:r>
                </w:p>
              </w:tc>
            </w:tr>
          </w:tbl>
          <w:p w14:paraId="6F6C4AEE">
            <w:pPr>
              <w:pStyle w:val="91"/>
              <w:ind w:firstLine="480"/>
            </w:pPr>
            <w:r>
              <w:t>本项目</w:t>
            </w:r>
            <w:r>
              <w:rPr>
                <w:rFonts w:hint="eastAsia"/>
              </w:rPr>
              <w:t>夜间不生产，</w:t>
            </w:r>
            <w:r>
              <w:t>各设备均位于车间内，</w:t>
            </w:r>
            <w:r>
              <w:rPr>
                <w:rFonts w:hint="eastAsia"/>
              </w:rPr>
              <w:t>通过选用低噪声设备，</w:t>
            </w:r>
            <w:r>
              <w:t>采取减振、</w:t>
            </w:r>
            <w:r>
              <w:rPr>
                <w:rFonts w:hint="eastAsia"/>
              </w:rPr>
              <w:t>消声、</w:t>
            </w:r>
            <w:r>
              <w:t>隔声等措施后，</w:t>
            </w:r>
            <w:r>
              <w:rPr>
                <w:rFonts w:hint="eastAsia"/>
              </w:rPr>
              <w:t>经距离衰减，</w:t>
            </w:r>
            <w:r>
              <w:t>厂界噪声可控制在50dB（A）以下，厂界噪声</w:t>
            </w:r>
            <w:r>
              <w:rPr>
                <w:rFonts w:hint="eastAsia"/>
              </w:rPr>
              <w:t>满足</w:t>
            </w:r>
            <w:r>
              <w:t>《工业企业厂界环境噪声排放标准》（GB12348-2008）表1中</w:t>
            </w:r>
            <w:r>
              <w:rPr>
                <w:rFonts w:hint="eastAsia"/>
              </w:rPr>
              <w:t>2</w:t>
            </w:r>
            <w:r>
              <w:t>类标准</w:t>
            </w:r>
            <w:r>
              <w:rPr>
                <w:rFonts w:hint="eastAsia"/>
              </w:rPr>
              <w:t>。</w:t>
            </w:r>
            <w:r>
              <w:t>同时运营期落实好报告中提出的监测要求，发现超标及时采取降噪措施，保证厂界噪声达标排放，对周围声环境影响较小。</w:t>
            </w:r>
          </w:p>
          <w:p w14:paraId="6904CF13">
            <w:pPr>
              <w:pStyle w:val="91"/>
              <w:ind w:firstLine="480"/>
            </w:pPr>
            <w:r>
              <w:rPr>
                <w:rFonts w:hint="eastAsia"/>
              </w:rPr>
              <w:t>4.</w:t>
            </w:r>
            <w:r>
              <w:t>固体废物影响和保护措施</w:t>
            </w:r>
          </w:p>
          <w:p w14:paraId="7E622DD0">
            <w:pPr>
              <w:pStyle w:val="91"/>
              <w:ind w:firstLine="480"/>
            </w:pPr>
            <w:r>
              <w:t>本项目固体废物主要有</w:t>
            </w:r>
            <w:r>
              <w:rPr>
                <w:rFonts w:hint="eastAsia"/>
              </w:rPr>
              <w:t>生活垃圾、一般工业固体废物和危险废物</w:t>
            </w:r>
            <w:r>
              <w:t>。</w:t>
            </w:r>
          </w:p>
          <w:p w14:paraId="7433B37A">
            <w:pPr>
              <w:pStyle w:val="91"/>
              <w:ind w:firstLine="480"/>
            </w:pPr>
            <w:r>
              <w:rPr>
                <w:rFonts w:hint="eastAsia"/>
              </w:rPr>
              <w:t>（1）生活垃圾</w:t>
            </w:r>
          </w:p>
          <w:p w14:paraId="6CF5EC39">
            <w:pPr>
              <w:pStyle w:val="91"/>
              <w:ind w:firstLine="480"/>
            </w:pPr>
            <w:r>
              <w:t>本项目劳动定员</w:t>
            </w:r>
            <w:r>
              <w:rPr>
                <w:rFonts w:hint="eastAsia"/>
              </w:rPr>
              <w:t>10</w:t>
            </w:r>
            <w:r>
              <w:t>人，生活垃圾按0.5kg/人·d计，该项目的生活垃圾产生量为</w:t>
            </w:r>
            <w:r>
              <w:rPr>
                <w:rFonts w:hint="eastAsia"/>
              </w:rPr>
              <w:t>1.2</w:t>
            </w:r>
            <w:r>
              <w:t>t/a</w:t>
            </w:r>
            <w:r>
              <w:rPr>
                <w:rFonts w:hint="eastAsia"/>
              </w:rPr>
              <w:t>，</w:t>
            </w:r>
            <w:r>
              <w:t>生活垃圾</w:t>
            </w:r>
            <w:r>
              <w:rPr>
                <w:rFonts w:hint="eastAsia"/>
              </w:rPr>
              <w:t>暂存在厂区垃圾箱内，</w:t>
            </w:r>
            <w:r>
              <w:t>由</w:t>
            </w:r>
            <w:r>
              <w:rPr>
                <w:rFonts w:hint="eastAsia"/>
              </w:rPr>
              <w:t>当地</w:t>
            </w:r>
            <w:r>
              <w:t>环卫部门统一处置</w:t>
            </w:r>
            <w:r>
              <w:rPr>
                <w:rFonts w:hint="eastAsia"/>
              </w:rPr>
              <w:t>。</w:t>
            </w:r>
          </w:p>
          <w:p w14:paraId="57D08F9F">
            <w:pPr>
              <w:pStyle w:val="91"/>
              <w:ind w:firstLine="480"/>
            </w:pPr>
            <w:r>
              <w:rPr>
                <w:rFonts w:hint="eastAsia"/>
              </w:rPr>
              <w:t>（2）一般工业固废</w:t>
            </w:r>
          </w:p>
          <w:p w14:paraId="072264B4">
            <w:pPr>
              <w:pStyle w:val="91"/>
              <w:ind w:firstLine="480"/>
            </w:pPr>
            <w:r>
              <w:rPr>
                <w:rFonts w:hint="eastAsia"/>
              </w:rPr>
              <w:t>本项目一般工业固废包括杂质、废商标及污泥。</w:t>
            </w:r>
          </w:p>
          <w:p w14:paraId="64F512AF">
            <w:pPr>
              <w:pStyle w:val="91"/>
              <w:ind w:firstLine="480"/>
            </w:pPr>
            <w:r>
              <w:rPr>
                <w:rFonts w:hint="eastAsia"/>
              </w:rPr>
              <w:t>①</w:t>
            </w:r>
            <w:r>
              <w:rPr>
                <w:szCs w:val="24"/>
              </w:rPr>
              <w:t>泥沙及杂质</w:t>
            </w:r>
            <w:r>
              <w:rPr>
                <w:rFonts w:hint="eastAsia"/>
                <w:szCs w:val="24"/>
              </w:rPr>
              <w:t>、污泥</w:t>
            </w:r>
          </w:p>
          <w:p w14:paraId="0C0FF716">
            <w:pPr>
              <w:pStyle w:val="91"/>
              <w:ind w:firstLine="480"/>
              <w:rPr>
                <w:szCs w:val="24"/>
              </w:rPr>
            </w:pPr>
            <w:r>
              <w:rPr>
                <w:szCs w:val="24"/>
              </w:rPr>
              <w:t>湿法破碎+清洗工序产生的泥沙及杂质</w:t>
            </w:r>
            <w:r>
              <w:rPr>
                <w:rFonts w:hint="eastAsia"/>
                <w:szCs w:val="24"/>
              </w:rPr>
              <w:t>、污泥</w:t>
            </w:r>
            <w:r>
              <w:rPr>
                <w:szCs w:val="24"/>
              </w:rPr>
              <w:t>，沉淀池污泥中主要成分泥沙，不属于危险废物，参考《排放源统计调查产排污核算方法和系数手册》中42废弃资源综合利用行业系数手册，废PE/PP/PS/ABS湿法破碎+清洗工序一般固体废物产生系数为8.3kg/t原料，本项目废塑料原料量为</w:t>
            </w:r>
            <w:r>
              <w:rPr>
                <w:rFonts w:hint="eastAsia"/>
                <w:szCs w:val="24"/>
              </w:rPr>
              <w:t>30000</w:t>
            </w:r>
            <w:r>
              <w:rPr>
                <w:szCs w:val="24"/>
              </w:rPr>
              <w:t>t/a，则泥沙及杂质为</w:t>
            </w:r>
            <w:r>
              <w:rPr>
                <w:rFonts w:hint="eastAsia"/>
                <w:szCs w:val="24"/>
              </w:rPr>
              <w:t>249</w:t>
            </w:r>
            <w:r>
              <w:rPr>
                <w:szCs w:val="24"/>
              </w:rPr>
              <w:t>t/a，</w:t>
            </w:r>
            <w:r>
              <w:rPr>
                <w:rFonts w:hint="eastAsia"/>
              </w:rPr>
              <w:t>属于《一般固体废物分类与代码》（GB</w:t>
            </w:r>
            <w:r>
              <w:t>/</w:t>
            </w:r>
            <w:r>
              <w:rPr>
                <w:rFonts w:hint="eastAsia"/>
              </w:rPr>
              <w:t>T39198-2020）中的一般固体废物，</w:t>
            </w:r>
            <w:r>
              <w:rPr>
                <w:rFonts w:hint="eastAsia"/>
                <w:color w:val="FF0000"/>
                <w:lang w:eastAsia="zh"/>
                <w:woUserID w:val="1"/>
              </w:rPr>
              <w:t>固体废物</w:t>
            </w:r>
            <w:r>
              <w:rPr>
                <w:rFonts w:hint="eastAsia"/>
                <w:color w:val="FF0000"/>
                <w:szCs w:val="24"/>
              </w:rPr>
              <w:t>分类代码</w:t>
            </w:r>
            <w:r>
              <w:rPr>
                <w:color w:val="FF0000"/>
                <w:szCs w:val="24"/>
              </w:rPr>
              <w:t>为422-001-99</w:t>
            </w:r>
            <w:r>
              <w:rPr>
                <w:rFonts w:hint="eastAsia"/>
                <w:color w:val="FF0000"/>
                <w:szCs w:val="24"/>
              </w:rPr>
              <w:t>，</w:t>
            </w:r>
            <w:r>
              <w:rPr>
                <w:rFonts w:hint="eastAsia"/>
                <w:color w:val="FF0000"/>
                <w:szCs w:val="24"/>
                <w:lang w:val="en-US" w:eastAsia="zh-CN"/>
              </w:rPr>
              <w:t>产生的污泥，根据污泥产生量由鸡东县瀚科水务有限公司不定期拉运</w:t>
            </w:r>
            <w:r>
              <w:rPr>
                <w:rFonts w:hint="eastAsia"/>
                <w:color w:val="FF0000"/>
              </w:rPr>
              <w:t>。</w:t>
            </w:r>
          </w:p>
          <w:p w14:paraId="67B11FAD">
            <w:pPr>
              <w:pStyle w:val="91"/>
              <w:ind w:firstLine="480"/>
            </w:pPr>
            <w:r>
              <w:rPr>
                <w:rFonts w:hint="eastAsia"/>
              </w:rPr>
              <w:t>②废商标</w:t>
            </w:r>
          </w:p>
          <w:p w14:paraId="2B59B1E7">
            <w:pPr>
              <w:pStyle w:val="91"/>
              <w:ind w:firstLine="480"/>
            </w:pPr>
            <w:r>
              <w:rPr>
                <w:rFonts w:hint="eastAsia"/>
              </w:rPr>
              <w:t>本项目脱标过程会产生废商标，产生量约为</w:t>
            </w:r>
            <w:r>
              <w:t>0.</w:t>
            </w:r>
            <w:r>
              <w:rPr>
                <w:rFonts w:hint="eastAsia"/>
              </w:rPr>
              <w:t>5t</w:t>
            </w:r>
            <w:r>
              <w:t>/</w:t>
            </w:r>
            <w:r>
              <w:rPr>
                <w:rFonts w:hint="eastAsia"/>
              </w:rPr>
              <w:t>a，废商标属于《一般固体废物分类与代码》（GB</w:t>
            </w:r>
            <w:r>
              <w:t>/</w:t>
            </w:r>
            <w:r>
              <w:rPr>
                <w:rFonts w:hint="eastAsia"/>
              </w:rPr>
              <w:t>T39198-2020）中的一般固体废物</w:t>
            </w:r>
            <w:r>
              <w:rPr>
                <w:szCs w:val="24"/>
              </w:rPr>
              <w:t>，</w:t>
            </w:r>
            <w:r>
              <w:rPr>
                <w:rFonts w:hint="eastAsia"/>
                <w:color w:val="FF0000"/>
                <w:szCs w:val="24"/>
                <w:lang w:eastAsia="zh"/>
                <w:woUserID w:val="1"/>
              </w:rPr>
              <w:t>固体废物</w:t>
            </w:r>
            <w:r>
              <w:rPr>
                <w:rFonts w:hint="eastAsia"/>
                <w:color w:val="FF0000"/>
                <w:szCs w:val="24"/>
              </w:rPr>
              <w:t>分类代码</w:t>
            </w:r>
            <w:r>
              <w:rPr>
                <w:color w:val="FF0000"/>
                <w:szCs w:val="24"/>
              </w:rPr>
              <w:t>为422-001-99</w:t>
            </w:r>
            <w:r>
              <w:rPr>
                <w:rFonts w:hint="eastAsia"/>
                <w:color w:val="FF0000"/>
                <w:szCs w:val="24"/>
                <w:lang w:eastAsia="zh"/>
                <w:woUserID w:val="1"/>
              </w:rPr>
              <w:t>，</w:t>
            </w:r>
            <w:r>
              <w:rPr>
                <w:rFonts w:hint="eastAsia"/>
                <w:color w:val="FF0000"/>
                <w:szCs w:val="24"/>
                <w:lang w:val="en-US" w:eastAsia="zh-CN"/>
              </w:rPr>
              <w:t>统一收集后外售废品回收站</w:t>
            </w:r>
            <w:r>
              <w:rPr>
                <w:rFonts w:hint="eastAsia"/>
                <w:color w:val="FF0000"/>
              </w:rPr>
              <w:t>。</w:t>
            </w:r>
          </w:p>
          <w:p w14:paraId="03E5905B">
            <w:pPr>
              <w:pStyle w:val="91"/>
              <w:ind w:firstLine="480"/>
            </w:pPr>
            <w:r>
              <w:t>③不合格产品</w:t>
            </w:r>
          </w:p>
          <w:p w14:paraId="602FA9B8">
            <w:pPr>
              <w:pStyle w:val="91"/>
              <w:ind w:firstLine="480"/>
            </w:pPr>
            <w:r>
              <w:t>不合格产品是指在塑料瓶破碎、清洗、分选等生产工序中，因无法达到既定质量标准而被分离出来的物料。本项目产生的不合格产品产生量约为</w:t>
            </w:r>
            <w:r>
              <w:rPr>
                <w:rFonts w:hint="eastAsia"/>
              </w:rPr>
              <w:t>原料</w:t>
            </w:r>
            <w:r>
              <w:t>量的0.</w:t>
            </w:r>
            <w:r>
              <w:rPr>
                <w:rFonts w:hint="eastAsia"/>
              </w:rPr>
              <w:t>1</w:t>
            </w:r>
            <w:r>
              <w:t>%，已知本项目年生产再生（PE、PP）塑料</w:t>
            </w:r>
            <w:r>
              <w:rPr>
                <w:rFonts w:hint="eastAsia"/>
              </w:rPr>
              <w:t>原料量30000</w:t>
            </w:r>
            <w:r>
              <w:t>t/a，则不合格产品产生量约为</w:t>
            </w:r>
            <w:r>
              <w:rPr>
                <w:rFonts w:hint="eastAsia"/>
              </w:rPr>
              <w:t>30</w:t>
            </w:r>
            <w:r>
              <w:t>t/a</w:t>
            </w:r>
            <w:r>
              <w:rPr>
                <w:rFonts w:hint="eastAsia"/>
              </w:rPr>
              <w:t>，全部回用于生产。</w:t>
            </w:r>
          </w:p>
          <w:p w14:paraId="1304905B">
            <w:pPr>
              <w:pStyle w:val="91"/>
              <w:ind w:firstLine="480"/>
              <w:rPr>
                <w:rFonts w:hint="default" w:ascii="Times New Roman" w:hAnsi="Times New Roman" w:cs="Times New Roman"/>
                <w:color w:val="FF0000"/>
                <w:lang w:val="en-US" w:eastAsia="zh-CN"/>
              </w:rPr>
            </w:pPr>
            <w:r>
              <w:rPr>
                <w:rFonts w:hint="eastAsia" w:ascii="Times New Roman" w:hAnsi="Times New Roman" w:cs="Times New Roman"/>
                <w:color w:val="FF0000"/>
              </w:rPr>
              <w:t>④</w:t>
            </w:r>
            <w:r>
              <w:rPr>
                <w:rFonts w:hint="eastAsia" w:ascii="Times New Roman" w:hAnsi="Times New Roman" w:cs="Times New Roman"/>
                <w:color w:val="FF0000"/>
                <w:lang w:val="en-US" w:eastAsia="zh-CN"/>
              </w:rPr>
              <w:t>絮凝剂包装袋</w:t>
            </w:r>
          </w:p>
          <w:p w14:paraId="2B6241CE">
            <w:pPr>
              <w:pStyle w:val="91"/>
              <w:ind w:firstLine="480"/>
              <w:rPr>
                <w:rFonts w:hint="default" w:eastAsia="宋体"/>
                <w:color w:val="FF0000"/>
                <w:lang w:val="en-US" w:eastAsia="zh-CN"/>
              </w:rPr>
            </w:pPr>
            <w:r>
              <w:rPr>
                <w:rFonts w:hint="eastAsia"/>
                <w:color w:val="FF0000"/>
                <w:lang w:val="en-US" w:eastAsia="zh-CN"/>
              </w:rPr>
              <w:t>本项目絮凝剂使用后会产生废包装袋，产生量约为0.002t/a，废包装袋属于</w:t>
            </w:r>
            <w:r>
              <w:rPr>
                <w:rFonts w:hint="eastAsia"/>
                <w:color w:val="FF0000"/>
              </w:rPr>
              <w:t>废商标属于《一般固体废物分类与代码》（GB</w:t>
            </w:r>
            <w:r>
              <w:rPr>
                <w:color w:val="FF0000"/>
              </w:rPr>
              <w:t>/</w:t>
            </w:r>
            <w:r>
              <w:rPr>
                <w:rFonts w:hint="eastAsia"/>
                <w:color w:val="FF0000"/>
              </w:rPr>
              <w:t>T39198-2020）中的一般固体废物</w:t>
            </w:r>
            <w:r>
              <w:rPr>
                <w:color w:val="FF0000"/>
                <w:szCs w:val="24"/>
              </w:rPr>
              <w:t>，</w:t>
            </w:r>
            <w:r>
              <w:rPr>
                <w:rFonts w:hint="eastAsia"/>
                <w:color w:val="FF0000"/>
                <w:szCs w:val="24"/>
                <w:lang w:eastAsia="zh"/>
                <w:woUserID w:val="1"/>
              </w:rPr>
              <w:t>固体废物</w:t>
            </w:r>
            <w:r>
              <w:rPr>
                <w:rFonts w:hint="eastAsia"/>
                <w:color w:val="FF0000"/>
                <w:szCs w:val="24"/>
              </w:rPr>
              <w:t>分类代码</w:t>
            </w:r>
            <w:r>
              <w:rPr>
                <w:color w:val="FF0000"/>
                <w:szCs w:val="24"/>
              </w:rPr>
              <w:t>为422-001-99</w:t>
            </w:r>
            <w:r>
              <w:rPr>
                <w:rFonts w:hint="eastAsia"/>
                <w:color w:val="FF0000"/>
                <w:szCs w:val="24"/>
                <w:lang w:eastAsia="zh"/>
                <w:woUserID w:val="1"/>
              </w:rPr>
              <w:t>，</w:t>
            </w:r>
            <w:r>
              <w:rPr>
                <w:rFonts w:hint="eastAsia"/>
                <w:color w:val="FF0000"/>
                <w:szCs w:val="24"/>
                <w:lang w:val="en-US" w:eastAsia="zh-CN"/>
              </w:rPr>
              <w:t>统一收集后外售废品回收站。</w:t>
            </w:r>
          </w:p>
          <w:p w14:paraId="3ADFA2DE">
            <w:pPr>
              <w:pStyle w:val="91"/>
              <w:ind w:firstLine="480"/>
            </w:pPr>
            <w:r>
              <w:rPr>
                <w:rFonts w:hint="eastAsia"/>
              </w:rPr>
              <w:t>（3）危险废物</w:t>
            </w:r>
          </w:p>
          <w:p w14:paraId="766AA129">
            <w:pPr>
              <w:pStyle w:val="91"/>
              <w:ind w:firstLine="480"/>
            </w:pPr>
            <w:r>
              <w:rPr>
                <w:rFonts w:hint="eastAsia"/>
              </w:rPr>
              <w:t>①废润滑油</w:t>
            </w:r>
          </w:p>
          <w:p w14:paraId="4554B7F5">
            <w:pPr>
              <w:pStyle w:val="91"/>
              <w:ind w:firstLine="480"/>
            </w:pPr>
            <w:r>
              <w:rPr>
                <w:rFonts w:hint="eastAsia"/>
              </w:rPr>
              <w:t>本项目危险废物主要为废润滑油，</w:t>
            </w:r>
            <w:r>
              <w:t>项目各生产设备运行检修过</w:t>
            </w:r>
            <w:r>
              <w:rPr>
                <w:rFonts w:hint="eastAsia"/>
              </w:rPr>
              <w:t>程中</w:t>
            </w:r>
            <w:r>
              <w:t>产生的废润滑油，根据项目设备使用情况，废润滑油产生量约为0.05t/a，根据《国家危险废物名录（202</w:t>
            </w:r>
            <w:r>
              <w:rPr>
                <w:rFonts w:hint="eastAsia"/>
              </w:rPr>
              <w:t>5</w:t>
            </w:r>
            <w:r>
              <w:t>年版）》，废润滑油属于危险废物，废物类别为HW08废矿物油与含矿物油废物，废物代码为900-214-08：“车辆、轮船及其它机械维修过程中产生的废发动机油、制动器油、自动变速器油、齿轮油等废润滑油”。废润滑油暂存在</w:t>
            </w:r>
            <w:r>
              <w:rPr>
                <w:rFonts w:hint="eastAsia"/>
              </w:rPr>
              <w:t>危险废物贮存点</w:t>
            </w:r>
            <w:r>
              <w:t>内，定期交由有资质单位处置。</w:t>
            </w:r>
          </w:p>
          <w:p w14:paraId="0C8B9792">
            <w:pPr>
              <w:pStyle w:val="91"/>
              <w:spacing w:line="500" w:lineRule="exact"/>
              <w:ind w:firstLine="480"/>
              <w:rPr>
                <w:bCs/>
              </w:rPr>
            </w:pPr>
            <w:r>
              <w:rPr>
                <w:rFonts w:hint="eastAsia"/>
              </w:rPr>
              <w:t>②</w:t>
            </w:r>
            <w:r>
              <w:rPr>
                <w:bCs/>
              </w:rPr>
              <w:t>含油抹布、含油零部件及</w:t>
            </w:r>
            <w:r>
              <w:rPr>
                <w:rFonts w:hint="eastAsia"/>
                <w:bCs/>
              </w:rPr>
              <w:t>废润滑油桶</w:t>
            </w:r>
          </w:p>
          <w:p w14:paraId="7BFC3536">
            <w:pPr>
              <w:pStyle w:val="91"/>
              <w:spacing w:line="500" w:lineRule="exact"/>
              <w:ind w:firstLine="480"/>
            </w:pPr>
            <w:r>
              <w:t>本项目生产过程中会产生少量</w:t>
            </w:r>
            <w:r>
              <w:rPr>
                <w:bCs/>
              </w:rPr>
              <w:t>含油抹布、含油零部件及</w:t>
            </w:r>
            <w:r>
              <w:rPr>
                <w:rFonts w:hint="eastAsia"/>
                <w:bCs/>
              </w:rPr>
              <w:t>废润滑油桶</w:t>
            </w:r>
            <w:r>
              <w:rPr>
                <w:bCs/>
              </w:rPr>
              <w:t>等废物</w:t>
            </w:r>
            <w:r>
              <w:t>，产生量约为0.1t/a，根据《国家危险废物名录（202</w:t>
            </w:r>
            <w:r>
              <w:rPr>
                <w:rFonts w:hint="eastAsia"/>
              </w:rPr>
              <w:t>5</w:t>
            </w:r>
            <w:r>
              <w:t>年版）》，</w:t>
            </w:r>
            <w:r>
              <w:rPr>
                <w:bCs/>
              </w:rPr>
              <w:t>含油抹布、含油零部件及</w:t>
            </w:r>
            <w:r>
              <w:rPr>
                <w:rFonts w:hint="eastAsia"/>
                <w:bCs/>
              </w:rPr>
              <w:t>废润滑油桶</w:t>
            </w:r>
            <w:r>
              <w:t>属于危险废物，废物类别为HW49其他废物，废物代码为900-041-49：“含有或沾染毒性、感染性危险废物的废弃包装物、容器、过滤吸附介质”，含油抹布、含油零部件及</w:t>
            </w:r>
            <w:r>
              <w:rPr>
                <w:rFonts w:hint="eastAsia"/>
              </w:rPr>
              <w:t>废润滑油桶</w:t>
            </w:r>
            <w:r>
              <w:t>暂存在</w:t>
            </w:r>
            <w:r>
              <w:rPr>
                <w:rFonts w:hint="eastAsia"/>
              </w:rPr>
              <w:t>危险废物贮存点</w:t>
            </w:r>
            <w:r>
              <w:t>内，定期</w:t>
            </w:r>
            <w:r>
              <w:rPr>
                <w:rFonts w:hint="eastAsia"/>
              </w:rPr>
              <w:t>委托有资质单位处置</w:t>
            </w:r>
            <w:r>
              <w:t>。</w:t>
            </w:r>
          </w:p>
          <w:p w14:paraId="5DBBDF35">
            <w:pPr>
              <w:pStyle w:val="91"/>
              <w:ind w:firstLine="480"/>
            </w:pPr>
            <w:r>
              <w:t>③</w:t>
            </w:r>
            <w:r>
              <w:rPr>
                <w:rFonts w:hint="eastAsia"/>
              </w:rPr>
              <w:t>危险废物贮存点</w:t>
            </w:r>
            <w:r>
              <w:t>设置及管理要求</w:t>
            </w:r>
          </w:p>
          <w:p w14:paraId="41059D0A">
            <w:pPr>
              <w:pStyle w:val="91"/>
              <w:ind w:firstLine="480"/>
            </w:pPr>
            <w:r>
              <w:t>本项目产生的危险废物暂存在</w:t>
            </w:r>
            <w:r>
              <w:rPr>
                <w:rFonts w:hint="eastAsia"/>
              </w:rPr>
              <w:t>厂房</w:t>
            </w:r>
            <w:r>
              <w:t>内的</w:t>
            </w:r>
            <w:r>
              <w:rPr>
                <w:rFonts w:hint="eastAsia"/>
              </w:rPr>
              <w:t>危险废物贮存点</w:t>
            </w:r>
            <w:r>
              <w:t>，委托有资质单位进行处理，项目</w:t>
            </w:r>
            <w:r>
              <w:rPr>
                <w:rFonts w:hint="eastAsia"/>
              </w:rPr>
              <w:t>危险废物贮存点</w:t>
            </w:r>
            <w:r>
              <w:t>位于</w:t>
            </w:r>
            <w:r>
              <w:rPr>
                <w:rFonts w:hint="eastAsia"/>
              </w:rPr>
              <w:t>车间</w:t>
            </w:r>
            <w:r>
              <w:t>内</w:t>
            </w:r>
            <w:r>
              <w:rPr>
                <w:rFonts w:hint="eastAsia"/>
              </w:rPr>
              <w:t>西南角</w:t>
            </w:r>
            <w:r>
              <w:t>，</w:t>
            </w:r>
            <w:r>
              <w:rPr>
                <w:szCs w:val="24"/>
              </w:rPr>
              <w:t>面积2m</w:t>
            </w:r>
            <w:r>
              <w:rPr>
                <w:szCs w:val="24"/>
                <w:vertAlign w:val="superscript"/>
              </w:rPr>
              <w:t>2</w:t>
            </w:r>
            <w:r>
              <w:rPr>
                <w:szCs w:val="24"/>
              </w:rPr>
              <w:t>，</w:t>
            </w:r>
            <w:r>
              <w:rPr>
                <w:rFonts w:hint="eastAsia"/>
                <w:szCs w:val="24"/>
              </w:rPr>
              <w:t>地面及裙脚</w:t>
            </w:r>
            <w:r>
              <w:t>采用2mm厚的高密度聚乙烯+防渗混凝土进行防渗处理，渗透系数≤10</w:t>
            </w:r>
            <w:r>
              <w:rPr>
                <w:vertAlign w:val="superscript"/>
              </w:rPr>
              <w:t>-10</w:t>
            </w:r>
            <w:r>
              <w:t>cm/s，</w:t>
            </w:r>
            <w:r>
              <w:rPr>
                <w:szCs w:val="24"/>
              </w:rPr>
              <w:t>满足《危险废物贮存污染控制标准》（GB18597-20</w:t>
            </w:r>
            <w:r>
              <w:rPr>
                <w:rFonts w:hint="eastAsia"/>
                <w:szCs w:val="24"/>
              </w:rPr>
              <w:t>23</w:t>
            </w:r>
            <w:r>
              <w:rPr>
                <w:szCs w:val="24"/>
              </w:rPr>
              <w:t>）</w:t>
            </w:r>
            <w:r>
              <w:t>的要求。</w:t>
            </w:r>
            <w:r>
              <w:rPr>
                <w:rFonts w:hint="eastAsia"/>
              </w:rPr>
              <w:t>废润滑油</w:t>
            </w:r>
            <w:r>
              <w:t>采用专用的容器存储，容器外侧粘贴符合标准要求的醒目标签。</w:t>
            </w:r>
          </w:p>
          <w:p w14:paraId="644F5747">
            <w:pPr>
              <w:pStyle w:val="91"/>
              <w:ind w:firstLine="480"/>
            </w:pPr>
            <w:r>
              <w:t>综上所述，本项目</w:t>
            </w:r>
            <w:r>
              <w:rPr>
                <w:rFonts w:hint="eastAsia"/>
              </w:rPr>
              <w:t>固体废物</w:t>
            </w:r>
            <w:r>
              <w:t>经过上述措施治理后，能够得到妥善处置，不会对周边环境产生不良影响。</w:t>
            </w:r>
          </w:p>
          <w:p w14:paraId="3676B7BF">
            <w:pPr>
              <w:pStyle w:val="103"/>
            </w:pPr>
            <w:r>
              <w:rPr>
                <w:color w:val="FF0000"/>
              </w:rPr>
              <w:t>表4-</w:t>
            </w:r>
            <w:r>
              <w:rPr>
                <w:rFonts w:hint="eastAsia"/>
                <w:color w:val="FF0000"/>
                <w:lang w:eastAsia="zh"/>
                <w:woUserID w:val="1"/>
              </w:rPr>
              <w:t>5</w:t>
            </w:r>
            <w:r>
              <w:rPr>
                <w:rFonts w:hint="eastAsia"/>
              </w:rPr>
              <w:t xml:space="preserve">  </w:t>
            </w:r>
            <w:r>
              <w:t>固体废物污染源源强核算结果及相关参数一览表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8"/>
              <w:gridCol w:w="750"/>
              <w:gridCol w:w="1224"/>
              <w:gridCol w:w="744"/>
              <w:gridCol w:w="657"/>
              <w:gridCol w:w="858"/>
              <w:gridCol w:w="867"/>
              <w:gridCol w:w="908"/>
              <w:gridCol w:w="693"/>
              <w:gridCol w:w="1120"/>
            </w:tblGrid>
            <w:tr w14:paraId="7FD1F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vMerge w:val="restart"/>
                  <w:tcBorders>
                    <w:tl2br w:val="nil"/>
                    <w:tr2bl w:val="nil"/>
                  </w:tcBorders>
                  <w:vAlign w:val="center"/>
                </w:tcPr>
                <w:p w14:paraId="3FE8049E">
                  <w:pPr>
                    <w:pStyle w:val="90"/>
                  </w:pPr>
                  <w:r>
                    <w:t>工序/生产线</w:t>
                  </w:r>
                </w:p>
              </w:tc>
              <w:tc>
                <w:tcPr>
                  <w:tcW w:w="750" w:type="dxa"/>
                  <w:vMerge w:val="restart"/>
                  <w:tcBorders>
                    <w:tl2br w:val="nil"/>
                    <w:tr2bl w:val="nil"/>
                  </w:tcBorders>
                  <w:vAlign w:val="center"/>
                </w:tcPr>
                <w:p w14:paraId="412E8B34">
                  <w:pPr>
                    <w:pStyle w:val="90"/>
                  </w:pPr>
                  <w:r>
                    <w:t>装置</w:t>
                  </w:r>
                </w:p>
              </w:tc>
              <w:tc>
                <w:tcPr>
                  <w:tcW w:w="1224" w:type="dxa"/>
                  <w:vMerge w:val="restart"/>
                  <w:tcBorders>
                    <w:tl2br w:val="nil"/>
                    <w:tr2bl w:val="nil"/>
                  </w:tcBorders>
                  <w:vAlign w:val="center"/>
                </w:tcPr>
                <w:p w14:paraId="4D299EF6">
                  <w:pPr>
                    <w:pStyle w:val="90"/>
                  </w:pPr>
                  <w:r>
                    <w:t>固体废物名称</w:t>
                  </w:r>
                </w:p>
              </w:tc>
              <w:tc>
                <w:tcPr>
                  <w:tcW w:w="744" w:type="dxa"/>
                  <w:vMerge w:val="restart"/>
                  <w:tcBorders>
                    <w:tl2br w:val="nil"/>
                    <w:tr2bl w:val="nil"/>
                  </w:tcBorders>
                  <w:vAlign w:val="center"/>
                </w:tcPr>
                <w:p w14:paraId="6B12A175">
                  <w:pPr>
                    <w:pStyle w:val="90"/>
                  </w:pPr>
                  <w:r>
                    <w:rPr>
                      <w:rFonts w:hint="eastAsia"/>
                    </w:rPr>
                    <w:t>固体废物代码</w:t>
                  </w:r>
                </w:p>
              </w:tc>
              <w:tc>
                <w:tcPr>
                  <w:tcW w:w="657" w:type="dxa"/>
                  <w:vMerge w:val="restart"/>
                  <w:tcBorders>
                    <w:tl2br w:val="nil"/>
                    <w:tr2bl w:val="nil"/>
                  </w:tcBorders>
                  <w:vAlign w:val="center"/>
                </w:tcPr>
                <w:p w14:paraId="282F925A">
                  <w:pPr>
                    <w:pStyle w:val="90"/>
                  </w:pPr>
                  <w:r>
                    <w:t>固废属性</w:t>
                  </w:r>
                </w:p>
              </w:tc>
              <w:tc>
                <w:tcPr>
                  <w:tcW w:w="1725" w:type="dxa"/>
                  <w:gridSpan w:val="2"/>
                  <w:tcBorders>
                    <w:tl2br w:val="nil"/>
                    <w:tr2bl w:val="nil"/>
                  </w:tcBorders>
                  <w:vAlign w:val="center"/>
                </w:tcPr>
                <w:p w14:paraId="249B4EF5">
                  <w:pPr>
                    <w:pStyle w:val="90"/>
                  </w:pPr>
                  <w:r>
                    <w:t>产生量</w:t>
                  </w:r>
                </w:p>
              </w:tc>
              <w:tc>
                <w:tcPr>
                  <w:tcW w:w="1601" w:type="dxa"/>
                  <w:gridSpan w:val="2"/>
                  <w:tcBorders>
                    <w:tl2br w:val="nil"/>
                    <w:tr2bl w:val="nil"/>
                  </w:tcBorders>
                  <w:vAlign w:val="center"/>
                </w:tcPr>
                <w:p w14:paraId="1E634282">
                  <w:pPr>
                    <w:pStyle w:val="90"/>
                  </w:pPr>
                  <w:r>
                    <w:t>处置措施</w:t>
                  </w:r>
                </w:p>
              </w:tc>
              <w:tc>
                <w:tcPr>
                  <w:tcW w:w="1120" w:type="dxa"/>
                  <w:vMerge w:val="restart"/>
                  <w:tcBorders>
                    <w:tl2br w:val="nil"/>
                    <w:tr2bl w:val="nil"/>
                  </w:tcBorders>
                  <w:vAlign w:val="center"/>
                </w:tcPr>
                <w:p w14:paraId="18C53D14">
                  <w:pPr>
                    <w:pStyle w:val="90"/>
                  </w:pPr>
                  <w:r>
                    <w:t>最终去向</w:t>
                  </w:r>
                </w:p>
              </w:tc>
            </w:tr>
            <w:tr w14:paraId="26EAC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vMerge w:val="continue"/>
                  <w:tcBorders>
                    <w:tl2br w:val="nil"/>
                    <w:tr2bl w:val="nil"/>
                  </w:tcBorders>
                  <w:vAlign w:val="center"/>
                </w:tcPr>
                <w:p w14:paraId="2EA75A62">
                  <w:pPr>
                    <w:pStyle w:val="90"/>
                  </w:pPr>
                </w:p>
              </w:tc>
              <w:tc>
                <w:tcPr>
                  <w:tcW w:w="750" w:type="dxa"/>
                  <w:vMerge w:val="continue"/>
                  <w:tcBorders>
                    <w:tl2br w:val="nil"/>
                    <w:tr2bl w:val="nil"/>
                  </w:tcBorders>
                  <w:vAlign w:val="center"/>
                </w:tcPr>
                <w:p w14:paraId="5F9872BD">
                  <w:pPr>
                    <w:pStyle w:val="90"/>
                  </w:pPr>
                </w:p>
              </w:tc>
              <w:tc>
                <w:tcPr>
                  <w:tcW w:w="1224" w:type="dxa"/>
                  <w:vMerge w:val="continue"/>
                  <w:tcBorders>
                    <w:tl2br w:val="nil"/>
                    <w:tr2bl w:val="nil"/>
                  </w:tcBorders>
                  <w:vAlign w:val="center"/>
                </w:tcPr>
                <w:p w14:paraId="3879B773">
                  <w:pPr>
                    <w:pStyle w:val="90"/>
                  </w:pPr>
                </w:p>
              </w:tc>
              <w:tc>
                <w:tcPr>
                  <w:tcW w:w="744" w:type="dxa"/>
                  <w:vMerge w:val="continue"/>
                  <w:tcBorders>
                    <w:tl2br w:val="nil"/>
                    <w:tr2bl w:val="nil"/>
                  </w:tcBorders>
                  <w:vAlign w:val="center"/>
                </w:tcPr>
                <w:p w14:paraId="2961FA71">
                  <w:pPr>
                    <w:pStyle w:val="90"/>
                  </w:pPr>
                </w:p>
              </w:tc>
              <w:tc>
                <w:tcPr>
                  <w:tcW w:w="657" w:type="dxa"/>
                  <w:vMerge w:val="continue"/>
                  <w:tcBorders>
                    <w:tl2br w:val="nil"/>
                    <w:tr2bl w:val="nil"/>
                  </w:tcBorders>
                  <w:vAlign w:val="center"/>
                </w:tcPr>
                <w:p w14:paraId="380DC948">
                  <w:pPr>
                    <w:pStyle w:val="90"/>
                  </w:pPr>
                </w:p>
              </w:tc>
              <w:tc>
                <w:tcPr>
                  <w:tcW w:w="858" w:type="dxa"/>
                  <w:tcBorders>
                    <w:tl2br w:val="nil"/>
                    <w:tr2bl w:val="nil"/>
                  </w:tcBorders>
                  <w:vAlign w:val="center"/>
                </w:tcPr>
                <w:p w14:paraId="682BDD7F">
                  <w:pPr>
                    <w:pStyle w:val="90"/>
                  </w:pPr>
                  <w:r>
                    <w:t>核算</w:t>
                  </w:r>
                </w:p>
                <w:p w14:paraId="5CAA9203">
                  <w:pPr>
                    <w:pStyle w:val="90"/>
                  </w:pPr>
                  <w:r>
                    <w:t>方法</w:t>
                  </w:r>
                </w:p>
              </w:tc>
              <w:tc>
                <w:tcPr>
                  <w:tcW w:w="867" w:type="dxa"/>
                  <w:tcBorders>
                    <w:tl2br w:val="nil"/>
                    <w:tr2bl w:val="nil"/>
                  </w:tcBorders>
                  <w:vAlign w:val="center"/>
                </w:tcPr>
                <w:p w14:paraId="46A4D655">
                  <w:pPr>
                    <w:pStyle w:val="90"/>
                  </w:pPr>
                  <w:r>
                    <w:t>产生量</w:t>
                  </w:r>
                </w:p>
                <w:p w14:paraId="40AD4322">
                  <w:pPr>
                    <w:pStyle w:val="90"/>
                  </w:pPr>
                  <w:r>
                    <w:rPr>
                      <w:rFonts w:hint="eastAsia"/>
                    </w:rPr>
                    <w:t>(</w:t>
                  </w:r>
                  <w:r>
                    <w:t>t/a</w:t>
                  </w:r>
                  <w:r>
                    <w:rPr>
                      <w:rFonts w:hint="eastAsia"/>
                    </w:rPr>
                    <w:t>)</w:t>
                  </w:r>
                </w:p>
              </w:tc>
              <w:tc>
                <w:tcPr>
                  <w:tcW w:w="908" w:type="dxa"/>
                  <w:tcBorders>
                    <w:tl2br w:val="nil"/>
                    <w:tr2bl w:val="nil"/>
                  </w:tcBorders>
                  <w:vAlign w:val="center"/>
                </w:tcPr>
                <w:p w14:paraId="19CBC9F6">
                  <w:pPr>
                    <w:pStyle w:val="90"/>
                  </w:pPr>
                  <w:r>
                    <w:t>工艺</w:t>
                  </w:r>
                </w:p>
              </w:tc>
              <w:tc>
                <w:tcPr>
                  <w:tcW w:w="693" w:type="dxa"/>
                  <w:tcBorders>
                    <w:tl2br w:val="nil"/>
                    <w:tr2bl w:val="nil"/>
                  </w:tcBorders>
                  <w:vAlign w:val="center"/>
                </w:tcPr>
                <w:p w14:paraId="478DF3A7">
                  <w:pPr>
                    <w:pStyle w:val="90"/>
                  </w:pPr>
                  <w:r>
                    <w:t>处置量</w:t>
                  </w:r>
                </w:p>
                <w:p w14:paraId="430D0F58">
                  <w:pPr>
                    <w:pStyle w:val="90"/>
                  </w:pPr>
                  <w:r>
                    <w:rPr>
                      <w:rFonts w:hint="eastAsia"/>
                    </w:rPr>
                    <w:t>(</w:t>
                  </w:r>
                  <w:r>
                    <w:t>t/a</w:t>
                  </w:r>
                  <w:r>
                    <w:rPr>
                      <w:rFonts w:hint="eastAsia"/>
                    </w:rPr>
                    <w:t>)</w:t>
                  </w:r>
                </w:p>
              </w:tc>
              <w:tc>
                <w:tcPr>
                  <w:tcW w:w="1120" w:type="dxa"/>
                  <w:vMerge w:val="continue"/>
                  <w:tcBorders>
                    <w:tl2br w:val="nil"/>
                    <w:tr2bl w:val="nil"/>
                  </w:tcBorders>
                  <w:vAlign w:val="center"/>
                </w:tcPr>
                <w:p w14:paraId="2D0ED89E">
                  <w:pPr>
                    <w:pStyle w:val="90"/>
                  </w:pPr>
                </w:p>
              </w:tc>
            </w:tr>
            <w:tr w14:paraId="5FF84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tcBorders>
                    <w:tl2br w:val="nil"/>
                    <w:tr2bl w:val="nil"/>
                  </w:tcBorders>
                  <w:vAlign w:val="center"/>
                </w:tcPr>
                <w:p w14:paraId="024A0A4D">
                  <w:pPr>
                    <w:pStyle w:val="90"/>
                  </w:pPr>
                  <w:r>
                    <w:rPr>
                      <w:rFonts w:hint="eastAsia"/>
                    </w:rPr>
                    <w:t>脱标</w:t>
                  </w:r>
                </w:p>
              </w:tc>
              <w:tc>
                <w:tcPr>
                  <w:tcW w:w="750" w:type="dxa"/>
                  <w:tcBorders>
                    <w:tl2br w:val="nil"/>
                    <w:tr2bl w:val="nil"/>
                  </w:tcBorders>
                  <w:vAlign w:val="center"/>
                </w:tcPr>
                <w:p w14:paraId="6EF39840">
                  <w:pPr>
                    <w:pStyle w:val="90"/>
                  </w:pPr>
                  <w:r>
                    <w:rPr>
                      <w:rFonts w:hint="eastAsia"/>
                    </w:rPr>
                    <w:t>脱标机</w:t>
                  </w:r>
                </w:p>
              </w:tc>
              <w:tc>
                <w:tcPr>
                  <w:tcW w:w="1224" w:type="dxa"/>
                  <w:tcBorders>
                    <w:tl2br w:val="nil"/>
                    <w:tr2bl w:val="nil"/>
                  </w:tcBorders>
                  <w:vAlign w:val="center"/>
                </w:tcPr>
                <w:p w14:paraId="7FDA1425">
                  <w:pPr>
                    <w:pStyle w:val="90"/>
                  </w:pPr>
                  <w:r>
                    <w:rPr>
                      <w:rFonts w:hint="eastAsia"/>
                    </w:rPr>
                    <w:t>废商标</w:t>
                  </w:r>
                </w:p>
              </w:tc>
              <w:tc>
                <w:tcPr>
                  <w:tcW w:w="744" w:type="dxa"/>
                  <w:tcBorders>
                    <w:tl2br w:val="nil"/>
                    <w:tr2bl w:val="nil"/>
                  </w:tcBorders>
                  <w:vAlign w:val="center"/>
                </w:tcPr>
                <w:p w14:paraId="1657178E">
                  <w:pPr>
                    <w:pStyle w:val="90"/>
                  </w:pPr>
                  <w:r>
                    <w:rPr>
                      <w:rFonts w:hint="eastAsia"/>
                      <w:bCs/>
                      <w:spacing w:val="6"/>
                      <w:szCs w:val="21"/>
                    </w:rPr>
                    <w:t>422</w:t>
                  </w:r>
                  <w:r>
                    <w:rPr>
                      <w:bCs/>
                      <w:spacing w:val="6"/>
                      <w:szCs w:val="21"/>
                    </w:rPr>
                    <w:t>-</w:t>
                  </w:r>
                  <w:r>
                    <w:rPr>
                      <w:rFonts w:hint="eastAsia"/>
                      <w:bCs/>
                      <w:spacing w:val="6"/>
                      <w:szCs w:val="21"/>
                    </w:rPr>
                    <w:t>001</w:t>
                  </w:r>
                  <w:r>
                    <w:rPr>
                      <w:bCs/>
                      <w:spacing w:val="6"/>
                      <w:szCs w:val="21"/>
                    </w:rPr>
                    <w:t>-</w:t>
                  </w:r>
                  <w:r>
                    <w:rPr>
                      <w:rFonts w:hint="eastAsia"/>
                      <w:bCs/>
                      <w:spacing w:val="6"/>
                      <w:szCs w:val="21"/>
                    </w:rPr>
                    <w:t>99</w:t>
                  </w:r>
                </w:p>
              </w:tc>
              <w:tc>
                <w:tcPr>
                  <w:tcW w:w="657" w:type="dxa"/>
                  <w:tcBorders>
                    <w:tl2br w:val="nil"/>
                    <w:tr2bl w:val="nil"/>
                  </w:tcBorders>
                  <w:vAlign w:val="center"/>
                </w:tcPr>
                <w:p w14:paraId="0BA336CF">
                  <w:pPr>
                    <w:pStyle w:val="90"/>
                  </w:pPr>
                  <w:r>
                    <w:t>一般工业固废</w:t>
                  </w:r>
                </w:p>
              </w:tc>
              <w:tc>
                <w:tcPr>
                  <w:tcW w:w="858" w:type="dxa"/>
                  <w:tcBorders>
                    <w:tl2br w:val="nil"/>
                    <w:tr2bl w:val="nil"/>
                  </w:tcBorders>
                  <w:vAlign w:val="center"/>
                </w:tcPr>
                <w:p w14:paraId="5AA0DE88">
                  <w:pPr>
                    <w:pStyle w:val="90"/>
                  </w:pPr>
                  <w:r>
                    <w:t>类比法</w:t>
                  </w:r>
                </w:p>
              </w:tc>
              <w:tc>
                <w:tcPr>
                  <w:tcW w:w="867" w:type="dxa"/>
                  <w:tcBorders>
                    <w:tl2br w:val="nil"/>
                    <w:tr2bl w:val="nil"/>
                  </w:tcBorders>
                  <w:vAlign w:val="center"/>
                </w:tcPr>
                <w:p w14:paraId="3ACF76A4">
                  <w:pPr>
                    <w:pStyle w:val="90"/>
                  </w:pPr>
                  <w:r>
                    <w:rPr>
                      <w:rFonts w:hint="eastAsia"/>
                    </w:rPr>
                    <w:t>0</w:t>
                  </w:r>
                  <w:r>
                    <w:t>.</w:t>
                  </w:r>
                  <w:r>
                    <w:rPr>
                      <w:rFonts w:hint="eastAsia"/>
                    </w:rPr>
                    <w:t>5</w:t>
                  </w:r>
                </w:p>
              </w:tc>
              <w:tc>
                <w:tcPr>
                  <w:tcW w:w="908" w:type="dxa"/>
                  <w:tcBorders>
                    <w:tl2br w:val="nil"/>
                    <w:tr2bl w:val="nil"/>
                  </w:tcBorders>
                  <w:vAlign w:val="center"/>
                </w:tcPr>
                <w:p w14:paraId="41F89CFF">
                  <w:pPr>
                    <w:pStyle w:val="90"/>
                  </w:pPr>
                  <w:r>
                    <w:rPr>
                      <w:rFonts w:hint="eastAsia"/>
                    </w:rPr>
                    <w:t>/</w:t>
                  </w:r>
                </w:p>
              </w:tc>
              <w:tc>
                <w:tcPr>
                  <w:tcW w:w="693" w:type="dxa"/>
                  <w:tcBorders>
                    <w:tl2br w:val="nil"/>
                    <w:tr2bl w:val="nil"/>
                  </w:tcBorders>
                  <w:vAlign w:val="center"/>
                </w:tcPr>
                <w:p w14:paraId="66726E2D">
                  <w:pPr>
                    <w:pStyle w:val="90"/>
                  </w:pPr>
                  <w:r>
                    <w:rPr>
                      <w:rFonts w:hint="eastAsia"/>
                    </w:rPr>
                    <w:t>0</w:t>
                  </w:r>
                  <w:r>
                    <w:t>.</w:t>
                  </w:r>
                  <w:r>
                    <w:rPr>
                      <w:rFonts w:hint="eastAsia"/>
                    </w:rPr>
                    <w:t>5</w:t>
                  </w:r>
                </w:p>
              </w:tc>
              <w:tc>
                <w:tcPr>
                  <w:tcW w:w="1120" w:type="dxa"/>
                  <w:tcBorders>
                    <w:tl2br w:val="nil"/>
                    <w:tr2bl w:val="nil"/>
                  </w:tcBorders>
                  <w:vAlign w:val="center"/>
                </w:tcPr>
                <w:p w14:paraId="2D1BDDD2">
                  <w:pPr>
                    <w:pStyle w:val="90"/>
                  </w:pPr>
                  <w:r>
                    <w:rPr>
                      <w:rFonts w:hint="eastAsia"/>
                      <w:szCs w:val="24"/>
                    </w:rPr>
                    <w:t>统一收集后外售废品回收站</w:t>
                  </w:r>
                </w:p>
              </w:tc>
            </w:tr>
            <w:tr w14:paraId="5CCE6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tcBorders>
                    <w:tl2br w:val="nil"/>
                    <w:tr2bl w:val="nil"/>
                  </w:tcBorders>
                  <w:vAlign w:val="center"/>
                </w:tcPr>
                <w:p w14:paraId="14F9AB99">
                  <w:pPr>
                    <w:pStyle w:val="90"/>
                  </w:pPr>
                  <w:r>
                    <w:rPr>
                      <w:rFonts w:hint="eastAsia"/>
                    </w:rPr>
                    <w:t>生产</w:t>
                  </w:r>
                </w:p>
              </w:tc>
              <w:tc>
                <w:tcPr>
                  <w:tcW w:w="750" w:type="dxa"/>
                  <w:tcBorders>
                    <w:tl2br w:val="nil"/>
                    <w:tr2bl w:val="nil"/>
                  </w:tcBorders>
                  <w:vAlign w:val="center"/>
                </w:tcPr>
                <w:p w14:paraId="4B816442">
                  <w:pPr>
                    <w:pStyle w:val="90"/>
                  </w:pPr>
                  <w:r>
                    <w:t>生产设备</w:t>
                  </w:r>
                </w:p>
              </w:tc>
              <w:tc>
                <w:tcPr>
                  <w:tcW w:w="1224" w:type="dxa"/>
                  <w:tcBorders>
                    <w:tl2br w:val="nil"/>
                    <w:tr2bl w:val="nil"/>
                  </w:tcBorders>
                  <w:vAlign w:val="center"/>
                </w:tcPr>
                <w:p w14:paraId="4568FB32">
                  <w:pPr>
                    <w:pStyle w:val="90"/>
                  </w:pPr>
                  <w:r>
                    <w:rPr>
                      <w:rFonts w:hint="eastAsia"/>
                    </w:rPr>
                    <w:t>不合格产品</w:t>
                  </w:r>
                </w:p>
              </w:tc>
              <w:tc>
                <w:tcPr>
                  <w:tcW w:w="744" w:type="dxa"/>
                  <w:tcBorders>
                    <w:tl2br w:val="nil"/>
                    <w:tr2bl w:val="nil"/>
                  </w:tcBorders>
                  <w:vAlign w:val="center"/>
                </w:tcPr>
                <w:p w14:paraId="1FC32CF5">
                  <w:pPr>
                    <w:pStyle w:val="90"/>
                    <w:rPr>
                      <w:bCs/>
                      <w:spacing w:val="6"/>
                      <w:szCs w:val="21"/>
                    </w:rPr>
                  </w:pPr>
                  <w:r>
                    <w:rPr>
                      <w:rFonts w:hint="eastAsia"/>
                      <w:bCs/>
                      <w:spacing w:val="6"/>
                      <w:szCs w:val="21"/>
                    </w:rPr>
                    <w:t>422</w:t>
                  </w:r>
                  <w:r>
                    <w:rPr>
                      <w:bCs/>
                      <w:spacing w:val="6"/>
                      <w:szCs w:val="21"/>
                    </w:rPr>
                    <w:t>-</w:t>
                  </w:r>
                  <w:r>
                    <w:rPr>
                      <w:rFonts w:hint="eastAsia"/>
                      <w:bCs/>
                      <w:spacing w:val="6"/>
                      <w:szCs w:val="21"/>
                    </w:rPr>
                    <w:t>001</w:t>
                  </w:r>
                  <w:r>
                    <w:rPr>
                      <w:bCs/>
                      <w:spacing w:val="6"/>
                      <w:szCs w:val="21"/>
                    </w:rPr>
                    <w:t>-</w:t>
                  </w:r>
                  <w:r>
                    <w:rPr>
                      <w:rFonts w:hint="eastAsia"/>
                      <w:bCs/>
                      <w:spacing w:val="6"/>
                      <w:szCs w:val="21"/>
                    </w:rPr>
                    <w:t>99</w:t>
                  </w:r>
                </w:p>
              </w:tc>
              <w:tc>
                <w:tcPr>
                  <w:tcW w:w="657" w:type="dxa"/>
                  <w:tcBorders>
                    <w:tl2br w:val="nil"/>
                    <w:tr2bl w:val="nil"/>
                  </w:tcBorders>
                  <w:vAlign w:val="center"/>
                </w:tcPr>
                <w:p w14:paraId="58B00555">
                  <w:pPr>
                    <w:pStyle w:val="90"/>
                  </w:pPr>
                  <w:r>
                    <w:t>一般工业固废</w:t>
                  </w:r>
                </w:p>
              </w:tc>
              <w:tc>
                <w:tcPr>
                  <w:tcW w:w="858" w:type="dxa"/>
                  <w:tcBorders>
                    <w:tl2br w:val="nil"/>
                    <w:tr2bl w:val="nil"/>
                  </w:tcBorders>
                  <w:vAlign w:val="center"/>
                </w:tcPr>
                <w:p w14:paraId="26580031">
                  <w:pPr>
                    <w:pStyle w:val="90"/>
                  </w:pPr>
                  <w:r>
                    <w:t>类比法</w:t>
                  </w:r>
                </w:p>
              </w:tc>
              <w:tc>
                <w:tcPr>
                  <w:tcW w:w="867" w:type="dxa"/>
                  <w:tcBorders>
                    <w:tl2br w:val="nil"/>
                    <w:tr2bl w:val="nil"/>
                  </w:tcBorders>
                  <w:vAlign w:val="center"/>
                </w:tcPr>
                <w:p w14:paraId="0B57A783">
                  <w:pPr>
                    <w:pStyle w:val="90"/>
                  </w:pPr>
                  <w:r>
                    <w:rPr>
                      <w:rFonts w:hint="eastAsia"/>
                    </w:rPr>
                    <w:t>30</w:t>
                  </w:r>
                </w:p>
              </w:tc>
              <w:tc>
                <w:tcPr>
                  <w:tcW w:w="908" w:type="dxa"/>
                  <w:tcBorders>
                    <w:tl2br w:val="nil"/>
                    <w:tr2bl w:val="nil"/>
                  </w:tcBorders>
                  <w:vAlign w:val="center"/>
                </w:tcPr>
                <w:p w14:paraId="2429DACD">
                  <w:pPr>
                    <w:pStyle w:val="90"/>
                  </w:pPr>
                  <w:r>
                    <w:rPr>
                      <w:rFonts w:hint="eastAsia"/>
                    </w:rPr>
                    <w:t>回用于生产</w:t>
                  </w:r>
                </w:p>
              </w:tc>
              <w:tc>
                <w:tcPr>
                  <w:tcW w:w="693" w:type="dxa"/>
                  <w:tcBorders>
                    <w:tl2br w:val="nil"/>
                    <w:tr2bl w:val="nil"/>
                  </w:tcBorders>
                  <w:vAlign w:val="center"/>
                </w:tcPr>
                <w:p w14:paraId="774E04CF">
                  <w:pPr>
                    <w:pStyle w:val="90"/>
                  </w:pPr>
                  <w:r>
                    <w:rPr>
                      <w:rFonts w:hint="eastAsia"/>
                    </w:rPr>
                    <w:t>30</w:t>
                  </w:r>
                </w:p>
              </w:tc>
              <w:tc>
                <w:tcPr>
                  <w:tcW w:w="1120" w:type="dxa"/>
                  <w:tcBorders>
                    <w:tl2br w:val="nil"/>
                    <w:tr2bl w:val="nil"/>
                  </w:tcBorders>
                  <w:vAlign w:val="center"/>
                </w:tcPr>
                <w:p w14:paraId="2FF47BD7">
                  <w:pPr>
                    <w:pStyle w:val="90"/>
                  </w:pPr>
                  <w:r>
                    <w:rPr>
                      <w:rFonts w:hint="eastAsia"/>
                    </w:rPr>
                    <w:t>回用于生产</w:t>
                  </w:r>
                </w:p>
              </w:tc>
            </w:tr>
            <w:tr w14:paraId="3AE4E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vMerge w:val="restart"/>
                  <w:tcBorders>
                    <w:tl2br w:val="nil"/>
                    <w:tr2bl w:val="nil"/>
                  </w:tcBorders>
                  <w:vAlign w:val="center"/>
                </w:tcPr>
                <w:p w14:paraId="464ABB51">
                  <w:pPr>
                    <w:pStyle w:val="90"/>
                  </w:pPr>
                  <w:r>
                    <w:rPr>
                      <w:rFonts w:hint="eastAsia"/>
                    </w:rPr>
                    <w:t>污水沉淀</w:t>
                  </w:r>
                </w:p>
              </w:tc>
              <w:tc>
                <w:tcPr>
                  <w:tcW w:w="750" w:type="dxa"/>
                  <w:vMerge w:val="restart"/>
                  <w:tcBorders>
                    <w:tl2br w:val="nil"/>
                    <w:tr2bl w:val="nil"/>
                  </w:tcBorders>
                  <w:vAlign w:val="center"/>
                </w:tcPr>
                <w:p w14:paraId="7BBFA60D">
                  <w:pPr>
                    <w:pStyle w:val="90"/>
                  </w:pPr>
                  <w:r>
                    <w:rPr>
                      <w:rFonts w:hint="eastAsia"/>
                    </w:rPr>
                    <w:t>污水池</w:t>
                  </w:r>
                </w:p>
              </w:tc>
              <w:tc>
                <w:tcPr>
                  <w:tcW w:w="1224" w:type="dxa"/>
                  <w:tcBorders>
                    <w:tl2br w:val="nil"/>
                    <w:tr2bl w:val="nil"/>
                  </w:tcBorders>
                  <w:vAlign w:val="center"/>
                </w:tcPr>
                <w:p w14:paraId="725FC610">
                  <w:pPr>
                    <w:pStyle w:val="90"/>
                  </w:pPr>
                  <w:r>
                    <w:rPr>
                      <w:rFonts w:hint="eastAsia"/>
                    </w:rPr>
                    <w:t>泥沙及杂质</w:t>
                  </w:r>
                </w:p>
              </w:tc>
              <w:tc>
                <w:tcPr>
                  <w:tcW w:w="744" w:type="dxa"/>
                  <w:tcBorders>
                    <w:tl2br w:val="nil"/>
                    <w:tr2bl w:val="nil"/>
                  </w:tcBorders>
                  <w:vAlign w:val="center"/>
                </w:tcPr>
                <w:p w14:paraId="3610BF0F">
                  <w:pPr>
                    <w:pStyle w:val="90"/>
                    <w:rPr>
                      <w:bCs/>
                      <w:spacing w:val="6"/>
                      <w:szCs w:val="21"/>
                    </w:rPr>
                  </w:pPr>
                  <w:r>
                    <w:rPr>
                      <w:rFonts w:hint="eastAsia"/>
                      <w:bCs/>
                      <w:spacing w:val="6"/>
                      <w:szCs w:val="21"/>
                    </w:rPr>
                    <w:t>422</w:t>
                  </w:r>
                  <w:r>
                    <w:rPr>
                      <w:bCs/>
                      <w:spacing w:val="6"/>
                      <w:szCs w:val="21"/>
                    </w:rPr>
                    <w:t>-</w:t>
                  </w:r>
                  <w:r>
                    <w:rPr>
                      <w:rFonts w:hint="eastAsia"/>
                      <w:bCs/>
                      <w:spacing w:val="6"/>
                      <w:szCs w:val="21"/>
                    </w:rPr>
                    <w:t>001</w:t>
                  </w:r>
                  <w:r>
                    <w:rPr>
                      <w:bCs/>
                      <w:spacing w:val="6"/>
                      <w:szCs w:val="21"/>
                    </w:rPr>
                    <w:t>-</w:t>
                  </w:r>
                  <w:r>
                    <w:rPr>
                      <w:rFonts w:hint="eastAsia"/>
                      <w:bCs/>
                      <w:spacing w:val="6"/>
                      <w:szCs w:val="21"/>
                    </w:rPr>
                    <w:t>99</w:t>
                  </w:r>
                </w:p>
              </w:tc>
              <w:tc>
                <w:tcPr>
                  <w:tcW w:w="657" w:type="dxa"/>
                  <w:tcBorders>
                    <w:tl2br w:val="nil"/>
                    <w:tr2bl w:val="nil"/>
                  </w:tcBorders>
                  <w:vAlign w:val="center"/>
                </w:tcPr>
                <w:p w14:paraId="1222C2DB">
                  <w:pPr>
                    <w:pStyle w:val="90"/>
                  </w:pPr>
                  <w:r>
                    <w:t>一般工业固废</w:t>
                  </w:r>
                </w:p>
              </w:tc>
              <w:tc>
                <w:tcPr>
                  <w:tcW w:w="858" w:type="dxa"/>
                  <w:tcBorders>
                    <w:tl2br w:val="nil"/>
                    <w:tr2bl w:val="nil"/>
                  </w:tcBorders>
                  <w:vAlign w:val="center"/>
                </w:tcPr>
                <w:p w14:paraId="5F77F587">
                  <w:pPr>
                    <w:pStyle w:val="90"/>
                  </w:pPr>
                  <w:r>
                    <w:t>物料衡算法</w:t>
                  </w:r>
                </w:p>
              </w:tc>
              <w:tc>
                <w:tcPr>
                  <w:tcW w:w="867" w:type="dxa"/>
                  <w:tcBorders>
                    <w:tl2br w:val="nil"/>
                    <w:tr2bl w:val="nil"/>
                  </w:tcBorders>
                  <w:vAlign w:val="center"/>
                </w:tcPr>
                <w:p w14:paraId="320B6B2B">
                  <w:pPr>
                    <w:pStyle w:val="90"/>
                  </w:pPr>
                  <w:r>
                    <w:rPr>
                      <w:rFonts w:hint="eastAsia"/>
                    </w:rPr>
                    <w:t>249</w:t>
                  </w:r>
                </w:p>
              </w:tc>
              <w:tc>
                <w:tcPr>
                  <w:tcW w:w="908" w:type="dxa"/>
                  <w:tcBorders>
                    <w:tl2br w:val="nil"/>
                    <w:tr2bl w:val="nil"/>
                  </w:tcBorders>
                  <w:vAlign w:val="center"/>
                </w:tcPr>
                <w:p w14:paraId="1CF97D02">
                  <w:pPr>
                    <w:pStyle w:val="90"/>
                    <w:rPr>
                      <w:rFonts w:hint="default" w:eastAsia="宋体"/>
                      <w:szCs w:val="21"/>
                      <w:lang w:val="en-US" w:eastAsia="zh-CN"/>
                    </w:rPr>
                  </w:pPr>
                  <w:r>
                    <w:rPr>
                      <w:rFonts w:hint="eastAsia"/>
                      <w:szCs w:val="21"/>
                      <w:lang w:val="en-US" w:eastAsia="zh-CN"/>
                    </w:rPr>
                    <w:t>由鸡东县瀚科水务有限公司拉运</w:t>
                  </w:r>
                </w:p>
              </w:tc>
              <w:tc>
                <w:tcPr>
                  <w:tcW w:w="693" w:type="dxa"/>
                  <w:tcBorders>
                    <w:tl2br w:val="nil"/>
                    <w:tr2bl w:val="nil"/>
                  </w:tcBorders>
                  <w:vAlign w:val="center"/>
                </w:tcPr>
                <w:p w14:paraId="2CC39C56">
                  <w:pPr>
                    <w:pStyle w:val="90"/>
                    <w:rPr>
                      <w:szCs w:val="21"/>
                    </w:rPr>
                  </w:pPr>
                  <w:r>
                    <w:rPr>
                      <w:rFonts w:hint="eastAsia"/>
                      <w:szCs w:val="21"/>
                    </w:rPr>
                    <w:t>249</w:t>
                  </w:r>
                </w:p>
              </w:tc>
              <w:tc>
                <w:tcPr>
                  <w:tcW w:w="1120" w:type="dxa"/>
                  <w:tcBorders>
                    <w:tl2br w:val="nil"/>
                    <w:tr2bl w:val="nil"/>
                  </w:tcBorders>
                  <w:vAlign w:val="center"/>
                </w:tcPr>
                <w:p w14:paraId="0BF2FB1E">
                  <w:pPr>
                    <w:pStyle w:val="90"/>
                    <w:rPr>
                      <w:szCs w:val="21"/>
                    </w:rPr>
                  </w:pPr>
                  <w:r>
                    <w:rPr>
                      <w:rFonts w:hint="eastAsia"/>
                      <w:szCs w:val="21"/>
                      <w:lang w:val="en-US" w:eastAsia="zh-CN"/>
                    </w:rPr>
                    <w:t>由鸡东县瀚科水务有限公司拉运</w:t>
                  </w:r>
                </w:p>
              </w:tc>
            </w:tr>
            <w:tr w14:paraId="43880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dxa"/>
                  <w:vMerge w:val="continue"/>
                  <w:tcBorders>
                    <w:tl2br w:val="nil"/>
                    <w:tr2bl w:val="nil"/>
                  </w:tcBorders>
                  <w:vAlign w:val="center"/>
                </w:tcPr>
                <w:p w14:paraId="329F591F">
                  <w:pPr>
                    <w:pStyle w:val="90"/>
                    <w:rPr>
                      <w:rFonts w:hint="eastAsia"/>
                    </w:rPr>
                  </w:pPr>
                </w:p>
              </w:tc>
              <w:tc>
                <w:tcPr>
                  <w:tcW w:w="750" w:type="dxa"/>
                  <w:vMerge w:val="continue"/>
                  <w:tcBorders>
                    <w:tl2br w:val="nil"/>
                    <w:tr2bl w:val="nil"/>
                  </w:tcBorders>
                  <w:vAlign w:val="center"/>
                </w:tcPr>
                <w:p w14:paraId="1EE50E95">
                  <w:pPr>
                    <w:pStyle w:val="90"/>
                    <w:rPr>
                      <w:rFonts w:hint="eastAsia"/>
                    </w:rPr>
                  </w:pPr>
                </w:p>
              </w:tc>
              <w:tc>
                <w:tcPr>
                  <w:tcW w:w="1224" w:type="dxa"/>
                  <w:tcBorders>
                    <w:tl2br w:val="nil"/>
                    <w:tr2bl w:val="nil"/>
                  </w:tcBorders>
                  <w:vAlign w:val="center"/>
                </w:tcPr>
                <w:p w14:paraId="3BF3B02A">
                  <w:pPr>
                    <w:pStyle w:val="90"/>
                    <w:rPr>
                      <w:rFonts w:hint="default" w:eastAsia="宋体"/>
                      <w:color w:val="FF0000"/>
                      <w:lang w:val="en-US" w:eastAsia="zh-CN"/>
                    </w:rPr>
                  </w:pPr>
                  <w:r>
                    <w:rPr>
                      <w:rFonts w:hint="eastAsia"/>
                      <w:color w:val="FF0000"/>
                      <w:lang w:val="en-US" w:eastAsia="zh-CN"/>
                    </w:rPr>
                    <w:t>絮凝剂包装袋</w:t>
                  </w:r>
                </w:p>
              </w:tc>
              <w:tc>
                <w:tcPr>
                  <w:tcW w:w="744" w:type="dxa"/>
                  <w:tcBorders>
                    <w:tl2br w:val="nil"/>
                    <w:tr2bl w:val="nil"/>
                  </w:tcBorders>
                  <w:vAlign w:val="center"/>
                </w:tcPr>
                <w:p w14:paraId="37444076">
                  <w:pPr>
                    <w:pStyle w:val="90"/>
                    <w:rPr>
                      <w:rFonts w:hint="eastAsia"/>
                      <w:bCs/>
                      <w:color w:val="FF0000"/>
                      <w:spacing w:val="6"/>
                      <w:szCs w:val="21"/>
                    </w:rPr>
                  </w:pPr>
                  <w:r>
                    <w:rPr>
                      <w:rFonts w:hint="eastAsia"/>
                      <w:bCs/>
                      <w:color w:val="FF0000"/>
                      <w:spacing w:val="6"/>
                      <w:szCs w:val="21"/>
                    </w:rPr>
                    <w:t>422</w:t>
                  </w:r>
                  <w:r>
                    <w:rPr>
                      <w:bCs/>
                      <w:color w:val="FF0000"/>
                      <w:spacing w:val="6"/>
                      <w:szCs w:val="21"/>
                    </w:rPr>
                    <w:t>-</w:t>
                  </w:r>
                  <w:r>
                    <w:rPr>
                      <w:rFonts w:hint="eastAsia"/>
                      <w:bCs/>
                      <w:color w:val="FF0000"/>
                      <w:spacing w:val="6"/>
                      <w:szCs w:val="21"/>
                    </w:rPr>
                    <w:t>001</w:t>
                  </w:r>
                  <w:r>
                    <w:rPr>
                      <w:bCs/>
                      <w:color w:val="FF0000"/>
                      <w:spacing w:val="6"/>
                      <w:szCs w:val="21"/>
                    </w:rPr>
                    <w:t>-</w:t>
                  </w:r>
                  <w:r>
                    <w:rPr>
                      <w:rFonts w:hint="eastAsia"/>
                      <w:bCs/>
                      <w:color w:val="FF0000"/>
                      <w:spacing w:val="6"/>
                      <w:szCs w:val="21"/>
                    </w:rPr>
                    <w:t>99</w:t>
                  </w:r>
                </w:p>
              </w:tc>
              <w:tc>
                <w:tcPr>
                  <w:tcW w:w="657" w:type="dxa"/>
                  <w:tcBorders>
                    <w:tl2br w:val="nil"/>
                    <w:tr2bl w:val="nil"/>
                  </w:tcBorders>
                  <w:vAlign w:val="center"/>
                </w:tcPr>
                <w:p w14:paraId="3C7A00D0">
                  <w:pPr>
                    <w:pStyle w:val="90"/>
                    <w:rPr>
                      <w:color w:val="FF0000"/>
                    </w:rPr>
                  </w:pPr>
                  <w:r>
                    <w:rPr>
                      <w:color w:val="FF0000"/>
                    </w:rPr>
                    <w:t>一般工业固废</w:t>
                  </w:r>
                </w:p>
              </w:tc>
              <w:tc>
                <w:tcPr>
                  <w:tcW w:w="858" w:type="dxa"/>
                  <w:tcBorders>
                    <w:tl2br w:val="nil"/>
                    <w:tr2bl w:val="nil"/>
                  </w:tcBorders>
                  <w:vAlign w:val="center"/>
                </w:tcPr>
                <w:p w14:paraId="11C0234B">
                  <w:pPr>
                    <w:pStyle w:val="90"/>
                    <w:rPr>
                      <w:rFonts w:hint="eastAsia" w:eastAsia="宋体"/>
                      <w:color w:val="FF0000"/>
                      <w:lang w:val="en-US" w:eastAsia="zh-CN"/>
                    </w:rPr>
                  </w:pPr>
                  <w:r>
                    <w:rPr>
                      <w:rFonts w:hint="eastAsia"/>
                      <w:color w:val="FF0000"/>
                      <w:lang w:val="en-US" w:eastAsia="zh-CN"/>
                    </w:rPr>
                    <w:t>类比法</w:t>
                  </w:r>
                </w:p>
              </w:tc>
              <w:tc>
                <w:tcPr>
                  <w:tcW w:w="867" w:type="dxa"/>
                  <w:tcBorders>
                    <w:tl2br w:val="nil"/>
                    <w:tr2bl w:val="nil"/>
                  </w:tcBorders>
                  <w:vAlign w:val="center"/>
                </w:tcPr>
                <w:p w14:paraId="4473B385">
                  <w:pPr>
                    <w:pStyle w:val="90"/>
                    <w:rPr>
                      <w:rFonts w:hint="default" w:eastAsia="宋体"/>
                      <w:color w:val="FF0000"/>
                      <w:lang w:val="en-US" w:eastAsia="zh-CN"/>
                    </w:rPr>
                  </w:pPr>
                  <w:r>
                    <w:rPr>
                      <w:rFonts w:hint="eastAsia"/>
                      <w:color w:val="FF0000"/>
                      <w:lang w:val="en-US" w:eastAsia="zh-CN"/>
                    </w:rPr>
                    <w:t>0.002</w:t>
                  </w:r>
                </w:p>
              </w:tc>
              <w:tc>
                <w:tcPr>
                  <w:tcW w:w="908" w:type="dxa"/>
                  <w:tcBorders>
                    <w:tl2br w:val="nil"/>
                    <w:tr2bl w:val="nil"/>
                  </w:tcBorders>
                  <w:vAlign w:val="center"/>
                </w:tcPr>
                <w:p w14:paraId="44C39719">
                  <w:pPr>
                    <w:pStyle w:val="90"/>
                    <w:rPr>
                      <w:rFonts w:hint="default" w:eastAsia="宋体"/>
                      <w:color w:val="FF0000"/>
                      <w:szCs w:val="24"/>
                      <w:lang w:val="en-US" w:eastAsia="zh-CN"/>
                    </w:rPr>
                  </w:pPr>
                  <w:r>
                    <w:rPr>
                      <w:rFonts w:hint="eastAsia"/>
                      <w:color w:val="FF0000"/>
                      <w:szCs w:val="24"/>
                      <w:lang w:val="en-US" w:eastAsia="zh-CN"/>
                    </w:rPr>
                    <w:t>统一收集后外售废品收购站</w:t>
                  </w:r>
                </w:p>
              </w:tc>
              <w:tc>
                <w:tcPr>
                  <w:tcW w:w="693" w:type="dxa"/>
                  <w:tcBorders>
                    <w:tl2br w:val="nil"/>
                    <w:tr2bl w:val="nil"/>
                  </w:tcBorders>
                  <w:vAlign w:val="center"/>
                </w:tcPr>
                <w:p w14:paraId="55FC9FEC">
                  <w:pPr>
                    <w:pStyle w:val="90"/>
                    <w:rPr>
                      <w:rFonts w:hint="default" w:eastAsia="宋体"/>
                      <w:color w:val="FF0000"/>
                      <w:szCs w:val="21"/>
                      <w:lang w:val="en-US" w:eastAsia="zh-CN"/>
                    </w:rPr>
                  </w:pPr>
                  <w:r>
                    <w:rPr>
                      <w:rFonts w:hint="eastAsia"/>
                      <w:color w:val="FF0000"/>
                      <w:szCs w:val="21"/>
                      <w:lang w:val="en-US" w:eastAsia="zh-CN"/>
                    </w:rPr>
                    <w:t>0.002</w:t>
                  </w:r>
                </w:p>
              </w:tc>
              <w:tc>
                <w:tcPr>
                  <w:tcW w:w="1120" w:type="dxa"/>
                  <w:tcBorders>
                    <w:tl2br w:val="nil"/>
                    <w:tr2bl w:val="nil"/>
                  </w:tcBorders>
                  <w:vAlign w:val="center"/>
                </w:tcPr>
                <w:p w14:paraId="262AACB7">
                  <w:pPr>
                    <w:pStyle w:val="90"/>
                    <w:rPr>
                      <w:rFonts w:hint="eastAsia"/>
                      <w:color w:val="FF0000"/>
                      <w:szCs w:val="24"/>
                    </w:rPr>
                  </w:pPr>
                  <w:r>
                    <w:rPr>
                      <w:rFonts w:hint="eastAsia"/>
                      <w:color w:val="FF0000"/>
                      <w:szCs w:val="24"/>
                      <w:lang w:val="en-US" w:eastAsia="zh-CN"/>
                    </w:rPr>
                    <w:t>统一收集后外售废品收购站</w:t>
                  </w:r>
                </w:p>
              </w:tc>
            </w:tr>
            <w:tr w14:paraId="2CCBB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vMerge w:val="restart"/>
                  <w:tcBorders>
                    <w:tl2br w:val="nil"/>
                    <w:tr2bl w:val="nil"/>
                  </w:tcBorders>
                  <w:vAlign w:val="center"/>
                </w:tcPr>
                <w:p w14:paraId="2A19DAAA">
                  <w:pPr>
                    <w:pStyle w:val="90"/>
                  </w:pPr>
                  <w:r>
                    <w:t>设备检修</w:t>
                  </w:r>
                </w:p>
              </w:tc>
              <w:tc>
                <w:tcPr>
                  <w:tcW w:w="750" w:type="dxa"/>
                  <w:vMerge w:val="restart"/>
                  <w:tcBorders>
                    <w:tl2br w:val="nil"/>
                    <w:tr2bl w:val="nil"/>
                  </w:tcBorders>
                  <w:vAlign w:val="center"/>
                </w:tcPr>
                <w:p w14:paraId="23180D5B">
                  <w:pPr>
                    <w:pStyle w:val="90"/>
                  </w:pPr>
                  <w:r>
                    <w:t>生产设备</w:t>
                  </w:r>
                </w:p>
              </w:tc>
              <w:tc>
                <w:tcPr>
                  <w:tcW w:w="1224" w:type="dxa"/>
                  <w:tcBorders>
                    <w:tl2br w:val="nil"/>
                    <w:tr2bl w:val="nil"/>
                  </w:tcBorders>
                  <w:vAlign w:val="center"/>
                </w:tcPr>
                <w:p w14:paraId="74A62F4F">
                  <w:pPr>
                    <w:pStyle w:val="90"/>
                  </w:pPr>
                  <w:r>
                    <w:t>废润滑油</w:t>
                  </w:r>
                </w:p>
              </w:tc>
              <w:tc>
                <w:tcPr>
                  <w:tcW w:w="744" w:type="dxa"/>
                  <w:tcBorders>
                    <w:tl2br w:val="nil"/>
                    <w:tr2bl w:val="nil"/>
                  </w:tcBorders>
                  <w:vAlign w:val="center"/>
                </w:tcPr>
                <w:p w14:paraId="0D48B34C">
                  <w:pPr>
                    <w:pStyle w:val="90"/>
                  </w:pPr>
                  <w:r>
                    <w:rPr>
                      <w:sz w:val="18"/>
                      <w:szCs w:val="18"/>
                    </w:rPr>
                    <w:t>900-214-08</w:t>
                  </w:r>
                </w:p>
              </w:tc>
              <w:tc>
                <w:tcPr>
                  <w:tcW w:w="657" w:type="dxa"/>
                  <w:vMerge w:val="restart"/>
                  <w:tcBorders>
                    <w:tl2br w:val="nil"/>
                    <w:tr2bl w:val="nil"/>
                  </w:tcBorders>
                  <w:vAlign w:val="center"/>
                </w:tcPr>
                <w:p w14:paraId="2DC776C1">
                  <w:pPr>
                    <w:pStyle w:val="90"/>
                  </w:pPr>
                  <w:r>
                    <w:t>危险废物</w:t>
                  </w:r>
                </w:p>
              </w:tc>
              <w:tc>
                <w:tcPr>
                  <w:tcW w:w="858" w:type="dxa"/>
                  <w:vMerge w:val="restart"/>
                  <w:tcBorders>
                    <w:tl2br w:val="nil"/>
                    <w:tr2bl w:val="nil"/>
                  </w:tcBorders>
                  <w:vAlign w:val="center"/>
                </w:tcPr>
                <w:p w14:paraId="2168FA7C">
                  <w:pPr>
                    <w:pStyle w:val="90"/>
                  </w:pPr>
                  <w:r>
                    <w:t>类比法</w:t>
                  </w:r>
                </w:p>
              </w:tc>
              <w:tc>
                <w:tcPr>
                  <w:tcW w:w="867" w:type="dxa"/>
                  <w:tcBorders>
                    <w:tl2br w:val="nil"/>
                    <w:tr2bl w:val="nil"/>
                  </w:tcBorders>
                  <w:vAlign w:val="center"/>
                </w:tcPr>
                <w:p w14:paraId="7CA4636D">
                  <w:pPr>
                    <w:pStyle w:val="90"/>
                  </w:pPr>
                  <w:r>
                    <w:t>0</w:t>
                  </w:r>
                  <w:r>
                    <w:rPr>
                      <w:rFonts w:hint="eastAsia"/>
                    </w:rPr>
                    <w:t>.05</w:t>
                  </w:r>
                </w:p>
              </w:tc>
              <w:tc>
                <w:tcPr>
                  <w:tcW w:w="908" w:type="dxa"/>
                  <w:vMerge w:val="restart"/>
                  <w:tcBorders>
                    <w:tl2br w:val="nil"/>
                    <w:tr2bl w:val="nil"/>
                  </w:tcBorders>
                  <w:vAlign w:val="center"/>
                </w:tcPr>
                <w:p w14:paraId="1AF29E0C">
                  <w:pPr>
                    <w:pStyle w:val="90"/>
                    <w:rPr>
                      <w:szCs w:val="21"/>
                    </w:rPr>
                  </w:pPr>
                  <w:r>
                    <w:rPr>
                      <w:szCs w:val="21"/>
                    </w:rPr>
                    <w:t>暂存在</w:t>
                  </w:r>
                  <w:r>
                    <w:rPr>
                      <w:rFonts w:hint="eastAsia"/>
                      <w:szCs w:val="21"/>
                    </w:rPr>
                    <w:t>危险废物贮存点</w:t>
                  </w:r>
                  <w:r>
                    <w:rPr>
                      <w:szCs w:val="21"/>
                    </w:rPr>
                    <w:t>，委托有资质单位处置</w:t>
                  </w:r>
                </w:p>
              </w:tc>
              <w:tc>
                <w:tcPr>
                  <w:tcW w:w="693" w:type="dxa"/>
                  <w:tcBorders>
                    <w:tl2br w:val="nil"/>
                    <w:tr2bl w:val="nil"/>
                  </w:tcBorders>
                  <w:vAlign w:val="center"/>
                </w:tcPr>
                <w:p w14:paraId="5DFFDA6F">
                  <w:pPr>
                    <w:pStyle w:val="90"/>
                    <w:rPr>
                      <w:szCs w:val="21"/>
                    </w:rPr>
                  </w:pPr>
                  <w:r>
                    <w:rPr>
                      <w:szCs w:val="21"/>
                    </w:rPr>
                    <w:t>0</w:t>
                  </w:r>
                  <w:r>
                    <w:rPr>
                      <w:rFonts w:hint="eastAsia"/>
                      <w:szCs w:val="21"/>
                    </w:rPr>
                    <w:t>.05</w:t>
                  </w:r>
                </w:p>
              </w:tc>
              <w:tc>
                <w:tcPr>
                  <w:tcW w:w="1120" w:type="dxa"/>
                  <w:vMerge w:val="restart"/>
                  <w:tcBorders>
                    <w:tl2br w:val="nil"/>
                    <w:tr2bl w:val="nil"/>
                  </w:tcBorders>
                  <w:vAlign w:val="center"/>
                </w:tcPr>
                <w:p w14:paraId="510E2678">
                  <w:pPr>
                    <w:pStyle w:val="90"/>
                    <w:rPr>
                      <w:szCs w:val="21"/>
                    </w:rPr>
                  </w:pPr>
                  <w:r>
                    <w:rPr>
                      <w:szCs w:val="21"/>
                    </w:rPr>
                    <w:t>暂存在</w:t>
                  </w:r>
                  <w:r>
                    <w:rPr>
                      <w:rFonts w:hint="eastAsia"/>
                      <w:szCs w:val="21"/>
                    </w:rPr>
                    <w:t>危险废物贮存点</w:t>
                  </w:r>
                  <w:r>
                    <w:rPr>
                      <w:szCs w:val="21"/>
                    </w:rPr>
                    <w:t>，委托有资质单位处置</w:t>
                  </w:r>
                </w:p>
              </w:tc>
            </w:tr>
            <w:tr w14:paraId="0A616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vMerge w:val="continue"/>
                  <w:tcBorders>
                    <w:tl2br w:val="nil"/>
                    <w:tr2bl w:val="nil"/>
                  </w:tcBorders>
                  <w:vAlign w:val="center"/>
                </w:tcPr>
                <w:p w14:paraId="7A9FC270">
                  <w:pPr>
                    <w:pStyle w:val="90"/>
                  </w:pPr>
                </w:p>
              </w:tc>
              <w:tc>
                <w:tcPr>
                  <w:tcW w:w="750" w:type="dxa"/>
                  <w:vMerge w:val="continue"/>
                  <w:tcBorders>
                    <w:tl2br w:val="nil"/>
                    <w:tr2bl w:val="nil"/>
                  </w:tcBorders>
                  <w:vAlign w:val="center"/>
                </w:tcPr>
                <w:p w14:paraId="0D178482">
                  <w:pPr>
                    <w:pStyle w:val="90"/>
                  </w:pPr>
                </w:p>
              </w:tc>
              <w:tc>
                <w:tcPr>
                  <w:tcW w:w="1224" w:type="dxa"/>
                  <w:tcBorders>
                    <w:tl2br w:val="nil"/>
                    <w:tr2bl w:val="nil"/>
                  </w:tcBorders>
                  <w:vAlign w:val="center"/>
                </w:tcPr>
                <w:p w14:paraId="1CAC25A2">
                  <w:pPr>
                    <w:pStyle w:val="90"/>
                  </w:pPr>
                  <w:r>
                    <w:t>含油抹布、含油零部件及</w:t>
                  </w:r>
                  <w:r>
                    <w:rPr>
                      <w:rFonts w:hint="eastAsia"/>
                    </w:rPr>
                    <w:t>废润滑油桶</w:t>
                  </w:r>
                </w:p>
              </w:tc>
              <w:tc>
                <w:tcPr>
                  <w:tcW w:w="744" w:type="dxa"/>
                  <w:tcBorders>
                    <w:tl2br w:val="nil"/>
                    <w:tr2bl w:val="nil"/>
                  </w:tcBorders>
                  <w:vAlign w:val="center"/>
                </w:tcPr>
                <w:p w14:paraId="482A56BC">
                  <w:pPr>
                    <w:pStyle w:val="90"/>
                    <w:rPr>
                      <w:sz w:val="18"/>
                      <w:szCs w:val="18"/>
                    </w:rPr>
                  </w:pPr>
                  <w:r>
                    <w:rPr>
                      <w:sz w:val="18"/>
                      <w:szCs w:val="18"/>
                    </w:rPr>
                    <w:t>900-</w:t>
                  </w:r>
                  <w:r>
                    <w:rPr>
                      <w:rFonts w:hint="eastAsia"/>
                      <w:sz w:val="18"/>
                      <w:szCs w:val="18"/>
                    </w:rPr>
                    <w:t>041-49</w:t>
                  </w:r>
                </w:p>
              </w:tc>
              <w:tc>
                <w:tcPr>
                  <w:tcW w:w="657" w:type="dxa"/>
                  <w:vMerge w:val="continue"/>
                  <w:tcBorders>
                    <w:tl2br w:val="nil"/>
                    <w:tr2bl w:val="nil"/>
                  </w:tcBorders>
                  <w:vAlign w:val="center"/>
                </w:tcPr>
                <w:p w14:paraId="46C54957">
                  <w:pPr>
                    <w:pStyle w:val="90"/>
                  </w:pPr>
                </w:p>
              </w:tc>
              <w:tc>
                <w:tcPr>
                  <w:tcW w:w="858" w:type="dxa"/>
                  <w:vMerge w:val="continue"/>
                  <w:tcBorders>
                    <w:tl2br w:val="nil"/>
                    <w:tr2bl w:val="nil"/>
                  </w:tcBorders>
                  <w:vAlign w:val="center"/>
                </w:tcPr>
                <w:p w14:paraId="20965AA3">
                  <w:pPr>
                    <w:pStyle w:val="90"/>
                  </w:pPr>
                </w:p>
              </w:tc>
              <w:tc>
                <w:tcPr>
                  <w:tcW w:w="867" w:type="dxa"/>
                  <w:tcBorders>
                    <w:tl2br w:val="nil"/>
                    <w:tr2bl w:val="nil"/>
                  </w:tcBorders>
                  <w:vAlign w:val="center"/>
                </w:tcPr>
                <w:p w14:paraId="37526FF1">
                  <w:pPr>
                    <w:pStyle w:val="90"/>
                  </w:pPr>
                  <w:r>
                    <w:rPr>
                      <w:rFonts w:hint="eastAsia"/>
                    </w:rPr>
                    <w:t>0.1</w:t>
                  </w:r>
                </w:p>
              </w:tc>
              <w:tc>
                <w:tcPr>
                  <w:tcW w:w="908" w:type="dxa"/>
                  <w:vMerge w:val="continue"/>
                  <w:tcBorders>
                    <w:tl2br w:val="nil"/>
                    <w:tr2bl w:val="nil"/>
                  </w:tcBorders>
                  <w:vAlign w:val="center"/>
                </w:tcPr>
                <w:p w14:paraId="67FEFBB7">
                  <w:pPr>
                    <w:pStyle w:val="90"/>
                    <w:rPr>
                      <w:szCs w:val="21"/>
                    </w:rPr>
                  </w:pPr>
                </w:p>
              </w:tc>
              <w:tc>
                <w:tcPr>
                  <w:tcW w:w="693" w:type="dxa"/>
                  <w:tcBorders>
                    <w:tl2br w:val="nil"/>
                    <w:tr2bl w:val="nil"/>
                  </w:tcBorders>
                  <w:vAlign w:val="center"/>
                </w:tcPr>
                <w:p w14:paraId="1AB0DADD">
                  <w:pPr>
                    <w:pStyle w:val="90"/>
                    <w:rPr>
                      <w:szCs w:val="21"/>
                    </w:rPr>
                  </w:pPr>
                  <w:r>
                    <w:rPr>
                      <w:rFonts w:hint="eastAsia"/>
                      <w:szCs w:val="21"/>
                    </w:rPr>
                    <w:t>0.1</w:t>
                  </w:r>
                </w:p>
              </w:tc>
              <w:tc>
                <w:tcPr>
                  <w:tcW w:w="1120" w:type="dxa"/>
                  <w:vMerge w:val="continue"/>
                  <w:tcBorders>
                    <w:tl2br w:val="nil"/>
                    <w:tr2bl w:val="nil"/>
                  </w:tcBorders>
                  <w:vAlign w:val="center"/>
                </w:tcPr>
                <w:p w14:paraId="050B08AE">
                  <w:pPr>
                    <w:pStyle w:val="90"/>
                    <w:rPr>
                      <w:szCs w:val="21"/>
                    </w:rPr>
                  </w:pPr>
                </w:p>
              </w:tc>
            </w:tr>
            <w:tr w14:paraId="0B050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dxa"/>
                  <w:tcBorders>
                    <w:tl2br w:val="nil"/>
                    <w:tr2bl w:val="nil"/>
                  </w:tcBorders>
                  <w:vAlign w:val="center"/>
                </w:tcPr>
                <w:p w14:paraId="7630D589">
                  <w:pPr>
                    <w:pStyle w:val="90"/>
                  </w:pPr>
                  <w:r>
                    <w:t>职工</w:t>
                  </w:r>
                </w:p>
              </w:tc>
              <w:tc>
                <w:tcPr>
                  <w:tcW w:w="750" w:type="dxa"/>
                  <w:tcBorders>
                    <w:tl2br w:val="nil"/>
                    <w:tr2bl w:val="nil"/>
                  </w:tcBorders>
                  <w:vAlign w:val="center"/>
                </w:tcPr>
                <w:p w14:paraId="76CC1049">
                  <w:pPr>
                    <w:pStyle w:val="90"/>
                  </w:pPr>
                  <w:r>
                    <w:rPr>
                      <w:rFonts w:hint="eastAsia"/>
                    </w:rPr>
                    <w:t>工作</w:t>
                  </w:r>
                </w:p>
              </w:tc>
              <w:tc>
                <w:tcPr>
                  <w:tcW w:w="1224" w:type="dxa"/>
                  <w:tcBorders>
                    <w:tl2br w:val="nil"/>
                    <w:tr2bl w:val="nil"/>
                  </w:tcBorders>
                  <w:vAlign w:val="center"/>
                </w:tcPr>
                <w:p w14:paraId="24897CC5">
                  <w:pPr>
                    <w:pStyle w:val="90"/>
                  </w:pPr>
                  <w:r>
                    <w:t>生活垃圾</w:t>
                  </w:r>
                </w:p>
              </w:tc>
              <w:tc>
                <w:tcPr>
                  <w:tcW w:w="744" w:type="dxa"/>
                  <w:tcBorders>
                    <w:tl2br w:val="nil"/>
                    <w:tr2bl w:val="nil"/>
                  </w:tcBorders>
                  <w:vAlign w:val="center"/>
                </w:tcPr>
                <w:p w14:paraId="56C4D4B3">
                  <w:pPr>
                    <w:pStyle w:val="90"/>
                  </w:pPr>
                  <w:r>
                    <w:rPr>
                      <w:rFonts w:hint="eastAsia"/>
                    </w:rPr>
                    <w:t>/</w:t>
                  </w:r>
                </w:p>
              </w:tc>
              <w:tc>
                <w:tcPr>
                  <w:tcW w:w="657" w:type="dxa"/>
                  <w:tcBorders>
                    <w:tl2br w:val="nil"/>
                    <w:tr2bl w:val="nil"/>
                  </w:tcBorders>
                  <w:vAlign w:val="center"/>
                </w:tcPr>
                <w:p w14:paraId="248B073C">
                  <w:pPr>
                    <w:pStyle w:val="90"/>
                  </w:pPr>
                  <w:r>
                    <w:t>生活垃圾</w:t>
                  </w:r>
                </w:p>
              </w:tc>
              <w:tc>
                <w:tcPr>
                  <w:tcW w:w="858" w:type="dxa"/>
                  <w:tcBorders>
                    <w:tl2br w:val="nil"/>
                    <w:tr2bl w:val="nil"/>
                  </w:tcBorders>
                  <w:vAlign w:val="center"/>
                </w:tcPr>
                <w:p w14:paraId="0A09374B">
                  <w:pPr>
                    <w:pStyle w:val="90"/>
                  </w:pPr>
                  <w:r>
                    <w:t>产污系数法</w:t>
                  </w:r>
                </w:p>
              </w:tc>
              <w:tc>
                <w:tcPr>
                  <w:tcW w:w="867" w:type="dxa"/>
                  <w:tcBorders>
                    <w:tl2br w:val="nil"/>
                    <w:tr2bl w:val="nil"/>
                  </w:tcBorders>
                  <w:vAlign w:val="center"/>
                </w:tcPr>
                <w:p w14:paraId="47668C97">
                  <w:pPr>
                    <w:pStyle w:val="90"/>
                  </w:pPr>
                  <w:r>
                    <w:rPr>
                      <w:rFonts w:hint="eastAsia"/>
                    </w:rPr>
                    <w:t>1.2</w:t>
                  </w:r>
                </w:p>
              </w:tc>
              <w:tc>
                <w:tcPr>
                  <w:tcW w:w="908" w:type="dxa"/>
                  <w:tcBorders>
                    <w:tl2br w:val="nil"/>
                    <w:tr2bl w:val="nil"/>
                  </w:tcBorders>
                  <w:vAlign w:val="center"/>
                </w:tcPr>
                <w:p w14:paraId="5B1BFD97">
                  <w:pPr>
                    <w:pStyle w:val="90"/>
                    <w:rPr>
                      <w:szCs w:val="21"/>
                    </w:rPr>
                  </w:pPr>
                  <w:r>
                    <w:rPr>
                      <w:szCs w:val="21"/>
                    </w:rPr>
                    <w:t>由环卫部门统一处置</w:t>
                  </w:r>
                </w:p>
              </w:tc>
              <w:tc>
                <w:tcPr>
                  <w:tcW w:w="693" w:type="dxa"/>
                  <w:tcBorders>
                    <w:tl2br w:val="nil"/>
                    <w:tr2bl w:val="nil"/>
                  </w:tcBorders>
                  <w:vAlign w:val="center"/>
                </w:tcPr>
                <w:p w14:paraId="6ED30E5A">
                  <w:pPr>
                    <w:pStyle w:val="90"/>
                    <w:rPr>
                      <w:szCs w:val="21"/>
                    </w:rPr>
                  </w:pPr>
                  <w:r>
                    <w:rPr>
                      <w:rFonts w:hint="eastAsia"/>
                      <w:szCs w:val="21"/>
                    </w:rPr>
                    <w:t>1.2</w:t>
                  </w:r>
                </w:p>
              </w:tc>
              <w:tc>
                <w:tcPr>
                  <w:tcW w:w="1120" w:type="dxa"/>
                  <w:tcBorders>
                    <w:tl2br w:val="nil"/>
                    <w:tr2bl w:val="nil"/>
                  </w:tcBorders>
                  <w:vAlign w:val="center"/>
                </w:tcPr>
                <w:p w14:paraId="1B3F5FDA">
                  <w:pPr>
                    <w:pStyle w:val="90"/>
                    <w:rPr>
                      <w:szCs w:val="21"/>
                    </w:rPr>
                  </w:pPr>
                  <w:r>
                    <w:rPr>
                      <w:szCs w:val="21"/>
                    </w:rPr>
                    <w:t>由环卫部门统一处置</w:t>
                  </w:r>
                </w:p>
              </w:tc>
            </w:tr>
          </w:tbl>
          <w:p w14:paraId="213F0F30">
            <w:pPr>
              <w:pStyle w:val="103"/>
            </w:pPr>
            <w:r>
              <w:rPr>
                <w:color w:val="FF0000"/>
              </w:rPr>
              <w:t>表4-</w:t>
            </w:r>
            <w:r>
              <w:rPr>
                <w:rFonts w:hint="eastAsia"/>
                <w:color w:val="FF0000"/>
                <w:lang w:eastAsia="zh"/>
                <w:woUserID w:val="1"/>
              </w:rPr>
              <w:t>6</w:t>
            </w:r>
            <w:r>
              <w:t xml:space="preserve">  危险废物汇总表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89"/>
              <w:gridCol w:w="720"/>
              <w:gridCol w:w="765"/>
              <w:gridCol w:w="645"/>
              <w:gridCol w:w="795"/>
              <w:gridCol w:w="330"/>
              <w:gridCol w:w="660"/>
              <w:gridCol w:w="600"/>
              <w:gridCol w:w="585"/>
              <w:gridCol w:w="645"/>
              <w:gridCol w:w="1030"/>
            </w:tblGrid>
            <w:tr w14:paraId="36AC5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2" w:type="dxa"/>
                  <w:tcBorders>
                    <w:top w:val="single" w:color="auto" w:sz="12" w:space="0"/>
                    <w:left w:val="nil"/>
                    <w:bottom w:val="single" w:color="auto" w:sz="4" w:space="0"/>
                    <w:right w:val="single" w:color="auto" w:sz="4" w:space="0"/>
                  </w:tcBorders>
                  <w:vAlign w:val="center"/>
                </w:tcPr>
                <w:p w14:paraId="4AA9ADB7">
                  <w:pPr>
                    <w:topLinePunct/>
                    <w:adjustRightInd w:val="0"/>
                    <w:snapToGrid w:val="0"/>
                    <w:jc w:val="center"/>
                    <w:rPr>
                      <w:kern w:val="0"/>
                      <w:szCs w:val="21"/>
                    </w:rPr>
                  </w:pPr>
                  <w:r>
                    <w:rPr>
                      <w:kern w:val="0"/>
                      <w:szCs w:val="21"/>
                    </w:rPr>
                    <w:t>序号</w:t>
                  </w:r>
                </w:p>
              </w:tc>
              <w:tc>
                <w:tcPr>
                  <w:tcW w:w="1089" w:type="dxa"/>
                  <w:tcBorders>
                    <w:top w:val="single" w:color="auto" w:sz="12" w:space="0"/>
                    <w:left w:val="single" w:color="auto" w:sz="4" w:space="0"/>
                    <w:bottom w:val="single" w:color="auto" w:sz="4" w:space="0"/>
                    <w:right w:val="single" w:color="auto" w:sz="4" w:space="0"/>
                  </w:tcBorders>
                  <w:vAlign w:val="center"/>
                </w:tcPr>
                <w:p w14:paraId="38F081CD">
                  <w:pPr>
                    <w:topLinePunct/>
                    <w:adjustRightInd w:val="0"/>
                    <w:snapToGrid w:val="0"/>
                    <w:jc w:val="center"/>
                    <w:rPr>
                      <w:kern w:val="0"/>
                      <w:szCs w:val="21"/>
                    </w:rPr>
                  </w:pPr>
                  <w:r>
                    <w:rPr>
                      <w:kern w:val="0"/>
                      <w:szCs w:val="21"/>
                    </w:rPr>
                    <w:t>危险废物名称</w:t>
                  </w:r>
                </w:p>
              </w:tc>
              <w:tc>
                <w:tcPr>
                  <w:tcW w:w="720" w:type="dxa"/>
                  <w:tcBorders>
                    <w:top w:val="single" w:color="auto" w:sz="12" w:space="0"/>
                    <w:left w:val="single" w:color="auto" w:sz="4" w:space="0"/>
                    <w:bottom w:val="single" w:color="auto" w:sz="4" w:space="0"/>
                    <w:right w:val="single" w:color="auto" w:sz="4" w:space="0"/>
                  </w:tcBorders>
                  <w:vAlign w:val="center"/>
                </w:tcPr>
                <w:p w14:paraId="6F89EE58">
                  <w:pPr>
                    <w:topLinePunct/>
                    <w:adjustRightInd w:val="0"/>
                    <w:snapToGrid w:val="0"/>
                    <w:jc w:val="center"/>
                    <w:rPr>
                      <w:kern w:val="0"/>
                      <w:szCs w:val="21"/>
                    </w:rPr>
                  </w:pPr>
                  <w:r>
                    <w:rPr>
                      <w:kern w:val="0"/>
                      <w:szCs w:val="21"/>
                    </w:rPr>
                    <w:t>危险废物类别</w:t>
                  </w:r>
                </w:p>
              </w:tc>
              <w:tc>
                <w:tcPr>
                  <w:tcW w:w="765" w:type="dxa"/>
                  <w:tcBorders>
                    <w:top w:val="single" w:color="auto" w:sz="12" w:space="0"/>
                    <w:left w:val="single" w:color="auto" w:sz="4" w:space="0"/>
                    <w:bottom w:val="single" w:color="auto" w:sz="4" w:space="0"/>
                    <w:right w:val="single" w:color="auto" w:sz="4" w:space="0"/>
                  </w:tcBorders>
                  <w:vAlign w:val="center"/>
                </w:tcPr>
                <w:p w14:paraId="060BE6C2">
                  <w:pPr>
                    <w:topLinePunct/>
                    <w:adjustRightInd w:val="0"/>
                    <w:snapToGrid w:val="0"/>
                    <w:jc w:val="center"/>
                    <w:rPr>
                      <w:kern w:val="0"/>
                      <w:szCs w:val="21"/>
                    </w:rPr>
                  </w:pPr>
                  <w:r>
                    <w:rPr>
                      <w:kern w:val="0"/>
                      <w:szCs w:val="21"/>
                    </w:rPr>
                    <w:t>危险废物代码</w:t>
                  </w:r>
                </w:p>
              </w:tc>
              <w:tc>
                <w:tcPr>
                  <w:tcW w:w="645" w:type="dxa"/>
                  <w:tcBorders>
                    <w:top w:val="single" w:color="auto" w:sz="12" w:space="0"/>
                    <w:left w:val="single" w:color="auto" w:sz="4" w:space="0"/>
                    <w:bottom w:val="single" w:color="auto" w:sz="4" w:space="0"/>
                    <w:right w:val="single" w:color="auto" w:sz="4" w:space="0"/>
                  </w:tcBorders>
                  <w:vAlign w:val="center"/>
                </w:tcPr>
                <w:p w14:paraId="499389B3">
                  <w:pPr>
                    <w:topLinePunct/>
                    <w:adjustRightInd w:val="0"/>
                    <w:snapToGrid w:val="0"/>
                    <w:jc w:val="center"/>
                    <w:rPr>
                      <w:kern w:val="0"/>
                      <w:szCs w:val="21"/>
                    </w:rPr>
                  </w:pPr>
                  <w:r>
                    <w:rPr>
                      <w:kern w:val="0"/>
                      <w:szCs w:val="21"/>
                    </w:rPr>
                    <w:t>产生量</w:t>
                  </w:r>
                </w:p>
                <w:p w14:paraId="0DC37A71">
                  <w:pPr>
                    <w:topLinePunct/>
                    <w:adjustRightInd w:val="0"/>
                    <w:snapToGrid w:val="0"/>
                    <w:jc w:val="center"/>
                    <w:rPr>
                      <w:kern w:val="0"/>
                      <w:szCs w:val="21"/>
                    </w:rPr>
                  </w:pPr>
                  <w:r>
                    <w:rPr>
                      <w:rFonts w:hint="eastAsia"/>
                      <w:kern w:val="0"/>
                      <w:szCs w:val="21"/>
                    </w:rPr>
                    <w:t>(</w:t>
                  </w:r>
                  <w:r>
                    <w:rPr>
                      <w:kern w:val="0"/>
                      <w:szCs w:val="21"/>
                    </w:rPr>
                    <w:t>t/a</w:t>
                  </w:r>
                  <w:r>
                    <w:rPr>
                      <w:rFonts w:hint="eastAsia"/>
                      <w:kern w:val="0"/>
                      <w:szCs w:val="21"/>
                    </w:rPr>
                    <w:t>)</w:t>
                  </w:r>
                </w:p>
              </w:tc>
              <w:tc>
                <w:tcPr>
                  <w:tcW w:w="795" w:type="dxa"/>
                  <w:tcBorders>
                    <w:top w:val="single" w:color="auto" w:sz="12" w:space="0"/>
                    <w:left w:val="single" w:color="auto" w:sz="4" w:space="0"/>
                    <w:bottom w:val="single" w:color="auto" w:sz="4" w:space="0"/>
                    <w:right w:val="single" w:color="auto" w:sz="4" w:space="0"/>
                  </w:tcBorders>
                  <w:vAlign w:val="center"/>
                </w:tcPr>
                <w:p w14:paraId="38B48B77">
                  <w:pPr>
                    <w:topLinePunct/>
                    <w:adjustRightInd w:val="0"/>
                    <w:snapToGrid w:val="0"/>
                    <w:jc w:val="center"/>
                    <w:rPr>
                      <w:kern w:val="0"/>
                      <w:szCs w:val="21"/>
                    </w:rPr>
                  </w:pPr>
                  <w:r>
                    <w:rPr>
                      <w:kern w:val="0"/>
                      <w:szCs w:val="21"/>
                    </w:rPr>
                    <w:t>产生工序及装置</w:t>
                  </w:r>
                </w:p>
              </w:tc>
              <w:tc>
                <w:tcPr>
                  <w:tcW w:w="330" w:type="dxa"/>
                  <w:tcBorders>
                    <w:top w:val="single" w:color="auto" w:sz="12" w:space="0"/>
                    <w:left w:val="single" w:color="auto" w:sz="4" w:space="0"/>
                    <w:bottom w:val="single" w:color="auto" w:sz="4" w:space="0"/>
                    <w:right w:val="single" w:color="auto" w:sz="4" w:space="0"/>
                  </w:tcBorders>
                  <w:vAlign w:val="center"/>
                </w:tcPr>
                <w:p w14:paraId="64FC90DC">
                  <w:pPr>
                    <w:topLinePunct/>
                    <w:adjustRightInd w:val="0"/>
                    <w:snapToGrid w:val="0"/>
                    <w:jc w:val="center"/>
                    <w:rPr>
                      <w:kern w:val="0"/>
                      <w:szCs w:val="21"/>
                    </w:rPr>
                  </w:pPr>
                  <w:r>
                    <w:rPr>
                      <w:kern w:val="0"/>
                      <w:szCs w:val="21"/>
                    </w:rPr>
                    <w:t>形态</w:t>
                  </w:r>
                </w:p>
              </w:tc>
              <w:tc>
                <w:tcPr>
                  <w:tcW w:w="660" w:type="dxa"/>
                  <w:tcBorders>
                    <w:top w:val="single" w:color="auto" w:sz="12" w:space="0"/>
                    <w:left w:val="single" w:color="auto" w:sz="4" w:space="0"/>
                    <w:bottom w:val="single" w:color="auto" w:sz="4" w:space="0"/>
                    <w:right w:val="single" w:color="auto" w:sz="4" w:space="0"/>
                  </w:tcBorders>
                  <w:vAlign w:val="center"/>
                </w:tcPr>
                <w:p w14:paraId="09712E0F">
                  <w:pPr>
                    <w:topLinePunct/>
                    <w:adjustRightInd w:val="0"/>
                    <w:snapToGrid w:val="0"/>
                    <w:jc w:val="center"/>
                    <w:rPr>
                      <w:kern w:val="0"/>
                      <w:szCs w:val="21"/>
                    </w:rPr>
                  </w:pPr>
                  <w:r>
                    <w:rPr>
                      <w:kern w:val="0"/>
                      <w:szCs w:val="21"/>
                    </w:rPr>
                    <w:t>主要</w:t>
                  </w:r>
                </w:p>
                <w:p w14:paraId="2A9FF5E6">
                  <w:pPr>
                    <w:topLinePunct/>
                    <w:adjustRightInd w:val="0"/>
                    <w:snapToGrid w:val="0"/>
                    <w:jc w:val="center"/>
                    <w:rPr>
                      <w:kern w:val="0"/>
                      <w:szCs w:val="21"/>
                    </w:rPr>
                  </w:pPr>
                  <w:r>
                    <w:rPr>
                      <w:kern w:val="0"/>
                      <w:szCs w:val="21"/>
                    </w:rPr>
                    <w:t>成分</w:t>
                  </w:r>
                </w:p>
              </w:tc>
              <w:tc>
                <w:tcPr>
                  <w:tcW w:w="600" w:type="dxa"/>
                  <w:tcBorders>
                    <w:top w:val="single" w:color="auto" w:sz="12" w:space="0"/>
                    <w:left w:val="single" w:color="auto" w:sz="4" w:space="0"/>
                    <w:bottom w:val="single" w:color="auto" w:sz="4" w:space="0"/>
                    <w:right w:val="single" w:color="auto" w:sz="4" w:space="0"/>
                  </w:tcBorders>
                  <w:vAlign w:val="center"/>
                </w:tcPr>
                <w:p w14:paraId="38CD98E6">
                  <w:pPr>
                    <w:topLinePunct/>
                    <w:adjustRightInd w:val="0"/>
                    <w:snapToGrid w:val="0"/>
                    <w:jc w:val="center"/>
                    <w:rPr>
                      <w:kern w:val="0"/>
                      <w:szCs w:val="21"/>
                    </w:rPr>
                  </w:pPr>
                  <w:r>
                    <w:rPr>
                      <w:kern w:val="0"/>
                      <w:szCs w:val="21"/>
                    </w:rPr>
                    <w:t>有害成分</w:t>
                  </w:r>
                </w:p>
              </w:tc>
              <w:tc>
                <w:tcPr>
                  <w:tcW w:w="585" w:type="dxa"/>
                  <w:tcBorders>
                    <w:top w:val="single" w:color="auto" w:sz="12" w:space="0"/>
                    <w:left w:val="single" w:color="auto" w:sz="4" w:space="0"/>
                    <w:bottom w:val="single" w:color="auto" w:sz="4" w:space="0"/>
                    <w:right w:val="single" w:color="auto" w:sz="4" w:space="0"/>
                  </w:tcBorders>
                  <w:vAlign w:val="center"/>
                </w:tcPr>
                <w:p w14:paraId="6EA9F0BA">
                  <w:pPr>
                    <w:topLinePunct/>
                    <w:adjustRightInd w:val="0"/>
                    <w:snapToGrid w:val="0"/>
                    <w:jc w:val="center"/>
                    <w:rPr>
                      <w:kern w:val="0"/>
                      <w:szCs w:val="21"/>
                    </w:rPr>
                  </w:pPr>
                  <w:r>
                    <w:rPr>
                      <w:kern w:val="0"/>
                      <w:szCs w:val="21"/>
                    </w:rPr>
                    <w:t>产废周期</w:t>
                  </w:r>
                </w:p>
              </w:tc>
              <w:tc>
                <w:tcPr>
                  <w:tcW w:w="645" w:type="dxa"/>
                  <w:tcBorders>
                    <w:top w:val="single" w:color="auto" w:sz="12" w:space="0"/>
                    <w:left w:val="single" w:color="auto" w:sz="4" w:space="0"/>
                    <w:bottom w:val="single" w:color="auto" w:sz="4" w:space="0"/>
                    <w:right w:val="single" w:color="auto" w:sz="4" w:space="0"/>
                  </w:tcBorders>
                  <w:vAlign w:val="center"/>
                </w:tcPr>
                <w:p w14:paraId="18B82DB1">
                  <w:pPr>
                    <w:topLinePunct/>
                    <w:adjustRightInd w:val="0"/>
                    <w:snapToGrid w:val="0"/>
                    <w:jc w:val="center"/>
                    <w:rPr>
                      <w:kern w:val="0"/>
                      <w:szCs w:val="21"/>
                    </w:rPr>
                  </w:pPr>
                  <w:r>
                    <w:rPr>
                      <w:kern w:val="0"/>
                      <w:szCs w:val="21"/>
                    </w:rPr>
                    <w:t>危险</w:t>
                  </w:r>
                </w:p>
                <w:p w14:paraId="73E8E11E">
                  <w:pPr>
                    <w:topLinePunct/>
                    <w:adjustRightInd w:val="0"/>
                    <w:snapToGrid w:val="0"/>
                    <w:jc w:val="center"/>
                    <w:rPr>
                      <w:kern w:val="0"/>
                      <w:szCs w:val="21"/>
                    </w:rPr>
                  </w:pPr>
                  <w:r>
                    <w:rPr>
                      <w:kern w:val="0"/>
                      <w:szCs w:val="21"/>
                    </w:rPr>
                    <w:t>特性</w:t>
                  </w:r>
                </w:p>
              </w:tc>
              <w:tc>
                <w:tcPr>
                  <w:tcW w:w="1030" w:type="dxa"/>
                  <w:tcBorders>
                    <w:top w:val="single" w:color="auto" w:sz="12" w:space="0"/>
                    <w:left w:val="single" w:color="auto" w:sz="4" w:space="0"/>
                    <w:bottom w:val="single" w:color="auto" w:sz="4" w:space="0"/>
                    <w:right w:val="nil"/>
                  </w:tcBorders>
                  <w:vAlign w:val="center"/>
                </w:tcPr>
                <w:p w14:paraId="7CE9794E">
                  <w:pPr>
                    <w:topLinePunct/>
                    <w:adjustRightInd w:val="0"/>
                    <w:snapToGrid w:val="0"/>
                    <w:jc w:val="center"/>
                    <w:rPr>
                      <w:kern w:val="0"/>
                      <w:szCs w:val="21"/>
                    </w:rPr>
                  </w:pPr>
                  <w:r>
                    <w:rPr>
                      <w:kern w:val="0"/>
                      <w:szCs w:val="21"/>
                    </w:rPr>
                    <w:t>污染防治措施</w:t>
                  </w:r>
                </w:p>
              </w:tc>
            </w:tr>
            <w:tr w14:paraId="363B2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32" w:type="dxa"/>
                  <w:tcBorders>
                    <w:top w:val="single" w:color="auto" w:sz="4" w:space="0"/>
                    <w:left w:val="nil"/>
                    <w:bottom w:val="single" w:color="auto" w:sz="4" w:space="0"/>
                    <w:right w:val="single" w:color="auto" w:sz="4" w:space="0"/>
                  </w:tcBorders>
                  <w:vAlign w:val="center"/>
                </w:tcPr>
                <w:p w14:paraId="0F543E0E">
                  <w:pPr>
                    <w:topLinePunct/>
                    <w:adjustRightInd w:val="0"/>
                    <w:snapToGrid w:val="0"/>
                    <w:jc w:val="center"/>
                    <w:rPr>
                      <w:kern w:val="0"/>
                      <w:szCs w:val="21"/>
                    </w:rPr>
                  </w:pPr>
                  <w:r>
                    <w:rPr>
                      <w:kern w:val="0"/>
                      <w:szCs w:val="21"/>
                    </w:rPr>
                    <w:t>1</w:t>
                  </w:r>
                </w:p>
              </w:tc>
              <w:tc>
                <w:tcPr>
                  <w:tcW w:w="1089" w:type="dxa"/>
                  <w:tcBorders>
                    <w:top w:val="single" w:color="auto" w:sz="4" w:space="0"/>
                    <w:left w:val="single" w:color="auto" w:sz="4" w:space="0"/>
                    <w:bottom w:val="single" w:color="auto" w:sz="4" w:space="0"/>
                    <w:right w:val="single" w:color="auto" w:sz="4" w:space="0"/>
                  </w:tcBorders>
                  <w:vAlign w:val="center"/>
                </w:tcPr>
                <w:p w14:paraId="663C4E0E">
                  <w:pPr>
                    <w:topLinePunct/>
                    <w:adjustRightInd w:val="0"/>
                    <w:snapToGrid w:val="0"/>
                    <w:jc w:val="center"/>
                    <w:rPr>
                      <w:bCs/>
                      <w:szCs w:val="21"/>
                    </w:rPr>
                  </w:pPr>
                  <w:r>
                    <w:rPr>
                      <w:szCs w:val="21"/>
                    </w:rPr>
                    <w:t>废润滑油</w:t>
                  </w:r>
                </w:p>
              </w:tc>
              <w:tc>
                <w:tcPr>
                  <w:tcW w:w="720" w:type="dxa"/>
                  <w:tcBorders>
                    <w:top w:val="single" w:color="auto" w:sz="4" w:space="0"/>
                    <w:left w:val="single" w:color="auto" w:sz="4" w:space="0"/>
                    <w:bottom w:val="single" w:color="auto" w:sz="4" w:space="0"/>
                    <w:right w:val="single" w:color="auto" w:sz="4" w:space="0"/>
                  </w:tcBorders>
                  <w:vAlign w:val="center"/>
                </w:tcPr>
                <w:p w14:paraId="6E39F7B2">
                  <w:pPr>
                    <w:topLinePunct/>
                    <w:adjustRightInd w:val="0"/>
                    <w:snapToGrid w:val="0"/>
                    <w:jc w:val="center"/>
                    <w:rPr>
                      <w:kern w:val="0"/>
                      <w:szCs w:val="21"/>
                    </w:rPr>
                  </w:pPr>
                  <w:r>
                    <w:rPr>
                      <w:szCs w:val="21"/>
                    </w:rPr>
                    <w:t>HW08</w:t>
                  </w:r>
                </w:p>
              </w:tc>
              <w:tc>
                <w:tcPr>
                  <w:tcW w:w="765" w:type="dxa"/>
                  <w:tcBorders>
                    <w:top w:val="single" w:color="auto" w:sz="4" w:space="0"/>
                    <w:left w:val="single" w:color="auto" w:sz="4" w:space="0"/>
                    <w:bottom w:val="single" w:color="auto" w:sz="4" w:space="0"/>
                    <w:right w:val="single" w:color="auto" w:sz="4" w:space="0"/>
                  </w:tcBorders>
                  <w:vAlign w:val="center"/>
                </w:tcPr>
                <w:p w14:paraId="3C64113C">
                  <w:pPr>
                    <w:topLinePunct/>
                    <w:adjustRightInd w:val="0"/>
                    <w:snapToGrid w:val="0"/>
                    <w:jc w:val="center"/>
                    <w:rPr>
                      <w:kern w:val="0"/>
                      <w:szCs w:val="21"/>
                    </w:rPr>
                  </w:pPr>
                  <w:r>
                    <w:rPr>
                      <w:szCs w:val="21"/>
                    </w:rPr>
                    <w:t>900-214-08</w:t>
                  </w:r>
                </w:p>
              </w:tc>
              <w:tc>
                <w:tcPr>
                  <w:tcW w:w="645" w:type="dxa"/>
                  <w:tcBorders>
                    <w:top w:val="single" w:color="auto" w:sz="4" w:space="0"/>
                    <w:left w:val="single" w:color="auto" w:sz="4" w:space="0"/>
                    <w:bottom w:val="single" w:color="auto" w:sz="4" w:space="0"/>
                    <w:right w:val="single" w:color="auto" w:sz="4" w:space="0"/>
                  </w:tcBorders>
                  <w:vAlign w:val="center"/>
                </w:tcPr>
                <w:p w14:paraId="2A35E142">
                  <w:pPr>
                    <w:topLinePunct/>
                    <w:adjustRightInd w:val="0"/>
                    <w:snapToGrid w:val="0"/>
                    <w:jc w:val="center"/>
                    <w:rPr>
                      <w:kern w:val="0"/>
                      <w:szCs w:val="21"/>
                    </w:rPr>
                  </w:pPr>
                  <w:r>
                    <w:rPr>
                      <w:szCs w:val="21"/>
                    </w:rPr>
                    <w:t>0.05</w:t>
                  </w:r>
                </w:p>
              </w:tc>
              <w:tc>
                <w:tcPr>
                  <w:tcW w:w="795" w:type="dxa"/>
                  <w:tcBorders>
                    <w:top w:val="single" w:color="auto" w:sz="4" w:space="0"/>
                    <w:left w:val="single" w:color="auto" w:sz="4" w:space="0"/>
                    <w:bottom w:val="single" w:color="auto" w:sz="4" w:space="0"/>
                    <w:right w:val="single" w:color="auto" w:sz="4" w:space="0"/>
                  </w:tcBorders>
                  <w:vAlign w:val="center"/>
                </w:tcPr>
                <w:p w14:paraId="7EC6FE36">
                  <w:pPr>
                    <w:topLinePunct/>
                    <w:adjustRightInd w:val="0"/>
                    <w:snapToGrid w:val="0"/>
                    <w:jc w:val="center"/>
                    <w:rPr>
                      <w:kern w:val="0"/>
                      <w:szCs w:val="21"/>
                    </w:rPr>
                  </w:pPr>
                  <w:r>
                    <w:rPr>
                      <w:kern w:val="0"/>
                      <w:szCs w:val="21"/>
                    </w:rPr>
                    <w:t>设备检修</w:t>
                  </w:r>
                </w:p>
              </w:tc>
              <w:tc>
                <w:tcPr>
                  <w:tcW w:w="330" w:type="dxa"/>
                  <w:tcBorders>
                    <w:top w:val="single" w:color="auto" w:sz="4" w:space="0"/>
                    <w:left w:val="single" w:color="auto" w:sz="4" w:space="0"/>
                    <w:bottom w:val="single" w:color="auto" w:sz="4" w:space="0"/>
                    <w:right w:val="single" w:color="auto" w:sz="4" w:space="0"/>
                  </w:tcBorders>
                  <w:vAlign w:val="center"/>
                </w:tcPr>
                <w:p w14:paraId="28524A7D">
                  <w:pPr>
                    <w:topLinePunct/>
                    <w:adjustRightInd w:val="0"/>
                    <w:snapToGrid w:val="0"/>
                    <w:jc w:val="center"/>
                    <w:rPr>
                      <w:kern w:val="0"/>
                      <w:szCs w:val="21"/>
                    </w:rPr>
                  </w:pPr>
                  <w:r>
                    <w:rPr>
                      <w:kern w:val="0"/>
                      <w:szCs w:val="21"/>
                    </w:rPr>
                    <w:t>液态</w:t>
                  </w:r>
                </w:p>
              </w:tc>
              <w:tc>
                <w:tcPr>
                  <w:tcW w:w="660" w:type="dxa"/>
                  <w:vMerge w:val="restart"/>
                  <w:tcBorders>
                    <w:top w:val="single" w:color="auto" w:sz="4" w:space="0"/>
                    <w:left w:val="single" w:color="auto" w:sz="4" w:space="0"/>
                    <w:right w:val="single" w:color="auto" w:sz="4" w:space="0"/>
                  </w:tcBorders>
                  <w:vAlign w:val="center"/>
                </w:tcPr>
                <w:p w14:paraId="7ED7D076">
                  <w:pPr>
                    <w:topLinePunct/>
                    <w:adjustRightInd w:val="0"/>
                    <w:snapToGrid w:val="0"/>
                    <w:jc w:val="center"/>
                    <w:rPr>
                      <w:kern w:val="0"/>
                      <w:szCs w:val="21"/>
                    </w:rPr>
                  </w:pPr>
                  <w:r>
                    <w:rPr>
                      <w:kern w:val="0"/>
                      <w:szCs w:val="21"/>
                    </w:rPr>
                    <w:t>矿物油</w:t>
                  </w:r>
                </w:p>
              </w:tc>
              <w:tc>
                <w:tcPr>
                  <w:tcW w:w="600" w:type="dxa"/>
                  <w:vMerge w:val="restart"/>
                  <w:tcBorders>
                    <w:top w:val="single" w:color="auto" w:sz="4" w:space="0"/>
                    <w:left w:val="single" w:color="auto" w:sz="4" w:space="0"/>
                    <w:right w:val="single" w:color="auto" w:sz="4" w:space="0"/>
                  </w:tcBorders>
                  <w:vAlign w:val="center"/>
                </w:tcPr>
                <w:p w14:paraId="508F2ECC">
                  <w:pPr>
                    <w:topLinePunct/>
                    <w:adjustRightInd w:val="0"/>
                    <w:snapToGrid w:val="0"/>
                    <w:jc w:val="center"/>
                    <w:rPr>
                      <w:kern w:val="0"/>
                      <w:szCs w:val="21"/>
                    </w:rPr>
                  </w:pPr>
                  <w:r>
                    <w:rPr>
                      <w:kern w:val="0"/>
                      <w:szCs w:val="21"/>
                    </w:rPr>
                    <w:t>矿物油</w:t>
                  </w:r>
                </w:p>
              </w:tc>
              <w:tc>
                <w:tcPr>
                  <w:tcW w:w="585" w:type="dxa"/>
                  <w:vMerge w:val="restart"/>
                  <w:tcBorders>
                    <w:top w:val="single" w:color="auto" w:sz="4" w:space="0"/>
                    <w:left w:val="single" w:color="auto" w:sz="4" w:space="0"/>
                    <w:right w:val="single" w:color="auto" w:sz="4" w:space="0"/>
                  </w:tcBorders>
                  <w:vAlign w:val="center"/>
                </w:tcPr>
                <w:p w14:paraId="7B4B91EF">
                  <w:pPr>
                    <w:topLinePunct/>
                    <w:adjustRightInd w:val="0"/>
                    <w:snapToGrid w:val="0"/>
                    <w:jc w:val="center"/>
                    <w:rPr>
                      <w:kern w:val="0"/>
                      <w:szCs w:val="21"/>
                    </w:rPr>
                  </w:pPr>
                  <w:r>
                    <w:rPr>
                      <w:kern w:val="0"/>
                      <w:szCs w:val="21"/>
                    </w:rPr>
                    <w:t>无固定周期</w:t>
                  </w:r>
                </w:p>
              </w:tc>
              <w:tc>
                <w:tcPr>
                  <w:tcW w:w="645" w:type="dxa"/>
                  <w:vMerge w:val="restart"/>
                  <w:tcBorders>
                    <w:top w:val="single" w:color="auto" w:sz="4" w:space="0"/>
                    <w:left w:val="single" w:color="auto" w:sz="4" w:space="0"/>
                    <w:right w:val="single" w:color="auto" w:sz="4" w:space="0"/>
                  </w:tcBorders>
                  <w:vAlign w:val="center"/>
                </w:tcPr>
                <w:p w14:paraId="60B410C1">
                  <w:pPr>
                    <w:pStyle w:val="90"/>
                    <w:rPr>
                      <w:szCs w:val="21"/>
                    </w:rPr>
                  </w:pPr>
                  <w:r>
                    <w:rPr>
                      <w:szCs w:val="21"/>
                    </w:rPr>
                    <w:t>T/I</w:t>
                  </w:r>
                </w:p>
              </w:tc>
              <w:tc>
                <w:tcPr>
                  <w:tcW w:w="1030" w:type="dxa"/>
                  <w:vMerge w:val="restart"/>
                  <w:tcBorders>
                    <w:top w:val="single" w:color="auto" w:sz="4" w:space="0"/>
                    <w:left w:val="single" w:color="auto" w:sz="4" w:space="0"/>
                    <w:right w:val="nil"/>
                  </w:tcBorders>
                  <w:vAlign w:val="center"/>
                </w:tcPr>
                <w:p w14:paraId="15258E99">
                  <w:pPr>
                    <w:topLinePunct/>
                    <w:adjustRightInd w:val="0"/>
                    <w:snapToGrid w:val="0"/>
                    <w:jc w:val="center"/>
                    <w:rPr>
                      <w:kern w:val="0"/>
                      <w:szCs w:val="21"/>
                    </w:rPr>
                  </w:pPr>
                  <w:r>
                    <w:rPr>
                      <w:szCs w:val="21"/>
                    </w:rPr>
                    <w:t>暂存在</w:t>
                  </w:r>
                  <w:r>
                    <w:rPr>
                      <w:rFonts w:hint="eastAsia"/>
                      <w:szCs w:val="21"/>
                    </w:rPr>
                    <w:t>危险废物贮存点</w:t>
                  </w:r>
                  <w:r>
                    <w:rPr>
                      <w:szCs w:val="21"/>
                    </w:rPr>
                    <w:t>内，定期</w:t>
                  </w:r>
                  <w:r>
                    <w:rPr>
                      <w:rFonts w:hint="eastAsia"/>
                      <w:szCs w:val="21"/>
                    </w:rPr>
                    <w:t>交由</w:t>
                  </w:r>
                  <w:r>
                    <w:rPr>
                      <w:szCs w:val="21"/>
                    </w:rPr>
                    <w:t>资质单位处置</w:t>
                  </w:r>
                </w:p>
              </w:tc>
            </w:tr>
            <w:tr w14:paraId="3B134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32" w:type="dxa"/>
                  <w:tcBorders>
                    <w:top w:val="single" w:color="auto" w:sz="4" w:space="0"/>
                    <w:left w:val="nil"/>
                    <w:bottom w:val="single" w:color="auto" w:sz="4" w:space="0"/>
                    <w:right w:val="single" w:color="auto" w:sz="4" w:space="0"/>
                  </w:tcBorders>
                  <w:vAlign w:val="center"/>
                </w:tcPr>
                <w:p w14:paraId="72970D18">
                  <w:pPr>
                    <w:topLinePunct/>
                    <w:adjustRightInd w:val="0"/>
                    <w:snapToGrid w:val="0"/>
                    <w:jc w:val="center"/>
                    <w:rPr>
                      <w:kern w:val="0"/>
                      <w:szCs w:val="21"/>
                    </w:rPr>
                  </w:pPr>
                  <w:r>
                    <w:rPr>
                      <w:rFonts w:hint="eastAsia"/>
                      <w:kern w:val="0"/>
                      <w:szCs w:val="21"/>
                    </w:rPr>
                    <w:t>2</w:t>
                  </w:r>
                </w:p>
              </w:tc>
              <w:tc>
                <w:tcPr>
                  <w:tcW w:w="1089" w:type="dxa"/>
                  <w:tcBorders>
                    <w:top w:val="single" w:color="auto" w:sz="4" w:space="0"/>
                    <w:left w:val="single" w:color="auto" w:sz="4" w:space="0"/>
                    <w:bottom w:val="single" w:color="auto" w:sz="4" w:space="0"/>
                    <w:right w:val="single" w:color="auto" w:sz="4" w:space="0"/>
                  </w:tcBorders>
                  <w:vAlign w:val="center"/>
                </w:tcPr>
                <w:p w14:paraId="0CE0F8DD">
                  <w:pPr>
                    <w:topLinePunct/>
                    <w:adjustRightInd w:val="0"/>
                    <w:snapToGrid w:val="0"/>
                    <w:jc w:val="center"/>
                    <w:rPr>
                      <w:szCs w:val="21"/>
                    </w:rPr>
                  </w:pPr>
                  <w:r>
                    <w:rPr>
                      <w:szCs w:val="21"/>
                    </w:rPr>
                    <w:t>含油抹布、含油零部件及</w:t>
                  </w:r>
                  <w:r>
                    <w:rPr>
                      <w:rFonts w:hint="eastAsia"/>
                      <w:szCs w:val="21"/>
                    </w:rPr>
                    <w:t>废润滑油桶</w:t>
                  </w:r>
                </w:p>
              </w:tc>
              <w:tc>
                <w:tcPr>
                  <w:tcW w:w="720" w:type="dxa"/>
                  <w:tcBorders>
                    <w:top w:val="single" w:color="auto" w:sz="4" w:space="0"/>
                    <w:left w:val="single" w:color="auto" w:sz="4" w:space="0"/>
                    <w:bottom w:val="single" w:color="auto" w:sz="4" w:space="0"/>
                    <w:right w:val="single" w:color="auto" w:sz="4" w:space="0"/>
                  </w:tcBorders>
                  <w:vAlign w:val="center"/>
                </w:tcPr>
                <w:p w14:paraId="696154B5">
                  <w:pPr>
                    <w:topLinePunct/>
                    <w:adjustRightInd w:val="0"/>
                    <w:snapToGrid w:val="0"/>
                    <w:jc w:val="center"/>
                    <w:rPr>
                      <w:szCs w:val="21"/>
                    </w:rPr>
                  </w:pPr>
                  <w:r>
                    <w:rPr>
                      <w:szCs w:val="21"/>
                    </w:rPr>
                    <w:t>HW49</w:t>
                  </w:r>
                </w:p>
              </w:tc>
              <w:tc>
                <w:tcPr>
                  <w:tcW w:w="765" w:type="dxa"/>
                  <w:tcBorders>
                    <w:top w:val="single" w:color="auto" w:sz="4" w:space="0"/>
                    <w:left w:val="single" w:color="auto" w:sz="4" w:space="0"/>
                    <w:bottom w:val="single" w:color="auto" w:sz="4" w:space="0"/>
                    <w:right w:val="single" w:color="auto" w:sz="4" w:space="0"/>
                  </w:tcBorders>
                  <w:vAlign w:val="center"/>
                </w:tcPr>
                <w:p w14:paraId="05D548F6">
                  <w:pPr>
                    <w:topLinePunct/>
                    <w:adjustRightInd w:val="0"/>
                    <w:snapToGrid w:val="0"/>
                    <w:jc w:val="center"/>
                    <w:rPr>
                      <w:szCs w:val="21"/>
                    </w:rPr>
                  </w:pPr>
                  <w:r>
                    <w:rPr>
                      <w:szCs w:val="21"/>
                    </w:rPr>
                    <w:t>900-041-49</w:t>
                  </w:r>
                </w:p>
              </w:tc>
              <w:tc>
                <w:tcPr>
                  <w:tcW w:w="645" w:type="dxa"/>
                  <w:tcBorders>
                    <w:top w:val="single" w:color="auto" w:sz="4" w:space="0"/>
                    <w:left w:val="single" w:color="auto" w:sz="4" w:space="0"/>
                    <w:bottom w:val="single" w:color="auto" w:sz="4" w:space="0"/>
                    <w:right w:val="single" w:color="auto" w:sz="4" w:space="0"/>
                  </w:tcBorders>
                  <w:vAlign w:val="center"/>
                </w:tcPr>
                <w:p w14:paraId="052DE422">
                  <w:pPr>
                    <w:topLinePunct/>
                    <w:adjustRightInd w:val="0"/>
                    <w:snapToGrid w:val="0"/>
                    <w:jc w:val="center"/>
                    <w:rPr>
                      <w:szCs w:val="21"/>
                    </w:rPr>
                  </w:pPr>
                  <w:r>
                    <w:rPr>
                      <w:rFonts w:hint="eastAsia"/>
                      <w:szCs w:val="21"/>
                    </w:rPr>
                    <w:t>0.1</w:t>
                  </w:r>
                </w:p>
              </w:tc>
              <w:tc>
                <w:tcPr>
                  <w:tcW w:w="795" w:type="dxa"/>
                  <w:tcBorders>
                    <w:top w:val="single" w:color="auto" w:sz="4" w:space="0"/>
                    <w:left w:val="single" w:color="auto" w:sz="4" w:space="0"/>
                    <w:bottom w:val="single" w:color="auto" w:sz="4" w:space="0"/>
                    <w:right w:val="single" w:color="auto" w:sz="4" w:space="0"/>
                  </w:tcBorders>
                  <w:vAlign w:val="center"/>
                </w:tcPr>
                <w:p w14:paraId="3975548E">
                  <w:pPr>
                    <w:topLinePunct/>
                    <w:adjustRightInd w:val="0"/>
                    <w:snapToGrid w:val="0"/>
                    <w:jc w:val="center"/>
                    <w:rPr>
                      <w:kern w:val="0"/>
                      <w:szCs w:val="21"/>
                    </w:rPr>
                  </w:pPr>
                  <w:r>
                    <w:rPr>
                      <w:kern w:val="0"/>
                      <w:szCs w:val="21"/>
                    </w:rPr>
                    <w:t>设备检修</w:t>
                  </w:r>
                </w:p>
              </w:tc>
              <w:tc>
                <w:tcPr>
                  <w:tcW w:w="330" w:type="dxa"/>
                  <w:tcBorders>
                    <w:top w:val="single" w:color="auto" w:sz="4" w:space="0"/>
                    <w:left w:val="single" w:color="auto" w:sz="4" w:space="0"/>
                    <w:bottom w:val="single" w:color="auto" w:sz="4" w:space="0"/>
                    <w:right w:val="single" w:color="auto" w:sz="4" w:space="0"/>
                  </w:tcBorders>
                  <w:vAlign w:val="center"/>
                </w:tcPr>
                <w:p w14:paraId="7CE5E710">
                  <w:pPr>
                    <w:topLinePunct/>
                    <w:adjustRightInd w:val="0"/>
                    <w:snapToGrid w:val="0"/>
                    <w:jc w:val="center"/>
                    <w:rPr>
                      <w:kern w:val="0"/>
                      <w:szCs w:val="21"/>
                    </w:rPr>
                  </w:pPr>
                  <w:r>
                    <w:rPr>
                      <w:rFonts w:hint="eastAsia"/>
                      <w:kern w:val="0"/>
                      <w:szCs w:val="21"/>
                    </w:rPr>
                    <w:t>固体</w:t>
                  </w:r>
                </w:p>
              </w:tc>
              <w:tc>
                <w:tcPr>
                  <w:tcW w:w="660" w:type="dxa"/>
                  <w:vMerge w:val="continue"/>
                  <w:tcBorders>
                    <w:left w:val="single" w:color="auto" w:sz="4" w:space="0"/>
                    <w:bottom w:val="single" w:color="auto" w:sz="4" w:space="0"/>
                    <w:right w:val="single" w:color="auto" w:sz="4" w:space="0"/>
                  </w:tcBorders>
                  <w:vAlign w:val="center"/>
                </w:tcPr>
                <w:p w14:paraId="210725AE">
                  <w:pPr>
                    <w:topLinePunct/>
                    <w:adjustRightInd w:val="0"/>
                    <w:snapToGrid w:val="0"/>
                    <w:jc w:val="center"/>
                    <w:rPr>
                      <w:kern w:val="0"/>
                      <w:szCs w:val="21"/>
                    </w:rPr>
                  </w:pPr>
                </w:p>
              </w:tc>
              <w:tc>
                <w:tcPr>
                  <w:tcW w:w="600" w:type="dxa"/>
                  <w:vMerge w:val="continue"/>
                  <w:tcBorders>
                    <w:left w:val="single" w:color="auto" w:sz="4" w:space="0"/>
                    <w:bottom w:val="single" w:color="auto" w:sz="4" w:space="0"/>
                    <w:right w:val="single" w:color="auto" w:sz="4" w:space="0"/>
                  </w:tcBorders>
                  <w:vAlign w:val="center"/>
                </w:tcPr>
                <w:p w14:paraId="28885BD9">
                  <w:pPr>
                    <w:topLinePunct/>
                    <w:adjustRightInd w:val="0"/>
                    <w:snapToGrid w:val="0"/>
                    <w:jc w:val="center"/>
                    <w:rPr>
                      <w:kern w:val="0"/>
                      <w:szCs w:val="21"/>
                    </w:rPr>
                  </w:pPr>
                </w:p>
              </w:tc>
              <w:tc>
                <w:tcPr>
                  <w:tcW w:w="585" w:type="dxa"/>
                  <w:vMerge w:val="continue"/>
                  <w:tcBorders>
                    <w:left w:val="single" w:color="auto" w:sz="4" w:space="0"/>
                    <w:bottom w:val="single" w:color="auto" w:sz="4" w:space="0"/>
                    <w:right w:val="single" w:color="auto" w:sz="4" w:space="0"/>
                  </w:tcBorders>
                  <w:vAlign w:val="center"/>
                </w:tcPr>
                <w:p w14:paraId="30E82FA7">
                  <w:pPr>
                    <w:topLinePunct/>
                    <w:adjustRightInd w:val="0"/>
                    <w:snapToGrid w:val="0"/>
                    <w:jc w:val="center"/>
                    <w:rPr>
                      <w:kern w:val="0"/>
                      <w:szCs w:val="21"/>
                    </w:rPr>
                  </w:pPr>
                </w:p>
              </w:tc>
              <w:tc>
                <w:tcPr>
                  <w:tcW w:w="645" w:type="dxa"/>
                  <w:vMerge w:val="continue"/>
                  <w:tcBorders>
                    <w:left w:val="single" w:color="auto" w:sz="4" w:space="0"/>
                    <w:bottom w:val="single" w:color="auto" w:sz="4" w:space="0"/>
                    <w:right w:val="single" w:color="auto" w:sz="4" w:space="0"/>
                  </w:tcBorders>
                  <w:vAlign w:val="center"/>
                </w:tcPr>
                <w:p w14:paraId="081A4C96">
                  <w:pPr>
                    <w:pStyle w:val="90"/>
                    <w:rPr>
                      <w:szCs w:val="21"/>
                    </w:rPr>
                  </w:pPr>
                </w:p>
              </w:tc>
              <w:tc>
                <w:tcPr>
                  <w:tcW w:w="1030" w:type="dxa"/>
                  <w:vMerge w:val="continue"/>
                  <w:tcBorders>
                    <w:left w:val="single" w:color="auto" w:sz="4" w:space="0"/>
                    <w:bottom w:val="single" w:color="auto" w:sz="4" w:space="0"/>
                    <w:right w:val="nil"/>
                  </w:tcBorders>
                  <w:vAlign w:val="center"/>
                </w:tcPr>
                <w:p w14:paraId="24435E5A">
                  <w:pPr>
                    <w:topLinePunct/>
                    <w:adjustRightInd w:val="0"/>
                    <w:snapToGrid w:val="0"/>
                    <w:jc w:val="center"/>
                    <w:rPr>
                      <w:szCs w:val="21"/>
                    </w:rPr>
                  </w:pPr>
                </w:p>
              </w:tc>
            </w:tr>
          </w:tbl>
          <w:p w14:paraId="4C49EAA2">
            <w:pPr>
              <w:spacing w:line="360" w:lineRule="auto"/>
              <w:ind w:firstLine="480" w:firstLineChars="200"/>
              <w:rPr>
                <w:bCs/>
                <w:sz w:val="24"/>
              </w:rPr>
            </w:pPr>
            <w:r>
              <w:rPr>
                <w:rFonts w:hint="eastAsia"/>
                <w:kern w:val="21"/>
                <w:sz w:val="24"/>
              </w:rPr>
              <w:t>（4</w:t>
            </w:r>
            <w:r>
              <w:rPr>
                <w:kern w:val="21"/>
                <w:sz w:val="24"/>
              </w:rPr>
              <w:t>）环境管理</w:t>
            </w:r>
            <w:r>
              <w:rPr>
                <w:bCs/>
                <w:sz w:val="24"/>
              </w:rPr>
              <w:t>要求</w:t>
            </w:r>
          </w:p>
          <w:p w14:paraId="2A44C17C">
            <w:pPr>
              <w:spacing w:line="360" w:lineRule="auto"/>
              <w:ind w:firstLine="482" w:firstLineChars="200"/>
              <w:rPr>
                <w:b/>
                <w:bCs/>
                <w:sz w:val="24"/>
              </w:rPr>
            </w:pPr>
            <w:r>
              <w:rPr>
                <w:rFonts w:hint="eastAsia"/>
                <w:b/>
                <w:bCs/>
                <w:sz w:val="24"/>
              </w:rPr>
              <w:t>一般固体废物：</w:t>
            </w:r>
          </w:p>
          <w:p w14:paraId="744F47E2">
            <w:pPr>
              <w:spacing w:line="360" w:lineRule="auto"/>
              <w:ind w:firstLine="480" w:firstLineChars="200"/>
              <w:rPr>
                <w:sz w:val="24"/>
              </w:rPr>
            </w:pPr>
            <w:r>
              <w:rPr>
                <w:rFonts w:hint="eastAsia"/>
                <w:sz w:val="24"/>
              </w:rPr>
              <w:fldChar w:fldCharType="begin"/>
            </w:r>
            <w:r>
              <w:rPr>
                <w:rFonts w:hint="eastAsia"/>
                <w:sz w:val="24"/>
              </w:rPr>
              <w:instrText xml:space="preserve"> = 1 \* GB3 </w:instrText>
            </w:r>
            <w:r>
              <w:rPr>
                <w:rFonts w:hint="eastAsia"/>
                <w:sz w:val="24"/>
              </w:rPr>
              <w:fldChar w:fldCharType="separate"/>
            </w:r>
            <w:r>
              <w:rPr>
                <w:rFonts w:hint="eastAsia"/>
                <w:sz w:val="24"/>
              </w:rPr>
              <w:t>①</w:t>
            </w:r>
            <w:r>
              <w:rPr>
                <w:rFonts w:hint="eastAsia"/>
                <w:sz w:val="24"/>
              </w:rPr>
              <w:fldChar w:fldCharType="end"/>
            </w:r>
            <w:r>
              <w:rPr>
                <w:rFonts w:hint="eastAsia"/>
                <w:sz w:val="24"/>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662D7C0">
            <w:pPr>
              <w:spacing w:line="360" w:lineRule="auto"/>
              <w:ind w:firstLine="480" w:firstLineChars="200"/>
              <w:rPr>
                <w:sz w:val="24"/>
              </w:rPr>
            </w:pPr>
            <w:r>
              <w:rPr>
                <w:rFonts w:hint="eastAsia"/>
                <w:sz w:val="24"/>
              </w:rPr>
              <w:fldChar w:fldCharType="begin"/>
            </w:r>
            <w:r>
              <w:rPr>
                <w:rFonts w:hint="eastAsia"/>
                <w:sz w:val="24"/>
              </w:rPr>
              <w:instrText xml:space="preserve"> = 2 \* GB3 </w:instrText>
            </w:r>
            <w:r>
              <w:rPr>
                <w:rFonts w:hint="eastAsia"/>
                <w:sz w:val="24"/>
              </w:rPr>
              <w:fldChar w:fldCharType="separate"/>
            </w:r>
            <w:r>
              <w:rPr>
                <w:rFonts w:hint="eastAsia"/>
                <w:sz w:val="24"/>
              </w:rPr>
              <w:t>②</w:t>
            </w:r>
            <w:r>
              <w:rPr>
                <w:rFonts w:hint="eastAsia"/>
                <w:sz w:val="24"/>
              </w:rPr>
              <w:fldChar w:fldCharType="end"/>
            </w:r>
            <w:r>
              <w:rPr>
                <w:rFonts w:hint="eastAsia"/>
                <w:sz w:val="24"/>
              </w:rPr>
              <w:t>禁止向生活垃圾收集设施中投放工业固体废物。</w:t>
            </w:r>
          </w:p>
          <w:p w14:paraId="42A171D2">
            <w:pPr>
              <w:spacing w:line="360" w:lineRule="auto"/>
              <w:ind w:firstLine="480" w:firstLineChars="200"/>
              <w:rPr>
                <w:sz w:val="24"/>
              </w:rPr>
            </w:pPr>
            <w:r>
              <w:rPr>
                <w:rFonts w:hint="eastAsia"/>
                <w:sz w:val="24"/>
              </w:rPr>
              <w:fldChar w:fldCharType="begin"/>
            </w:r>
            <w:r>
              <w:rPr>
                <w:rFonts w:hint="eastAsia"/>
                <w:sz w:val="24"/>
              </w:rPr>
              <w:instrText xml:space="preserve"> = 3 \* GB3 </w:instrText>
            </w:r>
            <w:r>
              <w:rPr>
                <w:rFonts w:hint="eastAsia"/>
                <w:sz w:val="24"/>
              </w:rPr>
              <w:fldChar w:fldCharType="separate"/>
            </w:r>
            <w:r>
              <w:rPr>
                <w:rFonts w:hint="eastAsia"/>
                <w:sz w:val="24"/>
              </w:rPr>
              <w:t>③</w:t>
            </w:r>
            <w:r>
              <w:rPr>
                <w:rFonts w:hint="eastAsia"/>
                <w:sz w:val="24"/>
              </w:rPr>
              <w:fldChar w:fldCharType="end"/>
            </w:r>
            <w:r>
              <w:rPr>
                <w:rFonts w:hint="eastAsia"/>
                <w:sz w:val="24"/>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14:paraId="2A3F5669">
            <w:pPr>
              <w:spacing w:line="360" w:lineRule="auto"/>
              <w:ind w:firstLine="482" w:firstLineChars="200"/>
              <w:rPr>
                <w:b/>
                <w:bCs/>
                <w:sz w:val="24"/>
              </w:rPr>
            </w:pPr>
            <w:r>
              <w:rPr>
                <w:rFonts w:hint="eastAsia"/>
                <w:b/>
                <w:bCs/>
                <w:sz w:val="24"/>
              </w:rPr>
              <w:t>危险废物：</w:t>
            </w:r>
          </w:p>
          <w:p w14:paraId="2CA86D64">
            <w:pPr>
              <w:spacing w:line="360" w:lineRule="auto"/>
              <w:ind w:firstLine="482" w:firstLineChars="200"/>
              <w:rPr>
                <w:sz w:val="24"/>
              </w:rPr>
            </w:pPr>
            <w:r>
              <w:rPr>
                <w:b/>
                <w:bCs/>
                <w:sz w:val="24"/>
              </w:rPr>
              <w:t>贮存点环境管理要求</w:t>
            </w:r>
            <w:r>
              <w:rPr>
                <w:rFonts w:hint="eastAsia"/>
                <w:b/>
                <w:bCs/>
                <w:sz w:val="24"/>
              </w:rPr>
              <w:t>：</w:t>
            </w:r>
          </w:p>
          <w:p w14:paraId="46039B04">
            <w:pPr>
              <w:spacing w:line="360" w:lineRule="auto"/>
              <w:ind w:firstLine="480" w:firstLineChars="200"/>
              <w:rPr>
                <w:sz w:val="24"/>
              </w:rPr>
            </w:pPr>
            <w:r>
              <w:rPr>
                <w:rFonts w:hint="eastAsia"/>
                <w:sz w:val="24"/>
              </w:rPr>
              <w:t>贮存点应具有固定的区域边界，并应采取与其他区域进行隔离的措施。</w:t>
            </w:r>
          </w:p>
          <w:p w14:paraId="69B88ED6">
            <w:pPr>
              <w:spacing w:line="360" w:lineRule="auto"/>
              <w:ind w:firstLine="480" w:firstLineChars="200"/>
              <w:rPr>
                <w:sz w:val="24"/>
              </w:rPr>
            </w:pPr>
            <w:r>
              <w:rPr>
                <w:rFonts w:hint="eastAsia"/>
                <w:sz w:val="24"/>
              </w:rPr>
              <w:t>贮存点应采取防风、防雨、防晒和防止危险废物流失、扬散等措施。</w:t>
            </w:r>
          </w:p>
          <w:p w14:paraId="28314BAC">
            <w:pPr>
              <w:spacing w:line="360" w:lineRule="auto"/>
              <w:ind w:firstLine="480" w:firstLineChars="200"/>
              <w:rPr>
                <w:sz w:val="24"/>
              </w:rPr>
            </w:pPr>
            <w:r>
              <w:rPr>
                <w:rFonts w:hint="eastAsia"/>
                <w:sz w:val="24"/>
              </w:rPr>
              <w:t>贮存点贮存的危险废物应置于容器或包装物中，不应直接散堆。</w:t>
            </w:r>
          </w:p>
          <w:p w14:paraId="018FFA7F">
            <w:pPr>
              <w:spacing w:line="360" w:lineRule="auto"/>
              <w:ind w:firstLine="480" w:firstLineChars="200"/>
              <w:rPr>
                <w:sz w:val="24"/>
              </w:rPr>
            </w:pPr>
            <w:r>
              <w:rPr>
                <w:rFonts w:hint="eastAsia"/>
                <w:sz w:val="24"/>
              </w:rPr>
              <w:t>贮存点应根据危险废物的形态、物理化学性质、包装形式等，采取防渗、防漏等污染防治措施或采用具有相应功能的装置。</w:t>
            </w:r>
          </w:p>
          <w:p w14:paraId="57243237">
            <w:pPr>
              <w:spacing w:line="360" w:lineRule="auto"/>
              <w:ind w:firstLine="480" w:firstLineChars="200"/>
              <w:rPr>
                <w:sz w:val="24"/>
              </w:rPr>
            </w:pPr>
            <w:r>
              <w:rPr>
                <w:rFonts w:hint="eastAsia"/>
                <w:sz w:val="24"/>
              </w:rPr>
              <w:t>贮存点应及时清运贮存的危险废物，实时贮存量不应超过</w:t>
            </w:r>
            <w:r>
              <w:rPr>
                <w:sz w:val="24"/>
              </w:rPr>
              <w:t>3</w:t>
            </w:r>
            <w:r>
              <w:rPr>
                <w:rFonts w:hint="eastAsia"/>
                <w:sz w:val="24"/>
              </w:rPr>
              <w:t>吨。</w:t>
            </w:r>
          </w:p>
          <w:p w14:paraId="6DAF4767">
            <w:pPr>
              <w:spacing w:line="360" w:lineRule="auto"/>
              <w:ind w:firstLine="482" w:firstLineChars="200"/>
              <w:rPr>
                <w:sz w:val="24"/>
              </w:rPr>
            </w:pPr>
            <w:r>
              <w:rPr>
                <w:b/>
                <w:bCs/>
                <w:sz w:val="24"/>
              </w:rPr>
              <w:t>贮存设施选址</w:t>
            </w:r>
            <w:r>
              <w:rPr>
                <w:rFonts w:hint="eastAsia"/>
                <w:b/>
                <w:bCs/>
                <w:sz w:val="24"/>
              </w:rPr>
              <w:t>要求：</w:t>
            </w:r>
            <w:r>
              <w:rPr>
                <w:sz w:val="24"/>
              </w:rPr>
              <w:t>选址应满足生态环境保护法律法规、规划和</w:t>
            </w:r>
            <w:r>
              <w:rPr>
                <w:rFonts w:hint="eastAsia"/>
                <w:sz w:val="24"/>
              </w:rPr>
              <w:t>“三线一单”</w:t>
            </w:r>
            <w:r>
              <w:rPr>
                <w:sz w:val="24"/>
              </w:rPr>
              <w:t>生态环境分区管控的要求，建设项目应依法进行环境影响评价。集中贮存设施不应选在生态保护红线区域、永久基本农田和其他需要特别保护的区域内，不应建在溶洞区或易遭受洪水、滑坡、泥石流、潮汐等严重自然灾害影响的地区。贮存设施不应选在江河、湖泊、运河、渠道、水库及其最高水位线以下的滩地和岸坡，以及法律法规规定禁止贮存危险废物的其他地点。贮存设施场址的位置以及其与周围环境敏感目标的距离应依据环境影响评价文件确定。</w:t>
            </w:r>
          </w:p>
          <w:p w14:paraId="4D41DC6B">
            <w:pPr>
              <w:spacing w:line="360" w:lineRule="auto"/>
              <w:ind w:firstLine="482" w:firstLineChars="200"/>
              <w:rPr>
                <w:sz w:val="24"/>
              </w:rPr>
            </w:pPr>
            <w:r>
              <w:rPr>
                <w:b/>
                <w:bCs/>
                <w:sz w:val="24"/>
              </w:rPr>
              <w:t>贮存设施污染控制</w:t>
            </w:r>
            <w:r>
              <w:rPr>
                <w:rFonts w:hint="eastAsia"/>
                <w:b/>
                <w:bCs/>
                <w:sz w:val="24"/>
              </w:rPr>
              <w:t>要求：</w:t>
            </w:r>
            <w:r>
              <w:rPr>
                <w:rFonts w:hint="eastAsia"/>
                <w:sz w:val="24"/>
              </w:rPr>
              <w:t>贮存点</w:t>
            </w:r>
            <w:r>
              <w:rPr>
                <w:sz w:val="24"/>
              </w:rPr>
              <w:t>内不同贮存分区之间应采取隔离措施。隔离措施可根据危险废物特性采用过道、隔板或隔墙等方式。在</w:t>
            </w:r>
            <w:r>
              <w:rPr>
                <w:rFonts w:hint="eastAsia"/>
                <w:sz w:val="24"/>
              </w:rPr>
              <w:t>贮存点</w:t>
            </w:r>
            <w:r>
              <w:rPr>
                <w:sz w:val="24"/>
              </w:rPr>
              <w:t>内或通过贮存分区方式贮存液态危险废物的，应具有液体泄漏堵截设施，堵截设施最小容积不应低于对应贮存区域最大液态废物容器容积或液态废物总储量1/10（二者取较大者）；用于贮存可能产生渗滤液的危险废物的</w:t>
            </w:r>
            <w:r>
              <w:rPr>
                <w:rFonts w:hint="eastAsia"/>
                <w:sz w:val="24"/>
              </w:rPr>
              <w:t>贮存点</w:t>
            </w:r>
            <w:r>
              <w:rPr>
                <w:sz w:val="24"/>
              </w:rPr>
              <w:t>或贮存分区应设计渗滤液收集设施，收集设施容积应满足渗滤液的收集要求。</w:t>
            </w:r>
          </w:p>
          <w:p w14:paraId="635E957E">
            <w:pPr>
              <w:widowControl/>
              <w:spacing w:line="360" w:lineRule="auto"/>
              <w:ind w:firstLine="482" w:firstLineChars="200"/>
              <w:jc w:val="left"/>
              <w:rPr>
                <w:sz w:val="24"/>
              </w:rPr>
            </w:pPr>
            <w:r>
              <w:rPr>
                <w:b/>
                <w:bCs/>
                <w:sz w:val="24"/>
              </w:rPr>
              <w:t>容器和包装物</w:t>
            </w:r>
            <w:r>
              <w:rPr>
                <w:rFonts w:hint="eastAsia"/>
                <w:b/>
                <w:bCs/>
                <w:sz w:val="24"/>
              </w:rPr>
              <w:t>污染控制要求：</w:t>
            </w:r>
            <w:r>
              <w:rPr>
                <w:rFonts w:hint="eastAsia" w:ascii="宋体" w:hAnsi="宋体" w:cs="宋体"/>
                <w:kern w:val="0"/>
                <w:sz w:val="24"/>
                <w:lang w:bidi="ar"/>
              </w:rPr>
              <w:t>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sz w:val="24"/>
              </w:rPr>
              <w:t>使用容器盛装液态、半固态危险废物时，容器内部应留有适当的空间，以适应因温度变化等可能引发的收缩和膨胀，防止其导致容器渗漏或永久变形。容器和包装物外表应保持清洁。危险废物</w:t>
            </w:r>
            <w:r>
              <w:rPr>
                <w:sz w:val="24"/>
              </w:rPr>
              <w:t>应使用专用的容器进行盛装，容器和包装物应符合相关标准和规范，具有足够的强度、密封性和耐腐蚀性，以防止</w:t>
            </w:r>
            <w:r>
              <w:rPr>
                <w:rFonts w:hint="eastAsia"/>
                <w:sz w:val="24"/>
              </w:rPr>
              <w:t>危险废物</w:t>
            </w:r>
            <w:r>
              <w:rPr>
                <w:sz w:val="24"/>
              </w:rPr>
              <w:t>泄漏。容器和包装物应按HJ 1276要求设置危险废物标签，标签应清晰易读，不应人为遮盖或污染，标明</w:t>
            </w:r>
            <w:r>
              <w:rPr>
                <w:rFonts w:hint="eastAsia"/>
                <w:sz w:val="24"/>
              </w:rPr>
              <w:t>危险废物</w:t>
            </w:r>
            <w:r>
              <w:rPr>
                <w:sz w:val="24"/>
              </w:rPr>
              <w:t>的类别、危险特性、产生单位、产生日期等信息。</w:t>
            </w:r>
          </w:p>
          <w:p w14:paraId="44CA21DB">
            <w:pPr>
              <w:spacing w:line="360" w:lineRule="auto"/>
              <w:ind w:firstLine="482" w:firstLineChars="200"/>
              <w:rPr>
                <w:sz w:val="24"/>
              </w:rPr>
            </w:pPr>
            <w:r>
              <w:rPr>
                <w:b/>
                <w:bCs/>
                <w:sz w:val="24"/>
              </w:rPr>
              <w:t>贮存过程</w:t>
            </w:r>
            <w:r>
              <w:rPr>
                <w:rFonts w:hint="eastAsia"/>
                <w:b/>
                <w:bCs/>
                <w:sz w:val="24"/>
              </w:rPr>
              <w:t>污染控制要求：</w:t>
            </w:r>
            <w:r>
              <w:rPr>
                <w:rFonts w:hint="eastAsia"/>
                <w:sz w:val="24"/>
              </w:rPr>
              <w:t>贮存设施应采取技术和管理措施防止无关人员进入。</w:t>
            </w:r>
            <w:r>
              <w:rPr>
                <w:sz w:val="24"/>
              </w:rPr>
              <w:t>建立危险废物管理台账，如实记录</w:t>
            </w:r>
            <w:r>
              <w:rPr>
                <w:rFonts w:hint="eastAsia"/>
                <w:sz w:val="24"/>
              </w:rPr>
              <w:t>危险废物</w:t>
            </w:r>
            <w:r>
              <w:rPr>
                <w:sz w:val="24"/>
              </w:rPr>
              <w:t>的产生量、来源、去向、贮存时间、贮存地点等信息。定期对贮存设施进行检查和维护，确保设施的正常运行和污染防治措施的有效性。检查内容包括容器和包装物的完整性、泄漏情况，贮存设施的防渗、防雨、防风等设施的状况等。贮存设施内的</w:t>
            </w:r>
            <w:r>
              <w:rPr>
                <w:rFonts w:hint="eastAsia"/>
                <w:sz w:val="24"/>
              </w:rPr>
              <w:t>危险废物</w:t>
            </w:r>
            <w:r>
              <w:rPr>
                <w:sz w:val="24"/>
              </w:rPr>
              <w:t>应按照类别和特性进行分类存放，不同类别的</w:t>
            </w:r>
            <w:r>
              <w:rPr>
                <w:rFonts w:hint="eastAsia"/>
                <w:sz w:val="24"/>
              </w:rPr>
              <w:t>危险废物</w:t>
            </w:r>
            <w:r>
              <w:rPr>
                <w:sz w:val="24"/>
              </w:rPr>
              <w:t>之间应保持一定的间隔距离，避免相互混合和污染。贮存设施应设置专人管理，管理人员应经过专业培训，熟悉</w:t>
            </w:r>
            <w:r>
              <w:rPr>
                <w:rFonts w:hint="eastAsia"/>
                <w:sz w:val="24"/>
              </w:rPr>
              <w:t>危险废物</w:t>
            </w:r>
            <w:r>
              <w:rPr>
                <w:sz w:val="24"/>
              </w:rPr>
              <w:t>的危险特性和贮存管理要求，掌握应急处理措施。</w:t>
            </w:r>
          </w:p>
          <w:p w14:paraId="54892B97">
            <w:pPr>
              <w:spacing w:line="360" w:lineRule="auto"/>
              <w:ind w:firstLine="482" w:firstLineChars="200"/>
              <w:rPr>
                <w:b/>
                <w:bCs/>
                <w:sz w:val="24"/>
              </w:rPr>
            </w:pPr>
            <w:r>
              <w:rPr>
                <w:rFonts w:hint="eastAsia"/>
                <w:b/>
                <w:bCs/>
                <w:sz w:val="24"/>
              </w:rPr>
              <w:t>转运管理要求</w:t>
            </w:r>
          </w:p>
          <w:p w14:paraId="5EEDBD2E">
            <w:pPr>
              <w:spacing w:line="360" w:lineRule="auto"/>
              <w:ind w:firstLine="482" w:firstLineChars="200"/>
              <w:rPr>
                <w:sz w:val="24"/>
              </w:rPr>
            </w:pPr>
            <w:r>
              <w:rPr>
                <w:b/>
                <w:bCs/>
                <w:sz w:val="24"/>
              </w:rPr>
              <w:t>转移联单制度</w:t>
            </w:r>
            <w:r>
              <w:rPr>
                <w:rFonts w:hint="eastAsia"/>
                <w:b/>
                <w:bCs/>
                <w:sz w:val="24"/>
              </w:rPr>
              <w:t>：</w:t>
            </w:r>
            <w:r>
              <w:rPr>
                <w:sz w:val="24"/>
              </w:rPr>
              <w:t>转移</w:t>
            </w:r>
            <w:r>
              <w:rPr>
                <w:rFonts w:hint="eastAsia"/>
                <w:sz w:val="24"/>
              </w:rPr>
              <w:t>危险废物</w:t>
            </w:r>
            <w:r>
              <w:rPr>
                <w:sz w:val="24"/>
              </w:rPr>
              <w:t>必须严格执行危险废物转移联单制度。产生单位在转移</w:t>
            </w:r>
            <w:r>
              <w:rPr>
                <w:rFonts w:hint="eastAsia"/>
                <w:sz w:val="24"/>
              </w:rPr>
              <w:t>危险废物</w:t>
            </w:r>
            <w:r>
              <w:rPr>
                <w:sz w:val="24"/>
              </w:rPr>
              <w:t>前，应向所在地生态环境主管部门申请领取转移联单，并按照规定填写相关信息，包括</w:t>
            </w:r>
            <w:r>
              <w:rPr>
                <w:rFonts w:hint="eastAsia"/>
                <w:sz w:val="24"/>
              </w:rPr>
              <w:t>危险废物</w:t>
            </w:r>
            <w:r>
              <w:rPr>
                <w:sz w:val="24"/>
              </w:rPr>
              <w:t>的种类、数量、来源、去向、运输方式等。</w:t>
            </w:r>
          </w:p>
          <w:p w14:paraId="1E242795">
            <w:pPr>
              <w:spacing w:line="360" w:lineRule="auto"/>
              <w:ind w:firstLine="480" w:firstLineChars="200"/>
              <w:rPr>
                <w:sz w:val="24"/>
              </w:rPr>
            </w:pPr>
            <w:r>
              <w:rPr>
                <w:sz w:val="24"/>
              </w:rPr>
              <w:t>转移过程中，运输单位应如实填写转移联单的运输环节信息，包括运输车辆、驾驶员、押运人员等信息，并在转移完成后将转移联单返回给产生单位和接收单位，由双方分别保存备查。</w:t>
            </w:r>
          </w:p>
          <w:p w14:paraId="0FAD483C">
            <w:pPr>
              <w:spacing w:line="360" w:lineRule="auto"/>
              <w:ind w:firstLine="482" w:firstLineChars="200"/>
              <w:rPr>
                <w:sz w:val="24"/>
              </w:rPr>
            </w:pPr>
            <w:r>
              <w:rPr>
                <w:b/>
                <w:bCs/>
                <w:sz w:val="24"/>
              </w:rPr>
              <w:t>运输要求</w:t>
            </w:r>
            <w:r>
              <w:rPr>
                <w:rFonts w:hint="eastAsia"/>
                <w:b/>
                <w:bCs/>
                <w:sz w:val="24"/>
              </w:rPr>
              <w:t>：</w:t>
            </w:r>
            <w:r>
              <w:rPr>
                <w:sz w:val="24"/>
              </w:rPr>
              <w:t>运输</w:t>
            </w:r>
            <w:r>
              <w:rPr>
                <w:rFonts w:hint="eastAsia"/>
                <w:sz w:val="24"/>
              </w:rPr>
              <w:t>危险废物</w:t>
            </w:r>
            <w:r>
              <w:rPr>
                <w:sz w:val="24"/>
              </w:rPr>
              <w:t>的单位应具有相应的危险货物运输资质，运输车辆和设备应符合国家有关危险货物运输的规定，具备必要的安全设施和防护设备，如防火、防爆、防泄漏等设施。</w:t>
            </w:r>
          </w:p>
          <w:p w14:paraId="60F3CE67">
            <w:pPr>
              <w:spacing w:line="360" w:lineRule="auto"/>
              <w:ind w:firstLine="480" w:firstLineChars="200"/>
              <w:rPr>
                <w:sz w:val="24"/>
              </w:rPr>
            </w:pPr>
            <w:r>
              <w:rPr>
                <w:sz w:val="24"/>
              </w:rPr>
              <w:t>运输过程中，应采取防止</w:t>
            </w:r>
            <w:r>
              <w:rPr>
                <w:rFonts w:hint="eastAsia"/>
                <w:sz w:val="24"/>
              </w:rPr>
              <w:t>危险废物</w:t>
            </w:r>
            <w:r>
              <w:rPr>
                <w:sz w:val="24"/>
              </w:rPr>
              <w:t>泄漏、散失和扬散的措施，如使用密封良好的运输容器、对运输车辆进行覆盖等。同时，应遵守国家有关危险货物运输的路线、时间和速度等规定，避免在人口密集区、水源保护区等敏感区域停留和运输。</w:t>
            </w:r>
          </w:p>
          <w:p w14:paraId="65AFAEC6">
            <w:pPr>
              <w:spacing w:line="360" w:lineRule="auto"/>
              <w:ind w:firstLine="480" w:firstLineChars="200"/>
              <w:rPr>
                <w:sz w:val="24"/>
              </w:rPr>
            </w:pPr>
            <w:r>
              <w:rPr>
                <w:sz w:val="24"/>
              </w:rPr>
              <w:t>运输单位应制定运输应急预案，明确在运输过程中发生泄漏、火灾等突发事故时的应急处理措施，确保在事故发生时能够及时、有效地进行应急处置，减少事故对环境和人体健康的危害。</w:t>
            </w:r>
          </w:p>
          <w:p w14:paraId="247A4D9B">
            <w:pPr>
              <w:spacing w:line="360" w:lineRule="auto"/>
              <w:ind w:firstLine="482" w:firstLineChars="200"/>
              <w:rPr>
                <w:sz w:val="24"/>
              </w:rPr>
            </w:pPr>
            <w:r>
              <w:rPr>
                <w:b/>
                <w:bCs/>
                <w:sz w:val="24"/>
              </w:rPr>
              <w:t>装卸要求</w:t>
            </w:r>
            <w:r>
              <w:rPr>
                <w:rFonts w:hint="eastAsia"/>
                <w:b/>
                <w:bCs/>
                <w:sz w:val="24"/>
              </w:rPr>
              <w:t>：</w:t>
            </w:r>
            <w:r>
              <w:rPr>
                <w:sz w:val="24"/>
              </w:rPr>
              <w:t>装卸</w:t>
            </w:r>
            <w:r>
              <w:rPr>
                <w:rFonts w:hint="eastAsia"/>
                <w:sz w:val="24"/>
              </w:rPr>
              <w:t>危险废物</w:t>
            </w:r>
            <w:r>
              <w:rPr>
                <w:sz w:val="24"/>
              </w:rPr>
              <w:t>时，应使用专用的装卸设备和工具，轻拿轻放，避免对容器和包装物造成损坏，防止</w:t>
            </w:r>
            <w:r>
              <w:rPr>
                <w:rFonts w:hint="eastAsia"/>
                <w:sz w:val="24"/>
              </w:rPr>
              <w:t>危险废物</w:t>
            </w:r>
            <w:r>
              <w:rPr>
                <w:sz w:val="24"/>
              </w:rPr>
              <w:t>泄漏。</w:t>
            </w:r>
          </w:p>
          <w:p w14:paraId="51907B04">
            <w:pPr>
              <w:spacing w:line="360" w:lineRule="auto"/>
              <w:ind w:firstLine="480" w:firstLineChars="200"/>
              <w:rPr>
                <w:sz w:val="24"/>
              </w:rPr>
            </w:pPr>
            <w:r>
              <w:rPr>
                <w:sz w:val="24"/>
              </w:rPr>
              <w:t>装卸人员应经过专业培训，熟悉</w:t>
            </w:r>
            <w:r>
              <w:rPr>
                <w:rFonts w:hint="eastAsia"/>
                <w:sz w:val="24"/>
              </w:rPr>
              <w:t>危险废物</w:t>
            </w:r>
            <w:r>
              <w:rPr>
                <w:sz w:val="24"/>
              </w:rPr>
              <w:t>的危险特性和装卸操作规程，穿戴必要的防护用品，如防护服、手套、口罩等。</w:t>
            </w:r>
          </w:p>
          <w:p w14:paraId="40C710FF">
            <w:pPr>
              <w:pStyle w:val="13"/>
              <w:snapToGrid/>
              <w:spacing w:after="0" w:line="360" w:lineRule="auto"/>
              <w:ind w:firstLine="480" w:firstLineChars="200"/>
              <w:rPr>
                <w:sz w:val="24"/>
                <w:szCs w:val="24"/>
              </w:rPr>
            </w:pPr>
            <w:r>
              <w:rPr>
                <w:sz w:val="24"/>
                <w:szCs w:val="24"/>
              </w:rPr>
              <w:t>装卸现场应设置必要的安全警示标志和防护设施，如消防器材、泄漏应急处理设备等，以应对可能发生的突发事故。</w:t>
            </w:r>
          </w:p>
          <w:p w14:paraId="29264714">
            <w:pPr>
              <w:pStyle w:val="8"/>
              <w:adjustRightInd w:val="0"/>
              <w:snapToGrid w:val="0"/>
              <w:spacing w:line="360" w:lineRule="auto"/>
              <w:ind w:firstLine="480" w:firstLineChars="200"/>
              <w:rPr>
                <w:sz w:val="24"/>
                <w:szCs w:val="24"/>
              </w:rPr>
            </w:pPr>
            <w:r>
              <w:rPr>
                <w:sz w:val="24"/>
                <w:szCs w:val="24"/>
              </w:rPr>
              <w:t>（</w:t>
            </w:r>
            <w:r>
              <w:rPr>
                <w:rFonts w:hint="eastAsia"/>
                <w:sz w:val="24"/>
                <w:szCs w:val="24"/>
              </w:rPr>
              <w:t>5</w:t>
            </w:r>
            <w:r>
              <w:rPr>
                <w:sz w:val="24"/>
                <w:szCs w:val="24"/>
              </w:rPr>
              <w:t>）环境影响分析</w:t>
            </w:r>
          </w:p>
          <w:p w14:paraId="6A9D00A4">
            <w:pPr>
              <w:pStyle w:val="8"/>
              <w:adjustRightInd w:val="0"/>
              <w:snapToGrid w:val="0"/>
              <w:spacing w:line="360" w:lineRule="auto"/>
              <w:ind w:firstLine="480" w:firstLineChars="200"/>
              <w:rPr>
                <w:sz w:val="24"/>
                <w:szCs w:val="24"/>
              </w:rPr>
            </w:pPr>
            <w:r>
              <w:rPr>
                <w:sz w:val="24"/>
                <w:szCs w:val="24"/>
              </w:rPr>
              <w:t>本项目所产生的固体废物做到及时收集，妥善处置，本项目一般固体废物满足《一般工业固体废物贮存和填埋污染控制标准》（GB18599-2020）</w:t>
            </w:r>
            <w:r>
              <w:rPr>
                <w:rFonts w:hint="eastAsia"/>
                <w:sz w:val="24"/>
                <w:szCs w:val="24"/>
              </w:rPr>
              <w:t>，危险废物满足</w:t>
            </w:r>
            <w:r>
              <w:rPr>
                <w:sz w:val="24"/>
                <w:szCs w:val="24"/>
              </w:rPr>
              <w:t>《危险废物贮存污染控制标准》（GB18597-2023）</w:t>
            </w:r>
            <w:r>
              <w:rPr>
                <w:rFonts w:hint="eastAsia"/>
                <w:sz w:val="24"/>
                <w:szCs w:val="24"/>
              </w:rPr>
              <w:t>，</w:t>
            </w:r>
            <w:r>
              <w:rPr>
                <w:sz w:val="24"/>
                <w:szCs w:val="24"/>
              </w:rPr>
              <w:t>处置率达到100%不会影响周边环境。</w:t>
            </w:r>
          </w:p>
          <w:p w14:paraId="6A1905A8">
            <w:pPr>
              <w:pStyle w:val="91"/>
              <w:ind w:firstLine="480"/>
            </w:pPr>
            <w:r>
              <w:rPr>
                <w:rFonts w:hint="eastAsia"/>
              </w:rPr>
              <w:t>5.</w:t>
            </w:r>
            <w:r>
              <w:t>环境风险影响分析</w:t>
            </w:r>
          </w:p>
          <w:p w14:paraId="675A07BB">
            <w:pPr>
              <w:pStyle w:val="91"/>
              <w:ind w:firstLine="480"/>
            </w:pPr>
            <w:r>
              <w:t>（1）风险调查及风险源分布</w:t>
            </w:r>
          </w:p>
          <w:p w14:paraId="392FE1C1">
            <w:pPr>
              <w:pStyle w:val="91"/>
              <w:ind w:firstLine="480"/>
            </w:pPr>
            <w:r>
              <w:t>根据本项目物料分析，本项目</w:t>
            </w:r>
            <w:r>
              <w:rPr>
                <w:rFonts w:hint="eastAsia"/>
              </w:rPr>
              <w:t>原料和产品均</w:t>
            </w:r>
            <w:r>
              <w:t>不属于《建设项目环境风险评价技术导则》(HJ169-2018)中规定的危险物质，涉及的危险物质主要为废润滑油，废润滑油属于《建设项目环境风险评价技术导则》(HJ169-2018)中规定的危险物质（油类物质），废润滑油采用专用容器存储在</w:t>
            </w:r>
            <w:r>
              <w:rPr>
                <w:rFonts w:hint="eastAsia"/>
              </w:rPr>
              <w:t>危险废物贮存点</w:t>
            </w:r>
            <w:r>
              <w:t>内，存储周期不超过1年，废润滑油最大存储量为</w:t>
            </w:r>
            <w:r>
              <w:rPr>
                <w:rFonts w:hint="eastAsia"/>
              </w:rPr>
              <w:t>0.1</w:t>
            </w:r>
            <w:r>
              <w:t>t</w:t>
            </w:r>
            <w:r>
              <w:rPr>
                <w:rFonts w:hint="eastAsia"/>
              </w:rPr>
              <w:t>，</w:t>
            </w:r>
            <w:r>
              <w:t>《建设项目环境风险评价技术导则》(HJ169-2018)</w:t>
            </w:r>
            <w:r>
              <w:rPr>
                <w:rFonts w:hint="eastAsia"/>
              </w:rPr>
              <w:t>中</w:t>
            </w:r>
            <w:r>
              <w:t>油类物质</w:t>
            </w:r>
            <w:r>
              <w:rPr>
                <w:rFonts w:hint="eastAsia"/>
              </w:rPr>
              <w:t>临界量为2</w:t>
            </w:r>
            <w:r>
              <w:t>500</w:t>
            </w:r>
            <w:r>
              <w:rPr>
                <w:rFonts w:hint="eastAsia"/>
              </w:rPr>
              <w:t>t，则计算本项目危险物质数量与临界量比值Q=0</w:t>
            </w:r>
            <w:r>
              <w:t>.000</w:t>
            </w:r>
            <w:r>
              <w:rPr>
                <w:rFonts w:hint="eastAsia"/>
              </w:rPr>
              <w:t>2＜1。</w:t>
            </w:r>
          </w:p>
          <w:p w14:paraId="60E04792">
            <w:pPr>
              <w:pStyle w:val="91"/>
              <w:ind w:firstLine="480"/>
            </w:pPr>
            <w:r>
              <w:t>（2）影响途径</w:t>
            </w:r>
          </w:p>
          <w:p w14:paraId="47FF6D77">
            <w:pPr>
              <w:pStyle w:val="91"/>
              <w:ind w:firstLine="480"/>
            </w:pPr>
            <w:r>
              <w:t>本项目环境风险包括</w:t>
            </w:r>
            <w:r>
              <w:rPr>
                <w:rFonts w:hint="eastAsia"/>
              </w:rPr>
              <w:t>废润滑油泄漏</w:t>
            </w:r>
            <w:r>
              <w:t>，以及火灾、爆炸。</w:t>
            </w:r>
            <w:r>
              <w:rPr>
                <w:rFonts w:hint="eastAsia"/>
              </w:rPr>
              <w:t>泄漏</w:t>
            </w:r>
            <w:r>
              <w:t>事故可能污染地下水环境、土壤环境及大气环境，因</w:t>
            </w:r>
            <w:r>
              <w:rPr>
                <w:rFonts w:hint="eastAsia"/>
              </w:rPr>
              <w:t>泄漏</w:t>
            </w:r>
            <w:r>
              <w:t>引起的火灾、爆炸事故</w:t>
            </w:r>
            <w:r>
              <w:rPr>
                <w:rFonts w:hint="eastAsia"/>
              </w:rPr>
              <w:t>可能</w:t>
            </w:r>
            <w:r>
              <w:t>导致次生、伴生危险物质排放</w:t>
            </w:r>
            <w:r>
              <w:rPr>
                <w:rFonts w:hint="eastAsia"/>
              </w:rPr>
              <w:t>，污染大气环境</w:t>
            </w:r>
            <w:r>
              <w:t>。</w:t>
            </w:r>
          </w:p>
          <w:p w14:paraId="2EF80E8C">
            <w:pPr>
              <w:pStyle w:val="91"/>
              <w:ind w:firstLine="480"/>
            </w:pPr>
            <w:r>
              <w:t>（3）环境风险防范措施</w:t>
            </w:r>
          </w:p>
          <w:p w14:paraId="3990863C">
            <w:pPr>
              <w:pStyle w:val="91"/>
              <w:ind w:firstLine="480"/>
            </w:pPr>
            <w:r>
              <w:rPr>
                <w:rFonts w:hint="eastAsia" w:ascii="宋体" w:hAnsi="宋体" w:cs="宋体"/>
              </w:rPr>
              <w:t>①</w:t>
            </w:r>
            <w:r>
              <w:t>加强车间工作人员安全教育工作，每个工作人员在业务上、工作上与安全管理上的职责、责任必须明确。</w:t>
            </w:r>
          </w:p>
          <w:p w14:paraId="28C6F26C">
            <w:pPr>
              <w:pStyle w:val="91"/>
              <w:ind w:firstLine="480"/>
            </w:pPr>
            <w:r>
              <w:rPr>
                <w:rFonts w:hint="eastAsia"/>
              </w:rPr>
              <w:t>②</w:t>
            </w:r>
            <w:r>
              <w:t>加强</w:t>
            </w:r>
            <w:r>
              <w:rPr>
                <w:rFonts w:hint="eastAsia"/>
              </w:rPr>
              <w:t>危险废物贮存点</w:t>
            </w:r>
            <w:r>
              <w:t>及存储设施的维护及管理，严格防止跑、冒、滴、漏现象发生。</w:t>
            </w:r>
          </w:p>
          <w:p w14:paraId="4674D8BE">
            <w:pPr>
              <w:pStyle w:val="91"/>
              <w:ind w:firstLine="480"/>
              <w:rPr>
                <w:bCs/>
              </w:rPr>
            </w:pPr>
            <w:r>
              <w:rPr>
                <w:rFonts w:hint="eastAsia"/>
              </w:rPr>
              <w:t>③危险废物贮存点</w:t>
            </w:r>
            <w:r>
              <w:t>按照《危险废物贮存污染控制标准》（GB18597-20</w:t>
            </w:r>
            <w:r>
              <w:rPr>
                <w:rFonts w:hint="eastAsia"/>
              </w:rPr>
              <w:t>23</w:t>
            </w:r>
            <w:r>
              <w:t>）</w:t>
            </w:r>
            <w:r>
              <w:rPr>
                <w:rFonts w:hint="eastAsia"/>
              </w:rPr>
              <w:t>要求</w:t>
            </w:r>
            <w:r>
              <w:t>进行建设</w:t>
            </w:r>
            <w:r>
              <w:rPr>
                <w:bCs/>
              </w:rPr>
              <w:t>，渗透系数应小于1.0×10</w:t>
            </w:r>
            <w:r>
              <w:rPr>
                <w:bCs/>
                <w:vertAlign w:val="superscript"/>
              </w:rPr>
              <w:t>-10</w:t>
            </w:r>
            <w:r>
              <w:rPr>
                <w:bCs/>
              </w:rPr>
              <w:t>cm/s的要求。加强管理，严格监测，严防跑冒。</w:t>
            </w:r>
          </w:p>
          <w:p w14:paraId="00C64E05">
            <w:pPr>
              <w:pStyle w:val="91"/>
              <w:ind w:firstLine="480"/>
            </w:pPr>
            <w:r>
              <w:rPr>
                <w:rFonts w:hint="eastAsia"/>
              </w:rPr>
              <w:t>（4）应急处置流程</w:t>
            </w:r>
          </w:p>
          <w:p w14:paraId="7B2FC6D8">
            <w:pPr>
              <w:pStyle w:val="91"/>
              <w:ind w:firstLine="480"/>
            </w:pPr>
            <w:r>
              <w:t>立即响应与报告</w:t>
            </w:r>
          </w:p>
          <w:p w14:paraId="2996D8AA">
            <w:pPr>
              <w:pStyle w:val="91"/>
              <w:ind w:firstLine="480"/>
            </w:pPr>
            <w:r>
              <w:t>发现泄漏：任何人员发现废润滑油泄漏，应立即采取初步措施防止扩散（如用简易物品围堵），并立即报告。</w:t>
            </w:r>
          </w:p>
          <w:p w14:paraId="0EC421DE">
            <w:pPr>
              <w:pStyle w:val="91"/>
              <w:ind w:firstLine="480"/>
            </w:pPr>
            <w:r>
              <w:t>内部报告：第一时间报告给当班负责人（车间主任/班长）。报告内容应包括：泄漏地点、泄漏源、估计泄漏量、已采取的措施。</w:t>
            </w:r>
          </w:p>
          <w:p w14:paraId="2AA6E7F8">
            <w:pPr>
              <w:pStyle w:val="91"/>
              <w:ind w:firstLine="480"/>
            </w:pPr>
            <w:r>
              <w:t>启动预案：负责人立即宣布启动《危险废物泄漏现场应急处置预案》，指挥应急处置小组就位。</w:t>
            </w:r>
          </w:p>
          <w:p w14:paraId="2EF0F62D">
            <w:pPr>
              <w:pStyle w:val="91"/>
              <w:ind w:firstLine="480"/>
            </w:pPr>
            <w:r>
              <w:t>现场控制与围堵</w:t>
            </w:r>
          </w:p>
          <w:p w14:paraId="7135D760">
            <w:pPr>
              <w:pStyle w:val="91"/>
              <w:ind w:firstLine="480"/>
            </w:pPr>
            <w:r>
              <w:t>如泄漏来自容器，立即采取关闭阀门、封堵漏洞、转移剩余液体至完好容器等措施。小范围泄漏立即使用吸油毡、吸油棉、吸油沙等吸附材料覆盖泄漏区边缘，形成围栏，防止流向地面排水沟、土壤或水体。大范围泄漏应立即用沙土筑堤围堵，或启用应急收集泵将泄漏油品转移至备用应急桶或罐车内。立即检查并关闭泄漏区域附近的雨水、污水井盖或阀门，防止油品进入厂区排水管网。必要时，用专用堵漏工具或吸水膨胀袋封堵下水道入口。</w:t>
            </w:r>
          </w:p>
          <w:p w14:paraId="190732CE">
            <w:pPr>
              <w:pStyle w:val="91"/>
              <w:ind w:firstLine="480"/>
            </w:pPr>
            <w:r>
              <w:t>泄漏物的收集与清理</w:t>
            </w:r>
          </w:p>
          <w:p w14:paraId="5CC92BE6">
            <w:pPr>
              <w:pStyle w:val="91"/>
              <w:ind w:firstLine="480"/>
            </w:pPr>
            <w:r>
              <w:t>使用防爆型吸油机、隔膜泵或手动抽吸工具，将未渗透的游离废油回收至专用的防渗漏应急收集桶已被污染的吸油毡、吸油棉、吸油沙以及被油品浸湿的表层土壤，均需作为危险废物进行清理。</w:t>
            </w:r>
          </w:p>
          <w:p w14:paraId="78389D7D">
            <w:pPr>
              <w:pStyle w:val="91"/>
              <w:ind w:firstLine="480"/>
            </w:pPr>
            <w:r>
              <w:t>使用防铲等工具，将被污染的土壤和固体吸附物一并装入防渗漏的专用危废包装袋或容器中，并贴好危险废物标签。对硬质地面（如水泥地），使用工业清洗剂（应选用环保型）和高压清洗设备进行彻底清洗。清洗废水必须收集，不得排入雨水或生活污水管网。所有收集到的泄漏废油、污染的吸附材料、污染土壤、清洗废水，均须分类存放于指定危废暂存区，随后一并委托给有资质的危险废物处置单位进行处理，并做好转运联单记录。严禁随意丢弃、填埋或与一般工业固废混合。</w:t>
            </w:r>
          </w:p>
          <w:p w14:paraId="4699B235">
            <w:pPr>
              <w:pStyle w:val="91"/>
              <w:ind w:firstLine="480"/>
            </w:pPr>
            <w:r>
              <w:t>土壤与地下水污染风险防控</w:t>
            </w:r>
          </w:p>
          <w:p w14:paraId="0F816C5C">
            <w:pPr>
              <w:pStyle w:val="91"/>
              <w:ind w:firstLine="480"/>
            </w:pPr>
            <w:r>
              <w:t>泄漏事件处理后，应组织对泄漏点及周边区域进行初步勘察，评估渗透至土壤的可能性。若怀疑或确认发生土壤污染，应立即在泄漏点下风向或下游设置土壤监测点，必要时开挖探坑，取样检测土壤中石油烃（TPH）等特征污染物含量。若泄漏量较大或位于重点敏感区域，应委托有资质的第三方环境检测机构开展专业环境损害评估。根据评估结果，可能需要将受污染的土壤全部挖出，作为危险废物送有资质单位处置，并使用清洁土壤进行回填。若污染范围深广，应制定专门的土壤修复方案，可能采用原位或异位生物修复、化学氧化等技术，并报当地生态环境主管部门备案或审批后实施。</w:t>
            </w:r>
          </w:p>
          <w:p w14:paraId="5ED78EFD">
            <w:pPr>
              <w:pStyle w:val="91"/>
              <w:ind w:firstLine="480"/>
            </w:pPr>
            <w:r>
              <w:t>事后处理与记录</w:t>
            </w:r>
          </w:p>
          <w:p w14:paraId="58721BB6">
            <w:pPr>
              <w:pStyle w:val="91"/>
              <w:ind w:firstLine="480"/>
            </w:pPr>
            <w:r>
              <w:t>确保所有泄漏物清理完毕，现场恢复安全、整洁状态。组织调查泄漏原因，制定并落实纠正预防措施，防止类似事件再次发生。详细填写《突发环境事件应急处置记录表》，记录泄漏时间、地点、原因、处置过程、废物数量、涉及人员等。如泄漏量超过规定阈值，或对环境造成明显影响，必须按照《国家突发环境事件应急预案》要求，在规定时限内（通常为1小时）向属地生态环境主管部门报告。</w:t>
            </w:r>
          </w:p>
          <w:p w14:paraId="1952CA37">
            <w:pPr>
              <w:pStyle w:val="91"/>
              <w:spacing w:line="500" w:lineRule="exact"/>
              <w:ind w:firstLine="480"/>
              <w:rPr>
                <w:lang w:eastAsia="ja-JP"/>
              </w:rPr>
            </w:pPr>
            <w:r>
              <w:rPr>
                <w:rFonts w:hint="eastAsia"/>
              </w:rPr>
              <w:t>（5）</w:t>
            </w:r>
            <w:r>
              <w:rPr>
                <w:lang w:eastAsia="ja-JP"/>
              </w:rPr>
              <w:t>风险评价结论</w:t>
            </w:r>
          </w:p>
          <w:p w14:paraId="4D309F1A">
            <w:pPr>
              <w:pStyle w:val="91"/>
              <w:ind w:firstLine="480"/>
            </w:pPr>
            <w:r>
              <w:rPr>
                <w:szCs w:val="24"/>
              </w:rPr>
              <w:t>通过对本次建设工程的环境风险分析可知，本工程的主要环境风险是</w:t>
            </w:r>
            <w:r>
              <w:rPr>
                <w:rFonts w:hint="eastAsia"/>
                <w:szCs w:val="24"/>
              </w:rPr>
              <w:t>废润滑油</w:t>
            </w:r>
            <w:r>
              <w:rPr>
                <w:szCs w:val="24"/>
              </w:rPr>
              <w:t>泄漏、火灾爆炸，对区域内的大气环境、地下水环境和土壤等有潜在危害性。</w:t>
            </w:r>
            <w:r>
              <w:t>项目所在区域主要环境敏感目标为</w:t>
            </w:r>
            <w:r>
              <w:rPr>
                <w:rFonts w:hint="eastAsia"/>
              </w:rPr>
              <w:t>项目的</w:t>
            </w:r>
            <w:r>
              <w:t>工作人员，建设单位应认真落实环评提出的环境风险防范对策措施</w:t>
            </w:r>
            <w:r>
              <w:rPr>
                <w:rFonts w:hint="eastAsia"/>
              </w:rPr>
              <w:t>，在</w:t>
            </w:r>
            <w:r>
              <w:t>生产过程中加强环境风险管控，编制环境风险应急预案，定期进行应急演练。在做好各项环境风险防范措施的前提下，项目的环境风险可接受。</w:t>
            </w:r>
          </w:p>
          <w:p w14:paraId="4E8A1C1B">
            <w:pPr>
              <w:pStyle w:val="91"/>
              <w:ind w:firstLine="480"/>
            </w:pPr>
            <w:r>
              <w:rPr>
                <w:rFonts w:hint="eastAsia"/>
              </w:rPr>
              <w:t>6.</w:t>
            </w:r>
            <w:r>
              <w:t>地下水、土壤环境影响和保护措施</w:t>
            </w:r>
          </w:p>
          <w:p w14:paraId="667873CA">
            <w:pPr>
              <w:pStyle w:val="91"/>
              <w:ind w:firstLine="480"/>
            </w:pPr>
            <w:r>
              <w:rPr>
                <w:rFonts w:hint="eastAsia"/>
              </w:rPr>
              <w:t>本项目废塑料涉及</w:t>
            </w:r>
            <w:r>
              <w:t>清洗</w:t>
            </w:r>
            <w:r>
              <w:rPr>
                <w:rFonts w:hint="eastAsia"/>
              </w:rPr>
              <w:t>及废水处理</w:t>
            </w:r>
            <w:r>
              <w:t>，当</w:t>
            </w:r>
            <w:r>
              <w:rPr>
                <w:rFonts w:hint="eastAsia"/>
              </w:rPr>
              <w:t>清洗装置、废水池、清水池、污泥池</w:t>
            </w:r>
            <w:r>
              <w:t>底部混凝土防渗结构同时破损情况下，废水渗入地下，将</w:t>
            </w:r>
            <w:r>
              <w:rPr>
                <w:rFonts w:hint="eastAsia"/>
              </w:rPr>
              <w:t>污染</w:t>
            </w:r>
            <w:r>
              <w:t>土壤和地下水环境。</w:t>
            </w:r>
          </w:p>
          <w:p w14:paraId="5FC87AE4">
            <w:pPr>
              <w:pStyle w:val="91"/>
              <w:ind w:firstLine="480"/>
            </w:pPr>
            <w:r>
              <w:rPr>
                <w:rFonts w:hint="eastAsia"/>
              </w:rPr>
              <w:t>本</w:t>
            </w:r>
            <w:r>
              <w:t>项目</w:t>
            </w:r>
            <w:r>
              <w:rPr>
                <w:rFonts w:hint="eastAsia"/>
              </w:rPr>
              <w:t>危险废物贮存点</w:t>
            </w:r>
            <w:r>
              <w:rPr>
                <w:rFonts w:hint="eastAsia"/>
                <w:szCs w:val="24"/>
              </w:rPr>
              <w:t>地面及裙脚</w:t>
            </w:r>
            <w:r>
              <w:t>采用2mm厚的高密度聚乙烯+防渗混凝土进行防渗处理，渗透系数≤10</w:t>
            </w:r>
            <w:r>
              <w:rPr>
                <w:vertAlign w:val="superscript"/>
              </w:rPr>
              <w:t>-10</w:t>
            </w:r>
            <w:r>
              <w:t>cm/s，</w:t>
            </w:r>
            <w:r>
              <w:rPr>
                <w:szCs w:val="24"/>
              </w:rPr>
              <w:t>满足《危险废物贮存污染控制标准》（GB18597-20</w:t>
            </w:r>
            <w:r>
              <w:rPr>
                <w:rFonts w:hint="eastAsia"/>
                <w:szCs w:val="24"/>
              </w:rPr>
              <w:t>23</w:t>
            </w:r>
            <w:r>
              <w:rPr>
                <w:szCs w:val="24"/>
              </w:rPr>
              <w:t>）</w:t>
            </w:r>
            <w:r>
              <w:t>。</w:t>
            </w:r>
            <w:r>
              <w:rPr>
                <w:rFonts w:hint="eastAsia"/>
              </w:rPr>
              <w:t>本项目厂房</w:t>
            </w:r>
            <w:r>
              <w:t>按一般防渗区进行管理，</w:t>
            </w:r>
            <w:r>
              <w:rPr>
                <w:rFonts w:hint="eastAsia"/>
              </w:rPr>
              <w:t>污水池、清水池和污泥池底部采取混凝土防渗措施，</w:t>
            </w:r>
            <w:r>
              <w:t>混凝土抗渗等级不低于P6，确保渗透系数小于10</w:t>
            </w:r>
            <w:r>
              <w:rPr>
                <w:vertAlign w:val="superscript"/>
              </w:rPr>
              <w:t>-7</w:t>
            </w:r>
            <w:r>
              <w:t>cm/s，厚度为500mm</w:t>
            </w:r>
            <w:r>
              <w:rPr>
                <w:rFonts w:hint="eastAsia"/>
              </w:rPr>
              <w:t>。厂房地面</w:t>
            </w:r>
            <w:r>
              <w:t>采取防渗混凝土结构，混凝土置于老土层或回填土上，要求回填土分层夯实，压实系数≥0.93，厚度不小于500mm，混凝土抗渗等级不低于P6，确保渗透系数小于10</w:t>
            </w:r>
            <w:r>
              <w:rPr>
                <w:vertAlign w:val="superscript"/>
              </w:rPr>
              <w:t>-7</w:t>
            </w:r>
            <w:r>
              <w:t>cm/s，厚度为500mm</w:t>
            </w:r>
            <w:r>
              <w:rPr>
                <w:rFonts w:hint="eastAsia"/>
              </w:rPr>
              <w:t>，</w:t>
            </w:r>
            <w:r>
              <w:t>能够满足《环境影响评价技术导则 地下水环境》（HJ610-2016）表7中一般防渗区防渗技术要求（等效黏土防渗层Mb≥1.5m，渗透系数≤10</w:t>
            </w:r>
            <w:r>
              <w:rPr>
                <w:vertAlign w:val="superscript"/>
              </w:rPr>
              <w:t>-7</w:t>
            </w:r>
            <w:r>
              <w:t>cm/s）</w:t>
            </w:r>
            <w:r>
              <w:rPr>
                <w:rFonts w:hint="eastAsia"/>
              </w:rPr>
              <w:t>，对</w:t>
            </w:r>
            <w:r>
              <w:t>土壤和地下水环境</w:t>
            </w:r>
            <w:r>
              <w:rPr>
                <w:rFonts w:hint="eastAsia"/>
              </w:rPr>
              <w:t>较小</w:t>
            </w:r>
            <w:r>
              <w:t>。</w:t>
            </w:r>
          </w:p>
          <w:p w14:paraId="3E93E6FE">
            <w:pPr>
              <w:pStyle w:val="91"/>
              <w:ind w:firstLine="480"/>
            </w:pPr>
            <w:r>
              <w:rPr>
                <w:rFonts w:hint="eastAsia"/>
              </w:rPr>
              <w:t>7.环保投资估算</w:t>
            </w:r>
          </w:p>
          <w:p w14:paraId="45067F24">
            <w:pPr>
              <w:pStyle w:val="91"/>
              <w:ind w:firstLine="480"/>
              <w:rPr>
                <w:bCs/>
              </w:rPr>
            </w:pPr>
            <w:r>
              <w:rPr>
                <w:rFonts w:hint="eastAsia"/>
                <w:bCs/>
              </w:rPr>
              <w:t>本项目总投资</w:t>
            </w:r>
            <w:r>
              <w:rPr>
                <w:bCs/>
              </w:rPr>
              <w:t>100</w:t>
            </w:r>
            <w:r>
              <w:rPr>
                <w:rFonts w:hint="eastAsia"/>
                <w:bCs/>
              </w:rPr>
              <w:t>万元，环保投资约22万元，约占总投资额的22%，环保投资估算见表</w:t>
            </w:r>
            <w:r>
              <w:rPr>
                <w:bCs/>
                <w:color w:val="FF0000"/>
              </w:rPr>
              <w:t>4-</w:t>
            </w:r>
            <w:r>
              <w:rPr>
                <w:rFonts w:hint="eastAsia"/>
                <w:bCs/>
                <w:color w:val="FF0000"/>
                <w:lang w:eastAsia="zh"/>
                <w:woUserID w:val="1"/>
              </w:rPr>
              <w:t>7</w:t>
            </w:r>
            <w:r>
              <w:rPr>
                <w:rFonts w:hint="eastAsia"/>
                <w:bCs/>
              </w:rPr>
              <w:t>。</w:t>
            </w:r>
          </w:p>
          <w:p w14:paraId="79AD8EF2">
            <w:pPr>
              <w:pStyle w:val="103"/>
            </w:pPr>
            <w:r>
              <w:rPr>
                <w:rFonts w:hint="eastAsia"/>
                <w:color w:val="FF0000"/>
              </w:rPr>
              <w:t>表</w:t>
            </w:r>
            <w:r>
              <w:rPr>
                <w:color w:val="FF0000"/>
              </w:rPr>
              <w:t>4-</w:t>
            </w:r>
            <w:r>
              <w:rPr>
                <w:rFonts w:hint="eastAsia"/>
                <w:color w:val="FF0000"/>
                <w:lang w:eastAsia="zh"/>
                <w:woUserID w:val="1"/>
              </w:rPr>
              <w:t>7</w:t>
            </w:r>
            <w:r>
              <w:rPr>
                <w:rFonts w:hint="eastAsia"/>
                <w:color w:val="FF0000"/>
              </w:rPr>
              <w:t xml:space="preserve"> </w:t>
            </w:r>
            <w:r>
              <w:rPr>
                <w:rFonts w:hint="eastAsia"/>
              </w:rPr>
              <w:t xml:space="preserve"> </w:t>
            </w:r>
            <w:r>
              <w:t>环保投资估算一览表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5659"/>
              <w:gridCol w:w="1795"/>
            </w:tblGrid>
            <w:tr w14:paraId="60187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op w:val="single" w:color="auto" w:sz="12" w:space="0"/>
                    <w:left w:val="nil"/>
                    <w:bottom w:val="single" w:color="auto" w:sz="4" w:space="0"/>
                    <w:right w:val="single" w:color="auto" w:sz="4" w:space="0"/>
                  </w:tcBorders>
                  <w:vAlign w:val="center"/>
                </w:tcPr>
                <w:p w14:paraId="52ADF668">
                  <w:pPr>
                    <w:jc w:val="center"/>
                  </w:pPr>
                  <w:r>
                    <w:rPr>
                      <w:rFonts w:hint="eastAsia"/>
                    </w:rPr>
                    <w:t>类别</w:t>
                  </w:r>
                </w:p>
              </w:tc>
              <w:tc>
                <w:tcPr>
                  <w:tcW w:w="3360" w:type="pct"/>
                  <w:tcBorders>
                    <w:top w:val="single" w:color="auto" w:sz="12" w:space="0"/>
                    <w:left w:val="single" w:color="auto" w:sz="4" w:space="0"/>
                    <w:bottom w:val="single" w:color="auto" w:sz="4" w:space="0"/>
                    <w:right w:val="single" w:color="auto" w:sz="4" w:space="0"/>
                  </w:tcBorders>
                  <w:vAlign w:val="center"/>
                </w:tcPr>
                <w:p w14:paraId="36A86DF6">
                  <w:pPr>
                    <w:jc w:val="center"/>
                  </w:pPr>
                  <w:r>
                    <w:rPr>
                      <w:rFonts w:hint="eastAsia"/>
                    </w:rPr>
                    <w:t>治理措施</w:t>
                  </w:r>
                </w:p>
              </w:tc>
              <w:tc>
                <w:tcPr>
                  <w:tcW w:w="1066" w:type="pct"/>
                  <w:tcBorders>
                    <w:top w:val="single" w:color="auto" w:sz="12" w:space="0"/>
                    <w:left w:val="single" w:color="auto" w:sz="4" w:space="0"/>
                    <w:bottom w:val="single" w:color="auto" w:sz="4" w:space="0"/>
                    <w:right w:val="nil"/>
                  </w:tcBorders>
                  <w:vAlign w:val="center"/>
                </w:tcPr>
                <w:p w14:paraId="4DFBF53B">
                  <w:pPr>
                    <w:ind w:left="1"/>
                    <w:jc w:val="center"/>
                  </w:pPr>
                  <w:r>
                    <w:rPr>
                      <w:rFonts w:hint="eastAsia"/>
                    </w:rPr>
                    <w:t>投资（万元）</w:t>
                  </w:r>
                </w:p>
              </w:tc>
            </w:tr>
            <w:tr w14:paraId="62554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restart"/>
                  <w:tcBorders>
                    <w:top w:val="single" w:color="auto" w:sz="4" w:space="0"/>
                    <w:left w:val="nil"/>
                    <w:right w:val="single" w:color="auto" w:sz="4" w:space="0"/>
                  </w:tcBorders>
                  <w:vAlign w:val="center"/>
                </w:tcPr>
                <w:p w14:paraId="71056473">
                  <w:pPr>
                    <w:jc w:val="center"/>
                  </w:pPr>
                  <w:r>
                    <w:rPr>
                      <w:rFonts w:hint="eastAsia"/>
                    </w:rPr>
                    <w:t>废水</w:t>
                  </w:r>
                </w:p>
              </w:tc>
              <w:tc>
                <w:tcPr>
                  <w:tcW w:w="3360" w:type="pct"/>
                  <w:tcBorders>
                    <w:top w:val="single" w:color="auto" w:sz="4" w:space="0"/>
                    <w:left w:val="single" w:color="auto" w:sz="4" w:space="0"/>
                    <w:bottom w:val="single" w:color="auto" w:sz="4" w:space="0"/>
                    <w:right w:val="single" w:color="auto" w:sz="4" w:space="0"/>
                  </w:tcBorders>
                  <w:vAlign w:val="center"/>
                </w:tcPr>
                <w:p w14:paraId="5AF222DF">
                  <w:pPr>
                    <w:ind w:firstLine="420"/>
                    <w:jc w:val="center"/>
                    <w:rPr>
                      <w:szCs w:val="21"/>
                    </w:rPr>
                  </w:pPr>
                  <w:r>
                    <w:rPr>
                      <w:rFonts w:hint="eastAsia"/>
                      <w:szCs w:val="21"/>
                    </w:rPr>
                    <w:t>污水池防渗</w:t>
                  </w:r>
                </w:p>
              </w:tc>
              <w:tc>
                <w:tcPr>
                  <w:tcW w:w="1066" w:type="pct"/>
                  <w:tcBorders>
                    <w:top w:val="single" w:color="auto" w:sz="4" w:space="0"/>
                    <w:left w:val="single" w:color="auto" w:sz="4" w:space="0"/>
                    <w:bottom w:val="single" w:color="auto" w:sz="4" w:space="0"/>
                    <w:right w:val="nil"/>
                  </w:tcBorders>
                  <w:vAlign w:val="center"/>
                </w:tcPr>
                <w:p w14:paraId="7C12A3DC">
                  <w:pPr>
                    <w:jc w:val="center"/>
                  </w:pPr>
                  <w:r>
                    <w:rPr>
                      <w:rFonts w:hint="eastAsia"/>
                    </w:rPr>
                    <w:t>4</w:t>
                  </w:r>
                </w:p>
              </w:tc>
            </w:tr>
            <w:tr w14:paraId="61BE8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continue"/>
                  <w:tcBorders>
                    <w:left w:val="nil"/>
                    <w:right w:val="single" w:color="auto" w:sz="4" w:space="0"/>
                  </w:tcBorders>
                  <w:vAlign w:val="center"/>
                </w:tcPr>
                <w:p w14:paraId="248A03BB">
                  <w:pPr>
                    <w:jc w:val="center"/>
                  </w:pPr>
                </w:p>
              </w:tc>
              <w:tc>
                <w:tcPr>
                  <w:tcW w:w="3360" w:type="pct"/>
                  <w:tcBorders>
                    <w:top w:val="single" w:color="auto" w:sz="4" w:space="0"/>
                    <w:left w:val="single" w:color="auto" w:sz="4" w:space="0"/>
                    <w:bottom w:val="single" w:color="auto" w:sz="4" w:space="0"/>
                    <w:right w:val="single" w:color="auto" w:sz="4" w:space="0"/>
                  </w:tcBorders>
                  <w:vAlign w:val="center"/>
                </w:tcPr>
                <w:p w14:paraId="41362D49">
                  <w:pPr>
                    <w:ind w:firstLine="420"/>
                    <w:jc w:val="center"/>
                    <w:rPr>
                      <w:szCs w:val="21"/>
                    </w:rPr>
                  </w:pPr>
                  <w:r>
                    <w:rPr>
                      <w:rFonts w:hint="eastAsia"/>
                      <w:szCs w:val="21"/>
                    </w:rPr>
                    <w:t>清水池防渗</w:t>
                  </w:r>
                </w:p>
              </w:tc>
              <w:tc>
                <w:tcPr>
                  <w:tcW w:w="1066" w:type="pct"/>
                  <w:tcBorders>
                    <w:top w:val="single" w:color="auto" w:sz="4" w:space="0"/>
                    <w:left w:val="single" w:color="auto" w:sz="4" w:space="0"/>
                    <w:bottom w:val="single" w:color="auto" w:sz="4" w:space="0"/>
                    <w:right w:val="nil"/>
                  </w:tcBorders>
                  <w:vAlign w:val="center"/>
                </w:tcPr>
                <w:p w14:paraId="13CB0287">
                  <w:pPr>
                    <w:jc w:val="center"/>
                  </w:pPr>
                  <w:r>
                    <w:rPr>
                      <w:rFonts w:hint="eastAsia"/>
                    </w:rPr>
                    <w:t>4</w:t>
                  </w:r>
                </w:p>
              </w:tc>
            </w:tr>
            <w:tr w14:paraId="76BA3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continue"/>
                  <w:tcBorders>
                    <w:left w:val="nil"/>
                    <w:right w:val="single" w:color="auto" w:sz="4" w:space="0"/>
                  </w:tcBorders>
                  <w:vAlign w:val="center"/>
                </w:tcPr>
                <w:p w14:paraId="468D38AB">
                  <w:pPr>
                    <w:jc w:val="center"/>
                  </w:pPr>
                </w:p>
              </w:tc>
              <w:tc>
                <w:tcPr>
                  <w:tcW w:w="3360" w:type="pct"/>
                  <w:tcBorders>
                    <w:top w:val="single" w:color="auto" w:sz="4" w:space="0"/>
                    <w:left w:val="single" w:color="auto" w:sz="4" w:space="0"/>
                    <w:bottom w:val="single" w:color="auto" w:sz="4" w:space="0"/>
                    <w:right w:val="single" w:color="auto" w:sz="4" w:space="0"/>
                  </w:tcBorders>
                  <w:vAlign w:val="center"/>
                </w:tcPr>
                <w:p w14:paraId="3ADD9F6E">
                  <w:pPr>
                    <w:ind w:firstLine="420"/>
                    <w:jc w:val="center"/>
                    <w:rPr>
                      <w:szCs w:val="21"/>
                    </w:rPr>
                  </w:pPr>
                  <w:r>
                    <w:rPr>
                      <w:rFonts w:hint="eastAsia"/>
                      <w:szCs w:val="21"/>
                    </w:rPr>
                    <w:t>污泥池防渗</w:t>
                  </w:r>
                </w:p>
              </w:tc>
              <w:tc>
                <w:tcPr>
                  <w:tcW w:w="1066" w:type="pct"/>
                  <w:tcBorders>
                    <w:top w:val="single" w:color="auto" w:sz="4" w:space="0"/>
                    <w:left w:val="single" w:color="auto" w:sz="4" w:space="0"/>
                    <w:bottom w:val="single" w:color="auto" w:sz="4" w:space="0"/>
                    <w:right w:val="nil"/>
                  </w:tcBorders>
                  <w:vAlign w:val="center"/>
                </w:tcPr>
                <w:p w14:paraId="16641818">
                  <w:pPr>
                    <w:jc w:val="center"/>
                  </w:pPr>
                  <w:r>
                    <w:rPr>
                      <w:rFonts w:hint="eastAsia"/>
                    </w:rPr>
                    <w:t>2</w:t>
                  </w:r>
                </w:p>
              </w:tc>
            </w:tr>
            <w:tr w14:paraId="0BA68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continue"/>
                  <w:tcBorders>
                    <w:left w:val="nil"/>
                    <w:right w:val="single" w:color="auto" w:sz="4" w:space="0"/>
                  </w:tcBorders>
                  <w:vAlign w:val="center"/>
                </w:tcPr>
                <w:p w14:paraId="39AF872E">
                  <w:pPr>
                    <w:jc w:val="center"/>
                  </w:pPr>
                </w:p>
              </w:tc>
              <w:tc>
                <w:tcPr>
                  <w:tcW w:w="3360" w:type="pct"/>
                  <w:tcBorders>
                    <w:top w:val="single" w:color="auto" w:sz="4" w:space="0"/>
                    <w:left w:val="single" w:color="auto" w:sz="4" w:space="0"/>
                    <w:bottom w:val="single" w:color="auto" w:sz="4" w:space="0"/>
                    <w:right w:val="single" w:color="auto" w:sz="4" w:space="0"/>
                  </w:tcBorders>
                  <w:vAlign w:val="center"/>
                </w:tcPr>
                <w:p w14:paraId="08059A2D">
                  <w:pPr>
                    <w:ind w:firstLine="420"/>
                    <w:jc w:val="center"/>
                    <w:rPr>
                      <w:szCs w:val="21"/>
                    </w:rPr>
                  </w:pPr>
                  <w:r>
                    <w:rPr>
                      <w:rFonts w:hint="eastAsia"/>
                      <w:szCs w:val="21"/>
                    </w:rPr>
                    <w:t>防渗旱厕</w:t>
                  </w:r>
                </w:p>
              </w:tc>
              <w:tc>
                <w:tcPr>
                  <w:tcW w:w="1066" w:type="pct"/>
                  <w:tcBorders>
                    <w:top w:val="single" w:color="auto" w:sz="4" w:space="0"/>
                    <w:left w:val="single" w:color="auto" w:sz="4" w:space="0"/>
                    <w:bottom w:val="single" w:color="auto" w:sz="4" w:space="0"/>
                    <w:right w:val="nil"/>
                  </w:tcBorders>
                  <w:vAlign w:val="center"/>
                </w:tcPr>
                <w:p w14:paraId="75CB8BB5">
                  <w:pPr>
                    <w:jc w:val="center"/>
                  </w:pPr>
                  <w:r>
                    <w:rPr>
                      <w:rFonts w:hint="eastAsia"/>
                    </w:rPr>
                    <w:t>2</w:t>
                  </w:r>
                </w:p>
              </w:tc>
            </w:tr>
            <w:tr w14:paraId="08E89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restart"/>
                  <w:tcBorders>
                    <w:top w:val="single" w:color="auto" w:sz="4" w:space="0"/>
                    <w:left w:val="nil"/>
                    <w:right w:val="single" w:color="auto" w:sz="4" w:space="0"/>
                  </w:tcBorders>
                  <w:vAlign w:val="center"/>
                </w:tcPr>
                <w:p w14:paraId="53A9916D">
                  <w:pPr>
                    <w:jc w:val="center"/>
                  </w:pPr>
                  <w:r>
                    <w:rPr>
                      <w:rFonts w:hint="eastAsia"/>
                    </w:rPr>
                    <w:t>固废</w:t>
                  </w:r>
                </w:p>
              </w:tc>
              <w:tc>
                <w:tcPr>
                  <w:tcW w:w="3360" w:type="pct"/>
                  <w:tcBorders>
                    <w:top w:val="single" w:color="auto" w:sz="4" w:space="0"/>
                    <w:left w:val="single" w:color="auto" w:sz="4" w:space="0"/>
                    <w:bottom w:val="single" w:color="auto" w:sz="4" w:space="0"/>
                    <w:right w:val="single" w:color="auto" w:sz="4" w:space="0"/>
                  </w:tcBorders>
                  <w:vAlign w:val="center"/>
                </w:tcPr>
                <w:p w14:paraId="17C7DFE6">
                  <w:pPr>
                    <w:jc w:val="center"/>
                  </w:pPr>
                  <w:r>
                    <w:rPr>
                      <w:rFonts w:hint="eastAsia"/>
                    </w:rPr>
                    <w:t>固废收集设施、危险废物贮存点及防渗</w:t>
                  </w:r>
                </w:p>
              </w:tc>
              <w:tc>
                <w:tcPr>
                  <w:tcW w:w="1066" w:type="pct"/>
                  <w:tcBorders>
                    <w:top w:val="single" w:color="auto" w:sz="4" w:space="0"/>
                    <w:left w:val="single" w:color="auto" w:sz="4" w:space="0"/>
                    <w:bottom w:val="single" w:color="auto" w:sz="4" w:space="0"/>
                    <w:right w:val="nil"/>
                  </w:tcBorders>
                  <w:vAlign w:val="center"/>
                </w:tcPr>
                <w:p w14:paraId="0525100B">
                  <w:pPr>
                    <w:jc w:val="center"/>
                  </w:pPr>
                  <w:r>
                    <w:rPr>
                      <w:rFonts w:hint="eastAsia"/>
                    </w:rPr>
                    <w:t>5</w:t>
                  </w:r>
                </w:p>
              </w:tc>
            </w:tr>
            <w:tr w14:paraId="5D636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Merge w:val="continue"/>
                  <w:tcBorders>
                    <w:left w:val="nil"/>
                    <w:bottom w:val="single" w:color="auto" w:sz="4" w:space="0"/>
                    <w:right w:val="single" w:color="auto" w:sz="4" w:space="0"/>
                  </w:tcBorders>
                  <w:vAlign w:val="center"/>
                </w:tcPr>
                <w:p w14:paraId="3DEF74CD">
                  <w:pPr>
                    <w:jc w:val="center"/>
                  </w:pPr>
                </w:p>
              </w:tc>
              <w:tc>
                <w:tcPr>
                  <w:tcW w:w="3360" w:type="pct"/>
                  <w:tcBorders>
                    <w:top w:val="single" w:color="auto" w:sz="4" w:space="0"/>
                    <w:left w:val="single" w:color="auto" w:sz="4" w:space="0"/>
                    <w:bottom w:val="single" w:color="auto" w:sz="4" w:space="0"/>
                    <w:right w:val="single" w:color="auto" w:sz="4" w:space="0"/>
                  </w:tcBorders>
                  <w:vAlign w:val="center"/>
                </w:tcPr>
                <w:p w14:paraId="4B427B5B">
                  <w:pPr>
                    <w:jc w:val="center"/>
                  </w:pPr>
                  <w:r>
                    <w:t>厂区设置垃圾桶，定期清运处理</w:t>
                  </w:r>
                </w:p>
              </w:tc>
              <w:tc>
                <w:tcPr>
                  <w:tcW w:w="1066" w:type="pct"/>
                  <w:tcBorders>
                    <w:top w:val="single" w:color="auto" w:sz="4" w:space="0"/>
                    <w:left w:val="single" w:color="auto" w:sz="4" w:space="0"/>
                    <w:bottom w:val="single" w:color="auto" w:sz="4" w:space="0"/>
                    <w:right w:val="nil"/>
                  </w:tcBorders>
                  <w:vAlign w:val="center"/>
                </w:tcPr>
                <w:p w14:paraId="27662335">
                  <w:pPr>
                    <w:jc w:val="center"/>
                  </w:pPr>
                  <w:r>
                    <w:rPr>
                      <w:rFonts w:hint="eastAsia"/>
                    </w:rPr>
                    <w:t>1</w:t>
                  </w:r>
                </w:p>
              </w:tc>
            </w:tr>
            <w:tr w14:paraId="4B9D3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tcBorders>
                    <w:top w:val="single" w:color="auto" w:sz="4" w:space="0"/>
                    <w:left w:val="nil"/>
                    <w:bottom w:val="single" w:color="auto" w:sz="4" w:space="0"/>
                    <w:right w:val="single" w:color="auto" w:sz="4" w:space="0"/>
                  </w:tcBorders>
                  <w:vAlign w:val="center"/>
                </w:tcPr>
                <w:p w14:paraId="1F9EDD03">
                  <w:pPr>
                    <w:jc w:val="center"/>
                  </w:pPr>
                  <w:r>
                    <w:rPr>
                      <w:rFonts w:hint="eastAsia"/>
                    </w:rPr>
                    <w:t>噪声</w:t>
                  </w:r>
                </w:p>
              </w:tc>
              <w:tc>
                <w:tcPr>
                  <w:tcW w:w="3360" w:type="pct"/>
                  <w:tcBorders>
                    <w:top w:val="single" w:color="auto" w:sz="4" w:space="0"/>
                    <w:left w:val="single" w:color="auto" w:sz="4" w:space="0"/>
                    <w:bottom w:val="single" w:color="auto" w:sz="4" w:space="0"/>
                    <w:right w:val="single" w:color="auto" w:sz="4" w:space="0"/>
                  </w:tcBorders>
                  <w:vAlign w:val="center"/>
                </w:tcPr>
                <w:p w14:paraId="03F40A51">
                  <w:pPr>
                    <w:jc w:val="center"/>
                  </w:pPr>
                  <w:r>
                    <w:rPr>
                      <w:rFonts w:hint="eastAsia"/>
                    </w:rPr>
                    <w:t>减振、消声、隔声</w:t>
                  </w:r>
                </w:p>
              </w:tc>
              <w:tc>
                <w:tcPr>
                  <w:tcW w:w="1066" w:type="pct"/>
                  <w:tcBorders>
                    <w:top w:val="single" w:color="auto" w:sz="4" w:space="0"/>
                    <w:left w:val="single" w:color="auto" w:sz="4" w:space="0"/>
                    <w:bottom w:val="single" w:color="auto" w:sz="4" w:space="0"/>
                    <w:right w:val="nil"/>
                  </w:tcBorders>
                  <w:vAlign w:val="center"/>
                </w:tcPr>
                <w:p w14:paraId="2D266D47">
                  <w:pPr>
                    <w:jc w:val="center"/>
                  </w:pPr>
                  <w:r>
                    <w:rPr>
                      <w:rFonts w:hint="eastAsia"/>
                    </w:rPr>
                    <w:t>2</w:t>
                  </w:r>
                </w:p>
              </w:tc>
            </w:tr>
            <w:tr w14:paraId="186C5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3" w:type="pct"/>
                  <w:gridSpan w:val="2"/>
                  <w:tcBorders>
                    <w:top w:val="single" w:color="auto" w:sz="4" w:space="0"/>
                    <w:left w:val="nil"/>
                    <w:bottom w:val="single" w:color="auto" w:sz="4" w:space="0"/>
                    <w:right w:val="single" w:color="auto" w:sz="4" w:space="0"/>
                  </w:tcBorders>
                  <w:vAlign w:val="center"/>
                </w:tcPr>
                <w:p w14:paraId="395BA766">
                  <w:pPr>
                    <w:jc w:val="center"/>
                  </w:pPr>
                  <w:r>
                    <w:rPr>
                      <w:rFonts w:hint="eastAsia"/>
                    </w:rPr>
                    <w:t>环保设施运营期维护管理费用</w:t>
                  </w:r>
                </w:p>
              </w:tc>
              <w:tc>
                <w:tcPr>
                  <w:tcW w:w="1066" w:type="pct"/>
                  <w:tcBorders>
                    <w:top w:val="single" w:color="auto" w:sz="4" w:space="0"/>
                    <w:left w:val="single" w:color="auto" w:sz="4" w:space="0"/>
                    <w:bottom w:val="single" w:color="auto" w:sz="4" w:space="0"/>
                    <w:right w:val="nil"/>
                  </w:tcBorders>
                  <w:vAlign w:val="center"/>
                </w:tcPr>
                <w:p w14:paraId="01BD5F06">
                  <w:pPr>
                    <w:jc w:val="center"/>
                  </w:pPr>
                  <w:r>
                    <w:t>2</w:t>
                  </w:r>
                </w:p>
              </w:tc>
            </w:tr>
            <w:tr w14:paraId="791F1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3" w:type="pct"/>
                  <w:gridSpan w:val="2"/>
                  <w:tcBorders>
                    <w:top w:val="single" w:color="auto" w:sz="4" w:space="0"/>
                    <w:left w:val="nil"/>
                    <w:bottom w:val="single" w:color="auto" w:sz="12" w:space="0"/>
                    <w:right w:val="single" w:color="auto" w:sz="4" w:space="0"/>
                  </w:tcBorders>
                  <w:vAlign w:val="center"/>
                </w:tcPr>
                <w:p w14:paraId="3A1C573B">
                  <w:pPr>
                    <w:jc w:val="center"/>
                  </w:pPr>
                  <w:r>
                    <w:rPr>
                      <w:rFonts w:hint="eastAsia"/>
                    </w:rPr>
                    <w:t>合计</w:t>
                  </w:r>
                </w:p>
              </w:tc>
              <w:tc>
                <w:tcPr>
                  <w:tcW w:w="1066" w:type="pct"/>
                  <w:tcBorders>
                    <w:top w:val="single" w:color="auto" w:sz="4" w:space="0"/>
                    <w:left w:val="single" w:color="auto" w:sz="4" w:space="0"/>
                    <w:bottom w:val="single" w:color="auto" w:sz="12" w:space="0"/>
                    <w:right w:val="nil"/>
                  </w:tcBorders>
                  <w:vAlign w:val="center"/>
                </w:tcPr>
                <w:p w14:paraId="6D2CFEDC">
                  <w:pPr>
                    <w:jc w:val="center"/>
                  </w:pPr>
                  <w:r>
                    <w:fldChar w:fldCharType="begin"/>
                  </w:r>
                  <w:r>
                    <w:instrText xml:space="preserve"> =SUM(ABOVE) </w:instrText>
                  </w:r>
                  <w:r>
                    <w:fldChar w:fldCharType="separate"/>
                  </w:r>
                  <w:r>
                    <w:t>2</w:t>
                  </w:r>
                  <w:r>
                    <w:rPr>
                      <w:rFonts w:hint="eastAsia"/>
                    </w:rPr>
                    <w:t>2</w:t>
                  </w:r>
                  <w:r>
                    <w:fldChar w:fldCharType="end"/>
                  </w:r>
                </w:p>
              </w:tc>
            </w:tr>
          </w:tbl>
          <w:p w14:paraId="0741CC25">
            <w:pPr>
              <w:pStyle w:val="91"/>
              <w:ind w:firstLine="0" w:firstLineChars="0"/>
            </w:pPr>
          </w:p>
        </w:tc>
      </w:tr>
    </w:tbl>
    <w:p w14:paraId="1B9B3FA2">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14:paraId="60BB9240">
      <w:pPr>
        <w:pStyle w:val="27"/>
        <w:jc w:val="center"/>
        <w:outlineLvl w:val="0"/>
        <w:rPr>
          <w:rFonts w:ascii="Times New Roman" w:hAnsi="Times New Roman"/>
          <w:snapToGrid w:val="0"/>
          <w:sz w:val="30"/>
          <w:szCs w:val="30"/>
        </w:rPr>
      </w:pPr>
      <w:bookmarkStart w:id="11" w:name="_Toc83393934"/>
      <w:r>
        <w:rPr>
          <w:rFonts w:ascii="Times New Roman" w:hAnsi="Times New Roman"/>
          <w:snapToGrid w:val="0"/>
          <w:sz w:val="30"/>
          <w:szCs w:val="30"/>
        </w:rPr>
        <w:t>五、</w:t>
      </w:r>
      <w:bookmarkStart w:id="12" w:name="_Hlk54167917"/>
      <w:r>
        <w:rPr>
          <w:rFonts w:ascii="Times New Roman" w:hAnsi="Times New Roman"/>
          <w:snapToGrid w:val="0"/>
          <w:sz w:val="30"/>
          <w:szCs w:val="30"/>
        </w:rPr>
        <w:t>环境保护措施监督检查清单</w:t>
      </w:r>
      <w:bookmarkEnd w:id="11"/>
      <w:bookmarkEnd w:id="12"/>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390"/>
        <w:gridCol w:w="1107"/>
        <w:gridCol w:w="1933"/>
        <w:gridCol w:w="3325"/>
      </w:tblGrid>
      <w:tr w14:paraId="16F9D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tcBorders>
              <w:tl2br w:val="single" w:color="auto" w:sz="4" w:space="0"/>
            </w:tcBorders>
          </w:tcPr>
          <w:p w14:paraId="62F70D11">
            <w:pPr>
              <w:adjustRightInd w:val="0"/>
              <w:snapToGrid w:val="0"/>
              <w:jc w:val="right"/>
              <w:rPr>
                <w:szCs w:val="21"/>
              </w:rPr>
            </w:pPr>
            <w:r>
              <w:rPr>
                <w:szCs w:val="21"/>
              </w:rPr>
              <w:t>内容</w:t>
            </w:r>
          </w:p>
          <w:p w14:paraId="393DA54B">
            <w:pPr>
              <w:adjustRightInd w:val="0"/>
              <w:snapToGrid w:val="0"/>
              <w:jc w:val="right"/>
              <w:rPr>
                <w:szCs w:val="21"/>
              </w:rPr>
            </w:pPr>
          </w:p>
          <w:p w14:paraId="77B3C9CF">
            <w:pPr>
              <w:adjustRightInd w:val="0"/>
              <w:snapToGrid w:val="0"/>
              <w:rPr>
                <w:szCs w:val="21"/>
              </w:rPr>
            </w:pPr>
            <w:r>
              <w:rPr>
                <w:szCs w:val="21"/>
              </w:rPr>
              <w:t>要素</w:t>
            </w:r>
          </w:p>
        </w:tc>
        <w:tc>
          <w:tcPr>
            <w:tcW w:w="1390" w:type="dxa"/>
            <w:vAlign w:val="center"/>
          </w:tcPr>
          <w:p w14:paraId="53B395EB">
            <w:pPr>
              <w:adjustRightInd w:val="0"/>
              <w:snapToGrid w:val="0"/>
              <w:jc w:val="center"/>
              <w:rPr>
                <w:szCs w:val="21"/>
              </w:rPr>
            </w:pPr>
            <w:r>
              <w:rPr>
                <w:szCs w:val="21"/>
              </w:rPr>
              <w:t>排放口(编号、名称)/污染源</w:t>
            </w:r>
          </w:p>
        </w:tc>
        <w:tc>
          <w:tcPr>
            <w:tcW w:w="1107" w:type="dxa"/>
            <w:vAlign w:val="center"/>
          </w:tcPr>
          <w:p w14:paraId="531BE208">
            <w:pPr>
              <w:adjustRightInd w:val="0"/>
              <w:snapToGrid w:val="0"/>
              <w:jc w:val="center"/>
              <w:rPr>
                <w:szCs w:val="21"/>
              </w:rPr>
            </w:pPr>
            <w:r>
              <w:rPr>
                <w:szCs w:val="21"/>
              </w:rPr>
              <w:t>污染物项目</w:t>
            </w:r>
          </w:p>
        </w:tc>
        <w:tc>
          <w:tcPr>
            <w:tcW w:w="1933" w:type="dxa"/>
            <w:vAlign w:val="center"/>
          </w:tcPr>
          <w:p w14:paraId="5BDEA9C8">
            <w:pPr>
              <w:adjustRightInd w:val="0"/>
              <w:snapToGrid w:val="0"/>
              <w:jc w:val="center"/>
              <w:rPr>
                <w:szCs w:val="21"/>
              </w:rPr>
            </w:pPr>
            <w:r>
              <w:rPr>
                <w:szCs w:val="21"/>
              </w:rPr>
              <w:t>环境保护措施</w:t>
            </w:r>
          </w:p>
        </w:tc>
        <w:tc>
          <w:tcPr>
            <w:tcW w:w="3325" w:type="dxa"/>
            <w:vAlign w:val="center"/>
          </w:tcPr>
          <w:p w14:paraId="49325DBD">
            <w:pPr>
              <w:adjustRightInd w:val="0"/>
              <w:snapToGrid w:val="0"/>
              <w:jc w:val="center"/>
              <w:rPr>
                <w:szCs w:val="21"/>
              </w:rPr>
            </w:pPr>
            <w:r>
              <w:rPr>
                <w:szCs w:val="21"/>
              </w:rPr>
              <w:t>执行标准</w:t>
            </w:r>
          </w:p>
        </w:tc>
      </w:tr>
      <w:tr w14:paraId="708E9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3FC9D012">
            <w:pPr>
              <w:adjustRightInd w:val="0"/>
              <w:snapToGrid w:val="0"/>
              <w:jc w:val="center"/>
              <w:rPr>
                <w:szCs w:val="21"/>
              </w:rPr>
            </w:pPr>
            <w:r>
              <w:rPr>
                <w:szCs w:val="21"/>
              </w:rPr>
              <w:t>大气环境</w:t>
            </w:r>
          </w:p>
        </w:tc>
        <w:tc>
          <w:tcPr>
            <w:tcW w:w="1390" w:type="dxa"/>
            <w:vAlign w:val="center"/>
          </w:tcPr>
          <w:p w14:paraId="05B9183A">
            <w:pPr>
              <w:pStyle w:val="90"/>
              <w:rPr>
                <w:szCs w:val="21"/>
              </w:rPr>
            </w:pPr>
            <w:r>
              <w:rPr>
                <w:rFonts w:hint="eastAsia"/>
              </w:rPr>
              <w:t>/</w:t>
            </w:r>
          </w:p>
        </w:tc>
        <w:tc>
          <w:tcPr>
            <w:tcW w:w="1107" w:type="dxa"/>
            <w:vAlign w:val="center"/>
          </w:tcPr>
          <w:p w14:paraId="6D214B5D">
            <w:pPr>
              <w:adjustRightInd w:val="0"/>
              <w:snapToGrid w:val="0"/>
              <w:jc w:val="center"/>
              <w:rPr>
                <w:szCs w:val="21"/>
              </w:rPr>
            </w:pPr>
            <w:r>
              <w:rPr>
                <w:rFonts w:hint="eastAsia"/>
                <w:szCs w:val="21"/>
              </w:rPr>
              <w:t>/</w:t>
            </w:r>
          </w:p>
        </w:tc>
        <w:tc>
          <w:tcPr>
            <w:tcW w:w="1933" w:type="dxa"/>
            <w:vAlign w:val="center"/>
          </w:tcPr>
          <w:p w14:paraId="4654255E">
            <w:pPr>
              <w:adjustRightInd w:val="0"/>
              <w:snapToGrid w:val="0"/>
              <w:jc w:val="center"/>
              <w:rPr>
                <w:szCs w:val="21"/>
              </w:rPr>
            </w:pPr>
            <w:r>
              <w:rPr>
                <w:rFonts w:hint="eastAsia"/>
                <w:szCs w:val="21"/>
              </w:rPr>
              <w:t>/</w:t>
            </w:r>
          </w:p>
        </w:tc>
        <w:tc>
          <w:tcPr>
            <w:tcW w:w="3325" w:type="dxa"/>
            <w:vAlign w:val="center"/>
          </w:tcPr>
          <w:p w14:paraId="51A9A262">
            <w:pPr>
              <w:adjustRightInd w:val="0"/>
              <w:snapToGrid w:val="0"/>
              <w:jc w:val="center"/>
              <w:rPr>
                <w:szCs w:val="21"/>
              </w:rPr>
            </w:pPr>
            <w:r>
              <w:rPr>
                <w:rFonts w:hint="eastAsia"/>
              </w:rPr>
              <w:t>/</w:t>
            </w:r>
          </w:p>
        </w:tc>
      </w:tr>
      <w:tr w14:paraId="4904E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Merge w:val="restart"/>
            <w:vAlign w:val="center"/>
          </w:tcPr>
          <w:p w14:paraId="4438D979">
            <w:pPr>
              <w:adjustRightInd w:val="0"/>
              <w:snapToGrid w:val="0"/>
              <w:jc w:val="center"/>
              <w:rPr>
                <w:szCs w:val="21"/>
              </w:rPr>
            </w:pPr>
            <w:r>
              <w:rPr>
                <w:szCs w:val="21"/>
              </w:rPr>
              <w:t>地表水环境</w:t>
            </w:r>
          </w:p>
        </w:tc>
        <w:tc>
          <w:tcPr>
            <w:tcW w:w="1390" w:type="dxa"/>
            <w:vAlign w:val="center"/>
          </w:tcPr>
          <w:p w14:paraId="5915FB39">
            <w:pPr>
              <w:adjustRightInd w:val="0"/>
              <w:snapToGrid w:val="0"/>
              <w:jc w:val="center"/>
              <w:rPr>
                <w:szCs w:val="21"/>
              </w:rPr>
            </w:pPr>
            <w:r>
              <w:rPr>
                <w:rFonts w:hint="eastAsia"/>
                <w:szCs w:val="21"/>
              </w:rPr>
              <w:t>/</w:t>
            </w:r>
          </w:p>
        </w:tc>
        <w:tc>
          <w:tcPr>
            <w:tcW w:w="1107" w:type="dxa"/>
            <w:vAlign w:val="center"/>
          </w:tcPr>
          <w:p w14:paraId="1E55EA30">
            <w:pPr>
              <w:adjustRightInd w:val="0"/>
              <w:snapToGrid w:val="0"/>
              <w:jc w:val="center"/>
              <w:rPr>
                <w:szCs w:val="21"/>
              </w:rPr>
            </w:pPr>
            <w:r>
              <w:rPr>
                <w:rFonts w:hint="eastAsia"/>
                <w:szCs w:val="21"/>
              </w:rPr>
              <w:t>生产废水</w:t>
            </w:r>
          </w:p>
        </w:tc>
        <w:tc>
          <w:tcPr>
            <w:tcW w:w="1933" w:type="dxa"/>
            <w:vAlign w:val="center"/>
          </w:tcPr>
          <w:p w14:paraId="12EA8103">
            <w:pPr>
              <w:adjustRightInd w:val="0"/>
              <w:snapToGrid w:val="0"/>
              <w:jc w:val="center"/>
              <w:rPr>
                <w:szCs w:val="21"/>
              </w:rPr>
            </w:pPr>
            <w:r>
              <w:rPr>
                <w:rFonts w:hint="eastAsia"/>
                <w:szCs w:val="21"/>
              </w:rPr>
              <w:t>絮凝沉淀处理后，循环利用不外排。车间设置</w:t>
            </w:r>
            <w:r>
              <w:rPr>
                <w:rFonts w:hint="eastAsia"/>
                <w:szCs w:val="21"/>
                <w:lang w:val="en-US" w:eastAsia="zh-CN"/>
              </w:rPr>
              <w:t>4</w:t>
            </w:r>
            <w:r>
              <w:rPr>
                <w:rFonts w:hint="eastAsia"/>
                <w:szCs w:val="21"/>
              </w:rPr>
              <w:t>座水池，其中污水池2座，清水池1座，</w:t>
            </w:r>
            <w:r>
              <w:rPr>
                <w:rFonts w:hint="eastAsia"/>
                <w:szCs w:val="21"/>
                <w:lang w:val="en-US" w:eastAsia="zh-CN"/>
              </w:rPr>
              <w:t>污泥池1座，</w:t>
            </w:r>
            <w:r>
              <w:rPr>
                <w:rFonts w:hint="eastAsia"/>
                <w:szCs w:val="21"/>
              </w:rPr>
              <w:t>污水池容积分别为</w:t>
            </w:r>
            <w:r>
              <w:rPr>
                <w:szCs w:val="21"/>
              </w:rPr>
              <w:t>6</w:t>
            </w:r>
            <w:r>
              <w:rPr>
                <w:rFonts w:hint="eastAsia"/>
                <w:szCs w:val="21"/>
              </w:rPr>
              <w:t>m</w:t>
            </w:r>
            <w:r>
              <w:rPr>
                <w:szCs w:val="21"/>
                <w:vertAlign w:val="superscript"/>
              </w:rPr>
              <w:t>3</w:t>
            </w:r>
            <w:r>
              <w:rPr>
                <w:rFonts w:hint="eastAsia"/>
                <w:szCs w:val="21"/>
              </w:rPr>
              <w:t>、5m</w:t>
            </w:r>
            <w:r>
              <w:rPr>
                <w:szCs w:val="21"/>
                <w:vertAlign w:val="superscript"/>
              </w:rPr>
              <w:t>3</w:t>
            </w:r>
            <w:r>
              <w:rPr>
                <w:rFonts w:hint="eastAsia"/>
                <w:szCs w:val="21"/>
              </w:rPr>
              <w:t>，清水池容积为120m</w:t>
            </w:r>
            <w:r>
              <w:rPr>
                <w:szCs w:val="21"/>
                <w:vertAlign w:val="superscript"/>
              </w:rPr>
              <w:t>3</w:t>
            </w:r>
            <w:r>
              <w:rPr>
                <w:rFonts w:hint="eastAsia"/>
                <w:szCs w:val="21"/>
              </w:rPr>
              <w:t>，</w:t>
            </w:r>
            <w:r>
              <w:rPr>
                <w:rFonts w:hint="eastAsia"/>
                <w:szCs w:val="21"/>
                <w:lang w:val="en-US" w:eastAsia="zh-CN"/>
              </w:rPr>
              <w:t>污泥池</w:t>
            </w:r>
            <w:r>
              <w:rPr>
                <w:rFonts w:hint="eastAsia"/>
                <w:szCs w:val="21"/>
              </w:rPr>
              <w:t>容积为</w:t>
            </w:r>
            <w:r>
              <w:rPr>
                <w:rFonts w:hint="eastAsia"/>
                <w:szCs w:val="21"/>
                <w:lang w:val="en-US" w:eastAsia="zh-CN"/>
              </w:rPr>
              <w:t>2</w:t>
            </w:r>
            <w:r>
              <w:rPr>
                <w:rFonts w:hint="eastAsia"/>
                <w:szCs w:val="21"/>
              </w:rPr>
              <w:t>m</w:t>
            </w:r>
            <w:r>
              <w:rPr>
                <w:szCs w:val="21"/>
                <w:vertAlign w:val="superscript"/>
              </w:rPr>
              <w:t>3</w:t>
            </w:r>
          </w:p>
        </w:tc>
        <w:tc>
          <w:tcPr>
            <w:tcW w:w="3325" w:type="dxa"/>
            <w:vAlign w:val="center"/>
          </w:tcPr>
          <w:p w14:paraId="074E61E3">
            <w:pPr>
              <w:adjustRightInd w:val="0"/>
              <w:snapToGrid w:val="0"/>
              <w:jc w:val="center"/>
              <w:rPr>
                <w:szCs w:val="21"/>
              </w:rPr>
            </w:pPr>
            <w:r>
              <w:rPr>
                <w:rFonts w:hint="eastAsia"/>
                <w:szCs w:val="21"/>
              </w:rPr>
              <w:t>不外排。停产期废水需排空，其中污水池废水</w:t>
            </w:r>
            <w:r>
              <w:rPr>
                <w:rFonts w:hint="eastAsia"/>
                <w:szCs w:val="21"/>
                <w:lang w:val="en-US" w:eastAsia="zh-CN"/>
              </w:rPr>
              <w:t>由鸡东县瀚科水务有限公司定期拉运</w:t>
            </w:r>
            <w:r>
              <w:rPr>
                <w:rFonts w:hint="eastAsia"/>
                <w:szCs w:val="21"/>
              </w:rPr>
              <w:t>，清水池废水处理后用于周边植被绿化措施。</w:t>
            </w:r>
          </w:p>
        </w:tc>
      </w:tr>
      <w:tr w14:paraId="53133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Merge w:val="continue"/>
            <w:vAlign w:val="center"/>
          </w:tcPr>
          <w:p w14:paraId="1CD1DA69">
            <w:pPr>
              <w:adjustRightInd w:val="0"/>
              <w:snapToGrid w:val="0"/>
              <w:jc w:val="center"/>
              <w:rPr>
                <w:szCs w:val="21"/>
              </w:rPr>
            </w:pPr>
          </w:p>
        </w:tc>
        <w:tc>
          <w:tcPr>
            <w:tcW w:w="1390" w:type="dxa"/>
            <w:vAlign w:val="center"/>
          </w:tcPr>
          <w:p w14:paraId="2F44BA1D">
            <w:pPr>
              <w:adjustRightInd w:val="0"/>
              <w:snapToGrid w:val="0"/>
              <w:jc w:val="center"/>
              <w:rPr>
                <w:szCs w:val="21"/>
              </w:rPr>
            </w:pPr>
            <w:r>
              <w:rPr>
                <w:rFonts w:hint="eastAsia"/>
                <w:szCs w:val="21"/>
              </w:rPr>
              <w:t>/</w:t>
            </w:r>
          </w:p>
        </w:tc>
        <w:tc>
          <w:tcPr>
            <w:tcW w:w="1107" w:type="dxa"/>
            <w:vAlign w:val="center"/>
          </w:tcPr>
          <w:p w14:paraId="4D6FF02B">
            <w:pPr>
              <w:adjustRightInd w:val="0"/>
              <w:snapToGrid w:val="0"/>
              <w:jc w:val="center"/>
              <w:rPr>
                <w:szCs w:val="21"/>
              </w:rPr>
            </w:pPr>
            <w:r>
              <w:rPr>
                <w:rFonts w:hint="eastAsia"/>
                <w:szCs w:val="21"/>
              </w:rPr>
              <w:t>生活污水</w:t>
            </w:r>
          </w:p>
        </w:tc>
        <w:tc>
          <w:tcPr>
            <w:tcW w:w="1933" w:type="dxa"/>
            <w:vAlign w:val="center"/>
          </w:tcPr>
          <w:p w14:paraId="3200F66F">
            <w:pPr>
              <w:adjustRightInd w:val="0"/>
              <w:snapToGrid w:val="0"/>
              <w:jc w:val="center"/>
              <w:rPr>
                <w:szCs w:val="21"/>
              </w:rPr>
            </w:pPr>
            <w:r>
              <w:rPr>
                <w:rFonts w:hint="eastAsia"/>
                <w:szCs w:val="21"/>
              </w:rPr>
              <w:t>排入防渗旱厕，定期清掏堆肥</w:t>
            </w:r>
          </w:p>
        </w:tc>
        <w:tc>
          <w:tcPr>
            <w:tcW w:w="3325" w:type="dxa"/>
            <w:vAlign w:val="center"/>
          </w:tcPr>
          <w:p w14:paraId="0F90CECF">
            <w:pPr>
              <w:adjustRightInd w:val="0"/>
              <w:snapToGrid w:val="0"/>
              <w:jc w:val="center"/>
              <w:rPr>
                <w:szCs w:val="21"/>
              </w:rPr>
            </w:pPr>
            <w:r>
              <w:rPr>
                <w:rFonts w:hint="eastAsia"/>
                <w:szCs w:val="21"/>
              </w:rPr>
              <w:t>/</w:t>
            </w:r>
          </w:p>
        </w:tc>
      </w:tr>
      <w:tr w14:paraId="0BBEE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3F5943A5">
            <w:pPr>
              <w:adjustRightInd w:val="0"/>
              <w:snapToGrid w:val="0"/>
              <w:jc w:val="center"/>
              <w:rPr>
                <w:szCs w:val="21"/>
              </w:rPr>
            </w:pPr>
            <w:r>
              <w:rPr>
                <w:szCs w:val="21"/>
              </w:rPr>
              <w:t>声环境</w:t>
            </w:r>
          </w:p>
        </w:tc>
        <w:tc>
          <w:tcPr>
            <w:tcW w:w="1390" w:type="dxa"/>
            <w:vAlign w:val="center"/>
          </w:tcPr>
          <w:p w14:paraId="36FECFCF">
            <w:pPr>
              <w:adjustRightInd w:val="0"/>
              <w:snapToGrid w:val="0"/>
              <w:jc w:val="center"/>
              <w:rPr>
                <w:szCs w:val="21"/>
              </w:rPr>
            </w:pPr>
            <w:r>
              <w:rPr>
                <w:szCs w:val="21"/>
              </w:rPr>
              <w:t>生产设备噪声</w:t>
            </w:r>
          </w:p>
        </w:tc>
        <w:tc>
          <w:tcPr>
            <w:tcW w:w="1107" w:type="dxa"/>
            <w:vAlign w:val="center"/>
          </w:tcPr>
          <w:p w14:paraId="2C7461F5">
            <w:pPr>
              <w:adjustRightInd w:val="0"/>
              <w:snapToGrid w:val="0"/>
              <w:jc w:val="center"/>
              <w:rPr>
                <w:szCs w:val="21"/>
              </w:rPr>
            </w:pPr>
            <w:r>
              <w:rPr>
                <w:szCs w:val="21"/>
              </w:rPr>
              <w:t>昼/夜Leq</w:t>
            </w:r>
          </w:p>
        </w:tc>
        <w:tc>
          <w:tcPr>
            <w:tcW w:w="1933" w:type="dxa"/>
            <w:vAlign w:val="center"/>
          </w:tcPr>
          <w:p w14:paraId="33EAE56A">
            <w:pPr>
              <w:adjustRightInd w:val="0"/>
              <w:snapToGrid w:val="0"/>
              <w:jc w:val="center"/>
              <w:rPr>
                <w:szCs w:val="21"/>
              </w:rPr>
            </w:pPr>
            <w:r>
              <w:rPr>
                <w:rFonts w:hint="eastAsia"/>
                <w:szCs w:val="21"/>
              </w:rPr>
              <w:t>选用低噪声设备、</w:t>
            </w:r>
            <w:r>
              <w:rPr>
                <w:szCs w:val="21"/>
              </w:rPr>
              <w:t>减振、消声、隔声</w:t>
            </w:r>
          </w:p>
        </w:tc>
        <w:tc>
          <w:tcPr>
            <w:tcW w:w="3325" w:type="dxa"/>
            <w:vAlign w:val="center"/>
          </w:tcPr>
          <w:p w14:paraId="49EDA5F7">
            <w:pPr>
              <w:adjustRightInd w:val="0"/>
              <w:snapToGrid w:val="0"/>
              <w:jc w:val="center"/>
              <w:rPr>
                <w:szCs w:val="21"/>
              </w:rPr>
            </w:pPr>
            <w:r>
              <w:rPr>
                <w:szCs w:val="21"/>
              </w:rPr>
              <w:t>《工业企业厂界环境噪声排放标准》（GB12348-2008）表1中</w:t>
            </w:r>
            <w:r>
              <w:rPr>
                <w:rFonts w:hint="eastAsia"/>
                <w:szCs w:val="21"/>
              </w:rPr>
              <w:t>2</w:t>
            </w:r>
            <w:r>
              <w:rPr>
                <w:szCs w:val="21"/>
              </w:rPr>
              <w:t>类标准</w:t>
            </w:r>
          </w:p>
        </w:tc>
      </w:tr>
      <w:tr w14:paraId="25E5D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110C6F47">
            <w:pPr>
              <w:adjustRightInd w:val="0"/>
              <w:snapToGrid w:val="0"/>
              <w:jc w:val="center"/>
              <w:rPr>
                <w:szCs w:val="21"/>
              </w:rPr>
            </w:pPr>
            <w:r>
              <w:rPr>
                <w:szCs w:val="21"/>
              </w:rPr>
              <w:t>电磁辐射</w:t>
            </w:r>
          </w:p>
        </w:tc>
        <w:tc>
          <w:tcPr>
            <w:tcW w:w="1390" w:type="dxa"/>
            <w:vAlign w:val="center"/>
          </w:tcPr>
          <w:p w14:paraId="34765F85">
            <w:pPr>
              <w:adjustRightInd w:val="0"/>
              <w:snapToGrid w:val="0"/>
              <w:jc w:val="center"/>
              <w:rPr>
                <w:szCs w:val="21"/>
              </w:rPr>
            </w:pPr>
            <w:r>
              <w:rPr>
                <w:szCs w:val="21"/>
              </w:rPr>
              <w:t>/</w:t>
            </w:r>
          </w:p>
        </w:tc>
        <w:tc>
          <w:tcPr>
            <w:tcW w:w="1107" w:type="dxa"/>
            <w:vAlign w:val="center"/>
          </w:tcPr>
          <w:p w14:paraId="5BB9C5CF">
            <w:pPr>
              <w:adjustRightInd w:val="0"/>
              <w:snapToGrid w:val="0"/>
              <w:jc w:val="center"/>
              <w:rPr>
                <w:szCs w:val="21"/>
              </w:rPr>
            </w:pPr>
            <w:r>
              <w:rPr>
                <w:szCs w:val="21"/>
              </w:rPr>
              <w:t>/</w:t>
            </w:r>
          </w:p>
        </w:tc>
        <w:tc>
          <w:tcPr>
            <w:tcW w:w="1933" w:type="dxa"/>
            <w:vAlign w:val="center"/>
          </w:tcPr>
          <w:p w14:paraId="74549821">
            <w:pPr>
              <w:adjustRightInd w:val="0"/>
              <w:snapToGrid w:val="0"/>
              <w:jc w:val="center"/>
              <w:rPr>
                <w:szCs w:val="21"/>
              </w:rPr>
            </w:pPr>
            <w:r>
              <w:rPr>
                <w:szCs w:val="21"/>
              </w:rPr>
              <w:t>/</w:t>
            </w:r>
          </w:p>
        </w:tc>
        <w:tc>
          <w:tcPr>
            <w:tcW w:w="3325" w:type="dxa"/>
            <w:vAlign w:val="center"/>
          </w:tcPr>
          <w:p w14:paraId="7DECC870">
            <w:pPr>
              <w:adjustRightInd w:val="0"/>
              <w:snapToGrid w:val="0"/>
              <w:jc w:val="center"/>
              <w:rPr>
                <w:szCs w:val="21"/>
              </w:rPr>
            </w:pPr>
            <w:r>
              <w:rPr>
                <w:szCs w:val="21"/>
              </w:rPr>
              <w:t>/</w:t>
            </w:r>
          </w:p>
        </w:tc>
      </w:tr>
      <w:tr w14:paraId="45949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273FDEB7">
            <w:pPr>
              <w:adjustRightInd w:val="0"/>
              <w:snapToGrid w:val="0"/>
              <w:jc w:val="center"/>
              <w:rPr>
                <w:szCs w:val="21"/>
              </w:rPr>
            </w:pPr>
            <w:r>
              <w:rPr>
                <w:szCs w:val="21"/>
              </w:rPr>
              <w:t>固体废物</w:t>
            </w:r>
          </w:p>
        </w:tc>
        <w:tc>
          <w:tcPr>
            <w:tcW w:w="7755" w:type="dxa"/>
            <w:gridSpan w:val="4"/>
            <w:vAlign w:val="center"/>
          </w:tcPr>
          <w:p w14:paraId="1C9641B1">
            <w:pPr>
              <w:pStyle w:val="90"/>
            </w:pPr>
            <w:r>
              <w:t>生活垃圾</w:t>
            </w:r>
            <w:r>
              <w:rPr>
                <w:rFonts w:hint="eastAsia"/>
              </w:rPr>
              <w:t>、</w:t>
            </w:r>
            <w:r>
              <w:t>由</w:t>
            </w:r>
            <w:r>
              <w:rPr>
                <w:rFonts w:hint="eastAsia"/>
              </w:rPr>
              <w:t>当地</w:t>
            </w:r>
            <w:r>
              <w:t>环卫部门统一处置</w:t>
            </w:r>
            <w:r>
              <w:rPr>
                <w:rFonts w:hint="eastAsia"/>
              </w:rPr>
              <w:t>；对</w:t>
            </w:r>
            <w:r>
              <w:rPr>
                <w:rFonts w:hint="eastAsia"/>
                <w:kern w:val="2"/>
                <w:szCs w:val="24"/>
              </w:rPr>
              <w:t>湿法破碎+清洗工序产生的杂质、污泥</w:t>
            </w:r>
            <w:r>
              <w:rPr>
                <w:rFonts w:hint="eastAsia"/>
                <w:kern w:val="2"/>
                <w:szCs w:val="24"/>
                <w:lang w:eastAsia="zh-CN"/>
              </w:rPr>
              <w:t>，</w:t>
            </w:r>
            <w:r>
              <w:rPr>
                <w:rFonts w:hint="eastAsia"/>
                <w:kern w:val="2"/>
                <w:szCs w:val="24"/>
                <w:lang w:val="en-US" w:eastAsia="zh-CN"/>
              </w:rPr>
              <w:t>根据污泥产生情况由鸡东县瀚科水务有限公司不定期拉运</w:t>
            </w:r>
            <w:r>
              <w:rPr>
                <w:rFonts w:hint="eastAsia"/>
                <w:kern w:val="2"/>
                <w:szCs w:val="24"/>
              </w:rPr>
              <w:t>；废商标</w:t>
            </w:r>
            <w:r>
              <w:rPr>
                <w:rFonts w:hint="eastAsia"/>
                <w:szCs w:val="24"/>
                <w:lang w:eastAsia="zh-CN"/>
              </w:rPr>
              <w:t>、</w:t>
            </w:r>
            <w:r>
              <w:rPr>
                <w:rFonts w:hint="eastAsia"/>
                <w:color w:val="000000" w:themeColor="text1"/>
                <w:kern w:val="2"/>
                <w:szCs w:val="24"/>
                <w:lang w:val="en-US" w:eastAsia="zh-CN"/>
                <w14:textFill>
                  <w14:solidFill>
                    <w14:schemeClr w14:val="tx1"/>
                  </w14:solidFill>
                </w14:textFill>
              </w:rPr>
              <w:t>絮凝剂包装袋统一收集后外售废品收购站；</w:t>
            </w:r>
            <w:r>
              <w:rPr>
                <w:color w:val="000000" w:themeColor="text1"/>
                <w14:textFill>
                  <w14:solidFill>
                    <w14:schemeClr w14:val="tx1"/>
                  </w14:solidFill>
                </w14:textFill>
              </w:rPr>
              <w:t>废润滑油暂存在</w:t>
            </w:r>
            <w:r>
              <w:rPr>
                <w:rFonts w:hint="eastAsia"/>
                <w:color w:val="000000" w:themeColor="text1"/>
                <w14:textFill>
                  <w14:solidFill>
                    <w14:schemeClr w14:val="tx1"/>
                  </w14:solidFill>
                </w14:textFill>
              </w:rPr>
              <w:t>危</w:t>
            </w:r>
            <w:r>
              <w:rPr>
                <w:rFonts w:hint="eastAsia"/>
              </w:rPr>
              <w:t>险废物贮存点</w:t>
            </w:r>
            <w:r>
              <w:t>内，定期交由有资质单位处置。危险废物暂存在厂区内的</w:t>
            </w:r>
            <w:r>
              <w:rPr>
                <w:rFonts w:hint="eastAsia"/>
              </w:rPr>
              <w:t>危险废物贮存点</w:t>
            </w:r>
            <w:r>
              <w:t>，委托有资质单位进行处理，项目</w:t>
            </w:r>
            <w:r>
              <w:rPr>
                <w:rFonts w:hint="eastAsia"/>
              </w:rPr>
              <w:t>危险废物贮存点</w:t>
            </w:r>
            <w:r>
              <w:t>位于</w:t>
            </w:r>
            <w:r>
              <w:rPr>
                <w:rFonts w:hint="eastAsia"/>
              </w:rPr>
              <w:t>车间</w:t>
            </w:r>
            <w:r>
              <w:t>内，</w:t>
            </w:r>
            <w:r>
              <w:rPr>
                <w:szCs w:val="24"/>
              </w:rPr>
              <w:t>面积2m</w:t>
            </w:r>
            <w:r>
              <w:rPr>
                <w:szCs w:val="24"/>
                <w:vertAlign w:val="superscript"/>
              </w:rPr>
              <w:t>2</w:t>
            </w:r>
            <w:r>
              <w:rPr>
                <w:szCs w:val="24"/>
              </w:rPr>
              <w:t>，</w:t>
            </w:r>
            <w:r>
              <w:rPr>
                <w:rFonts w:hint="eastAsia"/>
                <w:szCs w:val="24"/>
              </w:rPr>
              <w:t>地面及裙脚</w:t>
            </w:r>
            <w:r>
              <w:t>采用2mm厚的高密度聚乙烯+防渗混凝土进行防渗处理，渗透系数≤10</w:t>
            </w:r>
            <w:r>
              <w:rPr>
                <w:vertAlign w:val="superscript"/>
              </w:rPr>
              <w:t>-10</w:t>
            </w:r>
            <w:r>
              <w:t>cm/s，</w:t>
            </w:r>
            <w:r>
              <w:rPr>
                <w:szCs w:val="24"/>
              </w:rPr>
              <w:t>满足《危险废物贮存污染控制标准》（GB18597-20</w:t>
            </w:r>
            <w:r>
              <w:rPr>
                <w:rFonts w:hint="eastAsia"/>
                <w:szCs w:val="24"/>
              </w:rPr>
              <w:t>23</w:t>
            </w:r>
            <w:r>
              <w:rPr>
                <w:szCs w:val="24"/>
              </w:rPr>
              <w:t>）</w:t>
            </w:r>
            <w:r>
              <w:rPr>
                <w:rFonts w:hint="eastAsia"/>
                <w:szCs w:val="24"/>
              </w:rPr>
              <w:t>要求</w:t>
            </w:r>
            <w:r>
              <w:t>。</w:t>
            </w:r>
          </w:p>
        </w:tc>
      </w:tr>
      <w:tr w14:paraId="6C320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6B578214">
            <w:pPr>
              <w:adjustRightInd w:val="0"/>
              <w:snapToGrid w:val="0"/>
              <w:jc w:val="center"/>
              <w:rPr>
                <w:szCs w:val="21"/>
              </w:rPr>
            </w:pPr>
            <w:r>
              <w:rPr>
                <w:szCs w:val="21"/>
              </w:rPr>
              <w:t>土壤及地下水污染防治措施</w:t>
            </w:r>
          </w:p>
        </w:tc>
        <w:tc>
          <w:tcPr>
            <w:tcW w:w="7755" w:type="dxa"/>
            <w:gridSpan w:val="4"/>
            <w:vAlign w:val="center"/>
          </w:tcPr>
          <w:p w14:paraId="753CCAAD">
            <w:pPr>
              <w:adjustRightInd w:val="0"/>
              <w:snapToGrid w:val="0"/>
              <w:jc w:val="center"/>
              <w:rPr>
                <w:rFonts w:hint="eastAsia" w:eastAsia="宋体"/>
                <w:szCs w:val="21"/>
                <w:lang w:eastAsia="zh"/>
              </w:rPr>
            </w:pPr>
            <w:r>
              <w:rPr>
                <w:rFonts w:hint="eastAsia"/>
              </w:rPr>
              <w:t>污水池、清水池和污泥池底部采取混凝土防渗措施，</w:t>
            </w:r>
            <w:r>
              <w:t>混凝土抗渗等级不低于P6，确保渗透系数小于10</w:t>
            </w:r>
            <w:r>
              <w:rPr>
                <w:vertAlign w:val="superscript"/>
              </w:rPr>
              <w:t>-7</w:t>
            </w:r>
            <w:r>
              <w:t>cm/s，厚度为500mm</w:t>
            </w:r>
            <w:r>
              <w:rPr>
                <w:rFonts w:hint="eastAsia"/>
              </w:rPr>
              <w:t>。厂房地面</w:t>
            </w:r>
            <w:r>
              <w:t>采取防渗混凝土结构，混凝土置于老土层或回填土上，要求回填土分层夯实，压实系数≥0.93，厚度不小于500mm，混凝土抗渗等级不低于P6，确保渗透系数小于10</w:t>
            </w:r>
            <w:r>
              <w:rPr>
                <w:vertAlign w:val="superscript"/>
              </w:rPr>
              <w:t>-7</w:t>
            </w:r>
            <w:r>
              <w:t>cm/s，厚度为500mm。防渗能够满足《环境影响评价技术导则 地下水环境》（HJ610-2016）表7中一般防渗区防渗技术要求（等效黏土防渗层Mb≥1.5m，渗透系数≤10</w:t>
            </w:r>
            <w:r>
              <w:rPr>
                <w:vertAlign w:val="superscript"/>
              </w:rPr>
              <w:t>-7</w:t>
            </w:r>
            <w:r>
              <w:t>cm/s</w:t>
            </w:r>
            <w:r>
              <w:rPr>
                <w:rFonts w:hint="eastAsia"/>
                <w:lang w:eastAsia="zh"/>
              </w:rPr>
              <w:t>)</w:t>
            </w:r>
          </w:p>
        </w:tc>
      </w:tr>
      <w:tr w14:paraId="31E52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6549421E">
            <w:pPr>
              <w:adjustRightInd w:val="0"/>
              <w:snapToGrid w:val="0"/>
              <w:jc w:val="center"/>
              <w:rPr>
                <w:szCs w:val="21"/>
              </w:rPr>
            </w:pPr>
            <w:r>
              <w:rPr>
                <w:szCs w:val="21"/>
              </w:rPr>
              <w:t>生态保护措施</w:t>
            </w:r>
          </w:p>
        </w:tc>
        <w:tc>
          <w:tcPr>
            <w:tcW w:w="7755" w:type="dxa"/>
            <w:gridSpan w:val="4"/>
            <w:vAlign w:val="center"/>
          </w:tcPr>
          <w:p w14:paraId="26D74B44">
            <w:pPr>
              <w:adjustRightInd w:val="0"/>
              <w:snapToGrid w:val="0"/>
              <w:jc w:val="center"/>
              <w:rPr>
                <w:szCs w:val="21"/>
              </w:rPr>
            </w:pPr>
            <w:r>
              <w:rPr>
                <w:szCs w:val="21"/>
              </w:rPr>
              <w:t>/</w:t>
            </w:r>
          </w:p>
        </w:tc>
      </w:tr>
      <w:tr w14:paraId="50001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5897C741">
            <w:pPr>
              <w:adjustRightInd w:val="0"/>
              <w:snapToGrid w:val="0"/>
              <w:jc w:val="center"/>
              <w:rPr>
                <w:spacing w:val="-8"/>
                <w:szCs w:val="21"/>
              </w:rPr>
            </w:pPr>
            <w:r>
              <w:rPr>
                <w:spacing w:val="-8"/>
                <w:szCs w:val="21"/>
              </w:rPr>
              <w:t>环境风险</w:t>
            </w:r>
          </w:p>
          <w:p w14:paraId="69A97D8C">
            <w:pPr>
              <w:adjustRightInd w:val="0"/>
              <w:snapToGrid w:val="0"/>
              <w:jc w:val="center"/>
              <w:rPr>
                <w:spacing w:val="-8"/>
                <w:szCs w:val="21"/>
              </w:rPr>
            </w:pPr>
            <w:r>
              <w:rPr>
                <w:spacing w:val="-8"/>
                <w:szCs w:val="21"/>
              </w:rPr>
              <w:t>防范措施</w:t>
            </w:r>
          </w:p>
        </w:tc>
        <w:tc>
          <w:tcPr>
            <w:tcW w:w="7755" w:type="dxa"/>
            <w:gridSpan w:val="4"/>
            <w:vAlign w:val="center"/>
          </w:tcPr>
          <w:p w14:paraId="68D890C1">
            <w:pPr>
              <w:pStyle w:val="90"/>
              <w:rPr>
                <w:szCs w:val="21"/>
              </w:rPr>
            </w:pPr>
            <w:r>
              <w:t>加强车间工作人员安全教育工作，每个工作人员在业务上、工作上与安全管理上的职责、责任必须明确</w:t>
            </w:r>
            <w:r>
              <w:rPr>
                <w:rFonts w:hint="eastAsia"/>
              </w:rPr>
              <w:t>；</w:t>
            </w:r>
            <w:r>
              <w:t>加强</w:t>
            </w:r>
            <w:r>
              <w:rPr>
                <w:rFonts w:hint="eastAsia"/>
              </w:rPr>
              <w:t>危险废物贮存点</w:t>
            </w:r>
            <w:r>
              <w:t>及存储设施的维护及管理，严格防止跑、冒、滴、漏现象发生</w:t>
            </w:r>
            <w:r>
              <w:rPr>
                <w:rFonts w:hint="eastAsia"/>
              </w:rPr>
              <w:t>；危险废物贮存点</w:t>
            </w:r>
            <w:r>
              <w:t>按照《危险废物贮存污染控制标准》（GB18597-20</w:t>
            </w:r>
            <w:r>
              <w:rPr>
                <w:rFonts w:hint="eastAsia"/>
              </w:rPr>
              <w:t>23</w:t>
            </w:r>
            <w:r>
              <w:t>）</w:t>
            </w:r>
            <w:r>
              <w:rPr>
                <w:rFonts w:hint="eastAsia"/>
              </w:rPr>
              <w:t>的要求</w:t>
            </w:r>
            <w:r>
              <w:t>进行建设</w:t>
            </w:r>
            <w:r>
              <w:rPr>
                <w:bCs/>
              </w:rPr>
              <w:t>，渗透系数应小于1.0×10</w:t>
            </w:r>
            <w:r>
              <w:rPr>
                <w:bCs/>
                <w:vertAlign w:val="superscript"/>
              </w:rPr>
              <w:t>-10</w:t>
            </w:r>
            <w:r>
              <w:rPr>
                <w:bCs/>
              </w:rPr>
              <w:t>cm/s的要求。加强管理，严格监测，严防跑冒。</w:t>
            </w:r>
          </w:p>
        </w:tc>
      </w:tr>
      <w:tr w14:paraId="6CEAC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9" w:type="dxa"/>
            <w:vAlign w:val="center"/>
          </w:tcPr>
          <w:p w14:paraId="320973BC">
            <w:pPr>
              <w:adjustRightInd w:val="0"/>
              <w:snapToGrid w:val="0"/>
              <w:jc w:val="center"/>
              <w:rPr>
                <w:spacing w:val="-8"/>
                <w:szCs w:val="21"/>
              </w:rPr>
            </w:pPr>
            <w:r>
              <w:rPr>
                <w:spacing w:val="-8"/>
                <w:szCs w:val="21"/>
              </w:rPr>
              <w:t>其他环境</w:t>
            </w:r>
          </w:p>
          <w:p w14:paraId="3738D478">
            <w:pPr>
              <w:adjustRightInd w:val="0"/>
              <w:snapToGrid w:val="0"/>
              <w:jc w:val="center"/>
              <w:rPr>
                <w:spacing w:val="-8"/>
                <w:szCs w:val="21"/>
              </w:rPr>
            </w:pPr>
            <w:r>
              <w:rPr>
                <w:spacing w:val="-8"/>
                <w:szCs w:val="21"/>
              </w:rPr>
              <w:t>管理要求</w:t>
            </w:r>
          </w:p>
        </w:tc>
        <w:tc>
          <w:tcPr>
            <w:tcW w:w="7755" w:type="dxa"/>
            <w:gridSpan w:val="4"/>
            <w:vAlign w:val="center"/>
          </w:tcPr>
          <w:p w14:paraId="0D7A8A24">
            <w:pPr>
              <w:ind w:firstLine="420" w:firstLineChars="200"/>
              <w:rPr>
                <w:szCs w:val="21"/>
              </w:rPr>
            </w:pPr>
            <w:r>
              <w:t>在项目投运之前，</w:t>
            </w:r>
            <w:r>
              <w:rPr>
                <w:rFonts w:hint="eastAsia"/>
              </w:rPr>
              <w:t>按照</w:t>
            </w:r>
            <w:r>
              <w:t>《固定污染源排污许可分类管理名录（2019年版）》</w:t>
            </w:r>
            <w:r>
              <w:rPr>
                <w:rFonts w:hint="eastAsia"/>
              </w:rPr>
              <w:t>的</w:t>
            </w:r>
            <w:r>
              <w:t>要求</w:t>
            </w:r>
            <w:r>
              <w:rPr>
                <w:rFonts w:hint="eastAsia"/>
              </w:rPr>
              <w:t>填报排污许可手续</w:t>
            </w:r>
            <w:r>
              <w:t>。</w:t>
            </w:r>
          </w:p>
        </w:tc>
      </w:tr>
    </w:tbl>
    <w:p w14:paraId="0E349F13">
      <w:pPr>
        <w:pStyle w:val="27"/>
        <w:jc w:val="center"/>
        <w:outlineLvl w:val="0"/>
        <w:rPr>
          <w:rFonts w:ascii="Times New Roman" w:hAnsi="Times New Roman"/>
          <w:snapToGrid w:val="0"/>
          <w:sz w:val="30"/>
          <w:szCs w:val="30"/>
        </w:rPr>
      </w:pPr>
      <w:r>
        <w:rPr>
          <w:rFonts w:ascii="Times New Roman" w:hAnsi="Times New Roman"/>
          <w:snapToGrid w:val="0"/>
        </w:rPr>
        <w:br w:type="page"/>
      </w:r>
      <w:bookmarkStart w:id="13" w:name="_Toc83393935"/>
      <w:r>
        <w:rPr>
          <w:rFonts w:ascii="Times New Roman" w:hAnsi="Times New Roman"/>
          <w:snapToGrid w:val="0"/>
          <w:sz w:val="30"/>
          <w:szCs w:val="30"/>
        </w:rPr>
        <w:t>六、结论</w:t>
      </w:r>
      <w:bookmarkEnd w:id="1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C931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9FE2E59">
            <w:pPr>
              <w:pStyle w:val="91"/>
              <w:ind w:firstLine="480"/>
            </w:pPr>
            <w:r>
              <w:t>本</w:t>
            </w:r>
            <w:r>
              <w:rPr>
                <w:szCs w:val="24"/>
              </w:rPr>
              <w:t>项目</w:t>
            </w:r>
            <w:r>
              <w:rPr>
                <w:bCs/>
              </w:rPr>
              <w:t>符合国家产业政策要求，符合</w:t>
            </w:r>
            <w:r>
              <w:t>“三线一单”相关要求，</w:t>
            </w:r>
            <w:r>
              <w:rPr>
                <w:bCs/>
              </w:rPr>
              <w:t>符合相关环境保护政策要求；</w:t>
            </w:r>
            <w:r>
              <w:t>项目在</w:t>
            </w:r>
            <w:r>
              <w:rPr>
                <w:rFonts w:hint="eastAsia"/>
              </w:rPr>
              <w:t>施工期和</w:t>
            </w:r>
            <w:r>
              <w:t>运营期产生的</w:t>
            </w:r>
            <w:r>
              <w:rPr>
                <w:rFonts w:hint="eastAsia"/>
              </w:rPr>
              <w:t>污染物</w:t>
            </w:r>
            <w:r>
              <w:t>按本报告中所提出的措施及方案进行治理、控制，并加强内部管理，实现环保设施的稳定运行</w:t>
            </w:r>
            <w:r>
              <w:rPr>
                <w:rFonts w:hint="eastAsia"/>
              </w:rPr>
              <w:t>，在</w:t>
            </w:r>
            <w:r>
              <w:t>确保污染物达标排放的前提下，项目对周围环境影响可接受。从环境保护角度而言，</w:t>
            </w:r>
            <w:r>
              <w:rPr>
                <w:rFonts w:hint="eastAsia"/>
              </w:rPr>
              <w:t>本</w:t>
            </w:r>
            <w:r>
              <w:t>项目</w:t>
            </w:r>
            <w:r>
              <w:rPr>
                <w:rFonts w:hint="eastAsia"/>
              </w:rPr>
              <w:t>建设</w:t>
            </w:r>
            <w:r>
              <w:t>是可行的。</w:t>
            </w:r>
          </w:p>
        </w:tc>
      </w:tr>
    </w:tbl>
    <w:p w14:paraId="49F510A7">
      <w:pPr>
        <w:sectPr>
          <w:pgSz w:w="11906" w:h="16838"/>
          <w:pgMar w:top="1701" w:right="1531" w:bottom="1701" w:left="1531" w:header="851" w:footer="851" w:gutter="0"/>
          <w:cols w:space="720" w:num="1"/>
          <w:docGrid w:linePitch="312" w:charSpace="0"/>
        </w:sectPr>
      </w:pPr>
    </w:p>
    <w:p w14:paraId="42AB316E">
      <w:pPr>
        <w:pStyle w:val="27"/>
        <w:adjustRightInd w:val="0"/>
        <w:snapToGrid w:val="0"/>
        <w:spacing w:before="0" w:beforeAutospacing="0" w:after="0" w:afterAutospacing="0"/>
        <w:outlineLvl w:val="0"/>
        <w:rPr>
          <w:rFonts w:ascii="Times New Roman" w:hAnsi="Times New Roman"/>
          <w:snapToGrid w:val="0"/>
          <w:sz w:val="32"/>
          <w:szCs w:val="32"/>
        </w:rPr>
      </w:pPr>
      <w:bookmarkStart w:id="14" w:name="_Toc83393936"/>
      <w:r>
        <w:rPr>
          <w:rFonts w:ascii="Times New Roman" w:hAnsi="Times New Roman"/>
          <w:snapToGrid w:val="0"/>
          <w:sz w:val="32"/>
          <w:szCs w:val="32"/>
        </w:rPr>
        <w:t>附表</w:t>
      </w:r>
      <w:bookmarkEnd w:id="14"/>
    </w:p>
    <w:p w14:paraId="3E87498A">
      <w:pPr>
        <w:pStyle w:val="27"/>
        <w:adjustRightInd w:val="0"/>
        <w:snapToGrid w:val="0"/>
        <w:spacing w:before="0" w:beforeAutospacing="0" w:after="0" w:afterAutospacing="0"/>
        <w:jc w:val="center"/>
        <w:outlineLvl w:val="0"/>
        <w:rPr>
          <w:rFonts w:ascii="Times New Roman" w:hAnsi="Times New Roman"/>
          <w:snapToGrid w:val="0"/>
          <w:sz w:val="38"/>
          <w:szCs w:val="38"/>
        </w:rPr>
      </w:pPr>
      <w:bookmarkStart w:id="15" w:name="_Toc83393937"/>
      <w:r>
        <w:rPr>
          <w:rFonts w:ascii="Times New Roman" w:hAnsi="Times New Roman"/>
          <w:snapToGrid w:val="0"/>
          <w:sz w:val="38"/>
          <w:szCs w:val="38"/>
        </w:rPr>
        <w:t>建设项目污染物排放量汇总表</w:t>
      </w:r>
      <w:bookmarkEnd w:id="15"/>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560"/>
        <w:gridCol w:w="1701"/>
        <w:gridCol w:w="1275"/>
        <w:gridCol w:w="1560"/>
        <w:gridCol w:w="1417"/>
        <w:gridCol w:w="1559"/>
        <w:gridCol w:w="1985"/>
        <w:gridCol w:w="1569"/>
      </w:tblGrid>
      <w:tr w14:paraId="768AB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tcBorders>
              <w:tl2br w:val="single" w:color="auto" w:sz="4" w:space="0"/>
            </w:tcBorders>
            <w:tcMar>
              <w:left w:w="28" w:type="dxa"/>
              <w:right w:w="28" w:type="dxa"/>
            </w:tcMar>
            <w:vAlign w:val="center"/>
          </w:tcPr>
          <w:p w14:paraId="4B5CAD74">
            <w:pPr>
              <w:pStyle w:val="73"/>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14:paraId="599CCA90">
            <w:pPr>
              <w:pStyle w:val="73"/>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560" w:type="dxa"/>
            <w:tcMar>
              <w:left w:w="28" w:type="dxa"/>
              <w:right w:w="28" w:type="dxa"/>
            </w:tcMar>
            <w:vAlign w:val="center"/>
          </w:tcPr>
          <w:p w14:paraId="7A082712">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701" w:type="dxa"/>
            <w:tcMar>
              <w:left w:w="28" w:type="dxa"/>
              <w:right w:w="28" w:type="dxa"/>
            </w:tcMar>
            <w:vAlign w:val="center"/>
          </w:tcPr>
          <w:p w14:paraId="2F4DFFEA">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14:paraId="648E93CF">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275" w:type="dxa"/>
            <w:tcMar>
              <w:left w:w="28" w:type="dxa"/>
              <w:right w:w="28" w:type="dxa"/>
            </w:tcMar>
            <w:vAlign w:val="center"/>
          </w:tcPr>
          <w:p w14:paraId="428F3DCB">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14:paraId="40DA9638">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14:paraId="7D85BBA8">
            <w:pPr>
              <w:pStyle w:val="73"/>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560" w:type="dxa"/>
            <w:tcMar>
              <w:left w:w="28" w:type="dxa"/>
              <w:right w:w="28" w:type="dxa"/>
            </w:tcMar>
            <w:vAlign w:val="center"/>
          </w:tcPr>
          <w:p w14:paraId="10D65D3C">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14:paraId="59BC3D19">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417" w:type="dxa"/>
            <w:tcMar>
              <w:left w:w="28" w:type="dxa"/>
              <w:right w:w="28" w:type="dxa"/>
            </w:tcMar>
            <w:vAlign w:val="center"/>
          </w:tcPr>
          <w:p w14:paraId="25552AFC">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14:paraId="7A80535F">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559" w:type="dxa"/>
            <w:tcMar>
              <w:left w:w="28" w:type="dxa"/>
              <w:right w:w="28" w:type="dxa"/>
            </w:tcMar>
            <w:vAlign w:val="center"/>
          </w:tcPr>
          <w:p w14:paraId="38901EEF">
            <w:pPr>
              <w:pStyle w:val="73"/>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14:paraId="552FC492">
            <w:pPr>
              <w:pStyle w:val="73"/>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1985" w:type="dxa"/>
            <w:tcMar>
              <w:left w:w="28" w:type="dxa"/>
              <w:right w:w="28" w:type="dxa"/>
            </w:tcMar>
            <w:vAlign w:val="center"/>
          </w:tcPr>
          <w:p w14:paraId="613CC748">
            <w:pPr>
              <w:pStyle w:val="73"/>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14:paraId="0C5D9BFF">
            <w:pPr>
              <w:pStyle w:val="73"/>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569" w:type="dxa"/>
            <w:tcMar>
              <w:left w:w="28" w:type="dxa"/>
              <w:right w:w="28" w:type="dxa"/>
            </w:tcMar>
            <w:vAlign w:val="center"/>
          </w:tcPr>
          <w:p w14:paraId="765D8004">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14:paraId="7A1F222C">
            <w:pPr>
              <w:pStyle w:val="73"/>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14:paraId="05430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vAlign w:val="center"/>
          </w:tcPr>
          <w:p w14:paraId="25CB70AD">
            <w:pPr>
              <w:pStyle w:val="90"/>
              <w:rPr>
                <w:szCs w:val="21"/>
              </w:rPr>
            </w:pPr>
            <w:r>
              <w:rPr>
                <w:szCs w:val="21"/>
              </w:rPr>
              <w:t>废气</w:t>
            </w:r>
          </w:p>
        </w:tc>
        <w:tc>
          <w:tcPr>
            <w:tcW w:w="1560" w:type="dxa"/>
            <w:vAlign w:val="center"/>
          </w:tcPr>
          <w:p w14:paraId="544F7CBF">
            <w:pPr>
              <w:pStyle w:val="90"/>
            </w:pPr>
            <w:r>
              <w:rPr>
                <w:rFonts w:hint="eastAsia"/>
              </w:rPr>
              <w:t>/</w:t>
            </w:r>
          </w:p>
        </w:tc>
        <w:tc>
          <w:tcPr>
            <w:tcW w:w="1701" w:type="dxa"/>
            <w:vAlign w:val="center"/>
          </w:tcPr>
          <w:p w14:paraId="78BD573E">
            <w:pPr>
              <w:jc w:val="center"/>
              <w:rPr>
                <w:szCs w:val="21"/>
              </w:rPr>
            </w:pPr>
            <w:r>
              <w:rPr>
                <w:rFonts w:hint="eastAsia"/>
              </w:rPr>
              <w:t>/</w:t>
            </w:r>
          </w:p>
        </w:tc>
        <w:tc>
          <w:tcPr>
            <w:tcW w:w="1275" w:type="dxa"/>
            <w:vAlign w:val="center"/>
          </w:tcPr>
          <w:p w14:paraId="0F52FC95">
            <w:pPr>
              <w:jc w:val="center"/>
              <w:rPr>
                <w:szCs w:val="21"/>
              </w:rPr>
            </w:pPr>
            <w:r>
              <w:rPr>
                <w:rFonts w:hint="eastAsia"/>
              </w:rPr>
              <w:t>/</w:t>
            </w:r>
          </w:p>
        </w:tc>
        <w:tc>
          <w:tcPr>
            <w:tcW w:w="1560" w:type="dxa"/>
            <w:vAlign w:val="center"/>
          </w:tcPr>
          <w:p w14:paraId="3B2C8723">
            <w:pPr>
              <w:jc w:val="center"/>
              <w:rPr>
                <w:szCs w:val="21"/>
              </w:rPr>
            </w:pPr>
            <w:r>
              <w:rPr>
                <w:rFonts w:hint="eastAsia"/>
              </w:rPr>
              <w:t>/</w:t>
            </w:r>
          </w:p>
        </w:tc>
        <w:tc>
          <w:tcPr>
            <w:tcW w:w="1417" w:type="dxa"/>
            <w:vAlign w:val="center"/>
          </w:tcPr>
          <w:p w14:paraId="7B2F456F">
            <w:pPr>
              <w:jc w:val="center"/>
            </w:pPr>
            <w:r>
              <w:rPr>
                <w:rFonts w:hint="eastAsia"/>
              </w:rPr>
              <w:t>/</w:t>
            </w:r>
          </w:p>
        </w:tc>
        <w:tc>
          <w:tcPr>
            <w:tcW w:w="1559" w:type="dxa"/>
            <w:vAlign w:val="center"/>
          </w:tcPr>
          <w:p w14:paraId="079488D9">
            <w:pPr>
              <w:jc w:val="center"/>
              <w:rPr>
                <w:szCs w:val="21"/>
              </w:rPr>
            </w:pPr>
            <w:r>
              <w:rPr>
                <w:rFonts w:hint="eastAsia"/>
              </w:rPr>
              <w:t>/</w:t>
            </w:r>
          </w:p>
        </w:tc>
        <w:tc>
          <w:tcPr>
            <w:tcW w:w="1985" w:type="dxa"/>
            <w:vAlign w:val="center"/>
          </w:tcPr>
          <w:p w14:paraId="5C3C5CCB">
            <w:pPr>
              <w:jc w:val="center"/>
            </w:pPr>
            <w:r>
              <w:rPr>
                <w:rFonts w:hint="eastAsia"/>
              </w:rPr>
              <w:t>/</w:t>
            </w:r>
          </w:p>
        </w:tc>
        <w:tc>
          <w:tcPr>
            <w:tcW w:w="1569" w:type="dxa"/>
            <w:vAlign w:val="center"/>
          </w:tcPr>
          <w:p w14:paraId="67DDE03D">
            <w:pPr>
              <w:jc w:val="center"/>
            </w:pPr>
            <w:r>
              <w:rPr>
                <w:rFonts w:hint="eastAsia"/>
              </w:rPr>
              <w:t>/</w:t>
            </w:r>
          </w:p>
        </w:tc>
      </w:tr>
      <w:tr w14:paraId="0B440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vAlign w:val="center"/>
          </w:tcPr>
          <w:p w14:paraId="05B1AE97">
            <w:pPr>
              <w:pStyle w:val="90"/>
              <w:rPr>
                <w:szCs w:val="21"/>
              </w:rPr>
            </w:pPr>
            <w:r>
              <w:rPr>
                <w:szCs w:val="21"/>
              </w:rPr>
              <w:t>废水</w:t>
            </w:r>
          </w:p>
        </w:tc>
        <w:tc>
          <w:tcPr>
            <w:tcW w:w="1560" w:type="dxa"/>
            <w:vAlign w:val="center"/>
          </w:tcPr>
          <w:p w14:paraId="3CFD9CE1">
            <w:pPr>
              <w:pStyle w:val="90"/>
              <w:rPr>
                <w:szCs w:val="21"/>
              </w:rPr>
            </w:pPr>
            <w:r>
              <w:rPr>
                <w:rFonts w:hint="eastAsia"/>
                <w:szCs w:val="21"/>
              </w:rPr>
              <w:t>/</w:t>
            </w:r>
          </w:p>
        </w:tc>
        <w:tc>
          <w:tcPr>
            <w:tcW w:w="1701" w:type="dxa"/>
            <w:vAlign w:val="center"/>
          </w:tcPr>
          <w:p w14:paraId="3155D388">
            <w:pPr>
              <w:jc w:val="center"/>
              <w:rPr>
                <w:szCs w:val="21"/>
              </w:rPr>
            </w:pPr>
            <w:r>
              <w:rPr>
                <w:rFonts w:hint="eastAsia"/>
              </w:rPr>
              <w:t>/</w:t>
            </w:r>
          </w:p>
        </w:tc>
        <w:tc>
          <w:tcPr>
            <w:tcW w:w="1275" w:type="dxa"/>
            <w:vAlign w:val="center"/>
          </w:tcPr>
          <w:p w14:paraId="67B0AF58">
            <w:pPr>
              <w:jc w:val="center"/>
              <w:rPr>
                <w:szCs w:val="21"/>
              </w:rPr>
            </w:pPr>
            <w:r>
              <w:rPr>
                <w:rFonts w:hint="eastAsia"/>
              </w:rPr>
              <w:t>/</w:t>
            </w:r>
          </w:p>
        </w:tc>
        <w:tc>
          <w:tcPr>
            <w:tcW w:w="1560" w:type="dxa"/>
            <w:vAlign w:val="center"/>
          </w:tcPr>
          <w:p w14:paraId="212DECA9">
            <w:pPr>
              <w:jc w:val="center"/>
              <w:rPr>
                <w:szCs w:val="21"/>
              </w:rPr>
            </w:pPr>
            <w:r>
              <w:rPr>
                <w:rFonts w:hint="eastAsia"/>
              </w:rPr>
              <w:t>/</w:t>
            </w:r>
          </w:p>
        </w:tc>
        <w:tc>
          <w:tcPr>
            <w:tcW w:w="1417" w:type="dxa"/>
            <w:vAlign w:val="center"/>
          </w:tcPr>
          <w:p w14:paraId="69DCFA05">
            <w:pPr>
              <w:jc w:val="center"/>
              <w:rPr>
                <w:szCs w:val="21"/>
              </w:rPr>
            </w:pPr>
            <w:r>
              <w:rPr>
                <w:rFonts w:hint="eastAsia"/>
              </w:rPr>
              <w:t>/</w:t>
            </w:r>
          </w:p>
        </w:tc>
        <w:tc>
          <w:tcPr>
            <w:tcW w:w="1559" w:type="dxa"/>
            <w:vAlign w:val="center"/>
          </w:tcPr>
          <w:p w14:paraId="3554CCC6">
            <w:pPr>
              <w:jc w:val="center"/>
              <w:rPr>
                <w:szCs w:val="21"/>
              </w:rPr>
            </w:pPr>
            <w:r>
              <w:rPr>
                <w:rFonts w:hint="eastAsia"/>
              </w:rPr>
              <w:t>/</w:t>
            </w:r>
          </w:p>
        </w:tc>
        <w:tc>
          <w:tcPr>
            <w:tcW w:w="1985" w:type="dxa"/>
            <w:vAlign w:val="center"/>
          </w:tcPr>
          <w:p w14:paraId="5214BEA1">
            <w:pPr>
              <w:jc w:val="center"/>
              <w:rPr>
                <w:szCs w:val="21"/>
              </w:rPr>
            </w:pPr>
            <w:r>
              <w:rPr>
                <w:rFonts w:hint="eastAsia"/>
              </w:rPr>
              <w:t>/</w:t>
            </w:r>
          </w:p>
        </w:tc>
        <w:tc>
          <w:tcPr>
            <w:tcW w:w="1569" w:type="dxa"/>
            <w:vAlign w:val="center"/>
          </w:tcPr>
          <w:p w14:paraId="16A2778C">
            <w:pPr>
              <w:jc w:val="center"/>
              <w:rPr>
                <w:szCs w:val="21"/>
              </w:rPr>
            </w:pPr>
            <w:r>
              <w:rPr>
                <w:rFonts w:hint="eastAsia"/>
              </w:rPr>
              <w:t>/</w:t>
            </w:r>
          </w:p>
        </w:tc>
      </w:tr>
      <w:tr w14:paraId="1B3DF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62" w:type="dxa"/>
            <w:vMerge w:val="restart"/>
            <w:vAlign w:val="center"/>
          </w:tcPr>
          <w:p w14:paraId="43D95EBF">
            <w:pPr>
              <w:pStyle w:val="90"/>
              <w:rPr>
                <w:szCs w:val="21"/>
              </w:rPr>
            </w:pPr>
            <w:r>
              <w:rPr>
                <w:szCs w:val="21"/>
              </w:rPr>
              <w:t>一般工业</w:t>
            </w:r>
          </w:p>
          <w:p w14:paraId="2980CF67">
            <w:pPr>
              <w:pStyle w:val="90"/>
              <w:rPr>
                <w:szCs w:val="21"/>
              </w:rPr>
            </w:pPr>
            <w:r>
              <w:rPr>
                <w:szCs w:val="21"/>
              </w:rPr>
              <w:t>固体废物</w:t>
            </w:r>
          </w:p>
        </w:tc>
        <w:tc>
          <w:tcPr>
            <w:tcW w:w="1560" w:type="dxa"/>
            <w:vAlign w:val="center"/>
          </w:tcPr>
          <w:p w14:paraId="0B98677D">
            <w:pPr>
              <w:pStyle w:val="90"/>
            </w:pPr>
            <w:r>
              <w:rPr>
                <w:rFonts w:hint="eastAsia"/>
              </w:rPr>
              <w:t>泥沙、杂质、污泥</w:t>
            </w:r>
          </w:p>
        </w:tc>
        <w:tc>
          <w:tcPr>
            <w:tcW w:w="1701" w:type="dxa"/>
            <w:vAlign w:val="center"/>
          </w:tcPr>
          <w:p w14:paraId="291324AA">
            <w:pPr>
              <w:jc w:val="center"/>
              <w:rPr>
                <w:szCs w:val="21"/>
              </w:rPr>
            </w:pPr>
            <w:r>
              <w:rPr>
                <w:rFonts w:hint="eastAsia"/>
              </w:rPr>
              <w:t>/</w:t>
            </w:r>
          </w:p>
        </w:tc>
        <w:tc>
          <w:tcPr>
            <w:tcW w:w="1275" w:type="dxa"/>
            <w:vAlign w:val="center"/>
          </w:tcPr>
          <w:p w14:paraId="6A3D2931">
            <w:pPr>
              <w:jc w:val="center"/>
              <w:rPr>
                <w:szCs w:val="21"/>
              </w:rPr>
            </w:pPr>
            <w:r>
              <w:rPr>
                <w:rFonts w:hint="eastAsia"/>
              </w:rPr>
              <w:t>/</w:t>
            </w:r>
          </w:p>
        </w:tc>
        <w:tc>
          <w:tcPr>
            <w:tcW w:w="1560" w:type="dxa"/>
            <w:vAlign w:val="center"/>
          </w:tcPr>
          <w:p w14:paraId="1032E849">
            <w:pPr>
              <w:jc w:val="center"/>
              <w:rPr>
                <w:szCs w:val="21"/>
              </w:rPr>
            </w:pPr>
            <w:r>
              <w:rPr>
                <w:rFonts w:hint="eastAsia"/>
              </w:rPr>
              <w:t>/</w:t>
            </w:r>
          </w:p>
        </w:tc>
        <w:tc>
          <w:tcPr>
            <w:tcW w:w="1417" w:type="dxa"/>
            <w:vAlign w:val="center"/>
          </w:tcPr>
          <w:p w14:paraId="1DB0C208">
            <w:pPr>
              <w:jc w:val="center"/>
            </w:pPr>
            <w:r>
              <w:rPr>
                <w:rFonts w:hint="eastAsia"/>
              </w:rPr>
              <w:t>249</w:t>
            </w:r>
          </w:p>
        </w:tc>
        <w:tc>
          <w:tcPr>
            <w:tcW w:w="1559" w:type="dxa"/>
            <w:vAlign w:val="center"/>
          </w:tcPr>
          <w:p w14:paraId="1072D410">
            <w:pPr>
              <w:pStyle w:val="90"/>
              <w:rPr>
                <w:snapToGrid w:val="0"/>
                <w:kern w:val="21"/>
                <w:szCs w:val="21"/>
              </w:rPr>
            </w:pPr>
            <w:r>
              <w:rPr>
                <w:rFonts w:hint="eastAsia"/>
                <w:szCs w:val="21"/>
              </w:rPr>
              <w:t>/</w:t>
            </w:r>
          </w:p>
        </w:tc>
        <w:tc>
          <w:tcPr>
            <w:tcW w:w="1985" w:type="dxa"/>
            <w:vAlign w:val="center"/>
          </w:tcPr>
          <w:p w14:paraId="6FDF0F52">
            <w:pPr>
              <w:jc w:val="center"/>
            </w:pPr>
            <w:r>
              <w:rPr>
                <w:rFonts w:hint="eastAsia"/>
              </w:rPr>
              <w:t>249</w:t>
            </w:r>
          </w:p>
        </w:tc>
        <w:tc>
          <w:tcPr>
            <w:tcW w:w="1569" w:type="dxa"/>
            <w:vAlign w:val="center"/>
          </w:tcPr>
          <w:p w14:paraId="22507C31">
            <w:pPr>
              <w:jc w:val="center"/>
            </w:pPr>
            <w:r>
              <w:rPr>
                <w:rFonts w:hint="eastAsia"/>
              </w:rPr>
              <w:t>+249</w:t>
            </w:r>
          </w:p>
        </w:tc>
      </w:tr>
      <w:tr w14:paraId="7CF8A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vMerge w:val="continue"/>
            <w:vAlign w:val="center"/>
          </w:tcPr>
          <w:p w14:paraId="555325D8">
            <w:pPr>
              <w:pStyle w:val="90"/>
              <w:rPr>
                <w:szCs w:val="21"/>
              </w:rPr>
            </w:pPr>
          </w:p>
        </w:tc>
        <w:tc>
          <w:tcPr>
            <w:tcW w:w="1560" w:type="dxa"/>
            <w:vAlign w:val="center"/>
          </w:tcPr>
          <w:p w14:paraId="404CD1E7">
            <w:pPr>
              <w:pStyle w:val="90"/>
            </w:pPr>
            <w:r>
              <w:rPr>
                <w:rFonts w:hint="eastAsia"/>
              </w:rPr>
              <w:t>不合格产品</w:t>
            </w:r>
          </w:p>
        </w:tc>
        <w:tc>
          <w:tcPr>
            <w:tcW w:w="1701" w:type="dxa"/>
            <w:vAlign w:val="center"/>
          </w:tcPr>
          <w:p w14:paraId="7B97AADE">
            <w:pPr>
              <w:jc w:val="center"/>
            </w:pPr>
            <w:r>
              <w:rPr>
                <w:rFonts w:hint="eastAsia"/>
              </w:rPr>
              <w:t>/</w:t>
            </w:r>
          </w:p>
        </w:tc>
        <w:tc>
          <w:tcPr>
            <w:tcW w:w="1275" w:type="dxa"/>
            <w:vAlign w:val="center"/>
          </w:tcPr>
          <w:p w14:paraId="10E07AF2">
            <w:pPr>
              <w:jc w:val="center"/>
            </w:pPr>
            <w:r>
              <w:rPr>
                <w:rFonts w:hint="eastAsia"/>
              </w:rPr>
              <w:t>/</w:t>
            </w:r>
          </w:p>
        </w:tc>
        <w:tc>
          <w:tcPr>
            <w:tcW w:w="1560" w:type="dxa"/>
            <w:vAlign w:val="center"/>
          </w:tcPr>
          <w:p w14:paraId="3F6B0CFC">
            <w:pPr>
              <w:jc w:val="center"/>
            </w:pPr>
            <w:r>
              <w:rPr>
                <w:rFonts w:hint="eastAsia"/>
              </w:rPr>
              <w:t>/</w:t>
            </w:r>
          </w:p>
        </w:tc>
        <w:tc>
          <w:tcPr>
            <w:tcW w:w="1417" w:type="dxa"/>
            <w:vAlign w:val="center"/>
          </w:tcPr>
          <w:p w14:paraId="0E10A0D2">
            <w:pPr>
              <w:jc w:val="center"/>
            </w:pPr>
            <w:r>
              <w:rPr>
                <w:rFonts w:hint="eastAsia"/>
              </w:rPr>
              <w:t>30</w:t>
            </w:r>
          </w:p>
        </w:tc>
        <w:tc>
          <w:tcPr>
            <w:tcW w:w="1559" w:type="dxa"/>
            <w:vAlign w:val="center"/>
          </w:tcPr>
          <w:p w14:paraId="28EA1556">
            <w:pPr>
              <w:pStyle w:val="90"/>
              <w:rPr>
                <w:szCs w:val="21"/>
              </w:rPr>
            </w:pPr>
            <w:r>
              <w:rPr>
                <w:rFonts w:hint="eastAsia"/>
                <w:szCs w:val="21"/>
              </w:rPr>
              <w:t>/</w:t>
            </w:r>
          </w:p>
        </w:tc>
        <w:tc>
          <w:tcPr>
            <w:tcW w:w="1985" w:type="dxa"/>
            <w:vAlign w:val="center"/>
          </w:tcPr>
          <w:p w14:paraId="0BB9B70C">
            <w:pPr>
              <w:jc w:val="center"/>
            </w:pPr>
            <w:r>
              <w:rPr>
                <w:rFonts w:hint="eastAsia"/>
              </w:rPr>
              <w:t>30</w:t>
            </w:r>
          </w:p>
        </w:tc>
        <w:tc>
          <w:tcPr>
            <w:tcW w:w="1569" w:type="dxa"/>
            <w:vAlign w:val="center"/>
          </w:tcPr>
          <w:p w14:paraId="537D2C74">
            <w:pPr>
              <w:jc w:val="center"/>
            </w:pPr>
            <w:r>
              <w:rPr>
                <w:rFonts w:hint="eastAsia"/>
              </w:rPr>
              <w:t>+30</w:t>
            </w:r>
          </w:p>
        </w:tc>
      </w:tr>
      <w:tr w14:paraId="45DF2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62" w:type="dxa"/>
            <w:vMerge w:val="continue"/>
            <w:vAlign w:val="center"/>
          </w:tcPr>
          <w:p w14:paraId="35287460">
            <w:pPr>
              <w:pStyle w:val="90"/>
              <w:rPr>
                <w:szCs w:val="21"/>
              </w:rPr>
            </w:pPr>
          </w:p>
        </w:tc>
        <w:tc>
          <w:tcPr>
            <w:tcW w:w="1560" w:type="dxa"/>
            <w:vAlign w:val="center"/>
          </w:tcPr>
          <w:p w14:paraId="6F442482">
            <w:pPr>
              <w:pStyle w:val="90"/>
            </w:pPr>
            <w:r>
              <w:rPr>
                <w:rFonts w:hint="eastAsia"/>
              </w:rPr>
              <w:t>废商标</w:t>
            </w:r>
          </w:p>
        </w:tc>
        <w:tc>
          <w:tcPr>
            <w:tcW w:w="1701" w:type="dxa"/>
            <w:vAlign w:val="center"/>
          </w:tcPr>
          <w:p w14:paraId="2E568EBA">
            <w:pPr>
              <w:jc w:val="center"/>
              <w:rPr>
                <w:szCs w:val="21"/>
              </w:rPr>
            </w:pPr>
            <w:r>
              <w:rPr>
                <w:rFonts w:hint="eastAsia"/>
              </w:rPr>
              <w:t>/</w:t>
            </w:r>
          </w:p>
        </w:tc>
        <w:tc>
          <w:tcPr>
            <w:tcW w:w="1275" w:type="dxa"/>
            <w:vAlign w:val="center"/>
          </w:tcPr>
          <w:p w14:paraId="05716467">
            <w:pPr>
              <w:jc w:val="center"/>
              <w:rPr>
                <w:szCs w:val="21"/>
              </w:rPr>
            </w:pPr>
            <w:r>
              <w:rPr>
                <w:rFonts w:hint="eastAsia"/>
              </w:rPr>
              <w:t>/</w:t>
            </w:r>
          </w:p>
        </w:tc>
        <w:tc>
          <w:tcPr>
            <w:tcW w:w="1560" w:type="dxa"/>
            <w:vAlign w:val="center"/>
          </w:tcPr>
          <w:p w14:paraId="24BC1C65">
            <w:pPr>
              <w:jc w:val="center"/>
              <w:rPr>
                <w:szCs w:val="21"/>
              </w:rPr>
            </w:pPr>
            <w:r>
              <w:rPr>
                <w:rFonts w:hint="eastAsia"/>
              </w:rPr>
              <w:t>/</w:t>
            </w:r>
          </w:p>
        </w:tc>
        <w:tc>
          <w:tcPr>
            <w:tcW w:w="1417" w:type="dxa"/>
            <w:vAlign w:val="center"/>
          </w:tcPr>
          <w:p w14:paraId="361AE3E7">
            <w:pPr>
              <w:pStyle w:val="90"/>
            </w:pPr>
            <w:r>
              <w:rPr>
                <w:rFonts w:hint="eastAsia"/>
              </w:rPr>
              <w:t>0</w:t>
            </w:r>
            <w:r>
              <w:t>.</w:t>
            </w:r>
            <w:r>
              <w:rPr>
                <w:rFonts w:hint="eastAsia"/>
              </w:rPr>
              <w:t>5</w:t>
            </w:r>
          </w:p>
        </w:tc>
        <w:tc>
          <w:tcPr>
            <w:tcW w:w="1559" w:type="dxa"/>
            <w:vAlign w:val="center"/>
          </w:tcPr>
          <w:p w14:paraId="7C1AD1BC">
            <w:pPr>
              <w:jc w:val="center"/>
              <w:rPr>
                <w:snapToGrid w:val="0"/>
                <w:kern w:val="21"/>
                <w:szCs w:val="21"/>
              </w:rPr>
            </w:pPr>
            <w:r>
              <w:rPr>
                <w:rFonts w:hint="eastAsia"/>
              </w:rPr>
              <w:t>/</w:t>
            </w:r>
          </w:p>
        </w:tc>
        <w:tc>
          <w:tcPr>
            <w:tcW w:w="1985" w:type="dxa"/>
            <w:vAlign w:val="center"/>
          </w:tcPr>
          <w:p w14:paraId="11AACB83">
            <w:pPr>
              <w:pStyle w:val="90"/>
            </w:pPr>
            <w:r>
              <w:rPr>
                <w:rFonts w:hint="eastAsia"/>
              </w:rPr>
              <w:t>0</w:t>
            </w:r>
            <w:r>
              <w:t>.</w:t>
            </w:r>
            <w:r>
              <w:rPr>
                <w:rFonts w:hint="eastAsia"/>
              </w:rPr>
              <w:t>5</w:t>
            </w:r>
          </w:p>
        </w:tc>
        <w:tc>
          <w:tcPr>
            <w:tcW w:w="1569" w:type="dxa"/>
            <w:vAlign w:val="center"/>
          </w:tcPr>
          <w:p w14:paraId="3ED3F96D">
            <w:pPr>
              <w:pStyle w:val="90"/>
            </w:pPr>
            <w:r>
              <w:rPr>
                <w:rFonts w:hint="eastAsia"/>
              </w:rPr>
              <w:t>+0</w:t>
            </w:r>
            <w:r>
              <w:t>.</w:t>
            </w:r>
            <w:r>
              <w:rPr>
                <w:rFonts w:hint="eastAsia"/>
              </w:rPr>
              <w:t>5</w:t>
            </w:r>
          </w:p>
        </w:tc>
      </w:tr>
      <w:tr w14:paraId="48117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62" w:type="dxa"/>
            <w:vMerge w:val="continue"/>
            <w:vAlign w:val="center"/>
          </w:tcPr>
          <w:p w14:paraId="6EAF505D">
            <w:pPr>
              <w:pStyle w:val="90"/>
              <w:rPr>
                <w:szCs w:val="21"/>
              </w:rPr>
            </w:pPr>
          </w:p>
        </w:tc>
        <w:tc>
          <w:tcPr>
            <w:tcW w:w="1560" w:type="dxa"/>
            <w:vAlign w:val="center"/>
          </w:tcPr>
          <w:p w14:paraId="0C601E46">
            <w:pPr>
              <w:pStyle w:val="90"/>
              <w:rPr>
                <w:rFonts w:hint="default" w:eastAsia="宋体"/>
                <w:color w:val="FF0000"/>
                <w:lang w:val="en-US" w:eastAsia="zh-CN"/>
              </w:rPr>
            </w:pPr>
            <w:r>
              <w:rPr>
                <w:rFonts w:hint="eastAsia"/>
                <w:color w:val="FF0000"/>
                <w:lang w:val="en-US" w:eastAsia="zh-CN"/>
              </w:rPr>
              <w:t>絮凝剂包装袋</w:t>
            </w:r>
          </w:p>
        </w:tc>
        <w:tc>
          <w:tcPr>
            <w:tcW w:w="1701" w:type="dxa"/>
            <w:vAlign w:val="center"/>
          </w:tcPr>
          <w:p w14:paraId="4668E905">
            <w:pPr>
              <w:jc w:val="center"/>
              <w:rPr>
                <w:rFonts w:hint="eastAsia" w:eastAsia="宋体"/>
                <w:color w:val="FF0000"/>
                <w:lang w:val="en-US" w:eastAsia="zh-CN"/>
              </w:rPr>
            </w:pPr>
            <w:r>
              <w:rPr>
                <w:rFonts w:hint="eastAsia"/>
                <w:color w:val="FF0000"/>
                <w:lang w:val="en-US" w:eastAsia="zh-CN"/>
              </w:rPr>
              <w:t>/</w:t>
            </w:r>
          </w:p>
        </w:tc>
        <w:tc>
          <w:tcPr>
            <w:tcW w:w="1275" w:type="dxa"/>
            <w:vAlign w:val="center"/>
          </w:tcPr>
          <w:p w14:paraId="78C3F141">
            <w:pPr>
              <w:jc w:val="center"/>
              <w:rPr>
                <w:rFonts w:hint="eastAsia" w:eastAsia="宋体"/>
                <w:color w:val="FF0000"/>
                <w:lang w:val="en-US" w:eastAsia="zh-CN"/>
              </w:rPr>
            </w:pPr>
            <w:r>
              <w:rPr>
                <w:rFonts w:hint="eastAsia"/>
                <w:color w:val="FF0000"/>
                <w:lang w:val="en-US" w:eastAsia="zh-CN"/>
              </w:rPr>
              <w:t>/</w:t>
            </w:r>
          </w:p>
        </w:tc>
        <w:tc>
          <w:tcPr>
            <w:tcW w:w="1560" w:type="dxa"/>
            <w:vAlign w:val="center"/>
          </w:tcPr>
          <w:p w14:paraId="334B6A49">
            <w:pPr>
              <w:jc w:val="center"/>
              <w:rPr>
                <w:rFonts w:hint="eastAsia" w:eastAsia="宋体"/>
                <w:color w:val="FF0000"/>
                <w:lang w:val="en-US" w:eastAsia="zh-CN"/>
              </w:rPr>
            </w:pPr>
            <w:r>
              <w:rPr>
                <w:rFonts w:hint="eastAsia"/>
                <w:color w:val="FF0000"/>
                <w:lang w:val="en-US" w:eastAsia="zh-CN"/>
              </w:rPr>
              <w:t>/</w:t>
            </w:r>
          </w:p>
        </w:tc>
        <w:tc>
          <w:tcPr>
            <w:tcW w:w="1417" w:type="dxa"/>
            <w:vAlign w:val="center"/>
          </w:tcPr>
          <w:p w14:paraId="519EE43E">
            <w:pPr>
              <w:pStyle w:val="90"/>
              <w:rPr>
                <w:rFonts w:hint="default" w:eastAsia="宋体"/>
                <w:color w:val="FF0000"/>
                <w:lang w:val="en-US" w:eastAsia="zh-CN"/>
              </w:rPr>
            </w:pPr>
            <w:r>
              <w:rPr>
                <w:rFonts w:hint="eastAsia"/>
                <w:color w:val="FF0000"/>
                <w:lang w:val="en-US" w:eastAsia="zh-CN"/>
              </w:rPr>
              <w:t>0.002</w:t>
            </w:r>
          </w:p>
        </w:tc>
        <w:tc>
          <w:tcPr>
            <w:tcW w:w="1559" w:type="dxa"/>
            <w:vAlign w:val="center"/>
          </w:tcPr>
          <w:p w14:paraId="75036E99">
            <w:pPr>
              <w:jc w:val="center"/>
              <w:rPr>
                <w:rFonts w:hint="eastAsia" w:eastAsia="宋体"/>
                <w:color w:val="FF0000"/>
                <w:lang w:val="en-US" w:eastAsia="zh-CN"/>
              </w:rPr>
            </w:pPr>
            <w:r>
              <w:rPr>
                <w:rFonts w:hint="eastAsia"/>
                <w:color w:val="FF0000"/>
                <w:lang w:val="en-US" w:eastAsia="zh-CN"/>
              </w:rPr>
              <w:t>/</w:t>
            </w:r>
          </w:p>
        </w:tc>
        <w:tc>
          <w:tcPr>
            <w:tcW w:w="1985" w:type="dxa"/>
            <w:vAlign w:val="center"/>
          </w:tcPr>
          <w:p w14:paraId="4E4F4D4A">
            <w:pPr>
              <w:pStyle w:val="90"/>
              <w:rPr>
                <w:rFonts w:hint="default" w:eastAsia="宋体"/>
                <w:color w:val="FF0000"/>
                <w:lang w:val="en-US" w:eastAsia="zh-CN"/>
              </w:rPr>
            </w:pPr>
            <w:r>
              <w:rPr>
                <w:rFonts w:hint="eastAsia"/>
                <w:color w:val="FF0000"/>
                <w:lang w:val="en-US" w:eastAsia="zh-CN"/>
              </w:rPr>
              <w:t>0.002</w:t>
            </w:r>
          </w:p>
        </w:tc>
        <w:tc>
          <w:tcPr>
            <w:tcW w:w="1569" w:type="dxa"/>
            <w:vAlign w:val="center"/>
          </w:tcPr>
          <w:p w14:paraId="2AEF8954">
            <w:pPr>
              <w:pStyle w:val="90"/>
              <w:rPr>
                <w:rFonts w:hint="default" w:eastAsia="宋体"/>
                <w:color w:val="FF0000"/>
                <w:lang w:val="en-US" w:eastAsia="zh-CN"/>
              </w:rPr>
            </w:pPr>
            <w:r>
              <w:rPr>
                <w:rFonts w:hint="eastAsia"/>
                <w:color w:val="FF0000"/>
                <w:lang w:val="en-US" w:eastAsia="zh-CN"/>
              </w:rPr>
              <w:t>+0.002</w:t>
            </w:r>
          </w:p>
        </w:tc>
      </w:tr>
      <w:tr w14:paraId="2B43D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vMerge w:val="restart"/>
            <w:vAlign w:val="center"/>
          </w:tcPr>
          <w:p w14:paraId="270FEE06">
            <w:pPr>
              <w:pStyle w:val="90"/>
              <w:rPr>
                <w:szCs w:val="21"/>
              </w:rPr>
            </w:pPr>
            <w:r>
              <w:rPr>
                <w:szCs w:val="21"/>
              </w:rPr>
              <w:t>危险废物</w:t>
            </w:r>
          </w:p>
        </w:tc>
        <w:tc>
          <w:tcPr>
            <w:tcW w:w="1560" w:type="dxa"/>
            <w:vAlign w:val="center"/>
          </w:tcPr>
          <w:p w14:paraId="5A9464C1">
            <w:pPr>
              <w:pStyle w:val="90"/>
            </w:pPr>
            <w:r>
              <w:t>废润滑油</w:t>
            </w:r>
          </w:p>
        </w:tc>
        <w:tc>
          <w:tcPr>
            <w:tcW w:w="1701" w:type="dxa"/>
            <w:vAlign w:val="center"/>
          </w:tcPr>
          <w:p w14:paraId="3F790490">
            <w:pPr>
              <w:jc w:val="center"/>
              <w:rPr>
                <w:szCs w:val="21"/>
              </w:rPr>
            </w:pPr>
            <w:r>
              <w:rPr>
                <w:rFonts w:hint="eastAsia"/>
              </w:rPr>
              <w:t>/</w:t>
            </w:r>
          </w:p>
        </w:tc>
        <w:tc>
          <w:tcPr>
            <w:tcW w:w="1275" w:type="dxa"/>
            <w:vAlign w:val="center"/>
          </w:tcPr>
          <w:p w14:paraId="5B60F13B">
            <w:pPr>
              <w:jc w:val="center"/>
              <w:rPr>
                <w:szCs w:val="21"/>
              </w:rPr>
            </w:pPr>
            <w:r>
              <w:rPr>
                <w:rFonts w:hint="eastAsia"/>
              </w:rPr>
              <w:t>/</w:t>
            </w:r>
          </w:p>
        </w:tc>
        <w:tc>
          <w:tcPr>
            <w:tcW w:w="1560" w:type="dxa"/>
            <w:vAlign w:val="center"/>
          </w:tcPr>
          <w:p w14:paraId="373E56A7">
            <w:pPr>
              <w:jc w:val="center"/>
              <w:rPr>
                <w:szCs w:val="21"/>
              </w:rPr>
            </w:pPr>
            <w:r>
              <w:rPr>
                <w:rFonts w:hint="eastAsia"/>
              </w:rPr>
              <w:t>/</w:t>
            </w:r>
          </w:p>
        </w:tc>
        <w:tc>
          <w:tcPr>
            <w:tcW w:w="1417" w:type="dxa"/>
            <w:vAlign w:val="center"/>
          </w:tcPr>
          <w:p w14:paraId="2D73A8C4">
            <w:pPr>
              <w:pStyle w:val="90"/>
            </w:pPr>
            <w:r>
              <w:t>0.05</w:t>
            </w:r>
          </w:p>
        </w:tc>
        <w:tc>
          <w:tcPr>
            <w:tcW w:w="1559" w:type="dxa"/>
            <w:vAlign w:val="center"/>
          </w:tcPr>
          <w:p w14:paraId="08C6E351">
            <w:pPr>
              <w:jc w:val="center"/>
              <w:rPr>
                <w:snapToGrid w:val="0"/>
                <w:kern w:val="21"/>
                <w:szCs w:val="21"/>
              </w:rPr>
            </w:pPr>
            <w:r>
              <w:rPr>
                <w:rFonts w:hint="eastAsia"/>
              </w:rPr>
              <w:t>/</w:t>
            </w:r>
          </w:p>
        </w:tc>
        <w:tc>
          <w:tcPr>
            <w:tcW w:w="1985" w:type="dxa"/>
            <w:vAlign w:val="center"/>
          </w:tcPr>
          <w:p w14:paraId="7A665A96">
            <w:pPr>
              <w:pStyle w:val="90"/>
            </w:pPr>
            <w:r>
              <w:t>0.05</w:t>
            </w:r>
          </w:p>
        </w:tc>
        <w:tc>
          <w:tcPr>
            <w:tcW w:w="1569" w:type="dxa"/>
            <w:vAlign w:val="center"/>
          </w:tcPr>
          <w:p w14:paraId="7F0691C9">
            <w:pPr>
              <w:pStyle w:val="90"/>
            </w:pPr>
            <w:r>
              <w:rPr>
                <w:rFonts w:hint="eastAsia"/>
              </w:rPr>
              <w:t>+</w:t>
            </w:r>
            <w:r>
              <w:t>0.05</w:t>
            </w:r>
          </w:p>
        </w:tc>
      </w:tr>
      <w:tr w14:paraId="0DAC1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62" w:type="dxa"/>
            <w:vMerge w:val="continue"/>
            <w:vAlign w:val="center"/>
          </w:tcPr>
          <w:p w14:paraId="544ABF37">
            <w:pPr>
              <w:pStyle w:val="90"/>
              <w:rPr>
                <w:szCs w:val="21"/>
              </w:rPr>
            </w:pPr>
          </w:p>
        </w:tc>
        <w:tc>
          <w:tcPr>
            <w:tcW w:w="1560" w:type="dxa"/>
            <w:vAlign w:val="center"/>
          </w:tcPr>
          <w:p w14:paraId="05F776C3">
            <w:pPr>
              <w:pStyle w:val="90"/>
            </w:pPr>
            <w:r>
              <w:t>含油抹布、含油零部件及废</w:t>
            </w:r>
            <w:r>
              <w:rPr>
                <w:rFonts w:hint="eastAsia"/>
              </w:rPr>
              <w:t>润滑</w:t>
            </w:r>
            <w:r>
              <w:t>油桶</w:t>
            </w:r>
          </w:p>
        </w:tc>
        <w:tc>
          <w:tcPr>
            <w:tcW w:w="1701" w:type="dxa"/>
            <w:vAlign w:val="center"/>
          </w:tcPr>
          <w:p w14:paraId="044DA1B1">
            <w:pPr>
              <w:jc w:val="center"/>
            </w:pPr>
            <w:r>
              <w:rPr>
                <w:rFonts w:hint="eastAsia"/>
              </w:rPr>
              <w:t>/</w:t>
            </w:r>
          </w:p>
        </w:tc>
        <w:tc>
          <w:tcPr>
            <w:tcW w:w="1275" w:type="dxa"/>
            <w:vAlign w:val="center"/>
          </w:tcPr>
          <w:p w14:paraId="6AEB4940">
            <w:pPr>
              <w:jc w:val="center"/>
            </w:pPr>
            <w:r>
              <w:rPr>
                <w:rFonts w:hint="eastAsia"/>
              </w:rPr>
              <w:t>/</w:t>
            </w:r>
          </w:p>
        </w:tc>
        <w:tc>
          <w:tcPr>
            <w:tcW w:w="1560" w:type="dxa"/>
            <w:vAlign w:val="center"/>
          </w:tcPr>
          <w:p w14:paraId="5344032F">
            <w:pPr>
              <w:jc w:val="center"/>
            </w:pPr>
            <w:r>
              <w:rPr>
                <w:rFonts w:hint="eastAsia"/>
              </w:rPr>
              <w:t>/</w:t>
            </w:r>
          </w:p>
        </w:tc>
        <w:tc>
          <w:tcPr>
            <w:tcW w:w="1417" w:type="dxa"/>
            <w:vAlign w:val="center"/>
          </w:tcPr>
          <w:p w14:paraId="594870C1">
            <w:pPr>
              <w:pStyle w:val="90"/>
            </w:pPr>
            <w:r>
              <w:rPr>
                <w:rFonts w:hint="eastAsia"/>
              </w:rPr>
              <w:t>0.1</w:t>
            </w:r>
          </w:p>
        </w:tc>
        <w:tc>
          <w:tcPr>
            <w:tcW w:w="1559" w:type="dxa"/>
            <w:vAlign w:val="center"/>
          </w:tcPr>
          <w:p w14:paraId="76636BD2">
            <w:pPr>
              <w:jc w:val="center"/>
            </w:pPr>
            <w:r>
              <w:rPr>
                <w:rFonts w:hint="eastAsia"/>
              </w:rPr>
              <w:t>/</w:t>
            </w:r>
          </w:p>
        </w:tc>
        <w:tc>
          <w:tcPr>
            <w:tcW w:w="1985" w:type="dxa"/>
            <w:vAlign w:val="center"/>
          </w:tcPr>
          <w:p w14:paraId="55A53903">
            <w:pPr>
              <w:pStyle w:val="90"/>
            </w:pPr>
            <w:r>
              <w:rPr>
                <w:rFonts w:hint="eastAsia"/>
              </w:rPr>
              <w:t>0.1</w:t>
            </w:r>
          </w:p>
        </w:tc>
        <w:tc>
          <w:tcPr>
            <w:tcW w:w="1569" w:type="dxa"/>
            <w:vAlign w:val="center"/>
          </w:tcPr>
          <w:p w14:paraId="050B0F18">
            <w:pPr>
              <w:pStyle w:val="90"/>
            </w:pPr>
            <w:r>
              <w:rPr>
                <w:rFonts w:hint="eastAsia"/>
              </w:rPr>
              <w:t>+0.1</w:t>
            </w:r>
          </w:p>
        </w:tc>
      </w:tr>
      <w:tr w14:paraId="4C881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22" w:type="dxa"/>
            <w:gridSpan w:val="2"/>
            <w:vAlign w:val="center"/>
          </w:tcPr>
          <w:p w14:paraId="2B2DBCA9">
            <w:pPr>
              <w:pStyle w:val="90"/>
            </w:pPr>
            <w:r>
              <w:rPr>
                <w:rFonts w:hint="eastAsia"/>
                <w:szCs w:val="21"/>
              </w:rPr>
              <w:t>生活垃圾</w:t>
            </w:r>
          </w:p>
        </w:tc>
        <w:tc>
          <w:tcPr>
            <w:tcW w:w="1701" w:type="dxa"/>
            <w:vAlign w:val="center"/>
          </w:tcPr>
          <w:p w14:paraId="1985E8FB">
            <w:pPr>
              <w:jc w:val="center"/>
            </w:pPr>
            <w:r>
              <w:rPr>
                <w:rFonts w:hint="eastAsia"/>
              </w:rPr>
              <w:t>/</w:t>
            </w:r>
          </w:p>
        </w:tc>
        <w:tc>
          <w:tcPr>
            <w:tcW w:w="1275" w:type="dxa"/>
            <w:vAlign w:val="center"/>
          </w:tcPr>
          <w:p w14:paraId="1457296D">
            <w:pPr>
              <w:jc w:val="center"/>
            </w:pPr>
            <w:r>
              <w:rPr>
                <w:rFonts w:hint="eastAsia"/>
              </w:rPr>
              <w:t>/</w:t>
            </w:r>
          </w:p>
        </w:tc>
        <w:tc>
          <w:tcPr>
            <w:tcW w:w="1560" w:type="dxa"/>
            <w:vAlign w:val="center"/>
          </w:tcPr>
          <w:p w14:paraId="1B7AEBFA">
            <w:pPr>
              <w:jc w:val="center"/>
            </w:pPr>
            <w:r>
              <w:rPr>
                <w:rFonts w:hint="eastAsia"/>
              </w:rPr>
              <w:t>/</w:t>
            </w:r>
          </w:p>
        </w:tc>
        <w:tc>
          <w:tcPr>
            <w:tcW w:w="1417" w:type="dxa"/>
            <w:vAlign w:val="center"/>
          </w:tcPr>
          <w:p w14:paraId="56DE2328">
            <w:pPr>
              <w:pStyle w:val="90"/>
            </w:pPr>
            <w:r>
              <w:rPr>
                <w:rFonts w:hint="eastAsia"/>
              </w:rPr>
              <w:t>1.2</w:t>
            </w:r>
          </w:p>
        </w:tc>
        <w:tc>
          <w:tcPr>
            <w:tcW w:w="1559" w:type="dxa"/>
            <w:vAlign w:val="center"/>
          </w:tcPr>
          <w:p w14:paraId="1D4E6EC9">
            <w:pPr>
              <w:jc w:val="center"/>
            </w:pPr>
            <w:r>
              <w:rPr>
                <w:rFonts w:hint="eastAsia"/>
              </w:rPr>
              <w:t>/</w:t>
            </w:r>
          </w:p>
        </w:tc>
        <w:tc>
          <w:tcPr>
            <w:tcW w:w="1985" w:type="dxa"/>
            <w:vAlign w:val="center"/>
          </w:tcPr>
          <w:p w14:paraId="75041E33">
            <w:pPr>
              <w:pStyle w:val="90"/>
            </w:pPr>
            <w:r>
              <w:rPr>
                <w:rFonts w:hint="eastAsia"/>
              </w:rPr>
              <w:t>1.2</w:t>
            </w:r>
          </w:p>
        </w:tc>
        <w:tc>
          <w:tcPr>
            <w:tcW w:w="1569" w:type="dxa"/>
            <w:vAlign w:val="center"/>
          </w:tcPr>
          <w:p w14:paraId="62450FD7">
            <w:pPr>
              <w:pStyle w:val="90"/>
            </w:pPr>
            <w:r>
              <w:rPr>
                <w:rFonts w:hint="eastAsia"/>
              </w:rPr>
              <w:t>+1.2</w:t>
            </w:r>
          </w:p>
        </w:tc>
      </w:tr>
    </w:tbl>
    <w:p w14:paraId="396792AE">
      <w:pPr>
        <w:pStyle w:val="73"/>
        <w:spacing w:before="192" w:beforeLines="80" w:after="24"/>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；单位：t/a</w:t>
      </w:r>
    </w:p>
    <w:p w14:paraId="569D1812">
      <w:pPr>
        <w:sectPr>
          <w:footerReference r:id="rId6" w:type="default"/>
          <w:pgSz w:w="16838" w:h="11906" w:orient="landscape"/>
          <w:pgMar w:top="1701" w:right="1531" w:bottom="1701" w:left="1531" w:header="851" w:footer="851" w:gutter="0"/>
          <w:cols w:space="720" w:num="1"/>
          <w:docGrid w:linePitch="312" w:charSpace="0"/>
        </w:sectPr>
      </w:pPr>
    </w:p>
    <w:p w14:paraId="2E913DE2">
      <w:pPr>
        <w:keepNext/>
        <w:adjustRightInd w:val="0"/>
        <w:snapToGrid w:val="0"/>
        <w:spacing w:line="500" w:lineRule="exact"/>
        <w:outlineLvl w:val="0"/>
        <w:rPr>
          <w:b/>
          <w:sz w:val="24"/>
        </w:rPr>
      </w:pPr>
      <w:bookmarkStart w:id="16" w:name="_Toc83393938"/>
      <w:bookmarkStart w:id="17" w:name="_Toc18399450"/>
      <w:r>
        <w:rPr>
          <w:b/>
          <w:sz w:val="24"/>
        </w:rPr>
        <w:t>附图1  地理位置图</w:t>
      </w:r>
      <w:bookmarkEnd w:id="16"/>
    </w:p>
    <w:p w14:paraId="68EB6DA4">
      <w:r>
        <mc:AlternateContent>
          <mc:Choice Requires="wpg">
            <w:drawing>
              <wp:anchor distT="0" distB="0" distL="114300" distR="114300" simplePos="0" relativeHeight="251660288" behindDoc="0" locked="0" layoutInCell="1" allowOverlap="1">
                <wp:simplePos x="0" y="0"/>
                <wp:positionH relativeFrom="column">
                  <wp:posOffset>4662805</wp:posOffset>
                </wp:positionH>
                <wp:positionV relativeFrom="paragraph">
                  <wp:posOffset>2766695</wp:posOffset>
                </wp:positionV>
                <wp:extent cx="880745" cy="297180"/>
                <wp:effectExtent l="17145" t="24130" r="0" b="21590"/>
                <wp:wrapNone/>
                <wp:docPr id="28" name="组合 28"/>
                <wp:cNvGraphicFramePr/>
                <a:graphic xmlns:a="http://schemas.openxmlformats.org/drawingml/2006/main">
                  <a:graphicData uri="http://schemas.microsoft.com/office/word/2010/wordprocessingGroup">
                    <wpg:wgp>
                      <wpg:cNvGrpSpPr/>
                      <wpg:grpSpPr>
                        <a:xfrm>
                          <a:off x="0" y="0"/>
                          <a:ext cx="880745" cy="297180"/>
                          <a:chOff x="10833" y="815065"/>
                          <a:chExt cx="1387" cy="468"/>
                        </a:xfrm>
                      </wpg:grpSpPr>
                      <wps:wsp>
                        <wps:cNvPr id="29" name="五角星 28"/>
                        <wps:cNvSpPr/>
                        <wps:spPr>
                          <a:xfrm>
                            <a:off x="10833" y="815065"/>
                            <a:ext cx="419" cy="468"/>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40"/>
                        <wps:cNvSpPr txBox="1"/>
                        <wps:spPr>
                          <a:xfrm>
                            <a:off x="11204" y="815065"/>
                            <a:ext cx="1016"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1556E">
                              <w:r>
                                <w:rPr>
                                  <w:rFonts w:hint="eastAsia"/>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7.15pt;margin-top:217.85pt;height:23.4pt;width:69.35pt;z-index:251660288;mso-width-relative:page;mso-height-relative:page;" coordorigin="10833,815065" coordsize="1387,468" o:gfxdata="UEsDBAoAAAAAAIdO4kAAAAAAAAAAAAAAAAAEAAAAZHJzL1BLAwQUAAAACACHTuJAj9qiHNsAAAAL&#10;AQAADwAAAGRycy9kb3ducmV2LnhtbE2PwUrDQBCG74LvsIzgzW7SNCbEbIoU9VQEW0G8TbPTJDS7&#10;G7LbpH17x5MeZ+bjn+8v1xfTi4lG3zmrIF5EIMjWTne2UfC5f33IQfiAVmPvLCm4kod1dXtTYqHd&#10;bD9o2oVGcIj1BSpoQxgKKX3dkkG/cANZvh3daDDwODZSjzhzuOnlMooepcHO8ocWB9q0VJ92Z6Pg&#10;bcb5OYlfpu3puLl+79P3r21MSt3fxdETiECX8AfDrz6rQ8VOB3e22oteQZasEkYVrJI0A8FEniXc&#10;7sCbfJmCrEr5v0P1A1BLAwQUAAAACACHTuJATX8FDVoDAAC8CAAADgAAAGRycy9lMm9Eb2MueG1s&#10;3VbLbiQ1FN0j8Q+W96Sq+p1SOqOQ0BFSxEQKI9Zut+shuWxju1Md1ghYIoQQCyTEis18AfM7Q+Az&#10;OHZVdTKZgCJALMiiYvu67uPce0710bNdI8m1sK7Wakmzg5QSobje1Kpc0hcfr95bUOI8UxsmtRJL&#10;eiMcfXb87jtHrcnFSFdaboQlcKJc3polrbw3eZI4XomGuQNthIKx0LZhHltbJhvLWnhvZDJK01nS&#10;arsxVnPhHE7POiPtPdqnONRFUXNxpvm2Ecp3Xq2QzKMkV9XG0eOYbVEI7p8XhROeyCVFpT4+EQTr&#10;dXgmx0csLy0zVc37FNhTUnhQU8NqhaB7V2fMM7K19Vuumppb7XThD7hukq6QiAiqyNIH2JxbvTWx&#10;ljJvS7MHHY16gPrfdss/ur60pN4s6Qh9V6xBx3979fmvX39FcAB0WlPmuHRuzZW5tP1B2e1CwbvC&#10;NuE/SiG7iOvNHlex84TjcLFI55MpJRym0eE8W/S48wrNCW9l6WI8pgTmRTZNZ9OuLbz6oHeQjRfz&#10;7vXJLGaVDIGTkN8+ndZgJt0dUO6fAXVVMSMi/i5gMAB1OAD1+pdvf//5m9vvf9xjFe/tgXK5A2aP&#10;oPR4vQNckwwRAlYPi2W5sc6fC92QsFhS8NRO49yx6wvn0R0AM9wJcZ2W9WZVSxk3tlyfSkuuGciw&#10;WqX4C0DjlTeuSUVatGQ0h5lwBooXoBaWjcGYOFVSwmQJ7eDexthvvO2eFiQkecZc1SUTPXRNb2oP&#10;eZF1g1kIGQ4pSoVMQ387SMNqrTc36InVHaud4asabi+Y85fMgsbIH0Lnn+NRSI2idL+ipNL2s8fO&#10;w30MDayUtJAFFPzplllBifxQYZwOs8kk6EjcTKbzETb2vmV936K2zakG2Bkk1fC4DPe9HJaF1c0n&#10;0MOTEBUmpjhid9D2m1PfyRUUlYuTk3gN2mGYv1BXhgfnoblKn2y9Luo4BHfo9KCBFIHK/wE7xqii&#10;k5Hb7768/eHl7U9fECAWhWPPDuJ37+vA++H8z3iSjdLJW7ow8CRLs1lPlOlhP8mDHA0k6Ili8SH4&#10;K54oHUiCJFnejf9sPE17XHsLaPLIDPrdetfX9j8eR7C/m8x/bxijcOOjFvWn/wCHr+b9fRzeux8d&#10;x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9qiHNsAAAALAQAADwAAAAAAAAABACAAAAAiAAAA&#10;ZHJzL2Rvd25yZXYueG1sUEsBAhQAFAAAAAgAh07iQE1/BQ1aAwAAvAgAAA4AAAAAAAAAAQAgAAAA&#10;KgEAAGRycy9lMm9Eb2MueG1sUEsFBgAAAAAGAAYAWQEAAPYGAAAAAA==&#10;">
                <o:lock v:ext="edit" aspectratio="f"/>
                <v:shape id="五角星 28" o:spid="_x0000_s1026" style="position:absolute;left:10833;top:815065;height:468;width:419;v-text-anchor:middle;" fillcolor="#FF0000" filled="t" stroked="t" coordsize="419,468" o:gfxdata="UEsDBAoAAAAAAIdO4kAAAAAAAAAAAAAAAAAEAAAAZHJzL1BLAwQUAAAACACHTuJANmVINb0AAADb&#10;AAAADwAAAGRycy9kb3ducmV2LnhtbEWPT2sCMRTE7wW/Q3gFbzXrUkRXo4faguDFf+35sXlulmxe&#10;1k2q7rc3QqHHYWZ+wyxWd9eIK3Wh9qxgPMpAEJde11wpOB2/3qYgQkTW2HgmBT0FWC0HLwsstL/x&#10;nq6HWIkE4VCgAhNjW0gZSkMOw8i3xMk7+85hTLKrpO7wluCukXmWTaTDmtOCwZY+DJX28OsUrL83&#10;uTX92n7a3k71+8/OX7Y7pYav42wOItI9/of/2hutIJ/B80v6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Ug1vQAA&#10;ANsAAAAPAAAAAAAAAAEAIAAAACIAAABkcnMvZG93bnJldi54bWxQSwECFAAUAAAACACHTuJAMy8F&#10;njsAAAA5AAAAEAAAAAAAAAABACAAAAAMAQAAZHJzL3NoYXBleG1sLnhtbFBLBQYAAAAABgAGAFsB&#10;AAC2AwAAAAA=&#10;" path="m0,178l160,178,209,0,258,178,418,178,289,289,338,467,209,357,80,467,129,289xe">
                  <v:path o:connectlocs="209,0;0,178;80,467;338,467;418,178" o:connectangles="247,164,82,82,0"/>
                  <v:fill on="t" focussize="0,0"/>
                  <v:stroke weight="1pt" color="#FF0000 [2404]" miterlimit="8" joinstyle="miter"/>
                  <v:imagedata o:title=""/>
                  <o:lock v:ext="edit" aspectratio="f"/>
                </v:shape>
                <v:shape id="文本框 40" o:spid="_x0000_s1026" o:spt="202" type="#_x0000_t202" style="position:absolute;left:11204;top:815065;height:459;width:1016;"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381556E">
                        <w:r>
                          <w:rPr>
                            <w:rFonts w:hint="eastAsia"/>
                          </w:rPr>
                          <w:t>本项目</w:t>
                        </w:r>
                      </w:p>
                    </w:txbxContent>
                  </v:textbox>
                </v:shape>
              </v:group>
            </w:pict>
          </mc:Fallback>
        </mc:AlternateContent>
      </w:r>
      <w:r>
        <w:drawing>
          <wp:anchor distT="0" distB="0" distL="114300" distR="114300" simplePos="0" relativeHeight="251661312" behindDoc="0" locked="0" layoutInCell="1" allowOverlap="1">
            <wp:simplePos x="0" y="0"/>
            <wp:positionH relativeFrom="column">
              <wp:posOffset>-8255</wp:posOffset>
            </wp:positionH>
            <wp:positionV relativeFrom="paragraph">
              <wp:posOffset>-4445</wp:posOffset>
            </wp:positionV>
            <wp:extent cx="695325" cy="685800"/>
            <wp:effectExtent l="0" t="0" r="9525" b="0"/>
            <wp:wrapNone/>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5"/>
                    <a:stretch>
                      <a:fillRect/>
                    </a:stretch>
                  </pic:blipFill>
                  <pic:spPr>
                    <a:xfrm>
                      <a:off x="0" y="0"/>
                      <a:ext cx="695325" cy="685800"/>
                    </a:xfrm>
                    <a:prstGeom prst="rect">
                      <a:avLst/>
                    </a:prstGeom>
                    <a:noFill/>
                    <a:ln>
                      <a:noFill/>
                    </a:ln>
                  </pic:spPr>
                </pic:pic>
              </a:graphicData>
            </a:graphic>
          </wp:anchor>
        </w:drawing>
      </w:r>
      <w:r>
        <w:drawing>
          <wp:inline distT="0" distB="0" distL="114300" distR="114300">
            <wp:extent cx="8526780" cy="5200650"/>
            <wp:effectExtent l="0" t="0" r="762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6"/>
                    <a:srcRect l="-104" t="3522" r="104"/>
                    <a:stretch>
                      <a:fillRect/>
                    </a:stretch>
                  </pic:blipFill>
                  <pic:spPr>
                    <a:xfrm>
                      <a:off x="0" y="0"/>
                      <a:ext cx="8526780" cy="5200650"/>
                    </a:xfrm>
                    <a:prstGeom prst="rect">
                      <a:avLst/>
                    </a:prstGeom>
                    <a:noFill/>
                    <a:ln>
                      <a:noFill/>
                    </a:ln>
                  </pic:spPr>
                </pic:pic>
              </a:graphicData>
            </a:graphic>
          </wp:inline>
        </w:drawing>
      </w:r>
    </w:p>
    <w:p w14:paraId="1D6C8AB0">
      <w:pPr>
        <w:jc w:val="center"/>
        <w:sectPr>
          <w:footerReference r:id="rId7" w:type="default"/>
          <w:pgSz w:w="16838" w:h="11906" w:orient="landscape"/>
          <w:pgMar w:top="1531" w:right="1701" w:bottom="1531" w:left="1701" w:header="851" w:footer="851" w:gutter="0"/>
          <w:cols w:space="720" w:num="1"/>
          <w:docGrid w:linePitch="312" w:charSpace="0"/>
        </w:sectPr>
      </w:pPr>
    </w:p>
    <w:p w14:paraId="4BEA41F6">
      <w:pPr>
        <w:keepNext/>
        <w:adjustRightInd w:val="0"/>
        <w:snapToGrid w:val="0"/>
        <w:spacing w:line="500" w:lineRule="exact"/>
        <w:outlineLvl w:val="0"/>
        <w:rPr>
          <w:b/>
          <w:sz w:val="24"/>
        </w:rPr>
      </w:pPr>
      <w:r>
        <w:rPr>
          <w:b/>
          <w:sz w:val="24"/>
        </w:rPr>
        <w:t>附</w:t>
      </w:r>
      <w:r>
        <w:rPr>
          <w:rFonts w:hint="eastAsia"/>
          <w:b/>
          <w:sz w:val="24"/>
        </w:rPr>
        <w:t>图</w:t>
      </w:r>
      <w:r>
        <w:rPr>
          <w:b/>
          <w:sz w:val="24"/>
        </w:rPr>
        <w:t xml:space="preserve">2  </w:t>
      </w:r>
      <w:r>
        <w:rPr>
          <w:rFonts w:hint="eastAsia"/>
          <w:b/>
          <w:sz w:val="24"/>
        </w:rPr>
        <w:t>厂区平面布置图</w:t>
      </w:r>
    </w:p>
    <w:p w14:paraId="44C34F5A">
      <w:pPr>
        <w:pStyle w:val="13"/>
      </w:pPr>
      <w:r>
        <w:drawing>
          <wp:inline distT="0" distB="0" distL="114300" distR="114300">
            <wp:extent cx="8523605" cy="4378325"/>
            <wp:effectExtent l="0" t="0" r="10795"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tretch>
                      <a:fillRect/>
                    </a:stretch>
                  </pic:blipFill>
                  <pic:spPr>
                    <a:xfrm>
                      <a:off x="0" y="0"/>
                      <a:ext cx="8523605" cy="4378325"/>
                    </a:xfrm>
                    <a:prstGeom prst="rect">
                      <a:avLst/>
                    </a:prstGeom>
                    <a:noFill/>
                    <a:ln>
                      <a:noFill/>
                    </a:ln>
                  </pic:spPr>
                </pic:pic>
              </a:graphicData>
            </a:graphic>
          </wp:inline>
        </w:drawing>
      </w:r>
    </w:p>
    <w:p w14:paraId="3C7104F9">
      <w:pPr>
        <w:pStyle w:val="42"/>
      </w:pPr>
    </w:p>
    <w:p w14:paraId="2119B7E7">
      <w:pPr>
        <w:keepNext/>
        <w:adjustRightInd w:val="0"/>
        <w:snapToGrid w:val="0"/>
        <w:spacing w:line="500" w:lineRule="exact"/>
        <w:outlineLvl w:val="0"/>
        <w:rPr>
          <w:b/>
          <w:sz w:val="24"/>
        </w:rPr>
      </w:pPr>
      <w:r>
        <w:rPr>
          <w:b/>
          <w:sz w:val="24"/>
        </w:rPr>
        <w:t>附</w:t>
      </w:r>
      <w:r>
        <w:rPr>
          <w:rFonts w:hint="eastAsia"/>
          <w:b/>
          <w:sz w:val="24"/>
        </w:rPr>
        <w:t>图3</w:t>
      </w:r>
      <w:r>
        <w:rPr>
          <w:b/>
          <w:sz w:val="24"/>
        </w:rPr>
        <w:t xml:space="preserve">  </w:t>
      </w:r>
      <w:r>
        <w:rPr>
          <w:rFonts w:hint="eastAsia"/>
          <w:b/>
          <w:sz w:val="24"/>
        </w:rPr>
        <w:t>项目分区防渗图</w:t>
      </w:r>
    </w:p>
    <w:p w14:paraId="737518F0">
      <w:pPr>
        <w:pStyle w:val="43"/>
        <w:sectPr>
          <w:pgSz w:w="16838" w:h="11906" w:orient="landscape"/>
          <w:pgMar w:top="1531" w:right="1701" w:bottom="1531" w:left="1701" w:header="851" w:footer="851" w:gutter="0"/>
          <w:cols w:space="720" w:num="1"/>
          <w:docGrid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7117715</wp:posOffset>
                </wp:positionH>
                <wp:positionV relativeFrom="paragraph">
                  <wp:posOffset>3903980</wp:posOffset>
                </wp:positionV>
                <wp:extent cx="213360" cy="139065"/>
                <wp:effectExtent l="6350" t="6350" r="8890" b="6985"/>
                <wp:wrapNone/>
                <wp:docPr id="2" name="矩形 2"/>
                <wp:cNvGraphicFramePr/>
                <a:graphic xmlns:a="http://schemas.openxmlformats.org/drawingml/2006/main">
                  <a:graphicData uri="http://schemas.microsoft.com/office/word/2010/wordprocessingShape">
                    <wps:wsp>
                      <wps:cNvSpPr/>
                      <wps:spPr>
                        <a:xfrm>
                          <a:off x="0" y="0"/>
                          <a:ext cx="213360" cy="13906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0.45pt;margin-top:307.4pt;height:10.95pt;width:16.8pt;z-index:251663360;v-text-anchor:middle;mso-width-relative:page;mso-height-relative:page;" fillcolor="#FFFFFF [3212]" filled="t" stroked="t" coordsize="21600,21600" o:gfxdata="UEsDBAoAAAAAAIdO4kAAAAAAAAAAAAAAAAAEAAAAZHJzL1BLAwQUAAAACACHTuJACg6O5dkAAAAN&#10;AQAADwAAAGRycy9kb3ducmV2LnhtbE2PMU/DMBCFdyT+g3VIbNR2adMS4nRAsLEkMMDmxiaJsM9R&#10;7DYJv57rBON79+nde8Vh9o6d7Rj7gArkSgCz2ATTY6vg/e3lbg8sJo1Gu4BWwWIjHMrrq0LnJkxY&#10;2XOdWkYhGHOtoEtpyDmPTWe9jqswWKTbVxi9TiTHlptRTxTuHV8LkXGve6QPnR7sU2eb7/rkFeh6&#10;/lyW5WOaeOVE//xTDfVrpdTtjRSPwJKd0x8Ml/pUHUrqdAwnNJE50nItHohVkMkNjbggcrvZAjuS&#10;dZ/tgJcF/7+i/AVQSwMEFAAAAAgAh07iQJSO3CVrAgAA8wQAAA4AAABkcnMvZTJvRG9jLnhtbK1U&#10;zW7bMAy+D9g7CLqvdpz+BnGKoEGGAcVaIBt2VmQpFqC/UUqc7mUG7LaH2OMMe41RstumXQ89zAeZ&#10;FKmP5CdS08u90WQnIChnazo6KikRlrtG2U1NP39avjunJERmG6adFTW9E4Fezt6+mXZ+IirXOt0I&#10;IAhiw6TzNW1j9JOiCLwVhoUj54VFo3RgWEQVNkUDrEN0o4uqLE+LzkHjwXERAu4ueiMdEOE1gE5K&#10;xcXC8a0RNvaoIDSLWFJolQ90lrOVUvB4I2UQkeiaYqUxrxgE5XVai9mUTTbAfKv4kAJ7TQrPajJM&#10;WQz6ALVgkZEtqH+gjOLggpPxiDtT9IVkRrCKUfmMm1XLvMi1INXBP5Ae/h8s/7i7BaKamlaUWGbw&#10;wv98//n71w9SJW46HybosvK3MGgBxVToXoJJfyyB7DOfdw98in0kHDer0Xh8ikxzNI3GF+XpScIs&#10;Hg97CPG9cIYkoaaA15VZZLvrEHvXe5cUKzitmqXSOiuwWV9pIDuGV7vM34D+xE1b0mH06qxMiTBs&#10;WImNgqLxWHSwG0qY3uAk8Ag59pPT4TBImb+XgqQkFyy0fTIZIbmxiVERh0UrU9Pzw9PaIg+J3J7O&#10;JK1dc4dXAa7v0eD5UiHsNQvxlgE2JeaPYxtvcJHaYVFukChpHXx7aT/5Y6+glZIOmxwL/rplICjR&#10;Hyx20cXo+BhhY1aOT84qVODQsj602K25ckj2CB8Iz7OY/KO+FyU48wWne56ioolZjrF7agflKvbD&#10;h+8DF/N5dsNJ8Cxe25XnCTzxZt18G51UuQke2RlIw1nIbTTMbRq2Qz17Pb5V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KDo7l2QAAAA0BAAAPAAAAAAAAAAEAIAAAACIAAABkcnMvZG93bnJldi54&#10;bWxQSwECFAAUAAAACACHTuJAlI7cJWsCAADzBAAADgAAAAAAAAABACAAAAAoAQAAZHJzL2Uyb0Rv&#10;Yy54bWxQSwUGAAAAAAYABgBZAQAABQYAAAAA&#10;">
                <v:fill on="t" focussize="0,0"/>
                <v:stroke weight="1pt" color="#000000 [3213]" miterlimit="8" joinstyle="miter"/>
                <v:imagedata o:title=""/>
                <o:lock v:ext="edit" aspectratio="f"/>
              </v:rect>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6927850</wp:posOffset>
                </wp:positionH>
                <wp:positionV relativeFrom="paragraph">
                  <wp:posOffset>2774315</wp:posOffset>
                </wp:positionV>
                <wp:extent cx="1516380" cy="1561465"/>
                <wp:effectExtent l="4445" t="4445" r="22225" b="15240"/>
                <wp:wrapNone/>
                <wp:docPr id="111" name="组合 111"/>
                <wp:cNvGraphicFramePr/>
                <a:graphic xmlns:a="http://schemas.openxmlformats.org/drawingml/2006/main">
                  <a:graphicData uri="http://schemas.microsoft.com/office/word/2010/wordprocessingGroup">
                    <wpg:wgp>
                      <wpg:cNvGrpSpPr/>
                      <wpg:grpSpPr>
                        <a:xfrm>
                          <a:off x="0" y="0"/>
                          <a:ext cx="1516380" cy="1561465"/>
                          <a:chOff x="13087" y="780237"/>
                          <a:chExt cx="2388" cy="2459"/>
                        </a:xfrm>
                      </wpg:grpSpPr>
                      <wpg:grpSp>
                        <wpg:cNvPr id="33" name="Group 104"/>
                        <wpg:cNvGrpSpPr/>
                        <wpg:grpSpPr>
                          <a:xfrm>
                            <a:off x="13087" y="780237"/>
                            <a:ext cx="2388" cy="2459"/>
                            <a:chOff x="11475" y="8370"/>
                            <a:chExt cx="2895" cy="1425"/>
                          </a:xfrm>
                        </wpg:grpSpPr>
                        <wps:wsp>
                          <wps:cNvPr id="78" name="Rectangle 98"/>
                          <wps:cNvSpPr>
                            <a:spLocks noChangeArrowheads="1"/>
                          </wps:cNvSpPr>
                          <wps:spPr bwMode="auto">
                            <a:xfrm>
                              <a:off x="11475" y="8370"/>
                              <a:ext cx="2895" cy="1425"/>
                            </a:xfrm>
                            <a:prstGeom prst="rect">
                              <a:avLst/>
                            </a:prstGeom>
                            <a:solidFill>
                              <a:srgbClr val="FFFFFF"/>
                            </a:solidFill>
                            <a:ln w="9525">
                              <a:solidFill>
                                <a:srgbClr val="000000"/>
                              </a:solidFill>
                              <a:miter lim="800000"/>
                            </a:ln>
                          </wps:spPr>
                          <wps:txbx>
                            <w:txbxContent>
                              <w:p w14:paraId="025B8549">
                                <w:pPr>
                                  <w:jc w:val="center"/>
                                </w:pPr>
                              </w:p>
                              <w:p w14:paraId="34F6672E">
                                <w:pPr>
                                  <w:pStyle w:val="13"/>
                                </w:pPr>
                              </w:p>
                              <w:p w14:paraId="6055972F">
                                <w:pPr>
                                  <w:pStyle w:val="42"/>
                                </w:pPr>
                              </w:p>
                              <w:p w14:paraId="707BAEBE">
                                <w:pPr>
                                  <w:pStyle w:val="43"/>
                                </w:pPr>
                              </w:p>
                              <w:p w14:paraId="6F8A8080"/>
                              <w:p w14:paraId="1A7394B4">
                                <w:pPr>
                                  <w:pStyle w:val="13"/>
                                </w:pPr>
                              </w:p>
                              <w:p w14:paraId="5F678CBE">
                                <w:pPr>
                                  <w:pStyle w:val="42"/>
                                </w:pPr>
                                <w:r>
                                  <w:rPr>
                                    <w:rFonts w:hint="eastAsia"/>
                                  </w:rPr>
                                  <w:t>比例尺</w:t>
                                </w:r>
                                <w:r>
                                  <w:rPr>
                                    <w:rFonts w:ascii="Times New Roman"/>
                                  </w:rPr>
                                  <w:t>：1：</w:t>
                                </w:r>
                                <w:r>
                                  <w:rPr>
                                    <w:rFonts w:hint="eastAsia" w:ascii="Times New Roman"/>
                                  </w:rPr>
                                  <w:t>1000</w:t>
                                </w:r>
                              </w:p>
                            </w:txbxContent>
                          </wps:txbx>
                          <wps:bodyPr rot="0" vert="horz" wrap="square" lIns="91440" tIns="45720" rIns="91440" bIns="45720" anchor="t" anchorCtr="0" upright="1">
                            <a:noAutofit/>
                          </wps:bodyPr>
                        </wps:wsp>
                        <wps:wsp>
                          <wps:cNvPr id="79" name="Text Box 99"/>
                          <wps:cNvSpPr txBox="1">
                            <a:spLocks noChangeArrowheads="1"/>
                          </wps:cNvSpPr>
                          <wps:spPr bwMode="auto">
                            <a:xfrm>
                              <a:off x="12360" y="8458"/>
                              <a:ext cx="1284" cy="276"/>
                            </a:xfrm>
                            <a:prstGeom prst="rect">
                              <a:avLst/>
                            </a:prstGeom>
                            <a:noFill/>
                            <a:ln>
                              <a:noFill/>
                            </a:ln>
                          </wps:spPr>
                          <wps:txbx>
                            <w:txbxContent>
                              <w:p w14:paraId="2F2F7C72">
                                <w:pPr>
                                  <w:rPr>
                                    <w:b/>
                                    <w:bCs/>
                                    <w:sz w:val="28"/>
                                    <w:szCs w:val="28"/>
                                  </w:rPr>
                                </w:pPr>
                                <w:r>
                                  <w:rPr>
                                    <w:rFonts w:hint="eastAsia"/>
                                    <w:b/>
                                    <w:bCs/>
                                    <w:sz w:val="28"/>
                                    <w:szCs w:val="28"/>
                                  </w:rPr>
                                  <w:t>图例</w:t>
                                </w:r>
                              </w:p>
                            </w:txbxContent>
                          </wps:txbx>
                          <wps:bodyPr rot="0" vert="horz" wrap="square" lIns="91440" tIns="45720" rIns="91440" bIns="45720" anchor="t" anchorCtr="0" upright="1">
                            <a:noAutofit/>
                          </wps:bodyPr>
                        </wps:wsp>
                      </wpg:grpSp>
                      <wps:wsp>
                        <wps:cNvPr id="82" name="矩形 82"/>
                        <wps:cNvSpPr/>
                        <wps:spPr>
                          <a:xfrm>
                            <a:off x="13379" y="781271"/>
                            <a:ext cx="336" cy="219"/>
                          </a:xfrm>
                          <a:prstGeom prst="rect">
                            <a:avLst/>
                          </a:prstGeom>
                          <a:solidFill>
                            <a:srgbClr val="0070C0"/>
                          </a:solidFill>
                          <a:ln>
                            <a:solidFill>
                              <a:srgbClr val="13DEE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13379" y="781601"/>
                            <a:ext cx="336" cy="219"/>
                          </a:xfrm>
                          <a:prstGeom prst="rect">
                            <a:avLst/>
                          </a:prstGeom>
                          <a:solidFill>
                            <a:srgbClr val="07D207"/>
                          </a:solidFill>
                          <a:ln>
                            <a:solidFill>
                              <a:srgbClr val="0CD80C"/>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Text Box 99"/>
                        <wps:cNvSpPr txBox="1">
                          <a:spLocks noChangeArrowheads="1"/>
                        </wps:cNvSpPr>
                        <wps:spPr bwMode="auto">
                          <a:xfrm>
                            <a:off x="13826" y="781177"/>
                            <a:ext cx="1578" cy="405"/>
                          </a:xfrm>
                          <a:prstGeom prst="rect">
                            <a:avLst/>
                          </a:prstGeom>
                          <a:noFill/>
                          <a:ln>
                            <a:noFill/>
                          </a:ln>
                        </wps:spPr>
                        <wps:txbx>
                          <w:txbxContent>
                            <w:p w14:paraId="609FD77B">
                              <w:pPr>
                                <w:rPr>
                                  <w:sz w:val="24"/>
                                </w:rPr>
                              </w:pPr>
                              <w:r>
                                <w:rPr>
                                  <w:rFonts w:hint="eastAsia"/>
                                  <w:sz w:val="24"/>
                                </w:rPr>
                                <w:t>一般防渗区</w:t>
                              </w:r>
                            </w:p>
                          </w:txbxContent>
                        </wps:txbx>
                        <wps:bodyPr rot="0" vert="horz" wrap="square" lIns="91440" tIns="45720" rIns="91440" bIns="45720" anchor="t" anchorCtr="0" upright="1">
                          <a:noAutofit/>
                        </wps:bodyPr>
                      </wps:wsp>
                      <wps:wsp>
                        <wps:cNvPr id="94" name="Text Box 99"/>
                        <wps:cNvSpPr txBox="1">
                          <a:spLocks noChangeArrowheads="1"/>
                        </wps:cNvSpPr>
                        <wps:spPr bwMode="auto">
                          <a:xfrm>
                            <a:off x="13855" y="781515"/>
                            <a:ext cx="1608" cy="910"/>
                          </a:xfrm>
                          <a:prstGeom prst="rect">
                            <a:avLst/>
                          </a:prstGeom>
                          <a:noFill/>
                          <a:ln>
                            <a:noFill/>
                          </a:ln>
                        </wps:spPr>
                        <wps:txbx>
                          <w:txbxContent>
                            <w:p w14:paraId="368FB568">
                              <w:pPr>
                                <w:rPr>
                                  <w:sz w:val="24"/>
                                </w:rPr>
                              </w:pPr>
                              <w:r>
                                <w:rPr>
                                  <w:rFonts w:hint="eastAsia"/>
                                  <w:sz w:val="24"/>
                                </w:rPr>
                                <w:t>重点防渗区</w:t>
                              </w:r>
                            </w:p>
                            <w:p w14:paraId="3D01641C">
                              <w:pPr>
                                <w:pStyle w:val="13"/>
                                <w:rPr>
                                  <w:kern w:val="21"/>
                                </w:rPr>
                              </w:pPr>
                              <w:r>
                                <w:rPr>
                                  <w:rFonts w:hint="eastAsia"/>
                                  <w:kern w:val="21"/>
                                  <w:sz w:val="24"/>
                                  <w:szCs w:val="24"/>
                                </w:rPr>
                                <w:t>简单防渗区</w:t>
                              </w:r>
                            </w:p>
                            <w:p w14:paraId="75978795">
                              <w:pPr>
                                <w:pStyle w:val="13"/>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45.5pt;margin-top:218.45pt;height:122.95pt;width:119.4pt;z-index:251662336;mso-width-relative:page;mso-height-relative:page;" coordorigin="13087,780237" coordsize="2388,2459" o:gfxdata="UEsDBAoAAAAAAIdO4kAAAAAAAAAAAAAAAAAEAAAAZHJzL1BLAwQUAAAACACHTuJAXViLStwAAAAN&#10;AQAADwAAAGRycy9kb3ducmV2LnhtbE2PwWrDMBBE74X+g9hCb40suzW2YzmU0PYUCk0KJTfF2tgm&#10;1spYip38fZVTexx2mH2vXF1MzyYcXWdJglhEwJBqqztqJHzv3p8yYM4r0qq3hBKu6GBV3d+VqtB2&#10;pi+ctr5hYYRcoSS03g8F565u0Si3sANSuB3taJQPcWy4HtUcxk3P4yhKuVEdhQ+tGnDdYn3ano2E&#10;j1nNr4l4mzan4/q63718/mwESvn4IKIlMI8X/1eGG35AhyowHeyZtGN9yFEugoyX8JykObBbJYnz&#10;oHOQkGZxBrwq+X+L6hdQSwMEFAAAAAgAh07iQELyXk6YBAAA1xMAAA4AAABkcnMvZTJvRG9jLnht&#10;bO1Yy27jNhTdF+g/ENw3FiXZkoU4A9dOggJpJ2im6JqWqAcqkSpJx86su+iyf1Cgu35D0c8ZzG/0&#10;kqJkj8fTJu2kMwjGC5kvXV4ennt4qdNn26ZGt0yqSvAZJiceRoynIqt4McPfvbj4IsZIacozWgvO&#10;ZviOKfzs7PPPTjdtwnxRijpjEoERrpJNO8Ol1m0yGqm0ZA1VJ6JlHDpzIRuqoSqLUSbpBqw39cj3&#10;vMloI2TWSpEypaB12XViZ1Hex6DI8yplS5GuG8Z1Z1WymmpYkiqrVuEz622es1Q/z3PFNKpnGFaq&#10;7RMmgfLKPEdnpzQpJG3LKnUu0Pu4cLCmhlYcJh1MLammaC2rt0w1VSqFErk+SUUz6hZiEYFVEO8A&#10;m0sp1q1dS5FsinYAHTbqAPV/bTb95vZaoioDJhCCEacNbPnrP3569cvPyLQAPpu2SGDYpWxv2mvp&#10;GoquZpa8zWVj/mExaGuRvRuQZVuNUmgkYzIJYgA9hT4ynpBwMu6wT0vYIPMeCbw4wgj6o9jzg6jv&#10;Pncm/CAGZpr3/XA8Nb2jfu6RcXHwaKg8Ll5B0MNltwkRLzROPRCt46vuYXt7zTTZAUbCaGwBi4PI&#10;MTktB7jiKXRauEPfYv1OuCCO1Y5c6r+R66akLbOcVYY1jlwRbF3HrW8hJCkvaoamcYeXHWeoZUik&#10;2iuR/qAQF4sShrG5lGJTMpqBW5aNsNd7L5iKglfRavO1yIC6dK2FDcQDVpIjYA0ovxsqmrRS6Usm&#10;GmQKMyzBfWuf3l4p3ZGwH2L9F3WVXVR1bSuyWC1qiW4pqM+F/Tneqv1hNUebGZ6OYZv+3oRnf8dM&#10;NJUGUa6rZobj/UE1hzDpQTLkVInerraWpypZiewOsJOik0U4FKBQCvkSow1I4gyrH9dUMozqrzjg&#10;PyVhaDTUVsJx5ENF7ves9nsoT8HUDGuMuuJCd7q7bmVVlDATscvlYg57llcWTONg55XzG5jZuf34&#10;FJ32FH1hiPGl2KKplRnjEzDZMBTpLbT3nj8aV/1gAtCC0sXh2AYJTXquEj8OnQpGE8eEnuo9D+9J&#10;VS4MT4EKNDE0ocnQAErxNIizOxj+JxLFfk+i17/+/urP3xA0uGBzFHI1I1oG837v3OFJgiACHtpD&#10;kPiRVbzd5gfBxO09efMAfI8y5XmRt7CnCbDgiEyBV545x4085JByQbFpM5AKXkCg1wXklKmW/yBk&#10;JFien3dyfjCJ4fCSqrLTTDu/AZAmD1C4A1lTbXpRgdkrqvQ1lZDegf9G657DI68FaK9wJYyM+h1r&#10;f7/ayNfNQsCZABkXeGeLRkt13RdzKZrvIU+eG0WGrl5MDbQHcgqZdsrmczsMcsqW6it+06a9SH0s&#10;8mqSP5ddusiwJNsT1wdExsT7EJERLX3PpqWPGBneYhl7i2NH/KfIsBR/epERwa2ni4wPnngEsQ8n&#10;THf6EPDLKu+QeoxNFm9uFKH35oXiwcfPkGk83dTDCNuj56xTyAU/GuqMu8toFMNl313uB+pMPEed&#10;Kelziz7z+ZS1mkvY/nXHZq3wvcd+4XDfpswHpf26Hb/7Hnf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F1Yi0rcAAAADQEAAA8AAAAAAAAAAQAgAAAAIgAAAGRycy9kb3ducmV2LnhtbFBLAQIUABQA&#10;AAAIAIdO4kBC8l5OmAQAANcTAAAOAAAAAAAAAAEAIAAAACsBAABkcnMvZTJvRG9jLnhtbFBLBQYA&#10;AAAABgAGAFkBAAA1CAAAAAA=&#10;">
                <o:lock v:ext="edit" aspectratio="f"/>
                <v:group id="Group 104" o:spid="_x0000_s1026" o:spt="203" style="position:absolute;left:13087;top:780237;height:2459;width:2388;" coordorigin="11475,8370" coordsize="2895,142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rect id="Rectangle 98" o:spid="_x0000_s1026" o:spt="1" style="position:absolute;left:11475;top:8370;height:1425;width:2895;"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25B8549">
                          <w:pPr>
                            <w:jc w:val="center"/>
                          </w:pPr>
                        </w:p>
                        <w:p w14:paraId="34F6672E">
                          <w:pPr>
                            <w:pStyle w:val="13"/>
                          </w:pPr>
                        </w:p>
                        <w:p w14:paraId="6055972F">
                          <w:pPr>
                            <w:pStyle w:val="42"/>
                          </w:pPr>
                        </w:p>
                        <w:p w14:paraId="707BAEBE">
                          <w:pPr>
                            <w:pStyle w:val="43"/>
                          </w:pPr>
                        </w:p>
                        <w:p w14:paraId="6F8A8080"/>
                        <w:p w14:paraId="1A7394B4">
                          <w:pPr>
                            <w:pStyle w:val="13"/>
                          </w:pPr>
                        </w:p>
                        <w:p w14:paraId="5F678CBE">
                          <w:pPr>
                            <w:pStyle w:val="42"/>
                          </w:pPr>
                          <w:r>
                            <w:rPr>
                              <w:rFonts w:hint="eastAsia"/>
                            </w:rPr>
                            <w:t>比例尺</w:t>
                          </w:r>
                          <w:r>
                            <w:rPr>
                              <w:rFonts w:ascii="Times New Roman"/>
                            </w:rPr>
                            <w:t>：1：</w:t>
                          </w:r>
                          <w:r>
                            <w:rPr>
                              <w:rFonts w:hint="eastAsia" w:ascii="Times New Roman"/>
                            </w:rPr>
                            <w:t>1000</w:t>
                          </w:r>
                        </w:p>
                      </w:txbxContent>
                    </v:textbox>
                  </v:rect>
                  <v:shape id="Text Box 99" o:spid="_x0000_s1026" o:spt="202" type="#_x0000_t202" style="position:absolute;left:12360;top:8458;height:276;width:1284;"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F2F7C72">
                          <w:pPr>
                            <w:rPr>
                              <w:b/>
                              <w:bCs/>
                              <w:sz w:val="28"/>
                              <w:szCs w:val="28"/>
                            </w:rPr>
                          </w:pPr>
                          <w:r>
                            <w:rPr>
                              <w:rFonts w:hint="eastAsia"/>
                              <w:b/>
                              <w:bCs/>
                              <w:sz w:val="28"/>
                              <w:szCs w:val="28"/>
                            </w:rPr>
                            <w:t>图例</w:t>
                          </w:r>
                        </w:p>
                      </w:txbxContent>
                    </v:textbox>
                  </v:shape>
                </v:group>
                <v:rect id="_x0000_s1026" o:spid="_x0000_s1026" o:spt="1" style="position:absolute;left:13379;top:781271;height:219;width:336;v-text-anchor:middle;" fillcolor="#0070C0" filled="t" stroked="t" coordsize="21600,21600" o:gfxdata="UEsDBAoAAAAAAIdO4kAAAAAAAAAAAAAAAAAEAAAAZHJzL1BLAwQUAAAACACHTuJArpvH2LwAAADb&#10;AAAADwAAAGRycy9kb3ducmV2LnhtbEWPT4vCMBTE78J+h/AW9qapZZHSNXoQBQ/Lgn/Z46N5JsXm&#10;pTTR1m9vFhY8DjPzG2a+HFwj7tSF2rOC6SQDQVx5XbNRcDxsxgWIEJE1Np5JwYMCLBdvozmW2ve8&#10;o/s+GpEgHEpUYGNsSylDZclhmPiWOHkX3zmMSXZG6g77BHeNzLNsJh3WnBYstrSyVF33N6cgmvXu&#10;9DncrCnOXv7MvvP++OuU+nifZl8gIg3xFf5vb7WCIoe/L+k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x9i8AAAA&#10;2wAAAA8AAAAAAAAAAQAgAAAAIgAAAGRycy9kb3ducmV2LnhtbFBLAQIUABQAAAAIAIdO4kAzLwWe&#10;OwAAADkAAAAQAAAAAAAAAAEAIAAAAAsBAABkcnMvc2hhcGV4bWwueG1sUEsFBgAAAAAGAAYAWwEA&#10;ALUDAAAAAA==&#10;">
                  <v:fill on="t" focussize="0,0"/>
                  <v:stroke weight="1pt" color="#13DEE1 [2404]" miterlimit="8" joinstyle="miter"/>
                  <v:imagedata o:title=""/>
                  <o:lock v:ext="edit" aspectratio="f"/>
                </v:rect>
                <v:rect id="_x0000_s1026" o:spid="_x0000_s1026" o:spt="1" style="position:absolute;left:13379;top:781601;height:219;width:336;v-text-anchor:middle;" fillcolor="#07D207" filled="t" stroked="t" coordsize="21600,21600" o:gfxdata="UEsDBAoAAAAAAIdO4kAAAAAAAAAAAAAAAAAEAAAAZHJzL1BLAwQUAAAACACHTuJATq4q3boAAADb&#10;AAAADwAAAGRycy9kb3ducmV2LnhtbEVPu4oCMRTtBf8hXMFGNFHxwWi0UBYEt1m1sLxMrjOjk5sx&#10;yfr4e1MsbHk47+X6ZWvxIB8qxxqGAwWCOHem4kLD6fjVn4MIEdlg7Zg0vCnAetVuLTEz7sk/9DjE&#10;QqQQDhlqKGNsMilDXpLFMHANceIuzluMCfpCGo/PFG5rOVJqKi1WnBpKbGhTUn47/FoNan899a7b&#10;STE+R2Xuo5nffvdmWnc7Q7UAEekV/8V/7p3RME/r05f0A+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rirdugAAANsA&#10;AAAPAAAAAAAAAAEAIAAAACIAAABkcnMvZG93bnJldi54bWxQSwECFAAUAAAACACHTuJAMy8FnjsA&#10;AAA5AAAAEAAAAAAAAAABACAAAAAJAQAAZHJzL3NoYXBleG1sLnhtbFBLBQYAAAAABgAGAFsBAACz&#10;AwAAAAA=&#10;">
                  <v:fill on="t" focussize="0,0"/>
                  <v:stroke weight="1pt" color="#0CD80C [2404]" miterlimit="8" joinstyle="miter"/>
                  <v:imagedata o:title=""/>
                  <o:lock v:ext="edit" aspectratio="f"/>
                </v:rect>
                <v:shape id="Text Box 99" o:spid="_x0000_s1026" o:spt="202" type="#_x0000_t202" style="position:absolute;left:13826;top:781177;height:405;width:1578;"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09FD77B">
                        <w:pPr>
                          <w:rPr>
                            <w:sz w:val="24"/>
                          </w:rPr>
                        </w:pPr>
                        <w:r>
                          <w:rPr>
                            <w:rFonts w:hint="eastAsia"/>
                            <w:sz w:val="24"/>
                          </w:rPr>
                          <w:t>一般防渗区</w:t>
                        </w:r>
                      </w:p>
                    </w:txbxContent>
                  </v:textbox>
                </v:shape>
                <v:shape id="Text Box 99" o:spid="_x0000_s1026" o:spt="202" type="#_x0000_t202" style="position:absolute;left:13855;top:781515;height:910;width:1608;"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68FB568">
                        <w:pPr>
                          <w:rPr>
                            <w:sz w:val="24"/>
                          </w:rPr>
                        </w:pPr>
                        <w:r>
                          <w:rPr>
                            <w:rFonts w:hint="eastAsia"/>
                            <w:sz w:val="24"/>
                          </w:rPr>
                          <w:t>重点防渗区</w:t>
                        </w:r>
                      </w:p>
                      <w:p w14:paraId="3D01641C">
                        <w:pPr>
                          <w:pStyle w:val="13"/>
                          <w:rPr>
                            <w:kern w:val="21"/>
                          </w:rPr>
                        </w:pPr>
                        <w:r>
                          <w:rPr>
                            <w:rFonts w:hint="eastAsia"/>
                            <w:kern w:val="21"/>
                            <w:sz w:val="24"/>
                            <w:szCs w:val="24"/>
                          </w:rPr>
                          <w:t>简单防渗区</w:t>
                        </w:r>
                      </w:p>
                      <w:p w14:paraId="75978795">
                        <w:pPr>
                          <w:pStyle w:val="13"/>
                        </w:pPr>
                      </w:p>
                    </w:txbxContent>
                  </v:textbox>
                </v:shape>
              </v:group>
            </w:pict>
          </mc:Fallback>
        </mc:AlternateContent>
      </w:r>
      <w:r>
        <w:drawing>
          <wp:inline distT="0" distB="0" distL="114300" distR="114300">
            <wp:extent cx="8528050" cy="4388485"/>
            <wp:effectExtent l="0" t="0" r="6350" b="1206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8"/>
                    <a:stretch>
                      <a:fillRect/>
                    </a:stretch>
                  </pic:blipFill>
                  <pic:spPr>
                    <a:xfrm>
                      <a:off x="0" y="0"/>
                      <a:ext cx="8528050" cy="4388485"/>
                    </a:xfrm>
                    <a:prstGeom prst="rect">
                      <a:avLst/>
                    </a:prstGeom>
                    <a:noFill/>
                    <a:ln>
                      <a:noFill/>
                    </a:ln>
                  </pic:spPr>
                </pic:pic>
              </a:graphicData>
            </a:graphic>
          </wp:inline>
        </w:drawing>
      </w:r>
    </w:p>
    <w:p w14:paraId="4E46B2E2">
      <w:pPr>
        <w:keepNext/>
        <w:adjustRightInd w:val="0"/>
        <w:snapToGrid w:val="0"/>
        <w:spacing w:line="500" w:lineRule="exact"/>
        <w:outlineLvl w:val="0"/>
        <w:rPr>
          <w:b/>
          <w:sz w:val="24"/>
        </w:rPr>
      </w:pPr>
      <w:bookmarkStart w:id="18" w:name="_Toc83393940"/>
      <w:r>
        <w:drawing>
          <wp:anchor distT="0" distB="0" distL="114300" distR="114300" simplePos="0" relativeHeight="251659264" behindDoc="0" locked="0" layoutInCell="1" allowOverlap="1">
            <wp:simplePos x="0" y="0"/>
            <wp:positionH relativeFrom="column">
              <wp:posOffset>-8255</wp:posOffset>
            </wp:positionH>
            <wp:positionV relativeFrom="paragraph">
              <wp:posOffset>313055</wp:posOffset>
            </wp:positionV>
            <wp:extent cx="695325" cy="685800"/>
            <wp:effectExtent l="0" t="0" r="9525" b="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695325" cy="685800"/>
                    </a:xfrm>
                    <a:prstGeom prst="rect">
                      <a:avLst/>
                    </a:prstGeom>
                    <a:noFill/>
                    <a:ln>
                      <a:noFill/>
                    </a:ln>
                  </pic:spPr>
                </pic:pic>
              </a:graphicData>
            </a:graphic>
          </wp:anchor>
        </w:drawing>
      </w:r>
      <w:r>
        <w:rPr>
          <w:b/>
          <w:sz w:val="24"/>
        </w:rPr>
        <w:t>附</w:t>
      </w:r>
      <w:r>
        <w:rPr>
          <w:rFonts w:hint="eastAsia"/>
          <w:b/>
          <w:sz w:val="24"/>
        </w:rPr>
        <w:t>图4</w:t>
      </w:r>
      <w:r>
        <w:rPr>
          <w:b/>
          <w:sz w:val="24"/>
        </w:rPr>
        <w:t xml:space="preserve">  </w:t>
      </w:r>
      <w:r>
        <w:rPr>
          <w:rFonts w:hint="eastAsia"/>
          <w:b/>
          <w:sz w:val="24"/>
        </w:rPr>
        <w:t>厂界外保护目标分布示意图</w:t>
      </w:r>
      <w:bookmarkEnd w:id="18"/>
    </w:p>
    <w:p w14:paraId="5B27C7A0">
      <w:pPr>
        <w:jc w:val="center"/>
      </w:pPr>
      <w:r>
        <mc:AlternateContent>
          <mc:Choice Requires="wps">
            <w:drawing>
              <wp:anchor distT="0" distB="0" distL="114300" distR="114300" simplePos="0" relativeHeight="251669504" behindDoc="0" locked="0" layoutInCell="1" allowOverlap="1">
                <wp:simplePos x="0" y="0"/>
                <wp:positionH relativeFrom="column">
                  <wp:posOffset>7070090</wp:posOffset>
                </wp:positionH>
                <wp:positionV relativeFrom="paragraph">
                  <wp:posOffset>4967605</wp:posOffset>
                </wp:positionV>
                <wp:extent cx="173355" cy="121285"/>
                <wp:effectExtent l="6350" t="6350" r="10795" b="24765"/>
                <wp:wrapNone/>
                <wp:docPr id="35" name="矩形 35"/>
                <wp:cNvGraphicFramePr/>
                <a:graphic xmlns:a="http://schemas.openxmlformats.org/drawingml/2006/main">
                  <a:graphicData uri="http://schemas.microsoft.com/office/word/2010/wordprocessingShape">
                    <wps:wsp>
                      <wps:cNvSpPr/>
                      <wps:spPr>
                        <a:xfrm>
                          <a:off x="0" y="0"/>
                          <a:ext cx="173355" cy="121285"/>
                        </a:xfrm>
                        <a:prstGeom prst="rect">
                          <a:avLst/>
                        </a:prstGeom>
                        <a:solidFill>
                          <a:srgbClr val="C14AB9"/>
                        </a:solidFill>
                        <a:ln>
                          <a:solidFill>
                            <a:srgbClr val="B627B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6.7pt;margin-top:391.15pt;height:9.55pt;width:13.65pt;z-index:251669504;v-text-anchor:middle;mso-width-relative:page;mso-height-relative:page;" fillcolor="#C14AB9" filled="t" stroked="t" coordsize="21600,21600" o:gfxdata="UEsDBAoAAAAAAIdO4kAAAAAAAAAAAAAAAAAEAAAAZHJzL1BLAwQUAAAACACHTuJAPDTV4dsAAAAN&#10;AQAADwAAAGRycy9kb3ducmV2LnhtbE2PwU7DMBBE70j8g7VIXCJqu4loCHF6iFQJLpVakLi68ZIE&#10;4nUUO035e9wTHEf7NPO23F7swM44+d6RArkSwJAaZ3pqFby/7R5yYD5oMnpwhAp+0MO2ur0pdWHc&#10;Qgc8H0PLYgn5QivoQhgLzn3TodV+5UakePt0k9UhxqnlZtJLLLcDXwvxyK3uKS50esS6w+b7OFsF&#10;yf7lyyfznjLzkbin10Od7pZaqfs7KZ6BBbyEPxiu+lEdquh0cjMZz4aYpUyzyCrY5OsU2BWRmdgA&#10;OynIhcyAVyX//0X1C1BLAwQUAAAACACHTuJAN5RHdngCAAD1BAAADgAAAGRycy9lMm9Eb2MueG1s&#10;rVTNThsxEL5X6jtYvpfNhkAgYoNCIqpKqCDRqmfH681a8l9t54e+TKXe+hB9nKqv0c/eBQLlwKE5&#10;bGY8429mvpnx2flOK7IRPkhrKloeDCgRhttamlVFP3+6fHdCSYjM1ExZIyp6JwI9n759c7Z1EzG0&#10;rVW18AQgJky2rqJtjG5SFIG3QrNwYJ0wMDbWaxah+lVRe7YFulbFcDA4LrbW185bLkLA6aIz0h7R&#10;vwbQNo3kYmH5WgsTO1QvFIsoKbTSBTrN2TaN4PG6aYKIRFUUlcb8RRDIy/QtpmdssvLMtZL3KbDX&#10;pPCsJs2kQdAHqAWLjKy9/AdKS+5tsE084FYXXSGZEVRRDp5xc9syJ3ItoDq4B9LD/4PlHzc3nsi6&#10;oodHlBim0fE/33/+/vWD4ADsbF2YwOnW3fheCxBTqbvG6/SPIsguM3r3wKjYRcJxWI4PD48AzGEq&#10;h+XwJGMWj5edD/G9sJokoaIeDcs8ss1ViAgI13uXFCtYJetLqVRW/Go5V55sGJo7L0ezi9OUMa48&#10;cVOGbFP08QBN5wwj22BUIGqHsoNZUcLUCrvAo8+xn9wO+0Eujofji+FLQVKSCxbaLpmMkNzYRMuI&#10;dVFSV/RkkH79bWWQaSK3ozNJS1vfoRnedlMaHL+UgL1iId4wj7FE/ljceI1PoyyKsr1ESWv9t5fO&#10;kz+mBVZKthhzFPx1zbygRH0wmKPTcjRKe5GV0dF4CMXvW5b7FrPWcwuySzwRjmcx+Ud1Lzbe6i/Y&#10;71mKChMzHLE7antlHrv1wwvBxWyW3bALjsUrc+t4Ak+8GTtbR9vIPASP7PSkYRtyo/vNTeu2r2ev&#10;x9dq+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8NNXh2wAAAA0BAAAPAAAAAAAAAAEAIAAAACIA&#10;AABkcnMvZG93bnJldi54bWxQSwECFAAUAAAACACHTuJAN5RHdngCAAD1BAAADgAAAAAAAAABACAA&#10;AAAqAQAAZHJzL2Uyb0RvYy54bWxQSwUGAAAAAAYABgBZAQAAFAYAAAAA&#10;">
                <v:fill on="t" focussize="0,0"/>
                <v:stroke weight="1pt" color="#B627B2 [2404]"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7082155</wp:posOffset>
                </wp:positionH>
                <wp:positionV relativeFrom="paragraph">
                  <wp:posOffset>4789170</wp:posOffset>
                </wp:positionV>
                <wp:extent cx="173355" cy="121285"/>
                <wp:effectExtent l="6350" t="6350" r="10795" b="24765"/>
                <wp:wrapNone/>
                <wp:docPr id="34" name="矩形 34"/>
                <wp:cNvGraphicFramePr/>
                <a:graphic xmlns:a="http://schemas.openxmlformats.org/drawingml/2006/main">
                  <a:graphicData uri="http://schemas.microsoft.com/office/word/2010/wordprocessingShape">
                    <wps:wsp>
                      <wps:cNvSpPr/>
                      <wps:spPr>
                        <a:xfrm>
                          <a:off x="0" y="0"/>
                          <a:ext cx="173355" cy="121285"/>
                        </a:xfrm>
                        <a:prstGeom prst="rect">
                          <a:avLst/>
                        </a:prstGeom>
                        <a:noFill/>
                        <a:ln>
                          <a:solidFill>
                            <a:schemeClr val="accent1">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7.65pt;margin-top:377.1pt;height:9.55pt;width:13.65pt;z-index:251668480;v-text-anchor:middle;mso-width-relative:page;mso-height-relative:page;" filled="f" stroked="t" coordsize="21600,21600" o:gfxdata="UEsDBAoAAAAAAIdO4kAAAAAAAAAAAAAAAAAEAAAAZHJzL1BLAwQUAAAACACHTuJAhDjsV9kAAAAN&#10;AQAADwAAAGRycy9kb3ducmV2LnhtbE2PwU7DMAyG70i8Q2QkLoilabcOlaYTGuIB2CbOWWPaQuNU&#10;TdZuPD3eCY6//en353Jzdr2YcAydJw1qkYBAqr3tqNFw2L89PoEI0ZA1vSfUcMEAm+r2pjSF9TO9&#10;47SLjeASCoXR0MY4FFKGukVnwsIPSLz79KMzkePYSDuamctdL9MkyaUzHfGF1gy4bbH+3p2chqDy&#10;3L5id9hOD/i1v4T55eNn1vr+TiXPICKe4x8MV31Wh4qdjv5ENoies1KrjFkN69UyBXFF1DLNQRx5&#10;tM4ykFUp/39R/QJQSwMEFAAAAAgAh07iQKZcXLh9AgAA7gQAAA4AAABkcnMvZTJvRG9jLnhtbK1U&#10;y24TMRTdI/EPlvd0MmnSlKiTKjQUIRVaqSDWjseTseQXtvMoP4PEjo/gcxC/wbFnmpTCogs2M/fl&#10;43vPvddn5zutyEb4IK2paHk0oEQYbmtpVhX9+OHyxSklITJTM2WNqOidCPR89vzZ2dZNxdC2VtXC&#10;E4CYMN26irYxumlRBN4KzcKRdcLA2VivWYTqV0Xt2RboWhXDweCk2FpfO2+5CAHWReekPaJ/CqBt&#10;GsnFwvK1FiZ2qF4oFlFSaKULdJazbRrB43XTBBGJqigqjfmLSyAv07eYnbHpyjPXSt6nwJ6SwqOa&#10;NJMGl+6hFiwysvbyLygtubfBNvGIW110hWRGUEU5eMTNbcucyLWA6uD2pIf/B8vfb248kXVFj0eU&#10;GKbR8V9fv//88Y3AAHa2LkwRdOtufK8FiKnUXeN1+qMIssuM3u0ZFbtIOIzl5Ph4PKaEw1UOy+Hp&#10;OGEWh8POh/hGWE2SUFGPhmUe2eYqxC70PiTdZeylVAp2NlWGbBPoZIBecoZJbDABELVDNcGsKGFq&#10;hRHn0WfIYJWs0/F0OvjV8kJ5smEYjOHryfjVSQ5Sa/3O1p15Mh4Au0uij8+5/wGUsluw0HZHsisd&#10;YVMtI/ZESV3RU+DskZQBSGK14zFJS1vfoQveduMZHL+UgL1iId4wj3lEhdjYeI1PoyzKtr1ESWv9&#10;l3/ZUzzGBF5KtphvUPJ5zbygRL01GKCX5WiUFiIro/FkCMU/9CwfesxaX1gwVeJtcDyLKT6qe7Hx&#10;Vn/CYs/TrXAxw3F3R36vXMRu7/A0cDGf5zAsgWPxytw6nsC7Fs/X0TYyd//ATk8a1iD3oF/ZtGcP&#10;9Rx1eKZ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OOxX2QAAAA0BAAAPAAAAAAAAAAEAIAAA&#10;ACIAAABkcnMvZG93bnJldi54bWxQSwECFAAUAAAACACHTuJAplxcuH0CAADuBAAADgAAAAAAAAAB&#10;ACAAAAAoAQAAZHJzL2Uyb0RvYy54bWxQSwUGAAAAAAYABgBZAQAAFwYAAAAA&#10;">
                <v:fill on="f" focussize="0,0"/>
                <v:stroke weight="1pt" color="#2E75B6 [2404]" miterlimit="8"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7077075</wp:posOffset>
                </wp:positionH>
                <wp:positionV relativeFrom="paragraph">
                  <wp:posOffset>4610735</wp:posOffset>
                </wp:positionV>
                <wp:extent cx="173355" cy="121285"/>
                <wp:effectExtent l="6350" t="6350" r="10795" b="24765"/>
                <wp:wrapNone/>
                <wp:docPr id="32" name="矩形 32"/>
                <wp:cNvGraphicFramePr/>
                <a:graphic xmlns:a="http://schemas.openxmlformats.org/drawingml/2006/main">
                  <a:graphicData uri="http://schemas.microsoft.com/office/word/2010/wordprocessingShape">
                    <wps:wsp>
                      <wps:cNvSpPr/>
                      <wps:spPr>
                        <a:xfrm>
                          <a:off x="0" y="0"/>
                          <a:ext cx="173355" cy="121285"/>
                        </a:xfrm>
                        <a:prstGeom prst="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7.25pt;margin-top:363.05pt;height:9.55pt;width:13.65pt;z-index:251667456;v-text-anchor:middle;mso-width-relative:page;mso-height-relative:page;" filled="f" stroked="t" coordsize="21600,21600" o:gfxdata="UEsDBAoAAAAAAIdO4kAAAAAAAAAAAAAAAAAEAAAAZHJzL1BLAwQUAAAACACHTuJAm3mAUNoAAAAN&#10;AQAADwAAAGRycy9kb3ducmV2LnhtbE2PzU7DMBCE70i8g7VIXBB1HKU/SuP00IJQxYlScd4mSxIR&#10;25HtJuXt2Z7ocWY/zc4Um4vpxUg+dM5qULMEBNnK1Z1tNBw/X59XIEJEW2PvLGn4pQCb8v6uwLx2&#10;k/2g8RAbwSE25KihjXHIpQxVSwbDzA1k+fbtvMHI0jey9jhxuOllmiQLabCz/KHFgbYtVT+Hs9Hw&#10;tt+9+C0ed6OZhvRpie/7r85r/figkjWISJf4D8O1PleHkjud3NnWQfSslcrmzGpYpgsF4oqoTPGc&#10;E1vZPAVZFvJ2RfkHUEsDBBQAAAAIAIdO4kCVSMdfbAIAAMwEAAAOAAAAZHJzL2Uyb0RvYy54bWyt&#10;VMtuEzEU3SPxD5b3dGbShpaokyo0KkKqaKWAWDseT8aSX9hOJuVnkNj1I/gcxG9w7Jk+KCy6IAvn&#10;2vf62Of43Dk922tFdsIHaU1Nq4OSEmG4baTZ1PTTx4tXJ5SEyEzDlDWipjci0LP5yxenvZuJie2s&#10;aoQnADFh1ruadjG6WVEE3gnNwoF1wiDZWq9ZxNRvisazHuhaFZOyfF301jfOWy5CwOpySNIR0T8H&#10;0Lat5GJp+VYLEwdULxSLoBQ66QKd59u2reDxqm2DiETVFExjHnEI4nUai/kpm208c53k4xXYc67w&#10;hJNm0uDQe6gli4xsvfwLSkvubbBtPOBWFwORrAhYVOUTbVYdcyJzgdTB3Yse/h8s/7C79kQ2NT2c&#10;UGKYxov/+nb788d3ggWo07swQ9HKXftxFhAmqvvW6/QPEmSfFb25V1TsI+FYrI4PD6dTSjhS1aSa&#10;nEwTZvGw2fkQ3wmrSQpq6vFgWUe2uwxxKL0rSWcZeyGVwjqbKUP6BHpc4i05gxNbOAChdmATzIYS&#10;pjawOI8+QwarZJO2p93Bb9bnypMdS8Yo35bT7AXc7I+ydPaShW6oy6nBMlpGdIGSuqYnZfqNvJQB&#10;vaTZoFKK1ra5gcbeDuYLjl9IwF6yEK+Zh9twf/RjvMLQKgtSdowo6az/+q/1VA8TIEtJD/eC8Jct&#10;84IS9d7AHm+qo6Nk9zw5mh5PMPGPM+vHGbPV5xY6VOh8x3OY6qO6C1tv9We07SKdihQzHGcP0o6T&#10;8zh0FRqfi8Uil8HijsVLs3I8gQ8PuNhG28r8tg/qjKLB5NkdY0OmLno8z1UPH6H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t5gFDaAAAADQEAAA8AAAAAAAAAAQAgAAAAIgAAAGRycy9kb3ducmV2&#10;LnhtbFBLAQIUABQAAAAIAIdO4kCVSMdfbAIAAMwEAAAOAAAAAAAAAAEAIAAAACkBAABkcnMvZTJv&#10;RG9jLnhtbFBLBQYAAAAABgAGAFkBAAAHBgAAAAA=&#10;">
                <v:fill on="f" focussize="0,0"/>
                <v:stroke weight="1pt" color="#00B050 [2404]" miterlimit="8" joinstyle="miter"/>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7063105</wp:posOffset>
                </wp:positionH>
                <wp:positionV relativeFrom="paragraph">
                  <wp:posOffset>4432300</wp:posOffset>
                </wp:positionV>
                <wp:extent cx="173355" cy="121285"/>
                <wp:effectExtent l="6350" t="6350" r="10795" b="24765"/>
                <wp:wrapNone/>
                <wp:docPr id="26" name="矩形 26"/>
                <wp:cNvGraphicFramePr/>
                <a:graphic xmlns:a="http://schemas.openxmlformats.org/drawingml/2006/main">
                  <a:graphicData uri="http://schemas.microsoft.com/office/word/2010/wordprocessingShape">
                    <wps:wsp>
                      <wps:cNvSpPr/>
                      <wps:spPr>
                        <a:xfrm>
                          <a:off x="8143240" y="5721985"/>
                          <a:ext cx="173355" cy="1212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6.15pt;margin-top:349pt;height:9.55pt;width:13.65pt;z-index:251666432;v-text-anchor:middle;mso-width-relative:page;mso-height-relative:page;" filled="f" stroked="t" coordsize="21600,21600" o:gfxdata="UEsDBAoAAAAAAIdO4kAAAAAAAAAAAAAAAAAEAAAAZHJzL1BLAwQUAAAACACHTuJA5xpJutgAAAAN&#10;AQAADwAAAGRycy9kb3ducmV2LnhtbE2PzU7DMBCE70i8g7VI3KjjVkraEKcHRE8cgLYS121skqj+&#10;k+204e3ZnuA42m9mZ5rtbA276JhG7ySIRQFMu86r0fUSjofd0xpYyugUGu+0hB+dYNve3zVYK391&#10;n/qyzz2jEJdqlDDkHGrOUzdoi2nhg3Z0+/bRYiYZe64iXincGr4sipJbHB19GDDol0F35/1kqUYw&#10;H0FN7+fjl5h38VW9JewrKR8fRPEMLOs5/8Fwq08eaKnTyU9OJWZIC7FcESuh3Kxp1Q0Rq00J7CSh&#10;EpUA3jb8/4r2F1BLAwQUAAAACACHTuJAy8H5CXYCAADYBAAADgAAAGRycy9lMm9Eb2MueG1srVRL&#10;btswEN0X6B0I7htZjp2PETkwYrgoEDQG0qJrmqIsAvyVpC2nlynQXQ/R4xS9Rh8p5dO0iyzqBT3U&#10;DN/wvZnhxeVBK7IXPkhrKloejSgRhttamm1FP35YvTmjJERmaqasERW9E4Fezl+/uujcTIxta1Ut&#10;PAGICbPOVbSN0c2KIvBWaBaOrBMGzsZ6zSK2flvUnnVA16oYj0YnRWd97bzlIgR8XfZOOiD6lwDa&#10;ppFcLC3faWFij+qFYhGUQitdoPN826YRPN40TRCRqIqCacwrksDepLWYX7DZ1jPXSj5cgb3kCs84&#10;aSYNkj5ALVlkZOflX1Bacm+DbeIRt7roiWRFwKIcPdPmtmVOZC6QOrgH0cP/g+Xv92tPZF3R8Qkl&#10;hmlU/NfX7z9/fCP4AHU6F2YIunVrP+wCzET10Hid/kGCHCp6Vk6OxxPoelfR6em4PD+b9uqKQyQc&#10;AeXp8fF0SglHQDkux72/eARyPsS3wmqSjIp6FC9ryvbXISI5Qu9DUl5jV1KpXEBlSJdAT0fIzxm6&#10;skE3wNQOzILZUsLUFu3Oo8+QwSpZp+MJKPjt5kp5smdoktVqhF+6OdL9EZZyL1lo+7js6glqGTER&#10;SmqIkA7fn1YGIEm/XrFkbWx9B7297RsxOL6SgL1mIa6ZR+fh/pjNeIOlURak7GBR0lr/5V/fUzwa&#10;Al5KOnQyCH/eMS8oUe8MWuW8nKSyxLyZoDTY+KeezVOP2ekrCx1KvAKOZzPFR3VvNt7qTxjhRcoK&#10;FzMcuXtph81V7CcMjwAXi0UOQ7s7Fq/NreMJvC/gYhdtI3NtH9UZREPD5xoMw5km6uk+Rz0+SP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xpJutgAAAANAQAADwAAAAAAAAABACAAAAAiAAAAZHJz&#10;L2Rvd25yZXYueG1sUEsBAhQAFAAAAAgAh07iQMvB+Ql2AgAA2AQAAA4AAAAAAAAAAQAgAAAAJwEA&#10;AGRycy9lMm9Eb2MueG1sUEsFBgAAAAAGAAYAWQEAAA8GAAAAAA==&#10;">
                <v:fill on="f" focussize="0,0"/>
                <v:stroke weight="1pt" color="#FF0000 [2404]"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7002780</wp:posOffset>
                </wp:positionH>
                <wp:positionV relativeFrom="paragraph">
                  <wp:posOffset>4181475</wp:posOffset>
                </wp:positionV>
                <wp:extent cx="1524000" cy="977900"/>
                <wp:effectExtent l="4445" t="4445" r="14605" b="8255"/>
                <wp:wrapNone/>
                <wp:docPr id="23" name="文本框 23"/>
                <wp:cNvGraphicFramePr/>
                <a:graphic xmlns:a="http://schemas.openxmlformats.org/drawingml/2006/main">
                  <a:graphicData uri="http://schemas.microsoft.com/office/word/2010/wordprocessingShape">
                    <wps:wsp>
                      <wps:cNvSpPr txBox="1"/>
                      <wps:spPr>
                        <a:xfrm>
                          <a:off x="8221345" y="5548630"/>
                          <a:ext cx="1524000" cy="977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7855F">
                            <w:pPr>
                              <w:jc w:val="center"/>
                            </w:pPr>
                            <w:r>
                              <w:rPr>
                                <w:rFonts w:hint="eastAsia"/>
                              </w:rPr>
                              <w:t>图例</w:t>
                            </w:r>
                          </w:p>
                          <w:p w14:paraId="524F55AF">
                            <w:pPr>
                              <w:ind w:firstLine="210" w:firstLineChars="100"/>
                            </w:pPr>
                            <w:r>
                              <w:rPr>
                                <w:rFonts w:hint="eastAsia"/>
                              </w:rPr>
                              <w:t>：本项目</w:t>
                            </w:r>
                          </w:p>
                          <w:p w14:paraId="3F0C7D40">
                            <w:pPr>
                              <w:jc w:val="center"/>
                            </w:pPr>
                            <w:r>
                              <w:rPr>
                                <w:rFonts w:hint="eastAsia"/>
                              </w:rPr>
                              <w:t>：声环境调查范围</w:t>
                            </w:r>
                          </w:p>
                          <w:p w14:paraId="1CF17310">
                            <w:pPr>
                              <w:jc w:val="center"/>
                            </w:pPr>
                            <w:r>
                              <w:rPr>
                                <w:rFonts w:hint="eastAsia"/>
                              </w:rPr>
                              <w:t xml:space="preserve">  ：大气环境调查范围</w:t>
                            </w:r>
                          </w:p>
                          <w:p w14:paraId="502D229E">
                            <w:pPr>
                              <w:ind w:firstLine="210" w:firstLineChars="100"/>
                            </w:pPr>
                            <w:r>
                              <w:rPr>
                                <w:rFonts w:hint="eastAsia"/>
                              </w:rPr>
                              <w:t>：环境保护目标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1.4pt;margin-top:329.25pt;height:77pt;width:120pt;z-index:251665408;mso-width-relative:page;mso-height-relative:page;" fillcolor="#FFFFFF [3201]" filled="t" stroked="t" coordsize="21600,21600" o:gfxdata="UEsDBAoAAAAAAIdO4kAAAAAAAAAAAAAAAAAEAAAAZHJzL1BLAwQUAAAACACHTuJAzoCy6NcAAAAN&#10;AQAADwAAAGRycy9kb3ducmV2LnhtbE2PQU+EMBCF7yb+h2ZMvLktIIQgZRNNTIw3Vy7eunQWiO2U&#10;tN1l/feWkx7fvJf3vmn3V2vYBX2YHUnIdgIY0uD0TKOE/vP1oQYWoiKtjCOU8IMB9t3tTasa7Vb6&#10;wMshjiyVUGiUhCnGpeE8DBNaFXZuQUreyXmrYpJ+5NqrNZVbw3MhKm7VTGlhUgu+TDh8H85Wwlv1&#10;HL+w1++6yAu39nzwJxOkvL/LxBOwiNf4F4YNP6FDl5iO7kw6MJN0JvLEHiVUZV0C2yLF43Y6Sqiz&#10;vATetfz/F90vUEsDBBQAAAAIAIdO4kDaxcShZAIAAMUEAAAOAAAAZHJzL2Uyb0RvYy54bWytVM1u&#10;EzEQviPxDpbvdDebpE2jbqrQKgipopUK4ux4vVkL22NsJ7vlAeANOHHhznP1ORh7N/3l0AM5OPOn&#10;b2a+mdmT004rshPOSzAlHR3klAjDoZJmU9JPH1dvZpT4wEzFFBhR0hvh6eni9auT1s5FAQ2oSjiC&#10;IMbPW1vSJgQ7zzLPG6GZPwArDDprcJoFVN0mqxxrEV2rrMjzw6wFV1kHXHiP1vPeSQdE9xJAqGvJ&#10;xTnwrRYm9KhOKBawJd9I6+kiVVvXgofLuvYiEFVS7DSkF5OgvI5vtjhh841jtpF8KIG9pIQnPWkm&#10;DSa9gzpngZGtk8+gtOQOPNThgIPO+kYSI9jFKH/CzXXDrEi9INXe3pHu/x8s/7C7ckRWJS3GlBim&#10;ceK3P3/c/vpz+/s7QRsS1Fo/x7hri5Ghewsdrs3e7tEY++5qp+M/dkTQPyuK0XgypeSmpNPpZHY4&#10;HqgWXSA8AkyLSZ7jFDhGHB8dHaOMqbJ7JOt8eCdAkyiU1OEoE8Nsd+FDH7oPiYk9KFmtpFJJcZv1&#10;mXJkx3Dsq/Qb0B+FKUPakh6Op3lCfuSL2HcQa8X4l+cIWK0yWHQkqCciSqFbdwNra6hukDQH/d55&#10;y1cScS+YD1fM4aIhAXiK4RKfWgEWA4NESQPu27/sMR7nj15KWlzckvqvW+YEJeq9wc04Hk0mcdOT&#10;MpkeFai4h571Q4/Z6jNAkkZ49JYnMcYHtRdrB/ozXuwyZkUXMxxzlzTsxbPQnxNePBfLZQrC3bYs&#10;XJhryyN0HImB5TZALdPoIk09NwN7uN1p+MMlxvN5qKeo+6/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gLLo1wAAAA0BAAAPAAAAAAAAAAEAIAAAACIAAABkcnMvZG93bnJldi54bWxQSwECFAAU&#10;AAAACACHTuJA2sXEoWQCAADFBAAADgAAAAAAAAABACAAAAAmAQAAZHJzL2Uyb0RvYy54bWxQSwUG&#10;AAAAAAYABgBZAQAA/AUAAAAA&#10;">
                <v:fill on="t" focussize="0,0"/>
                <v:stroke weight="0.5pt" color="#000000 [3204]" joinstyle="round"/>
                <v:imagedata o:title=""/>
                <o:lock v:ext="edit" aspectratio="f"/>
                <v:textbox>
                  <w:txbxContent>
                    <w:p w14:paraId="6EC7855F">
                      <w:pPr>
                        <w:jc w:val="center"/>
                      </w:pPr>
                      <w:r>
                        <w:rPr>
                          <w:rFonts w:hint="eastAsia"/>
                        </w:rPr>
                        <w:t>图例</w:t>
                      </w:r>
                    </w:p>
                    <w:p w14:paraId="524F55AF">
                      <w:pPr>
                        <w:ind w:firstLine="210" w:firstLineChars="100"/>
                      </w:pPr>
                      <w:r>
                        <w:rPr>
                          <w:rFonts w:hint="eastAsia"/>
                        </w:rPr>
                        <w:t>：本项目</w:t>
                      </w:r>
                    </w:p>
                    <w:p w14:paraId="3F0C7D40">
                      <w:pPr>
                        <w:jc w:val="center"/>
                      </w:pPr>
                      <w:r>
                        <w:rPr>
                          <w:rFonts w:hint="eastAsia"/>
                        </w:rPr>
                        <w:t>：声环境调查范围</w:t>
                      </w:r>
                    </w:p>
                    <w:p w14:paraId="1CF17310">
                      <w:pPr>
                        <w:jc w:val="center"/>
                      </w:pPr>
                      <w:r>
                        <w:rPr>
                          <w:rFonts w:hint="eastAsia"/>
                        </w:rPr>
                        <w:t xml:space="preserve">  ：大气环境调查范围</w:t>
                      </w:r>
                    </w:p>
                    <w:p w14:paraId="502D229E">
                      <w:pPr>
                        <w:ind w:firstLine="210" w:firstLineChars="100"/>
                      </w:pPr>
                      <w:r>
                        <w:rPr>
                          <w:rFonts w:hint="eastAsia"/>
                        </w:rPr>
                        <w:t>：环境保护目标</w:t>
                      </w:r>
                    </w:p>
                  </w:txbxContent>
                </v:textbox>
              </v:shape>
            </w:pict>
          </mc:Fallback>
        </mc:AlternateContent>
      </w:r>
      <w:r>
        <w:drawing>
          <wp:anchor distT="0" distB="0" distL="114300" distR="114300" simplePos="0" relativeHeight="251664384" behindDoc="0" locked="0" layoutInCell="1" allowOverlap="1">
            <wp:simplePos x="0" y="0"/>
            <wp:positionH relativeFrom="column">
              <wp:posOffset>7234555</wp:posOffset>
            </wp:positionH>
            <wp:positionV relativeFrom="paragraph">
              <wp:posOffset>4267835</wp:posOffset>
            </wp:positionV>
            <wp:extent cx="1296670" cy="892810"/>
            <wp:effectExtent l="0" t="0" r="17780" b="254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9"/>
                    <a:stretch>
                      <a:fillRect/>
                    </a:stretch>
                  </pic:blipFill>
                  <pic:spPr>
                    <a:xfrm>
                      <a:off x="0" y="0"/>
                      <a:ext cx="1296670" cy="892810"/>
                    </a:xfrm>
                    <a:prstGeom prst="rect">
                      <a:avLst/>
                    </a:prstGeom>
                    <a:noFill/>
                    <a:ln>
                      <a:noFill/>
                    </a:ln>
                  </pic:spPr>
                </pic:pic>
              </a:graphicData>
            </a:graphic>
          </wp:anchor>
        </w:drawing>
      </w:r>
      <w:r>
        <w:drawing>
          <wp:inline distT="0" distB="0" distL="114300" distR="114300">
            <wp:extent cx="8522970" cy="5175885"/>
            <wp:effectExtent l="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a:srcRect t="5298"/>
                    <a:stretch>
                      <a:fillRect/>
                    </a:stretch>
                  </pic:blipFill>
                  <pic:spPr>
                    <a:xfrm>
                      <a:off x="0" y="0"/>
                      <a:ext cx="8522970" cy="5175885"/>
                    </a:xfrm>
                    <a:prstGeom prst="rect">
                      <a:avLst/>
                    </a:prstGeom>
                    <a:noFill/>
                    <a:ln>
                      <a:noFill/>
                    </a:ln>
                  </pic:spPr>
                </pic:pic>
              </a:graphicData>
            </a:graphic>
          </wp:inline>
        </w:drawing>
      </w:r>
    </w:p>
    <w:p w14:paraId="3372D08C">
      <w:pPr>
        <w:jc w:val="center"/>
        <w:sectPr>
          <w:pgSz w:w="16838" w:h="11906" w:orient="landscape"/>
          <w:pgMar w:top="1531" w:right="1701" w:bottom="1531" w:left="1701" w:header="851" w:footer="851" w:gutter="0"/>
          <w:cols w:space="720" w:num="1"/>
          <w:docGrid w:linePitch="312" w:charSpace="0"/>
        </w:sectPr>
      </w:pPr>
    </w:p>
    <w:p w14:paraId="1ED41A1C">
      <w:pPr>
        <w:keepNext/>
        <w:adjustRightInd w:val="0"/>
        <w:snapToGrid w:val="0"/>
        <w:spacing w:line="500" w:lineRule="exact"/>
        <w:outlineLvl w:val="0"/>
        <w:rPr>
          <w:b/>
          <w:sz w:val="24"/>
        </w:rPr>
      </w:pPr>
      <w:bookmarkStart w:id="19" w:name="_Toc83393943"/>
      <w:r>
        <w:rPr>
          <w:b/>
          <w:sz w:val="24"/>
        </w:rPr>
        <w:t>附件1  企业</w:t>
      </w:r>
      <w:r>
        <w:rPr>
          <w:rFonts w:hint="eastAsia"/>
          <w:b/>
          <w:sz w:val="24"/>
        </w:rPr>
        <w:t>营业执照</w:t>
      </w:r>
      <w:bookmarkEnd w:id="19"/>
    </w:p>
    <w:p w14:paraId="1DEBEDB0">
      <w:pPr>
        <w:jc w:val="center"/>
        <w:rPr>
          <w:b/>
          <w:bCs/>
        </w:rPr>
      </w:pPr>
      <w:r>
        <w:rPr>
          <w:rFonts w:hint="eastAsia"/>
        </w:rPr>
        <w:drawing>
          <wp:inline distT="0" distB="0" distL="114300" distR="114300">
            <wp:extent cx="4696460" cy="7632700"/>
            <wp:effectExtent l="0" t="0" r="8890" b="6350"/>
            <wp:docPr id="13" name="图片 13" descr="e772fcb7491ff634ed77e8d57fc2d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772fcb7491ff634ed77e8d57fc2df32"/>
                    <pic:cNvPicPr>
                      <a:picLocks noChangeAspect="1"/>
                    </pic:cNvPicPr>
                  </pic:nvPicPr>
                  <pic:blipFill>
                    <a:blip r:embed="rId21"/>
                    <a:srcRect t="13330" b="16578"/>
                    <a:stretch>
                      <a:fillRect/>
                    </a:stretch>
                  </pic:blipFill>
                  <pic:spPr>
                    <a:xfrm>
                      <a:off x="0" y="0"/>
                      <a:ext cx="4696460" cy="7632700"/>
                    </a:xfrm>
                    <a:prstGeom prst="rect">
                      <a:avLst/>
                    </a:prstGeom>
                  </pic:spPr>
                </pic:pic>
              </a:graphicData>
            </a:graphic>
          </wp:inline>
        </w:drawing>
      </w:r>
    </w:p>
    <w:p w14:paraId="13FE4820">
      <w:pPr>
        <w:keepNext/>
        <w:adjustRightInd w:val="0"/>
        <w:snapToGrid w:val="0"/>
        <w:spacing w:line="500" w:lineRule="exact"/>
        <w:outlineLvl w:val="0"/>
        <w:rPr>
          <w:b/>
          <w:sz w:val="24"/>
        </w:rPr>
      </w:pPr>
      <w:bookmarkStart w:id="20" w:name="_Toc83393944"/>
      <w:r>
        <w:rPr>
          <w:b/>
          <w:sz w:val="24"/>
        </w:rPr>
        <w:t xml:space="preserve">附件2  </w:t>
      </w:r>
      <w:r>
        <w:rPr>
          <w:rFonts w:hint="eastAsia"/>
          <w:b/>
          <w:sz w:val="24"/>
        </w:rPr>
        <w:t>用地情况说明</w:t>
      </w:r>
    </w:p>
    <w:p w14:paraId="203B2B3E">
      <w:pPr>
        <w:keepNext/>
        <w:adjustRightInd w:val="0"/>
        <w:snapToGrid w:val="0"/>
        <w:rPr>
          <w:b/>
          <w:sz w:val="24"/>
        </w:rPr>
      </w:pPr>
      <w:r>
        <w:rPr>
          <w:rFonts w:hint="eastAsia"/>
          <w:b/>
          <w:sz w:val="24"/>
        </w:rPr>
        <w:drawing>
          <wp:inline distT="0" distB="0" distL="114300" distR="114300">
            <wp:extent cx="5019040" cy="8202930"/>
            <wp:effectExtent l="0" t="0" r="10160" b="7620"/>
            <wp:docPr id="16" name="图片 16" descr="6e93c4ea2ea3d494fcfc1a6f80eca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e93c4ea2ea3d494fcfc1a6f80eca991"/>
                    <pic:cNvPicPr>
                      <a:picLocks noChangeAspect="1"/>
                    </pic:cNvPicPr>
                  </pic:nvPicPr>
                  <pic:blipFill>
                    <a:blip r:embed="rId22"/>
                    <a:srcRect t="11773" b="17748"/>
                    <a:stretch>
                      <a:fillRect/>
                    </a:stretch>
                  </pic:blipFill>
                  <pic:spPr>
                    <a:xfrm>
                      <a:off x="0" y="0"/>
                      <a:ext cx="5019040" cy="8202930"/>
                    </a:xfrm>
                    <a:prstGeom prst="rect">
                      <a:avLst/>
                    </a:prstGeom>
                  </pic:spPr>
                </pic:pic>
              </a:graphicData>
            </a:graphic>
          </wp:inline>
        </w:drawing>
      </w:r>
    </w:p>
    <w:p w14:paraId="51816914">
      <w:pPr>
        <w:keepNext/>
        <w:adjustRightInd w:val="0"/>
        <w:snapToGrid w:val="0"/>
        <w:spacing w:line="500" w:lineRule="exact"/>
        <w:outlineLvl w:val="0"/>
        <w:rPr>
          <w:b/>
          <w:sz w:val="24"/>
        </w:rPr>
      </w:pPr>
      <w:r>
        <w:rPr>
          <w:rFonts w:hint="eastAsia"/>
          <w:b/>
          <w:sz w:val="24"/>
        </w:rPr>
        <w:t xml:space="preserve">附件3  </w:t>
      </w:r>
      <w:bookmarkEnd w:id="20"/>
      <w:r>
        <w:rPr>
          <w:rFonts w:hint="eastAsia"/>
          <w:b/>
          <w:sz w:val="24"/>
        </w:rPr>
        <w:t>房屋租赁协议</w:t>
      </w:r>
    </w:p>
    <w:p w14:paraId="399698C0">
      <w:pPr>
        <w:jc w:val="center"/>
        <w:rPr>
          <w:rFonts w:hint="eastAsia"/>
        </w:rPr>
        <w:sectPr>
          <w:pgSz w:w="11906" w:h="16838"/>
          <w:pgMar w:top="1701" w:right="1531" w:bottom="1701" w:left="1531" w:header="851" w:footer="851" w:gutter="0"/>
          <w:cols w:space="720" w:num="1"/>
          <w:docGrid w:linePitch="312" w:charSpace="0"/>
        </w:sectPr>
      </w:pPr>
      <w:r>
        <w:rPr>
          <w:rFonts w:hint="eastAsia"/>
        </w:rPr>
        <w:drawing>
          <wp:inline distT="0" distB="0" distL="114300" distR="114300">
            <wp:extent cx="4904740" cy="8012430"/>
            <wp:effectExtent l="0" t="0" r="10160" b="7620"/>
            <wp:docPr id="14" name="图片 14" descr="c3f7ba230f14006ae6c0a3667d72c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3f7ba230f14006ae6c0a3667d72c481"/>
                    <pic:cNvPicPr>
                      <a:picLocks noChangeAspect="1"/>
                    </pic:cNvPicPr>
                  </pic:nvPicPr>
                  <pic:blipFill>
                    <a:blip r:embed="rId23"/>
                    <a:srcRect t="12615" b="16936"/>
                    <a:stretch>
                      <a:fillRect/>
                    </a:stretch>
                  </pic:blipFill>
                  <pic:spPr>
                    <a:xfrm>
                      <a:off x="0" y="0"/>
                      <a:ext cx="4904740" cy="8012430"/>
                    </a:xfrm>
                    <a:prstGeom prst="rect">
                      <a:avLst/>
                    </a:prstGeom>
                  </pic:spPr>
                </pic:pic>
              </a:graphicData>
            </a:graphic>
          </wp:inline>
        </w:drawing>
      </w:r>
      <w:r>
        <w:rPr>
          <w:rFonts w:hint="eastAsia"/>
        </w:rPr>
        <w:drawing>
          <wp:inline distT="0" distB="0" distL="114300" distR="114300">
            <wp:extent cx="4670425" cy="8386445"/>
            <wp:effectExtent l="0" t="0" r="15875" b="14605"/>
            <wp:docPr id="15" name="图片 15" descr="98405174fb7d2ff6365265cffa77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8405174fb7d2ff6365265cffa777529"/>
                    <pic:cNvPicPr>
                      <a:picLocks noChangeAspect="1"/>
                    </pic:cNvPicPr>
                  </pic:nvPicPr>
                  <pic:blipFill>
                    <a:blip r:embed="rId24"/>
                    <a:srcRect t="13203" b="9358"/>
                    <a:stretch>
                      <a:fillRect/>
                    </a:stretch>
                  </pic:blipFill>
                  <pic:spPr>
                    <a:xfrm>
                      <a:off x="0" y="0"/>
                      <a:ext cx="4670425" cy="8386445"/>
                    </a:xfrm>
                    <a:prstGeom prst="rect">
                      <a:avLst/>
                    </a:prstGeom>
                  </pic:spPr>
                </pic:pic>
              </a:graphicData>
            </a:graphic>
          </wp:inline>
        </w:drawing>
      </w:r>
    </w:p>
    <w:p w14:paraId="40028BC0">
      <w:pPr>
        <w:keepNext/>
        <w:adjustRightInd w:val="0"/>
        <w:snapToGrid w:val="0"/>
        <w:spacing w:line="500" w:lineRule="exact"/>
        <w:outlineLvl w:val="0"/>
        <w:rPr>
          <w:rFonts w:hint="default" w:eastAsia="宋体"/>
          <w:lang w:val="en-US" w:eastAsia="zh-CN"/>
        </w:rPr>
      </w:pPr>
      <w:r>
        <w:rPr>
          <w:rFonts w:hint="eastAsia"/>
          <w:b/>
          <w:sz w:val="24"/>
        </w:rPr>
        <w:t xml:space="preserve">附件4  </w:t>
      </w:r>
      <w:r>
        <w:rPr>
          <w:rFonts w:hint="eastAsia"/>
          <w:b/>
          <w:sz w:val="24"/>
          <w:lang w:val="en-US" w:eastAsia="zh-CN"/>
        </w:rPr>
        <w:t>污水处理协议</w:t>
      </w:r>
    </w:p>
    <w:p w14:paraId="6A1C3B1A">
      <w:pPr>
        <w:pStyle w:val="2"/>
        <w:rPr>
          <w:rFonts w:hint="eastAsia" w:eastAsia="宋体"/>
          <w:lang w:eastAsia="zh-CN"/>
        </w:rPr>
        <w:sectPr>
          <w:pgSz w:w="11906" w:h="16838"/>
          <w:pgMar w:top="1701" w:right="1531" w:bottom="1701" w:left="1531" w:header="851" w:footer="851" w:gutter="0"/>
          <w:cols w:space="720" w:num="1"/>
          <w:docGrid w:linePitch="312" w:charSpace="0"/>
        </w:sectPr>
      </w:pPr>
      <w:r>
        <w:rPr>
          <w:rFonts w:hint="eastAsia" w:eastAsia="宋体"/>
          <w:lang w:eastAsia="zh-CN"/>
        </w:rPr>
        <w:drawing>
          <wp:inline distT="0" distB="0" distL="114300" distR="114300">
            <wp:extent cx="4739005" cy="7598410"/>
            <wp:effectExtent l="0" t="0" r="4445" b="2540"/>
            <wp:docPr id="12" name="图片 12" descr="8f34c52dfe5e281b7699d0c8d754e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34c52dfe5e281b7699d0c8d754e24a"/>
                    <pic:cNvPicPr>
                      <a:picLocks noChangeAspect="1"/>
                    </pic:cNvPicPr>
                  </pic:nvPicPr>
                  <pic:blipFill>
                    <a:blip r:embed="rId25"/>
                    <a:srcRect t="13717" b="17137"/>
                    <a:stretch>
                      <a:fillRect/>
                    </a:stretch>
                  </pic:blipFill>
                  <pic:spPr>
                    <a:xfrm>
                      <a:off x="0" y="0"/>
                      <a:ext cx="4739005" cy="7598410"/>
                    </a:xfrm>
                    <a:prstGeom prst="rect">
                      <a:avLst/>
                    </a:prstGeom>
                  </pic:spPr>
                </pic:pic>
              </a:graphicData>
            </a:graphic>
          </wp:inline>
        </w:drawing>
      </w:r>
    </w:p>
    <w:p w14:paraId="68585DCA">
      <w:pPr>
        <w:keepNext/>
        <w:adjustRightInd w:val="0"/>
        <w:snapToGrid w:val="0"/>
        <w:spacing w:line="500" w:lineRule="exact"/>
        <w:outlineLvl w:val="0"/>
        <w:rPr>
          <w:b/>
          <w:sz w:val="24"/>
        </w:rPr>
      </w:pPr>
      <w:r>
        <w:rPr>
          <w:rFonts w:hint="eastAsia"/>
          <w:b/>
          <w:sz w:val="24"/>
        </w:rPr>
        <w:t>附件</w:t>
      </w:r>
      <w:r>
        <w:rPr>
          <w:rFonts w:hint="eastAsia"/>
          <w:b/>
          <w:sz w:val="24"/>
          <w:lang w:val="en-US" w:eastAsia="zh-CN"/>
        </w:rPr>
        <w:t>5</w:t>
      </w:r>
      <w:r>
        <w:rPr>
          <w:rFonts w:hint="eastAsia"/>
          <w:b/>
          <w:sz w:val="24"/>
        </w:rPr>
        <w:t xml:space="preserve">  生态环境分区管控分析报告</w:t>
      </w:r>
    </w:p>
    <w:p w14:paraId="3C9FE0B4">
      <w:pPr>
        <w:pStyle w:val="13"/>
      </w:pPr>
      <w:r>
        <w:drawing>
          <wp:inline distT="0" distB="0" distL="114300" distR="114300">
            <wp:extent cx="8531225" cy="4156710"/>
            <wp:effectExtent l="0" t="0" r="317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rcRect t="23376" b="2916"/>
                    <a:stretch>
                      <a:fillRect/>
                    </a:stretch>
                  </pic:blipFill>
                  <pic:spPr>
                    <a:xfrm>
                      <a:off x="0" y="0"/>
                      <a:ext cx="8531225" cy="4156710"/>
                    </a:xfrm>
                    <a:prstGeom prst="rect">
                      <a:avLst/>
                    </a:prstGeom>
                    <a:noFill/>
                    <a:ln>
                      <a:noFill/>
                    </a:ln>
                  </pic:spPr>
                </pic:pic>
              </a:graphicData>
            </a:graphic>
          </wp:inline>
        </w:drawing>
      </w:r>
    </w:p>
    <w:p w14:paraId="07EB4774">
      <w:pPr>
        <w:pStyle w:val="42"/>
        <w:sectPr>
          <w:pgSz w:w="16838" w:h="11906" w:orient="landscape"/>
          <w:pgMar w:top="1531" w:right="1701" w:bottom="1531" w:left="1701" w:header="851" w:footer="851" w:gutter="0"/>
          <w:cols w:space="720" w:num="1"/>
          <w:docGrid w:linePitch="312" w:charSpace="0"/>
        </w:sectPr>
      </w:pPr>
      <w:r>
        <w:drawing>
          <wp:inline distT="0" distB="0" distL="114300" distR="114300">
            <wp:extent cx="8529320" cy="5683885"/>
            <wp:effectExtent l="0" t="0" r="508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8529320" cy="5683885"/>
                    </a:xfrm>
                    <a:prstGeom prst="rect">
                      <a:avLst/>
                    </a:prstGeom>
                    <a:noFill/>
                    <a:ln>
                      <a:noFill/>
                    </a:ln>
                  </pic:spPr>
                </pic:pic>
              </a:graphicData>
            </a:graphic>
          </wp:inline>
        </w:drawing>
      </w:r>
      <w:r>
        <w:drawing>
          <wp:inline distT="0" distB="0" distL="114300" distR="114300">
            <wp:extent cx="8526780" cy="5687695"/>
            <wp:effectExtent l="0" t="0" r="762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8526780" cy="5687695"/>
                    </a:xfrm>
                    <a:prstGeom prst="rect">
                      <a:avLst/>
                    </a:prstGeom>
                    <a:noFill/>
                    <a:ln>
                      <a:noFill/>
                    </a:ln>
                  </pic:spPr>
                </pic:pic>
              </a:graphicData>
            </a:graphic>
          </wp:inline>
        </w:drawing>
      </w:r>
      <w:r>
        <w:drawing>
          <wp:inline distT="0" distB="0" distL="114300" distR="114300">
            <wp:extent cx="8529320" cy="5788025"/>
            <wp:effectExtent l="0" t="0" r="508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8529320" cy="5788025"/>
                    </a:xfrm>
                    <a:prstGeom prst="rect">
                      <a:avLst/>
                    </a:prstGeom>
                    <a:noFill/>
                    <a:ln>
                      <a:noFill/>
                    </a:ln>
                  </pic:spPr>
                </pic:pic>
              </a:graphicData>
            </a:graphic>
          </wp:inline>
        </w:drawing>
      </w:r>
      <w:r>
        <w:drawing>
          <wp:inline distT="0" distB="0" distL="114300" distR="114300">
            <wp:extent cx="8526145" cy="5758815"/>
            <wp:effectExtent l="0" t="0" r="825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8526145" cy="5758815"/>
                    </a:xfrm>
                    <a:prstGeom prst="rect">
                      <a:avLst/>
                    </a:prstGeom>
                    <a:noFill/>
                    <a:ln>
                      <a:noFill/>
                    </a:ln>
                  </pic:spPr>
                </pic:pic>
              </a:graphicData>
            </a:graphic>
          </wp:inline>
        </w:drawing>
      </w:r>
      <w:r>
        <w:drawing>
          <wp:inline distT="0" distB="0" distL="114300" distR="114300">
            <wp:extent cx="8529955" cy="577024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8529955" cy="5770245"/>
                    </a:xfrm>
                    <a:prstGeom prst="rect">
                      <a:avLst/>
                    </a:prstGeom>
                    <a:noFill/>
                    <a:ln>
                      <a:noFill/>
                    </a:ln>
                  </pic:spPr>
                </pic:pic>
              </a:graphicData>
            </a:graphic>
          </wp:inline>
        </w:drawing>
      </w:r>
      <w:r>
        <w:drawing>
          <wp:inline distT="0" distB="0" distL="114300" distR="114300">
            <wp:extent cx="8526780" cy="5965190"/>
            <wp:effectExtent l="0" t="0" r="762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8526780" cy="5965190"/>
                    </a:xfrm>
                    <a:prstGeom prst="rect">
                      <a:avLst/>
                    </a:prstGeom>
                    <a:noFill/>
                    <a:ln>
                      <a:noFill/>
                    </a:ln>
                  </pic:spPr>
                </pic:pic>
              </a:graphicData>
            </a:graphic>
          </wp:inline>
        </w:drawing>
      </w:r>
      <w:r>
        <w:drawing>
          <wp:inline distT="0" distB="0" distL="114300" distR="114300">
            <wp:extent cx="8529320" cy="5915660"/>
            <wp:effectExtent l="0" t="0" r="508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8529320" cy="5915660"/>
                    </a:xfrm>
                    <a:prstGeom prst="rect">
                      <a:avLst/>
                    </a:prstGeom>
                    <a:noFill/>
                    <a:ln>
                      <a:noFill/>
                    </a:ln>
                  </pic:spPr>
                </pic:pic>
              </a:graphicData>
            </a:graphic>
          </wp:inline>
        </w:drawing>
      </w:r>
      <w:r>
        <w:drawing>
          <wp:inline distT="0" distB="0" distL="114300" distR="114300">
            <wp:extent cx="8526780" cy="565658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8526780" cy="5656580"/>
                    </a:xfrm>
                    <a:prstGeom prst="rect">
                      <a:avLst/>
                    </a:prstGeom>
                    <a:noFill/>
                    <a:ln>
                      <a:noFill/>
                    </a:ln>
                  </pic:spPr>
                </pic:pic>
              </a:graphicData>
            </a:graphic>
          </wp:inline>
        </w:drawing>
      </w:r>
      <w:r>
        <w:drawing>
          <wp:inline distT="0" distB="0" distL="114300" distR="114300">
            <wp:extent cx="8528050" cy="5803265"/>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a:stretch>
                      <a:fillRect/>
                    </a:stretch>
                  </pic:blipFill>
                  <pic:spPr>
                    <a:xfrm>
                      <a:off x="0" y="0"/>
                      <a:ext cx="8528050" cy="5803265"/>
                    </a:xfrm>
                    <a:prstGeom prst="rect">
                      <a:avLst/>
                    </a:prstGeom>
                    <a:noFill/>
                    <a:ln>
                      <a:noFill/>
                    </a:ln>
                  </pic:spPr>
                </pic:pic>
              </a:graphicData>
            </a:graphic>
          </wp:inline>
        </w:drawing>
      </w:r>
    </w:p>
    <w:p w14:paraId="5C2CDF78">
      <w:pPr>
        <w:pStyle w:val="42"/>
      </w:pPr>
    </w:p>
    <w:bookmarkEnd w:id="17"/>
    <w:p w14:paraId="6ACA4009">
      <w:pPr>
        <w:pStyle w:val="13"/>
      </w:pPr>
    </w:p>
    <w:p w14:paraId="6936EA23"/>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00007A87" w:usb1="80000000" w:usb2="00000008" w:usb3="00000000" w:csb0="400001FF" w:csb1="FFFF0000"/>
  </w:font>
  <w:font w:name="宋体">
    <w:altName w:val="方正书宋_GBK"/>
    <w:panose1 w:val="02010600030101010101"/>
    <w:charset w:val="52"/>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书宋简体">
    <w:altName w:val="方正书宋_GBK"/>
    <w:panose1 w:val="00000000000000000000"/>
    <w:charset w:val="86"/>
    <w:family w:val="auto"/>
    <w:pitch w:val="default"/>
    <w:sig w:usb0="00000000" w:usb1="00000000" w:usb2="00000012" w:usb3="00000000" w:csb0="00040001" w:csb1="00000000"/>
  </w:font>
  <w:font w:name="DejaVu Sans">
    <w:panose1 w:val="020B0603030804020204"/>
    <w:charset w:val="00"/>
    <w:family w:val="auto"/>
    <w:pitch w:val="default"/>
    <w:sig w:usb0="E7006EFF" w:usb1="D200FDFF" w:usb2="0A246029" w:usb3="0400200C" w:csb0="600001FF" w:csb1="DFFF0000"/>
  </w:font>
  <w:font w:name="等线 Light">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Lucida Console">
    <w:altName w:val="Noto Sans Mono"/>
    <w:panose1 w:val="020B0609040504020204"/>
    <w:charset w:val="00"/>
    <w:family w:val="modern"/>
    <w:pitch w:val="default"/>
    <w:sig w:usb0="00000000" w:usb1="00000000" w:usb2="00000000" w:usb3="00000000" w:csb0="0000001F" w:csb1="D7D70000"/>
  </w:font>
  <w:font w:name="Noto Sans Mono">
    <w:panose1 w:val="020B0509040504020204"/>
    <w:charset w:val="00"/>
    <w:family w:val="auto"/>
    <w:pitch w:val="default"/>
    <w:sig w:usb0="E00002FF" w:usb1="4200FCFF" w:usb2="08000039" w:usb3="00100000" w:csb0="0000019F" w:csb1="DFD70000"/>
  </w:font>
  <w:font w:name="Wingdings 2">
    <w:panose1 w:val="05020102010507070707"/>
    <w:charset w:val="02"/>
    <w:family w:val="roman"/>
    <w:pitch w:val="default"/>
    <w:sig w:usb0="00000000" w:usb1="00000000" w:usb2="00000000" w:usb3="00000000" w:csb0="80000000" w:csb1="00000000"/>
  </w:font>
  <w:font w:name="等线">
    <w:altName w:val="汉仪中宋简"/>
    <w:panose1 w:val="02010600030101010101"/>
    <w:charset w:val="86"/>
    <w:family w:val="auto"/>
    <w:pitch w:val="default"/>
    <w:sig w:usb0="00000000" w:usb1="00000000" w:usb2="00000016" w:usb3="00000000" w:csb0="0004000F" w:csb1="00000000"/>
  </w:font>
  <w:font w:name="Helvetica">
    <w:altName w:val="NanumBarunGothic"/>
    <w:panose1 w:val="020B0604020202020204"/>
    <w:charset w:val="00"/>
    <w:family w:val="swiss"/>
    <w:pitch w:val="default"/>
    <w:sig w:usb0="00000000" w:usb1="00000000" w:usb2="00000009" w:usb3="00000000" w:csb0="000001FF" w:csb1="00000000"/>
  </w:font>
  <w:font w:name="NanumBarunGothic">
    <w:panose1 w:val="020B0603020101020101"/>
    <w:charset w:val="81"/>
    <w:family w:val="auto"/>
    <w:pitch w:val="default"/>
    <w:sig w:usb0="800002A7" w:usb1="01D77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2501">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8A914">
    <w:pPr>
      <w:pStyle w:val="19"/>
      <w:framePr w:wrap="around" w:vAnchor="text" w:hAnchor="margin" w:xAlign="center" w:y="1"/>
      <w:rPr>
        <w:rStyle w:val="38"/>
      </w:rPr>
    </w:pPr>
    <w:r>
      <w:fldChar w:fldCharType="begin"/>
    </w:r>
    <w:r>
      <w:rPr>
        <w:rStyle w:val="38"/>
      </w:rPr>
      <w:instrText xml:space="preserve">PAGE  </w:instrText>
    </w:r>
    <w:r>
      <w:fldChar w:fldCharType="end"/>
    </w:r>
  </w:p>
  <w:p w14:paraId="2E49C7C1">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E469">
    <w:pPr>
      <w:pStyle w:val="19"/>
      <w:jc w:val="center"/>
    </w:pPr>
    <w:r>
      <w:fldChar w:fldCharType="begin"/>
    </w:r>
    <w:r>
      <w:instrText xml:space="preserve">PAGE   \* MERGEFORMAT</w:instrText>
    </w:r>
    <w:r>
      <w:fldChar w:fldCharType="separate"/>
    </w:r>
    <w:r>
      <w:rPr>
        <w:lang w:val="zh-CN"/>
      </w:rPr>
      <w:t>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1496">
    <w:pPr>
      <w:pStyle w:val="19"/>
      <w:jc w:val="center"/>
    </w:pPr>
    <w:r>
      <w:fldChar w:fldCharType="begin"/>
    </w:r>
    <w:r>
      <w:instrText xml:space="preserve">PAGE   \* MERGEFORMAT</w:instrText>
    </w:r>
    <w:r>
      <w:fldChar w:fldCharType="separate"/>
    </w:r>
    <w:r>
      <w:rPr>
        <w:lang w:val="zh-CN"/>
      </w:rPr>
      <w:t>39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4928">
    <w:pPr>
      <w:pStyle w:val="19"/>
      <w:jc w:val="center"/>
    </w:pPr>
    <w:r>
      <w:fldChar w:fldCharType="begin"/>
    </w:r>
    <w:r>
      <w:instrText xml:space="preserve">PAGE   \* MERGEFORMAT</w:instrText>
    </w:r>
    <w:r>
      <w:fldChar w:fldCharType="separate"/>
    </w:r>
    <w:r>
      <w:rPr>
        <w:lang w:val="zh-CN"/>
      </w:rPr>
      <w:t>53</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2C38F9"/>
    <w:multiLevelType w:val="multilevel"/>
    <w:tmpl w:val="302C38F9"/>
    <w:lvl w:ilvl="0" w:tentative="0">
      <w:start w:val="1"/>
      <w:numFmt w:val="upperLetter"/>
      <w:pStyle w:val="7"/>
      <w:lvlText w:val="%1."/>
      <w:lvlJc w:val="left"/>
      <w:pPr>
        <w:tabs>
          <w:tab w:val="left" w:pos="360"/>
        </w:tabs>
        <w:ind w:left="0" w:firstLine="0"/>
      </w:pPr>
    </w:lvl>
    <w:lvl w:ilvl="1" w:tentative="0">
      <w:start w:val="1"/>
      <w:numFmt w:val="upperLetter"/>
      <w:lvlText w:val="%2."/>
      <w:lvlJc w:val="left"/>
      <w:pPr>
        <w:tabs>
          <w:tab w:val="left" w:pos="360"/>
        </w:tabs>
        <w:ind w:left="0" w:firstLine="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164DA95"/>
    <w:multiLevelType w:val="singleLevel"/>
    <w:tmpl w:val="4164DA95"/>
    <w:lvl w:ilvl="0" w:tentative="0">
      <w:start w:val="1"/>
      <w:numFmt w:val="decimal"/>
      <w:suff w:val="nothing"/>
      <w:lvlText w:val="（%1）"/>
      <w:lvlJc w:val="left"/>
    </w:lvl>
  </w:abstractNum>
  <w:abstractNum w:abstractNumId="2">
    <w:nsid w:val="6244154A"/>
    <w:multiLevelType w:val="singleLevel"/>
    <w:tmpl w:val="6244154A"/>
    <w:lvl w:ilvl="0" w:tentative="0">
      <w:start w:val="3"/>
      <w:numFmt w:val="decimal"/>
      <w:suff w:val="nothing"/>
      <w:lvlText w:val="（%1）"/>
      <w:lvlJc w:val="left"/>
      <w:pPr>
        <w:ind w:left="-60"/>
      </w:pPr>
    </w:lvl>
  </w:abstractNum>
  <w:abstractNum w:abstractNumId="3">
    <w:nsid w:val="7DF8D209"/>
    <w:multiLevelType w:val="singleLevel"/>
    <w:tmpl w:val="7DF8D209"/>
    <w:lvl w:ilvl="0" w:tentative="0">
      <w:start w:val="1"/>
      <w:numFmt w:val="decimal"/>
      <w:lvlText w:val="%1."/>
      <w:lvlJc w:val="left"/>
      <w:pPr>
        <w:tabs>
          <w:tab w:val="left" w:pos="312"/>
        </w:tabs>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hYjkwNTlmOWJkNmEzOWJhNWM2NjUyZTdiOWZkNzcifQ=="/>
  </w:docVars>
  <w:rsids>
    <w:rsidRoot w:val="00A14947"/>
    <w:rsid w:val="0000327C"/>
    <w:rsid w:val="000060B3"/>
    <w:rsid w:val="0001074D"/>
    <w:rsid w:val="0002028C"/>
    <w:rsid w:val="00027942"/>
    <w:rsid w:val="00032EC7"/>
    <w:rsid w:val="000333A1"/>
    <w:rsid w:val="000349DF"/>
    <w:rsid w:val="00035798"/>
    <w:rsid w:val="00036B96"/>
    <w:rsid w:val="000421A9"/>
    <w:rsid w:val="0004364B"/>
    <w:rsid w:val="00050FDB"/>
    <w:rsid w:val="000530C3"/>
    <w:rsid w:val="00054FCC"/>
    <w:rsid w:val="00055FAE"/>
    <w:rsid w:val="00061B1F"/>
    <w:rsid w:val="00061FC5"/>
    <w:rsid w:val="0006744B"/>
    <w:rsid w:val="00070BFE"/>
    <w:rsid w:val="000733C4"/>
    <w:rsid w:val="000744C9"/>
    <w:rsid w:val="00074783"/>
    <w:rsid w:val="000769C4"/>
    <w:rsid w:val="0008070B"/>
    <w:rsid w:val="000810AC"/>
    <w:rsid w:val="00081A02"/>
    <w:rsid w:val="00081FAB"/>
    <w:rsid w:val="00082231"/>
    <w:rsid w:val="00082384"/>
    <w:rsid w:val="00083E0C"/>
    <w:rsid w:val="00084A21"/>
    <w:rsid w:val="00092D38"/>
    <w:rsid w:val="0009377B"/>
    <w:rsid w:val="00094B47"/>
    <w:rsid w:val="00095589"/>
    <w:rsid w:val="0009777D"/>
    <w:rsid w:val="000A13C3"/>
    <w:rsid w:val="000A2066"/>
    <w:rsid w:val="000A20C9"/>
    <w:rsid w:val="000A4749"/>
    <w:rsid w:val="000A5953"/>
    <w:rsid w:val="000A68DB"/>
    <w:rsid w:val="000A6D48"/>
    <w:rsid w:val="000A7035"/>
    <w:rsid w:val="000B058F"/>
    <w:rsid w:val="000B10DA"/>
    <w:rsid w:val="000B3AF4"/>
    <w:rsid w:val="000B4467"/>
    <w:rsid w:val="000B4DB9"/>
    <w:rsid w:val="000C09AC"/>
    <w:rsid w:val="000C0DC6"/>
    <w:rsid w:val="000C37C8"/>
    <w:rsid w:val="000C60F0"/>
    <w:rsid w:val="000C6ABE"/>
    <w:rsid w:val="000C767F"/>
    <w:rsid w:val="000D138D"/>
    <w:rsid w:val="000D5A44"/>
    <w:rsid w:val="000D765B"/>
    <w:rsid w:val="000D7B06"/>
    <w:rsid w:val="000E213E"/>
    <w:rsid w:val="000E3ED2"/>
    <w:rsid w:val="000E6A97"/>
    <w:rsid w:val="000E7B20"/>
    <w:rsid w:val="001003CB"/>
    <w:rsid w:val="0010086E"/>
    <w:rsid w:val="00100998"/>
    <w:rsid w:val="001028B8"/>
    <w:rsid w:val="001048CC"/>
    <w:rsid w:val="001049D3"/>
    <w:rsid w:val="00106DA3"/>
    <w:rsid w:val="001071F6"/>
    <w:rsid w:val="0011204E"/>
    <w:rsid w:val="00112907"/>
    <w:rsid w:val="00114805"/>
    <w:rsid w:val="00117044"/>
    <w:rsid w:val="0012064E"/>
    <w:rsid w:val="00120722"/>
    <w:rsid w:val="00121A80"/>
    <w:rsid w:val="00122277"/>
    <w:rsid w:val="00123621"/>
    <w:rsid w:val="0012368D"/>
    <w:rsid w:val="00130892"/>
    <w:rsid w:val="00131F42"/>
    <w:rsid w:val="00134E38"/>
    <w:rsid w:val="001357F1"/>
    <w:rsid w:val="00136BBC"/>
    <w:rsid w:val="00140FA8"/>
    <w:rsid w:val="00142FEB"/>
    <w:rsid w:val="00143A2D"/>
    <w:rsid w:val="001446AE"/>
    <w:rsid w:val="00144CC2"/>
    <w:rsid w:val="001453FA"/>
    <w:rsid w:val="00145A41"/>
    <w:rsid w:val="00147C54"/>
    <w:rsid w:val="00151675"/>
    <w:rsid w:val="001553ED"/>
    <w:rsid w:val="001571FF"/>
    <w:rsid w:val="00157435"/>
    <w:rsid w:val="00157F58"/>
    <w:rsid w:val="001604E3"/>
    <w:rsid w:val="001619CC"/>
    <w:rsid w:val="00165F10"/>
    <w:rsid w:val="001673EA"/>
    <w:rsid w:val="00167A01"/>
    <w:rsid w:val="001703FC"/>
    <w:rsid w:val="0017152E"/>
    <w:rsid w:val="00171E74"/>
    <w:rsid w:val="0017346C"/>
    <w:rsid w:val="00173CE6"/>
    <w:rsid w:val="0017504D"/>
    <w:rsid w:val="001755D5"/>
    <w:rsid w:val="00175D4A"/>
    <w:rsid w:val="0017671A"/>
    <w:rsid w:val="00177422"/>
    <w:rsid w:val="00177546"/>
    <w:rsid w:val="00182A90"/>
    <w:rsid w:val="00182BE9"/>
    <w:rsid w:val="00183D00"/>
    <w:rsid w:val="00184590"/>
    <w:rsid w:val="001870D1"/>
    <w:rsid w:val="0018781E"/>
    <w:rsid w:val="00191148"/>
    <w:rsid w:val="0019262D"/>
    <w:rsid w:val="00195E96"/>
    <w:rsid w:val="001A1B35"/>
    <w:rsid w:val="001A48A2"/>
    <w:rsid w:val="001A6F61"/>
    <w:rsid w:val="001B72B8"/>
    <w:rsid w:val="001C192A"/>
    <w:rsid w:val="001C1F6A"/>
    <w:rsid w:val="001C2424"/>
    <w:rsid w:val="001C612B"/>
    <w:rsid w:val="001C69B3"/>
    <w:rsid w:val="001D036A"/>
    <w:rsid w:val="001D03B3"/>
    <w:rsid w:val="001D0400"/>
    <w:rsid w:val="001D0452"/>
    <w:rsid w:val="001D1F6C"/>
    <w:rsid w:val="001D201D"/>
    <w:rsid w:val="001D4032"/>
    <w:rsid w:val="001D4135"/>
    <w:rsid w:val="001D5595"/>
    <w:rsid w:val="001D7874"/>
    <w:rsid w:val="001D7F22"/>
    <w:rsid w:val="001E504B"/>
    <w:rsid w:val="001E7194"/>
    <w:rsid w:val="001F0F17"/>
    <w:rsid w:val="001F3347"/>
    <w:rsid w:val="001F69E4"/>
    <w:rsid w:val="001F76AB"/>
    <w:rsid w:val="00200F43"/>
    <w:rsid w:val="00201259"/>
    <w:rsid w:val="00203A29"/>
    <w:rsid w:val="002046D1"/>
    <w:rsid w:val="002050E6"/>
    <w:rsid w:val="002051E7"/>
    <w:rsid w:val="00206413"/>
    <w:rsid w:val="002103EF"/>
    <w:rsid w:val="002125B4"/>
    <w:rsid w:val="002155B8"/>
    <w:rsid w:val="00220688"/>
    <w:rsid w:val="002216BD"/>
    <w:rsid w:val="00223292"/>
    <w:rsid w:val="00224241"/>
    <w:rsid w:val="00224839"/>
    <w:rsid w:val="002249B2"/>
    <w:rsid w:val="002257D4"/>
    <w:rsid w:val="002258CC"/>
    <w:rsid w:val="00225D1A"/>
    <w:rsid w:val="00226574"/>
    <w:rsid w:val="00226D0F"/>
    <w:rsid w:val="002270EE"/>
    <w:rsid w:val="002278EC"/>
    <w:rsid w:val="0023139B"/>
    <w:rsid w:val="0023280E"/>
    <w:rsid w:val="00232F57"/>
    <w:rsid w:val="002377D1"/>
    <w:rsid w:val="00240F07"/>
    <w:rsid w:val="00240F45"/>
    <w:rsid w:val="00241630"/>
    <w:rsid w:val="00242233"/>
    <w:rsid w:val="002433E9"/>
    <w:rsid w:val="0024452A"/>
    <w:rsid w:val="0024660F"/>
    <w:rsid w:val="002506BC"/>
    <w:rsid w:val="00252290"/>
    <w:rsid w:val="00252DCA"/>
    <w:rsid w:val="00254345"/>
    <w:rsid w:val="00255140"/>
    <w:rsid w:val="00257EEB"/>
    <w:rsid w:val="00260546"/>
    <w:rsid w:val="00260F5B"/>
    <w:rsid w:val="00263017"/>
    <w:rsid w:val="00264557"/>
    <w:rsid w:val="0027271E"/>
    <w:rsid w:val="002730F1"/>
    <w:rsid w:val="002734BA"/>
    <w:rsid w:val="00273CB0"/>
    <w:rsid w:val="002749A8"/>
    <w:rsid w:val="00275C00"/>
    <w:rsid w:val="00275F3D"/>
    <w:rsid w:val="0028053D"/>
    <w:rsid w:val="002805AB"/>
    <w:rsid w:val="00284204"/>
    <w:rsid w:val="00286B17"/>
    <w:rsid w:val="00290255"/>
    <w:rsid w:val="00291773"/>
    <w:rsid w:val="00291CF1"/>
    <w:rsid w:val="00293242"/>
    <w:rsid w:val="002966E7"/>
    <w:rsid w:val="002974CA"/>
    <w:rsid w:val="0029782D"/>
    <w:rsid w:val="00297BE7"/>
    <w:rsid w:val="002A0E8A"/>
    <w:rsid w:val="002A168C"/>
    <w:rsid w:val="002A3DC7"/>
    <w:rsid w:val="002A5737"/>
    <w:rsid w:val="002A6561"/>
    <w:rsid w:val="002A6D2E"/>
    <w:rsid w:val="002A6F9A"/>
    <w:rsid w:val="002B25AD"/>
    <w:rsid w:val="002B49E2"/>
    <w:rsid w:val="002B4CBA"/>
    <w:rsid w:val="002B5C23"/>
    <w:rsid w:val="002B7B00"/>
    <w:rsid w:val="002B7C44"/>
    <w:rsid w:val="002C0BDD"/>
    <w:rsid w:val="002C1527"/>
    <w:rsid w:val="002C26F8"/>
    <w:rsid w:val="002C2B17"/>
    <w:rsid w:val="002C3E3D"/>
    <w:rsid w:val="002C49FF"/>
    <w:rsid w:val="002C6614"/>
    <w:rsid w:val="002C6BFF"/>
    <w:rsid w:val="002D3CD4"/>
    <w:rsid w:val="002D3DD0"/>
    <w:rsid w:val="002D5417"/>
    <w:rsid w:val="002D58A1"/>
    <w:rsid w:val="002E1457"/>
    <w:rsid w:val="002E1F3A"/>
    <w:rsid w:val="002E216A"/>
    <w:rsid w:val="002E298A"/>
    <w:rsid w:val="002E4511"/>
    <w:rsid w:val="002E79D2"/>
    <w:rsid w:val="002E7BD1"/>
    <w:rsid w:val="002E7F00"/>
    <w:rsid w:val="002F52A4"/>
    <w:rsid w:val="00300FC7"/>
    <w:rsid w:val="00301729"/>
    <w:rsid w:val="00301978"/>
    <w:rsid w:val="0030332C"/>
    <w:rsid w:val="003051C2"/>
    <w:rsid w:val="00305EC3"/>
    <w:rsid w:val="00311C29"/>
    <w:rsid w:val="00312296"/>
    <w:rsid w:val="00314ABB"/>
    <w:rsid w:val="00314F0E"/>
    <w:rsid w:val="00315E1E"/>
    <w:rsid w:val="00321D8E"/>
    <w:rsid w:val="00325222"/>
    <w:rsid w:val="00325928"/>
    <w:rsid w:val="0032642A"/>
    <w:rsid w:val="00332863"/>
    <w:rsid w:val="0033604A"/>
    <w:rsid w:val="0033684D"/>
    <w:rsid w:val="00337B42"/>
    <w:rsid w:val="00340C05"/>
    <w:rsid w:val="00341B42"/>
    <w:rsid w:val="0034348F"/>
    <w:rsid w:val="0034427C"/>
    <w:rsid w:val="00346A20"/>
    <w:rsid w:val="00347ABC"/>
    <w:rsid w:val="00352773"/>
    <w:rsid w:val="00356653"/>
    <w:rsid w:val="0035743F"/>
    <w:rsid w:val="00357BE2"/>
    <w:rsid w:val="0036170C"/>
    <w:rsid w:val="00362626"/>
    <w:rsid w:val="00365796"/>
    <w:rsid w:val="00366E0F"/>
    <w:rsid w:val="00373452"/>
    <w:rsid w:val="00380130"/>
    <w:rsid w:val="00381A72"/>
    <w:rsid w:val="0038255F"/>
    <w:rsid w:val="00383762"/>
    <w:rsid w:val="00384676"/>
    <w:rsid w:val="0038516D"/>
    <w:rsid w:val="00390086"/>
    <w:rsid w:val="00390604"/>
    <w:rsid w:val="00390857"/>
    <w:rsid w:val="0039149E"/>
    <w:rsid w:val="00394957"/>
    <w:rsid w:val="00394B9A"/>
    <w:rsid w:val="0039685E"/>
    <w:rsid w:val="003A27CC"/>
    <w:rsid w:val="003A3ECE"/>
    <w:rsid w:val="003A4BF3"/>
    <w:rsid w:val="003A609A"/>
    <w:rsid w:val="003A6303"/>
    <w:rsid w:val="003A67F5"/>
    <w:rsid w:val="003B420D"/>
    <w:rsid w:val="003C5D93"/>
    <w:rsid w:val="003C6C16"/>
    <w:rsid w:val="003D2A59"/>
    <w:rsid w:val="003D5A1E"/>
    <w:rsid w:val="003D794D"/>
    <w:rsid w:val="003E1261"/>
    <w:rsid w:val="003E1622"/>
    <w:rsid w:val="003E3058"/>
    <w:rsid w:val="003E4465"/>
    <w:rsid w:val="003E76A9"/>
    <w:rsid w:val="003F0809"/>
    <w:rsid w:val="003F1BE4"/>
    <w:rsid w:val="003F6399"/>
    <w:rsid w:val="003F6A8C"/>
    <w:rsid w:val="003F755C"/>
    <w:rsid w:val="00400C0F"/>
    <w:rsid w:val="00403184"/>
    <w:rsid w:val="0040326B"/>
    <w:rsid w:val="004052DC"/>
    <w:rsid w:val="00406F01"/>
    <w:rsid w:val="004074C0"/>
    <w:rsid w:val="00413514"/>
    <w:rsid w:val="00416D50"/>
    <w:rsid w:val="00416FD5"/>
    <w:rsid w:val="00417772"/>
    <w:rsid w:val="00420E6A"/>
    <w:rsid w:val="00422DED"/>
    <w:rsid w:val="00423F89"/>
    <w:rsid w:val="00424911"/>
    <w:rsid w:val="004253C0"/>
    <w:rsid w:val="00425A9E"/>
    <w:rsid w:val="00425FCB"/>
    <w:rsid w:val="00426D6B"/>
    <w:rsid w:val="00431E6C"/>
    <w:rsid w:val="00433CE7"/>
    <w:rsid w:val="00436846"/>
    <w:rsid w:val="0043775F"/>
    <w:rsid w:val="00437D75"/>
    <w:rsid w:val="00444410"/>
    <w:rsid w:val="004451D9"/>
    <w:rsid w:val="00452738"/>
    <w:rsid w:val="004535EE"/>
    <w:rsid w:val="00455A9A"/>
    <w:rsid w:val="00456091"/>
    <w:rsid w:val="00456E92"/>
    <w:rsid w:val="0045733E"/>
    <w:rsid w:val="00457997"/>
    <w:rsid w:val="00462E12"/>
    <w:rsid w:val="00466321"/>
    <w:rsid w:val="00466695"/>
    <w:rsid w:val="00471FB4"/>
    <w:rsid w:val="0047499A"/>
    <w:rsid w:val="0047565C"/>
    <w:rsid w:val="004769FB"/>
    <w:rsid w:val="00480949"/>
    <w:rsid w:val="00484B9B"/>
    <w:rsid w:val="004854DE"/>
    <w:rsid w:val="004855F6"/>
    <w:rsid w:val="0048661E"/>
    <w:rsid w:val="00491473"/>
    <w:rsid w:val="00492242"/>
    <w:rsid w:val="00494670"/>
    <w:rsid w:val="004A154E"/>
    <w:rsid w:val="004A1753"/>
    <w:rsid w:val="004A3823"/>
    <w:rsid w:val="004A6272"/>
    <w:rsid w:val="004A730B"/>
    <w:rsid w:val="004B1C29"/>
    <w:rsid w:val="004B2A6C"/>
    <w:rsid w:val="004B3463"/>
    <w:rsid w:val="004B61D8"/>
    <w:rsid w:val="004C03E4"/>
    <w:rsid w:val="004C3F2F"/>
    <w:rsid w:val="004C6201"/>
    <w:rsid w:val="004D2799"/>
    <w:rsid w:val="004D2F76"/>
    <w:rsid w:val="004E1953"/>
    <w:rsid w:val="004E3233"/>
    <w:rsid w:val="004E6946"/>
    <w:rsid w:val="004F1AD8"/>
    <w:rsid w:val="004F2C6C"/>
    <w:rsid w:val="004F52B7"/>
    <w:rsid w:val="004F73A5"/>
    <w:rsid w:val="004F79CC"/>
    <w:rsid w:val="005012E4"/>
    <w:rsid w:val="005039CB"/>
    <w:rsid w:val="0050558F"/>
    <w:rsid w:val="00506286"/>
    <w:rsid w:val="00506FC2"/>
    <w:rsid w:val="00510813"/>
    <w:rsid w:val="005110AB"/>
    <w:rsid w:val="00511990"/>
    <w:rsid w:val="00511DE0"/>
    <w:rsid w:val="00512FE4"/>
    <w:rsid w:val="00514870"/>
    <w:rsid w:val="00514B9B"/>
    <w:rsid w:val="00516213"/>
    <w:rsid w:val="00517432"/>
    <w:rsid w:val="00517F02"/>
    <w:rsid w:val="00520382"/>
    <w:rsid w:val="005204C6"/>
    <w:rsid w:val="00520A9E"/>
    <w:rsid w:val="00521A23"/>
    <w:rsid w:val="00524303"/>
    <w:rsid w:val="005258A2"/>
    <w:rsid w:val="005331B4"/>
    <w:rsid w:val="005358CD"/>
    <w:rsid w:val="0053637A"/>
    <w:rsid w:val="005366FA"/>
    <w:rsid w:val="005401AE"/>
    <w:rsid w:val="0054234B"/>
    <w:rsid w:val="00542E07"/>
    <w:rsid w:val="00542F70"/>
    <w:rsid w:val="00545424"/>
    <w:rsid w:val="00546365"/>
    <w:rsid w:val="00547B2D"/>
    <w:rsid w:val="005521B9"/>
    <w:rsid w:val="0055252D"/>
    <w:rsid w:val="0055341C"/>
    <w:rsid w:val="00554A7B"/>
    <w:rsid w:val="0055572C"/>
    <w:rsid w:val="00556002"/>
    <w:rsid w:val="0055697F"/>
    <w:rsid w:val="00557B1A"/>
    <w:rsid w:val="0056106A"/>
    <w:rsid w:val="00562E1F"/>
    <w:rsid w:val="00563B94"/>
    <w:rsid w:val="00570F5B"/>
    <w:rsid w:val="005720AE"/>
    <w:rsid w:val="00574ED8"/>
    <w:rsid w:val="0057666F"/>
    <w:rsid w:val="00576B06"/>
    <w:rsid w:val="00577ABE"/>
    <w:rsid w:val="0058093C"/>
    <w:rsid w:val="00581AA8"/>
    <w:rsid w:val="00581BF5"/>
    <w:rsid w:val="00582A4A"/>
    <w:rsid w:val="0058610E"/>
    <w:rsid w:val="00594D77"/>
    <w:rsid w:val="005969E4"/>
    <w:rsid w:val="00596F13"/>
    <w:rsid w:val="005A06B7"/>
    <w:rsid w:val="005A0BEA"/>
    <w:rsid w:val="005A0CAC"/>
    <w:rsid w:val="005A0E2C"/>
    <w:rsid w:val="005A1759"/>
    <w:rsid w:val="005A26F1"/>
    <w:rsid w:val="005A39F1"/>
    <w:rsid w:val="005A6211"/>
    <w:rsid w:val="005A6833"/>
    <w:rsid w:val="005A68A7"/>
    <w:rsid w:val="005B3017"/>
    <w:rsid w:val="005B7639"/>
    <w:rsid w:val="005C232E"/>
    <w:rsid w:val="005D1000"/>
    <w:rsid w:val="005D36AB"/>
    <w:rsid w:val="005D780E"/>
    <w:rsid w:val="005E3766"/>
    <w:rsid w:val="005E3FC5"/>
    <w:rsid w:val="005E5EED"/>
    <w:rsid w:val="005E7291"/>
    <w:rsid w:val="005E741B"/>
    <w:rsid w:val="005E7634"/>
    <w:rsid w:val="005F0815"/>
    <w:rsid w:val="005F5FD2"/>
    <w:rsid w:val="005F7569"/>
    <w:rsid w:val="00604742"/>
    <w:rsid w:val="006056BE"/>
    <w:rsid w:val="00606EF5"/>
    <w:rsid w:val="00607AAE"/>
    <w:rsid w:val="0061042C"/>
    <w:rsid w:val="00617C6D"/>
    <w:rsid w:val="00617CC3"/>
    <w:rsid w:val="00620FE0"/>
    <w:rsid w:val="00621703"/>
    <w:rsid w:val="006221D5"/>
    <w:rsid w:val="006267B2"/>
    <w:rsid w:val="0063009C"/>
    <w:rsid w:val="006361E4"/>
    <w:rsid w:val="0063653F"/>
    <w:rsid w:val="006377A6"/>
    <w:rsid w:val="00637A3D"/>
    <w:rsid w:val="00640518"/>
    <w:rsid w:val="006411EF"/>
    <w:rsid w:val="00646482"/>
    <w:rsid w:val="0064661E"/>
    <w:rsid w:val="00647A71"/>
    <w:rsid w:val="00647C1C"/>
    <w:rsid w:val="00652AB1"/>
    <w:rsid w:val="006538FC"/>
    <w:rsid w:val="00656A31"/>
    <w:rsid w:val="00657F2D"/>
    <w:rsid w:val="00664C8D"/>
    <w:rsid w:val="006655B9"/>
    <w:rsid w:val="00672B9A"/>
    <w:rsid w:val="00674558"/>
    <w:rsid w:val="006748B8"/>
    <w:rsid w:val="006775C3"/>
    <w:rsid w:val="006805AB"/>
    <w:rsid w:val="0068168A"/>
    <w:rsid w:val="006839DB"/>
    <w:rsid w:val="0068687B"/>
    <w:rsid w:val="00690888"/>
    <w:rsid w:val="006917E9"/>
    <w:rsid w:val="0069267A"/>
    <w:rsid w:val="0069290A"/>
    <w:rsid w:val="006970DB"/>
    <w:rsid w:val="0069775A"/>
    <w:rsid w:val="00697813"/>
    <w:rsid w:val="006A2475"/>
    <w:rsid w:val="006A3EE8"/>
    <w:rsid w:val="006A72BF"/>
    <w:rsid w:val="006B03F2"/>
    <w:rsid w:val="006B2D96"/>
    <w:rsid w:val="006B37DC"/>
    <w:rsid w:val="006B4F68"/>
    <w:rsid w:val="006C0592"/>
    <w:rsid w:val="006C1CDB"/>
    <w:rsid w:val="006C272E"/>
    <w:rsid w:val="006C2779"/>
    <w:rsid w:val="006C382D"/>
    <w:rsid w:val="006C3BFE"/>
    <w:rsid w:val="006C5479"/>
    <w:rsid w:val="006C7982"/>
    <w:rsid w:val="006D13B5"/>
    <w:rsid w:val="006D6B8D"/>
    <w:rsid w:val="006D71CD"/>
    <w:rsid w:val="006D724E"/>
    <w:rsid w:val="006E023E"/>
    <w:rsid w:val="006E0C18"/>
    <w:rsid w:val="006E0E0A"/>
    <w:rsid w:val="006E12FF"/>
    <w:rsid w:val="006E376B"/>
    <w:rsid w:val="006E607E"/>
    <w:rsid w:val="006E6638"/>
    <w:rsid w:val="006E7ABE"/>
    <w:rsid w:val="006F0AB7"/>
    <w:rsid w:val="006F2FC7"/>
    <w:rsid w:val="006F3FB4"/>
    <w:rsid w:val="007038E7"/>
    <w:rsid w:val="007043A5"/>
    <w:rsid w:val="00706C5D"/>
    <w:rsid w:val="00707306"/>
    <w:rsid w:val="00711CF1"/>
    <w:rsid w:val="007132D8"/>
    <w:rsid w:val="007158DA"/>
    <w:rsid w:val="00721609"/>
    <w:rsid w:val="00722D18"/>
    <w:rsid w:val="00723651"/>
    <w:rsid w:val="00730954"/>
    <w:rsid w:val="00732922"/>
    <w:rsid w:val="00732EE9"/>
    <w:rsid w:val="007334F8"/>
    <w:rsid w:val="00734A63"/>
    <w:rsid w:val="00735DD2"/>
    <w:rsid w:val="00735F16"/>
    <w:rsid w:val="0074446C"/>
    <w:rsid w:val="00746157"/>
    <w:rsid w:val="007463E7"/>
    <w:rsid w:val="007474C9"/>
    <w:rsid w:val="0075162E"/>
    <w:rsid w:val="00752748"/>
    <w:rsid w:val="00754034"/>
    <w:rsid w:val="00756556"/>
    <w:rsid w:val="00761269"/>
    <w:rsid w:val="007618C4"/>
    <w:rsid w:val="007625EB"/>
    <w:rsid w:val="00767980"/>
    <w:rsid w:val="00770B19"/>
    <w:rsid w:val="0077463F"/>
    <w:rsid w:val="00774E78"/>
    <w:rsid w:val="00775FA1"/>
    <w:rsid w:val="00780A2E"/>
    <w:rsid w:val="00782097"/>
    <w:rsid w:val="00782E48"/>
    <w:rsid w:val="007830CD"/>
    <w:rsid w:val="00783317"/>
    <w:rsid w:val="007836EA"/>
    <w:rsid w:val="00784CDA"/>
    <w:rsid w:val="007906C4"/>
    <w:rsid w:val="00791A26"/>
    <w:rsid w:val="007940EA"/>
    <w:rsid w:val="007967E8"/>
    <w:rsid w:val="007A2170"/>
    <w:rsid w:val="007A22BF"/>
    <w:rsid w:val="007A2650"/>
    <w:rsid w:val="007A3323"/>
    <w:rsid w:val="007A3621"/>
    <w:rsid w:val="007A38D0"/>
    <w:rsid w:val="007A3DF0"/>
    <w:rsid w:val="007A4A27"/>
    <w:rsid w:val="007A78B2"/>
    <w:rsid w:val="007B4B65"/>
    <w:rsid w:val="007B72B8"/>
    <w:rsid w:val="007B7A58"/>
    <w:rsid w:val="007C21B5"/>
    <w:rsid w:val="007C3637"/>
    <w:rsid w:val="007C4F43"/>
    <w:rsid w:val="007C753E"/>
    <w:rsid w:val="007C7F01"/>
    <w:rsid w:val="007D38C0"/>
    <w:rsid w:val="007D3B20"/>
    <w:rsid w:val="007D6DCD"/>
    <w:rsid w:val="007D70AE"/>
    <w:rsid w:val="007D7B15"/>
    <w:rsid w:val="007D7D42"/>
    <w:rsid w:val="007E0BC1"/>
    <w:rsid w:val="007E2DF7"/>
    <w:rsid w:val="007E4BD2"/>
    <w:rsid w:val="007F2C24"/>
    <w:rsid w:val="007F6CFD"/>
    <w:rsid w:val="007F7C94"/>
    <w:rsid w:val="00801393"/>
    <w:rsid w:val="00802F88"/>
    <w:rsid w:val="00805776"/>
    <w:rsid w:val="00810741"/>
    <w:rsid w:val="00810FA3"/>
    <w:rsid w:val="0081293E"/>
    <w:rsid w:val="008136A6"/>
    <w:rsid w:val="00813B40"/>
    <w:rsid w:val="00814728"/>
    <w:rsid w:val="00814877"/>
    <w:rsid w:val="00815465"/>
    <w:rsid w:val="00816FC1"/>
    <w:rsid w:val="00817E9A"/>
    <w:rsid w:val="0082050E"/>
    <w:rsid w:val="0082269A"/>
    <w:rsid w:val="00823ED2"/>
    <w:rsid w:val="0082433A"/>
    <w:rsid w:val="00827092"/>
    <w:rsid w:val="008306BD"/>
    <w:rsid w:val="00831907"/>
    <w:rsid w:val="00831A80"/>
    <w:rsid w:val="00833743"/>
    <w:rsid w:val="00833D01"/>
    <w:rsid w:val="008340A4"/>
    <w:rsid w:val="008368D8"/>
    <w:rsid w:val="0083704C"/>
    <w:rsid w:val="00842F0C"/>
    <w:rsid w:val="00844994"/>
    <w:rsid w:val="0085125A"/>
    <w:rsid w:val="0085167F"/>
    <w:rsid w:val="008516D7"/>
    <w:rsid w:val="00852858"/>
    <w:rsid w:val="00854789"/>
    <w:rsid w:val="008555D9"/>
    <w:rsid w:val="00856EC2"/>
    <w:rsid w:val="008639C9"/>
    <w:rsid w:val="00863DBA"/>
    <w:rsid w:val="0087135F"/>
    <w:rsid w:val="00872D94"/>
    <w:rsid w:val="008743AD"/>
    <w:rsid w:val="00874926"/>
    <w:rsid w:val="0087782F"/>
    <w:rsid w:val="00880364"/>
    <w:rsid w:val="0088345F"/>
    <w:rsid w:val="008839DF"/>
    <w:rsid w:val="00883ACE"/>
    <w:rsid w:val="00885B96"/>
    <w:rsid w:val="00886414"/>
    <w:rsid w:val="00891236"/>
    <w:rsid w:val="00891592"/>
    <w:rsid w:val="00891E9E"/>
    <w:rsid w:val="008941A4"/>
    <w:rsid w:val="008A0B93"/>
    <w:rsid w:val="008A166C"/>
    <w:rsid w:val="008A2F68"/>
    <w:rsid w:val="008A4382"/>
    <w:rsid w:val="008A5A00"/>
    <w:rsid w:val="008A5A9A"/>
    <w:rsid w:val="008A6149"/>
    <w:rsid w:val="008A7859"/>
    <w:rsid w:val="008A7AC2"/>
    <w:rsid w:val="008B12A7"/>
    <w:rsid w:val="008B3C18"/>
    <w:rsid w:val="008B3C5F"/>
    <w:rsid w:val="008B4FA6"/>
    <w:rsid w:val="008B5282"/>
    <w:rsid w:val="008B7C17"/>
    <w:rsid w:val="008C2D01"/>
    <w:rsid w:val="008C40E6"/>
    <w:rsid w:val="008D0A0A"/>
    <w:rsid w:val="008D0BA4"/>
    <w:rsid w:val="008D0F7A"/>
    <w:rsid w:val="008D14B3"/>
    <w:rsid w:val="008D4A4C"/>
    <w:rsid w:val="008D4BE5"/>
    <w:rsid w:val="008D5CCB"/>
    <w:rsid w:val="008D68E4"/>
    <w:rsid w:val="008D6D7E"/>
    <w:rsid w:val="008E0506"/>
    <w:rsid w:val="008E0CFF"/>
    <w:rsid w:val="008E1763"/>
    <w:rsid w:val="008E2041"/>
    <w:rsid w:val="008E4427"/>
    <w:rsid w:val="008E5D6B"/>
    <w:rsid w:val="008E6463"/>
    <w:rsid w:val="008E76F0"/>
    <w:rsid w:val="008F15FE"/>
    <w:rsid w:val="008F2D29"/>
    <w:rsid w:val="008F5187"/>
    <w:rsid w:val="008F60D8"/>
    <w:rsid w:val="0090083F"/>
    <w:rsid w:val="00902727"/>
    <w:rsid w:val="0090312B"/>
    <w:rsid w:val="00903656"/>
    <w:rsid w:val="00903D98"/>
    <w:rsid w:val="00907DF4"/>
    <w:rsid w:val="0091020C"/>
    <w:rsid w:val="0091035E"/>
    <w:rsid w:val="00910664"/>
    <w:rsid w:val="00910726"/>
    <w:rsid w:val="0091231F"/>
    <w:rsid w:val="009123F6"/>
    <w:rsid w:val="00913034"/>
    <w:rsid w:val="00914F58"/>
    <w:rsid w:val="0091736D"/>
    <w:rsid w:val="00920B82"/>
    <w:rsid w:val="0092691E"/>
    <w:rsid w:val="00927813"/>
    <w:rsid w:val="0093037A"/>
    <w:rsid w:val="009304DE"/>
    <w:rsid w:val="00931308"/>
    <w:rsid w:val="00935156"/>
    <w:rsid w:val="009358A8"/>
    <w:rsid w:val="00937166"/>
    <w:rsid w:val="00940B93"/>
    <w:rsid w:val="0094154D"/>
    <w:rsid w:val="00942844"/>
    <w:rsid w:val="009440B5"/>
    <w:rsid w:val="00944549"/>
    <w:rsid w:val="00944E6A"/>
    <w:rsid w:val="00947E0F"/>
    <w:rsid w:val="00947E1C"/>
    <w:rsid w:val="00947EB5"/>
    <w:rsid w:val="00951073"/>
    <w:rsid w:val="0095155F"/>
    <w:rsid w:val="00954429"/>
    <w:rsid w:val="00954B68"/>
    <w:rsid w:val="009563CE"/>
    <w:rsid w:val="00972E9E"/>
    <w:rsid w:val="00975D92"/>
    <w:rsid w:val="00976328"/>
    <w:rsid w:val="0097680D"/>
    <w:rsid w:val="0098191B"/>
    <w:rsid w:val="00982438"/>
    <w:rsid w:val="00982C8E"/>
    <w:rsid w:val="0098404C"/>
    <w:rsid w:val="009848A0"/>
    <w:rsid w:val="00985283"/>
    <w:rsid w:val="00987DBE"/>
    <w:rsid w:val="00995992"/>
    <w:rsid w:val="009A03E5"/>
    <w:rsid w:val="009A0F3B"/>
    <w:rsid w:val="009A1BB4"/>
    <w:rsid w:val="009A2628"/>
    <w:rsid w:val="009A3200"/>
    <w:rsid w:val="009A3A32"/>
    <w:rsid w:val="009A3E67"/>
    <w:rsid w:val="009A6ABC"/>
    <w:rsid w:val="009B0897"/>
    <w:rsid w:val="009B3769"/>
    <w:rsid w:val="009B510E"/>
    <w:rsid w:val="009B786D"/>
    <w:rsid w:val="009B7A2F"/>
    <w:rsid w:val="009B7BD9"/>
    <w:rsid w:val="009B7D34"/>
    <w:rsid w:val="009C23A7"/>
    <w:rsid w:val="009C3944"/>
    <w:rsid w:val="009C58BD"/>
    <w:rsid w:val="009C65A0"/>
    <w:rsid w:val="009C7DD5"/>
    <w:rsid w:val="009D3745"/>
    <w:rsid w:val="009E1026"/>
    <w:rsid w:val="009E227D"/>
    <w:rsid w:val="009E2D51"/>
    <w:rsid w:val="009E3907"/>
    <w:rsid w:val="009E5019"/>
    <w:rsid w:val="009E5E63"/>
    <w:rsid w:val="009E6C02"/>
    <w:rsid w:val="009F1925"/>
    <w:rsid w:val="009F1A6B"/>
    <w:rsid w:val="009F1CAA"/>
    <w:rsid w:val="009F4100"/>
    <w:rsid w:val="009F4C7B"/>
    <w:rsid w:val="009F61FE"/>
    <w:rsid w:val="00A0068F"/>
    <w:rsid w:val="00A01B71"/>
    <w:rsid w:val="00A028B0"/>
    <w:rsid w:val="00A02908"/>
    <w:rsid w:val="00A0381C"/>
    <w:rsid w:val="00A04F1B"/>
    <w:rsid w:val="00A0501B"/>
    <w:rsid w:val="00A0631D"/>
    <w:rsid w:val="00A105AC"/>
    <w:rsid w:val="00A141A4"/>
    <w:rsid w:val="00A14947"/>
    <w:rsid w:val="00A2305A"/>
    <w:rsid w:val="00A234D3"/>
    <w:rsid w:val="00A2653A"/>
    <w:rsid w:val="00A275A9"/>
    <w:rsid w:val="00A303DE"/>
    <w:rsid w:val="00A307A1"/>
    <w:rsid w:val="00A32A83"/>
    <w:rsid w:val="00A3315A"/>
    <w:rsid w:val="00A345EF"/>
    <w:rsid w:val="00A368DB"/>
    <w:rsid w:val="00A423AA"/>
    <w:rsid w:val="00A447C6"/>
    <w:rsid w:val="00A44C42"/>
    <w:rsid w:val="00A44FF6"/>
    <w:rsid w:val="00A4558B"/>
    <w:rsid w:val="00A50B6B"/>
    <w:rsid w:val="00A53EC6"/>
    <w:rsid w:val="00A55248"/>
    <w:rsid w:val="00A55C0F"/>
    <w:rsid w:val="00A6646F"/>
    <w:rsid w:val="00A665ED"/>
    <w:rsid w:val="00A67707"/>
    <w:rsid w:val="00A70D79"/>
    <w:rsid w:val="00A711AE"/>
    <w:rsid w:val="00A738B5"/>
    <w:rsid w:val="00A74047"/>
    <w:rsid w:val="00A84160"/>
    <w:rsid w:val="00A8430A"/>
    <w:rsid w:val="00A8713F"/>
    <w:rsid w:val="00A901F8"/>
    <w:rsid w:val="00A90BA1"/>
    <w:rsid w:val="00A926EB"/>
    <w:rsid w:val="00A93987"/>
    <w:rsid w:val="00A948A1"/>
    <w:rsid w:val="00A96556"/>
    <w:rsid w:val="00A96D9D"/>
    <w:rsid w:val="00A97A9A"/>
    <w:rsid w:val="00AA0671"/>
    <w:rsid w:val="00AA1BED"/>
    <w:rsid w:val="00AA2531"/>
    <w:rsid w:val="00AA53E6"/>
    <w:rsid w:val="00AA7409"/>
    <w:rsid w:val="00AB0948"/>
    <w:rsid w:val="00AB0DD8"/>
    <w:rsid w:val="00AB130D"/>
    <w:rsid w:val="00AB19B0"/>
    <w:rsid w:val="00AB1E09"/>
    <w:rsid w:val="00AB5330"/>
    <w:rsid w:val="00AB7185"/>
    <w:rsid w:val="00AB7747"/>
    <w:rsid w:val="00AC14CE"/>
    <w:rsid w:val="00AC2A56"/>
    <w:rsid w:val="00AC4631"/>
    <w:rsid w:val="00AC59FF"/>
    <w:rsid w:val="00AD055E"/>
    <w:rsid w:val="00AD37FB"/>
    <w:rsid w:val="00AD47A7"/>
    <w:rsid w:val="00AD4CA6"/>
    <w:rsid w:val="00AD61B8"/>
    <w:rsid w:val="00AE094C"/>
    <w:rsid w:val="00AE148D"/>
    <w:rsid w:val="00AE43C7"/>
    <w:rsid w:val="00AE452E"/>
    <w:rsid w:val="00AE4B43"/>
    <w:rsid w:val="00AF083A"/>
    <w:rsid w:val="00AF0CBF"/>
    <w:rsid w:val="00AF257F"/>
    <w:rsid w:val="00AF33CF"/>
    <w:rsid w:val="00AF4D50"/>
    <w:rsid w:val="00AF6179"/>
    <w:rsid w:val="00AF7338"/>
    <w:rsid w:val="00B0564D"/>
    <w:rsid w:val="00B10096"/>
    <w:rsid w:val="00B105F8"/>
    <w:rsid w:val="00B1295A"/>
    <w:rsid w:val="00B12C7E"/>
    <w:rsid w:val="00B13B3A"/>
    <w:rsid w:val="00B14AD4"/>
    <w:rsid w:val="00B14B2F"/>
    <w:rsid w:val="00B1645B"/>
    <w:rsid w:val="00B174A3"/>
    <w:rsid w:val="00B20A45"/>
    <w:rsid w:val="00B227C8"/>
    <w:rsid w:val="00B22C5C"/>
    <w:rsid w:val="00B23676"/>
    <w:rsid w:val="00B24F30"/>
    <w:rsid w:val="00B25B59"/>
    <w:rsid w:val="00B3191E"/>
    <w:rsid w:val="00B31ABF"/>
    <w:rsid w:val="00B3315D"/>
    <w:rsid w:val="00B33BE3"/>
    <w:rsid w:val="00B3454D"/>
    <w:rsid w:val="00B3574B"/>
    <w:rsid w:val="00B43150"/>
    <w:rsid w:val="00B443C5"/>
    <w:rsid w:val="00B51860"/>
    <w:rsid w:val="00B5329D"/>
    <w:rsid w:val="00B539BF"/>
    <w:rsid w:val="00B53B5D"/>
    <w:rsid w:val="00B54BCF"/>
    <w:rsid w:val="00B6055E"/>
    <w:rsid w:val="00B6317D"/>
    <w:rsid w:val="00B64F55"/>
    <w:rsid w:val="00B71D61"/>
    <w:rsid w:val="00B7723F"/>
    <w:rsid w:val="00B77B3B"/>
    <w:rsid w:val="00B80534"/>
    <w:rsid w:val="00B806BC"/>
    <w:rsid w:val="00B816F0"/>
    <w:rsid w:val="00B8433C"/>
    <w:rsid w:val="00B86252"/>
    <w:rsid w:val="00B866B9"/>
    <w:rsid w:val="00B87491"/>
    <w:rsid w:val="00B9312B"/>
    <w:rsid w:val="00B94AEC"/>
    <w:rsid w:val="00B94EE5"/>
    <w:rsid w:val="00B96CD3"/>
    <w:rsid w:val="00B97389"/>
    <w:rsid w:val="00BA017E"/>
    <w:rsid w:val="00BA0B09"/>
    <w:rsid w:val="00BA126E"/>
    <w:rsid w:val="00BA29E9"/>
    <w:rsid w:val="00BA38D6"/>
    <w:rsid w:val="00BA61EB"/>
    <w:rsid w:val="00BA6A84"/>
    <w:rsid w:val="00BA7142"/>
    <w:rsid w:val="00BA7516"/>
    <w:rsid w:val="00BB1414"/>
    <w:rsid w:val="00BB237C"/>
    <w:rsid w:val="00BB41A3"/>
    <w:rsid w:val="00BC02F3"/>
    <w:rsid w:val="00BC1508"/>
    <w:rsid w:val="00BC235F"/>
    <w:rsid w:val="00BC2B76"/>
    <w:rsid w:val="00BC3237"/>
    <w:rsid w:val="00BC32DC"/>
    <w:rsid w:val="00BC35B6"/>
    <w:rsid w:val="00BC72E2"/>
    <w:rsid w:val="00BD1B51"/>
    <w:rsid w:val="00BD20E5"/>
    <w:rsid w:val="00BD2FEC"/>
    <w:rsid w:val="00BD3957"/>
    <w:rsid w:val="00BD4596"/>
    <w:rsid w:val="00BE1405"/>
    <w:rsid w:val="00BE16A7"/>
    <w:rsid w:val="00BE312D"/>
    <w:rsid w:val="00BE7993"/>
    <w:rsid w:val="00BF1C20"/>
    <w:rsid w:val="00C00673"/>
    <w:rsid w:val="00C03729"/>
    <w:rsid w:val="00C05F45"/>
    <w:rsid w:val="00C06772"/>
    <w:rsid w:val="00C10578"/>
    <w:rsid w:val="00C10A7D"/>
    <w:rsid w:val="00C12CA4"/>
    <w:rsid w:val="00C135BC"/>
    <w:rsid w:val="00C14E2F"/>
    <w:rsid w:val="00C15C95"/>
    <w:rsid w:val="00C2295D"/>
    <w:rsid w:val="00C24DA2"/>
    <w:rsid w:val="00C2596A"/>
    <w:rsid w:val="00C27537"/>
    <w:rsid w:val="00C328FE"/>
    <w:rsid w:val="00C333D6"/>
    <w:rsid w:val="00C3345A"/>
    <w:rsid w:val="00C33507"/>
    <w:rsid w:val="00C352CF"/>
    <w:rsid w:val="00C36A20"/>
    <w:rsid w:val="00C379C2"/>
    <w:rsid w:val="00C40CDB"/>
    <w:rsid w:val="00C41235"/>
    <w:rsid w:val="00C4409D"/>
    <w:rsid w:val="00C44E28"/>
    <w:rsid w:val="00C44E72"/>
    <w:rsid w:val="00C45A06"/>
    <w:rsid w:val="00C45A56"/>
    <w:rsid w:val="00C46323"/>
    <w:rsid w:val="00C477AC"/>
    <w:rsid w:val="00C479D9"/>
    <w:rsid w:val="00C47E5B"/>
    <w:rsid w:val="00C52B8B"/>
    <w:rsid w:val="00C536BF"/>
    <w:rsid w:val="00C5371A"/>
    <w:rsid w:val="00C547A6"/>
    <w:rsid w:val="00C55071"/>
    <w:rsid w:val="00C56BF4"/>
    <w:rsid w:val="00C57DDA"/>
    <w:rsid w:val="00C6027B"/>
    <w:rsid w:val="00C61298"/>
    <w:rsid w:val="00C61E4B"/>
    <w:rsid w:val="00C61F6B"/>
    <w:rsid w:val="00C61FD0"/>
    <w:rsid w:val="00C624E6"/>
    <w:rsid w:val="00C62A31"/>
    <w:rsid w:val="00C6399B"/>
    <w:rsid w:val="00C64BFF"/>
    <w:rsid w:val="00C666BA"/>
    <w:rsid w:val="00C704E9"/>
    <w:rsid w:val="00C75D0D"/>
    <w:rsid w:val="00C763C9"/>
    <w:rsid w:val="00C80057"/>
    <w:rsid w:val="00C82232"/>
    <w:rsid w:val="00C82913"/>
    <w:rsid w:val="00C859F9"/>
    <w:rsid w:val="00C85B77"/>
    <w:rsid w:val="00C86EE4"/>
    <w:rsid w:val="00C87473"/>
    <w:rsid w:val="00C9014D"/>
    <w:rsid w:val="00C93452"/>
    <w:rsid w:val="00C942C0"/>
    <w:rsid w:val="00C96049"/>
    <w:rsid w:val="00C96D65"/>
    <w:rsid w:val="00C972B1"/>
    <w:rsid w:val="00CA09AD"/>
    <w:rsid w:val="00CA1585"/>
    <w:rsid w:val="00CA1D0C"/>
    <w:rsid w:val="00CA2CCE"/>
    <w:rsid w:val="00CA3A95"/>
    <w:rsid w:val="00CA43FD"/>
    <w:rsid w:val="00CA6902"/>
    <w:rsid w:val="00CA7EF8"/>
    <w:rsid w:val="00CB01E6"/>
    <w:rsid w:val="00CB18FA"/>
    <w:rsid w:val="00CB43FD"/>
    <w:rsid w:val="00CB56C4"/>
    <w:rsid w:val="00CB6303"/>
    <w:rsid w:val="00CB7CF1"/>
    <w:rsid w:val="00CC34E2"/>
    <w:rsid w:val="00CC489B"/>
    <w:rsid w:val="00CD17B9"/>
    <w:rsid w:val="00CD2936"/>
    <w:rsid w:val="00CD2BCD"/>
    <w:rsid w:val="00CD3364"/>
    <w:rsid w:val="00CD3A4C"/>
    <w:rsid w:val="00CD4802"/>
    <w:rsid w:val="00CD5AFB"/>
    <w:rsid w:val="00CD6E05"/>
    <w:rsid w:val="00CE013E"/>
    <w:rsid w:val="00CE10E9"/>
    <w:rsid w:val="00CE2910"/>
    <w:rsid w:val="00CE5393"/>
    <w:rsid w:val="00CF36BE"/>
    <w:rsid w:val="00CF3E26"/>
    <w:rsid w:val="00CF6000"/>
    <w:rsid w:val="00D003F3"/>
    <w:rsid w:val="00D01586"/>
    <w:rsid w:val="00D022AF"/>
    <w:rsid w:val="00D0364F"/>
    <w:rsid w:val="00D06834"/>
    <w:rsid w:val="00D11044"/>
    <w:rsid w:val="00D20C0A"/>
    <w:rsid w:val="00D21519"/>
    <w:rsid w:val="00D22502"/>
    <w:rsid w:val="00D24425"/>
    <w:rsid w:val="00D308ED"/>
    <w:rsid w:val="00D336E1"/>
    <w:rsid w:val="00D341D0"/>
    <w:rsid w:val="00D351F0"/>
    <w:rsid w:val="00D35CA0"/>
    <w:rsid w:val="00D35DB3"/>
    <w:rsid w:val="00D36C52"/>
    <w:rsid w:val="00D36D86"/>
    <w:rsid w:val="00D428AA"/>
    <w:rsid w:val="00D466B4"/>
    <w:rsid w:val="00D50A34"/>
    <w:rsid w:val="00D53593"/>
    <w:rsid w:val="00D53EFA"/>
    <w:rsid w:val="00D545EC"/>
    <w:rsid w:val="00D60C94"/>
    <w:rsid w:val="00D62793"/>
    <w:rsid w:val="00D62D05"/>
    <w:rsid w:val="00D66D33"/>
    <w:rsid w:val="00D66E8A"/>
    <w:rsid w:val="00D74AED"/>
    <w:rsid w:val="00D76BE8"/>
    <w:rsid w:val="00D76FB1"/>
    <w:rsid w:val="00D77BE1"/>
    <w:rsid w:val="00D80135"/>
    <w:rsid w:val="00D807A2"/>
    <w:rsid w:val="00D8240D"/>
    <w:rsid w:val="00D84EEE"/>
    <w:rsid w:val="00D851D1"/>
    <w:rsid w:val="00D918D3"/>
    <w:rsid w:val="00D94A7C"/>
    <w:rsid w:val="00D95896"/>
    <w:rsid w:val="00D9684B"/>
    <w:rsid w:val="00DA188D"/>
    <w:rsid w:val="00DA66A3"/>
    <w:rsid w:val="00DB0DE5"/>
    <w:rsid w:val="00DB162D"/>
    <w:rsid w:val="00DB23B7"/>
    <w:rsid w:val="00DB2983"/>
    <w:rsid w:val="00DB7CF3"/>
    <w:rsid w:val="00DC1257"/>
    <w:rsid w:val="00DC3C12"/>
    <w:rsid w:val="00DC3DC0"/>
    <w:rsid w:val="00DC500A"/>
    <w:rsid w:val="00DC59C5"/>
    <w:rsid w:val="00DC5B2B"/>
    <w:rsid w:val="00DD1543"/>
    <w:rsid w:val="00DD16D5"/>
    <w:rsid w:val="00DD1D05"/>
    <w:rsid w:val="00DD318D"/>
    <w:rsid w:val="00DD5714"/>
    <w:rsid w:val="00DD655F"/>
    <w:rsid w:val="00DE3CDE"/>
    <w:rsid w:val="00DE69AB"/>
    <w:rsid w:val="00DF2E12"/>
    <w:rsid w:val="00DF451A"/>
    <w:rsid w:val="00DF514A"/>
    <w:rsid w:val="00DF5197"/>
    <w:rsid w:val="00DF6690"/>
    <w:rsid w:val="00DF6804"/>
    <w:rsid w:val="00E00093"/>
    <w:rsid w:val="00E0225E"/>
    <w:rsid w:val="00E0358D"/>
    <w:rsid w:val="00E042CD"/>
    <w:rsid w:val="00E04323"/>
    <w:rsid w:val="00E05A9E"/>
    <w:rsid w:val="00E065C2"/>
    <w:rsid w:val="00E070A2"/>
    <w:rsid w:val="00E10FB5"/>
    <w:rsid w:val="00E177EF"/>
    <w:rsid w:val="00E17DF8"/>
    <w:rsid w:val="00E21045"/>
    <w:rsid w:val="00E21E6B"/>
    <w:rsid w:val="00E24EEF"/>
    <w:rsid w:val="00E2656A"/>
    <w:rsid w:val="00E319CA"/>
    <w:rsid w:val="00E31A01"/>
    <w:rsid w:val="00E35277"/>
    <w:rsid w:val="00E412D0"/>
    <w:rsid w:val="00E41734"/>
    <w:rsid w:val="00E43889"/>
    <w:rsid w:val="00E4556C"/>
    <w:rsid w:val="00E53144"/>
    <w:rsid w:val="00E55193"/>
    <w:rsid w:val="00E56322"/>
    <w:rsid w:val="00E564C1"/>
    <w:rsid w:val="00E60982"/>
    <w:rsid w:val="00E61F60"/>
    <w:rsid w:val="00E62C62"/>
    <w:rsid w:val="00E634D8"/>
    <w:rsid w:val="00E651D5"/>
    <w:rsid w:val="00E654C1"/>
    <w:rsid w:val="00E657C1"/>
    <w:rsid w:val="00E65AE2"/>
    <w:rsid w:val="00E65D97"/>
    <w:rsid w:val="00E67C7F"/>
    <w:rsid w:val="00E72A5A"/>
    <w:rsid w:val="00E73354"/>
    <w:rsid w:val="00E73BFD"/>
    <w:rsid w:val="00E7748B"/>
    <w:rsid w:val="00E80F90"/>
    <w:rsid w:val="00E81E0D"/>
    <w:rsid w:val="00E867E7"/>
    <w:rsid w:val="00E8771B"/>
    <w:rsid w:val="00E87E06"/>
    <w:rsid w:val="00E91BD6"/>
    <w:rsid w:val="00E92037"/>
    <w:rsid w:val="00E9242D"/>
    <w:rsid w:val="00E96863"/>
    <w:rsid w:val="00EA03C1"/>
    <w:rsid w:val="00EA4ABE"/>
    <w:rsid w:val="00EA564E"/>
    <w:rsid w:val="00EB2BE8"/>
    <w:rsid w:val="00EB4290"/>
    <w:rsid w:val="00EB4AAC"/>
    <w:rsid w:val="00EB4BFE"/>
    <w:rsid w:val="00EB5255"/>
    <w:rsid w:val="00EB5C47"/>
    <w:rsid w:val="00EB6EED"/>
    <w:rsid w:val="00EC42E1"/>
    <w:rsid w:val="00EC634A"/>
    <w:rsid w:val="00EC7817"/>
    <w:rsid w:val="00ED0639"/>
    <w:rsid w:val="00ED10AF"/>
    <w:rsid w:val="00ED4C0D"/>
    <w:rsid w:val="00ED5153"/>
    <w:rsid w:val="00ED57F6"/>
    <w:rsid w:val="00ED7AE9"/>
    <w:rsid w:val="00EE0964"/>
    <w:rsid w:val="00EE12C6"/>
    <w:rsid w:val="00EE34E4"/>
    <w:rsid w:val="00EE712E"/>
    <w:rsid w:val="00EF1092"/>
    <w:rsid w:val="00EF340C"/>
    <w:rsid w:val="00EF4755"/>
    <w:rsid w:val="00EF6EC9"/>
    <w:rsid w:val="00EF7135"/>
    <w:rsid w:val="00EF724D"/>
    <w:rsid w:val="00EF73FA"/>
    <w:rsid w:val="00F024D8"/>
    <w:rsid w:val="00F027DB"/>
    <w:rsid w:val="00F132FA"/>
    <w:rsid w:val="00F14A7A"/>
    <w:rsid w:val="00F20FD5"/>
    <w:rsid w:val="00F22985"/>
    <w:rsid w:val="00F24310"/>
    <w:rsid w:val="00F30BD9"/>
    <w:rsid w:val="00F32B2F"/>
    <w:rsid w:val="00F3383E"/>
    <w:rsid w:val="00F34025"/>
    <w:rsid w:val="00F348D7"/>
    <w:rsid w:val="00F36348"/>
    <w:rsid w:val="00F422C6"/>
    <w:rsid w:val="00F42FF1"/>
    <w:rsid w:val="00F459A8"/>
    <w:rsid w:val="00F4638F"/>
    <w:rsid w:val="00F465A7"/>
    <w:rsid w:val="00F508CF"/>
    <w:rsid w:val="00F50B7C"/>
    <w:rsid w:val="00F54282"/>
    <w:rsid w:val="00F550E6"/>
    <w:rsid w:val="00F56D0A"/>
    <w:rsid w:val="00F6065C"/>
    <w:rsid w:val="00F61BBF"/>
    <w:rsid w:val="00F62D9F"/>
    <w:rsid w:val="00F65237"/>
    <w:rsid w:val="00F6639B"/>
    <w:rsid w:val="00F701D8"/>
    <w:rsid w:val="00F70E45"/>
    <w:rsid w:val="00F718B7"/>
    <w:rsid w:val="00F721DD"/>
    <w:rsid w:val="00F74345"/>
    <w:rsid w:val="00F747CC"/>
    <w:rsid w:val="00F80A0A"/>
    <w:rsid w:val="00F81A57"/>
    <w:rsid w:val="00F82B19"/>
    <w:rsid w:val="00F85205"/>
    <w:rsid w:val="00F9212D"/>
    <w:rsid w:val="00F93873"/>
    <w:rsid w:val="00F965DA"/>
    <w:rsid w:val="00FA0665"/>
    <w:rsid w:val="00FA1155"/>
    <w:rsid w:val="00FA406A"/>
    <w:rsid w:val="00FB4DC0"/>
    <w:rsid w:val="00FB503A"/>
    <w:rsid w:val="00FB516C"/>
    <w:rsid w:val="00FB780E"/>
    <w:rsid w:val="00FB78D2"/>
    <w:rsid w:val="00FC0C3B"/>
    <w:rsid w:val="00FC2092"/>
    <w:rsid w:val="00FC20AA"/>
    <w:rsid w:val="00FC2E81"/>
    <w:rsid w:val="00FC37FD"/>
    <w:rsid w:val="00FC4BF3"/>
    <w:rsid w:val="00FC6315"/>
    <w:rsid w:val="00FD0236"/>
    <w:rsid w:val="00FD18F4"/>
    <w:rsid w:val="00FD3E7E"/>
    <w:rsid w:val="00FD54DB"/>
    <w:rsid w:val="00FD619F"/>
    <w:rsid w:val="00FE5DB5"/>
    <w:rsid w:val="00FE6C85"/>
    <w:rsid w:val="00FF0EF8"/>
    <w:rsid w:val="00FF16A3"/>
    <w:rsid w:val="00FF2632"/>
    <w:rsid w:val="00FF4C18"/>
    <w:rsid w:val="00FF587A"/>
    <w:rsid w:val="00FF705A"/>
    <w:rsid w:val="01290F7E"/>
    <w:rsid w:val="015D1E09"/>
    <w:rsid w:val="020F6763"/>
    <w:rsid w:val="02697903"/>
    <w:rsid w:val="029E7E78"/>
    <w:rsid w:val="02F96569"/>
    <w:rsid w:val="03A25FAF"/>
    <w:rsid w:val="03EA7B21"/>
    <w:rsid w:val="043A3F7F"/>
    <w:rsid w:val="04965593"/>
    <w:rsid w:val="05F83EAE"/>
    <w:rsid w:val="06162258"/>
    <w:rsid w:val="063E7D85"/>
    <w:rsid w:val="067D0818"/>
    <w:rsid w:val="07293586"/>
    <w:rsid w:val="07295285"/>
    <w:rsid w:val="073F3F68"/>
    <w:rsid w:val="07636392"/>
    <w:rsid w:val="07770C56"/>
    <w:rsid w:val="07D91E6C"/>
    <w:rsid w:val="085F33CA"/>
    <w:rsid w:val="092217DD"/>
    <w:rsid w:val="093A7294"/>
    <w:rsid w:val="0A263993"/>
    <w:rsid w:val="0A2D3AC2"/>
    <w:rsid w:val="0AA755DF"/>
    <w:rsid w:val="0B120D44"/>
    <w:rsid w:val="0B720CBA"/>
    <w:rsid w:val="0BD27BF6"/>
    <w:rsid w:val="0C3B3C7D"/>
    <w:rsid w:val="0CAB2EAE"/>
    <w:rsid w:val="0D621C7D"/>
    <w:rsid w:val="0DAE0C04"/>
    <w:rsid w:val="0E73034D"/>
    <w:rsid w:val="0EB672B2"/>
    <w:rsid w:val="0F13775A"/>
    <w:rsid w:val="0F5F45FE"/>
    <w:rsid w:val="0F9A112B"/>
    <w:rsid w:val="0FBF0419"/>
    <w:rsid w:val="106D2F64"/>
    <w:rsid w:val="10B63710"/>
    <w:rsid w:val="10F10820"/>
    <w:rsid w:val="1110038B"/>
    <w:rsid w:val="111C2F7A"/>
    <w:rsid w:val="11665CA1"/>
    <w:rsid w:val="13951726"/>
    <w:rsid w:val="14396509"/>
    <w:rsid w:val="14DD2C3C"/>
    <w:rsid w:val="15B10424"/>
    <w:rsid w:val="16087E1D"/>
    <w:rsid w:val="17701D14"/>
    <w:rsid w:val="17735226"/>
    <w:rsid w:val="17807D99"/>
    <w:rsid w:val="17D317C1"/>
    <w:rsid w:val="189F624C"/>
    <w:rsid w:val="1A1C66C0"/>
    <w:rsid w:val="1A230A8F"/>
    <w:rsid w:val="1A42393B"/>
    <w:rsid w:val="1AAD45DE"/>
    <w:rsid w:val="1B046F80"/>
    <w:rsid w:val="1B3267B5"/>
    <w:rsid w:val="1B40161D"/>
    <w:rsid w:val="1B441859"/>
    <w:rsid w:val="1B6606B1"/>
    <w:rsid w:val="1C5E7925"/>
    <w:rsid w:val="1C995FBA"/>
    <w:rsid w:val="1CFD070F"/>
    <w:rsid w:val="1D5F6196"/>
    <w:rsid w:val="1D6132A5"/>
    <w:rsid w:val="1D7B096A"/>
    <w:rsid w:val="1D8E56D5"/>
    <w:rsid w:val="1E64411F"/>
    <w:rsid w:val="1E7A43DA"/>
    <w:rsid w:val="1EFEC99B"/>
    <w:rsid w:val="1F0D4093"/>
    <w:rsid w:val="1F282C83"/>
    <w:rsid w:val="1F8F0EA4"/>
    <w:rsid w:val="1FE7539E"/>
    <w:rsid w:val="20671BE0"/>
    <w:rsid w:val="208F010F"/>
    <w:rsid w:val="20963CB8"/>
    <w:rsid w:val="20A81A1B"/>
    <w:rsid w:val="20B07FB6"/>
    <w:rsid w:val="20B646FB"/>
    <w:rsid w:val="213B74B1"/>
    <w:rsid w:val="21507B40"/>
    <w:rsid w:val="215A2310"/>
    <w:rsid w:val="21DE318A"/>
    <w:rsid w:val="21EF5B80"/>
    <w:rsid w:val="22576990"/>
    <w:rsid w:val="22E56B78"/>
    <w:rsid w:val="22F47480"/>
    <w:rsid w:val="23DE1C48"/>
    <w:rsid w:val="240210CD"/>
    <w:rsid w:val="24BF09F7"/>
    <w:rsid w:val="252D53FE"/>
    <w:rsid w:val="25EC2D81"/>
    <w:rsid w:val="26064C71"/>
    <w:rsid w:val="27190DDB"/>
    <w:rsid w:val="277057A2"/>
    <w:rsid w:val="29206EB8"/>
    <w:rsid w:val="29595666"/>
    <w:rsid w:val="29874881"/>
    <w:rsid w:val="29E325E0"/>
    <w:rsid w:val="2A052AB8"/>
    <w:rsid w:val="2A452503"/>
    <w:rsid w:val="2A9E6EC2"/>
    <w:rsid w:val="2AD508A4"/>
    <w:rsid w:val="2B3E27FF"/>
    <w:rsid w:val="2B88197A"/>
    <w:rsid w:val="2BA936A8"/>
    <w:rsid w:val="2C315A5A"/>
    <w:rsid w:val="2C4B1C25"/>
    <w:rsid w:val="2C77420D"/>
    <w:rsid w:val="2D9E56F5"/>
    <w:rsid w:val="2DED6716"/>
    <w:rsid w:val="2E667F96"/>
    <w:rsid w:val="2E7F3BD6"/>
    <w:rsid w:val="2E8226AB"/>
    <w:rsid w:val="2FD065E6"/>
    <w:rsid w:val="2FD96870"/>
    <w:rsid w:val="30580BC9"/>
    <w:rsid w:val="306A35EB"/>
    <w:rsid w:val="311A1F18"/>
    <w:rsid w:val="311E2ED7"/>
    <w:rsid w:val="315619EE"/>
    <w:rsid w:val="315C449C"/>
    <w:rsid w:val="31B82709"/>
    <w:rsid w:val="31D05482"/>
    <w:rsid w:val="32400B34"/>
    <w:rsid w:val="329E6876"/>
    <w:rsid w:val="332A3C5F"/>
    <w:rsid w:val="333015F2"/>
    <w:rsid w:val="334B6320"/>
    <w:rsid w:val="33D934D4"/>
    <w:rsid w:val="33FE2F6A"/>
    <w:rsid w:val="340E07E5"/>
    <w:rsid w:val="34235BF7"/>
    <w:rsid w:val="34B67588"/>
    <w:rsid w:val="34E8481A"/>
    <w:rsid w:val="358C5FA8"/>
    <w:rsid w:val="35C15DF1"/>
    <w:rsid w:val="36074A7F"/>
    <w:rsid w:val="3619279E"/>
    <w:rsid w:val="36923549"/>
    <w:rsid w:val="36B75FBF"/>
    <w:rsid w:val="36BD0C45"/>
    <w:rsid w:val="36EC2A2B"/>
    <w:rsid w:val="374C142C"/>
    <w:rsid w:val="37E00298"/>
    <w:rsid w:val="38021C98"/>
    <w:rsid w:val="38232AA8"/>
    <w:rsid w:val="38B302F9"/>
    <w:rsid w:val="38F12CD3"/>
    <w:rsid w:val="38F94775"/>
    <w:rsid w:val="392971ED"/>
    <w:rsid w:val="39325651"/>
    <w:rsid w:val="3A6058D6"/>
    <w:rsid w:val="3A872856"/>
    <w:rsid w:val="3AAA2AE3"/>
    <w:rsid w:val="3B223EA3"/>
    <w:rsid w:val="3B3763D1"/>
    <w:rsid w:val="3B6312E8"/>
    <w:rsid w:val="3BB79009"/>
    <w:rsid w:val="3C122D1E"/>
    <w:rsid w:val="3C2F6E1E"/>
    <w:rsid w:val="3C4F64BA"/>
    <w:rsid w:val="3C9C5ED7"/>
    <w:rsid w:val="3CDA245A"/>
    <w:rsid w:val="3D1E06B7"/>
    <w:rsid w:val="3EDA0523"/>
    <w:rsid w:val="407A6407"/>
    <w:rsid w:val="4200449D"/>
    <w:rsid w:val="423A3BCC"/>
    <w:rsid w:val="424E57D2"/>
    <w:rsid w:val="42883C37"/>
    <w:rsid w:val="42B26C49"/>
    <w:rsid w:val="433A6FE6"/>
    <w:rsid w:val="43480868"/>
    <w:rsid w:val="4350713C"/>
    <w:rsid w:val="436653E0"/>
    <w:rsid w:val="43C03933"/>
    <w:rsid w:val="43C4431A"/>
    <w:rsid w:val="44B951CC"/>
    <w:rsid w:val="44CD14E0"/>
    <w:rsid w:val="44F20B0B"/>
    <w:rsid w:val="452E5F4C"/>
    <w:rsid w:val="45612018"/>
    <w:rsid w:val="458946E9"/>
    <w:rsid w:val="45A47C0E"/>
    <w:rsid w:val="46577FD6"/>
    <w:rsid w:val="46D955A7"/>
    <w:rsid w:val="47133957"/>
    <w:rsid w:val="47A07E0C"/>
    <w:rsid w:val="47E12024"/>
    <w:rsid w:val="483E58DB"/>
    <w:rsid w:val="4870272E"/>
    <w:rsid w:val="49DC7715"/>
    <w:rsid w:val="4A023139"/>
    <w:rsid w:val="4A7B576F"/>
    <w:rsid w:val="4AF561A9"/>
    <w:rsid w:val="4BA30626"/>
    <w:rsid w:val="4C4A0649"/>
    <w:rsid w:val="4C6A25EE"/>
    <w:rsid w:val="4C7E5ECA"/>
    <w:rsid w:val="4C876AA5"/>
    <w:rsid w:val="4D0E00FB"/>
    <w:rsid w:val="4D176606"/>
    <w:rsid w:val="4DA0642B"/>
    <w:rsid w:val="4DEC4FB0"/>
    <w:rsid w:val="4E075D8A"/>
    <w:rsid w:val="4EC00FAD"/>
    <w:rsid w:val="4EE86020"/>
    <w:rsid w:val="4F9843DC"/>
    <w:rsid w:val="4FC62A8C"/>
    <w:rsid w:val="4FE20F0D"/>
    <w:rsid w:val="4FE51552"/>
    <w:rsid w:val="50504C4B"/>
    <w:rsid w:val="50804CA1"/>
    <w:rsid w:val="509C6E7C"/>
    <w:rsid w:val="50ED0290"/>
    <w:rsid w:val="5162104E"/>
    <w:rsid w:val="529B60BF"/>
    <w:rsid w:val="53A039CC"/>
    <w:rsid w:val="53A1505A"/>
    <w:rsid w:val="53A33245"/>
    <w:rsid w:val="54063E08"/>
    <w:rsid w:val="541F22AB"/>
    <w:rsid w:val="543437E8"/>
    <w:rsid w:val="54F73313"/>
    <w:rsid w:val="54F80955"/>
    <w:rsid w:val="555170A7"/>
    <w:rsid w:val="5587536D"/>
    <w:rsid w:val="559B174B"/>
    <w:rsid w:val="55CE0CF4"/>
    <w:rsid w:val="56B22A9C"/>
    <w:rsid w:val="57B72A76"/>
    <w:rsid w:val="57C3426C"/>
    <w:rsid w:val="57CE1F93"/>
    <w:rsid w:val="588743D1"/>
    <w:rsid w:val="5887701A"/>
    <w:rsid w:val="59C0439F"/>
    <w:rsid w:val="59FD0258"/>
    <w:rsid w:val="5A842EC4"/>
    <w:rsid w:val="5ABE2233"/>
    <w:rsid w:val="5B5F3BF2"/>
    <w:rsid w:val="5BB9070A"/>
    <w:rsid w:val="5BDF5D95"/>
    <w:rsid w:val="5BFE7528"/>
    <w:rsid w:val="5C9C1C7E"/>
    <w:rsid w:val="5E2467F1"/>
    <w:rsid w:val="5F1A2B43"/>
    <w:rsid w:val="5FB837BB"/>
    <w:rsid w:val="5FD21144"/>
    <w:rsid w:val="600E19BC"/>
    <w:rsid w:val="601F17D0"/>
    <w:rsid w:val="60CC405A"/>
    <w:rsid w:val="6188767B"/>
    <w:rsid w:val="61E215D8"/>
    <w:rsid w:val="621B3775"/>
    <w:rsid w:val="62364782"/>
    <w:rsid w:val="627B391D"/>
    <w:rsid w:val="6303037E"/>
    <w:rsid w:val="6394356A"/>
    <w:rsid w:val="63C61B2C"/>
    <w:rsid w:val="63D40BE9"/>
    <w:rsid w:val="64102431"/>
    <w:rsid w:val="64A5243A"/>
    <w:rsid w:val="64F531DE"/>
    <w:rsid w:val="65373578"/>
    <w:rsid w:val="656F3CFB"/>
    <w:rsid w:val="671F124A"/>
    <w:rsid w:val="677A33C6"/>
    <w:rsid w:val="67994FDE"/>
    <w:rsid w:val="67EBF8F8"/>
    <w:rsid w:val="681F6961"/>
    <w:rsid w:val="68610A2F"/>
    <w:rsid w:val="68805514"/>
    <w:rsid w:val="69316E2F"/>
    <w:rsid w:val="694E2071"/>
    <w:rsid w:val="69766163"/>
    <w:rsid w:val="697A3B33"/>
    <w:rsid w:val="69D44760"/>
    <w:rsid w:val="6A0C1B0B"/>
    <w:rsid w:val="6A520EC7"/>
    <w:rsid w:val="6AF87E20"/>
    <w:rsid w:val="6B14233D"/>
    <w:rsid w:val="6B322639"/>
    <w:rsid w:val="6BAF432B"/>
    <w:rsid w:val="6BF34AC1"/>
    <w:rsid w:val="6C636C38"/>
    <w:rsid w:val="6DB34098"/>
    <w:rsid w:val="6DB545B6"/>
    <w:rsid w:val="6DE02FB4"/>
    <w:rsid w:val="6E365C8A"/>
    <w:rsid w:val="6E514CED"/>
    <w:rsid w:val="6EB563D5"/>
    <w:rsid w:val="6ED92677"/>
    <w:rsid w:val="6F225983"/>
    <w:rsid w:val="6FFC5590"/>
    <w:rsid w:val="706C4FFD"/>
    <w:rsid w:val="706D1DD0"/>
    <w:rsid w:val="70856B87"/>
    <w:rsid w:val="70B8767B"/>
    <w:rsid w:val="70D527EE"/>
    <w:rsid w:val="715B5300"/>
    <w:rsid w:val="71D27F8A"/>
    <w:rsid w:val="72553024"/>
    <w:rsid w:val="73086754"/>
    <w:rsid w:val="73122968"/>
    <w:rsid w:val="731F5D5E"/>
    <w:rsid w:val="73C51AD5"/>
    <w:rsid w:val="741E793C"/>
    <w:rsid w:val="745A29C6"/>
    <w:rsid w:val="745E3944"/>
    <w:rsid w:val="74970799"/>
    <w:rsid w:val="757315C2"/>
    <w:rsid w:val="75F52E16"/>
    <w:rsid w:val="75FFC23C"/>
    <w:rsid w:val="7635099D"/>
    <w:rsid w:val="776E4C01"/>
    <w:rsid w:val="77762421"/>
    <w:rsid w:val="77B56B1F"/>
    <w:rsid w:val="780F09F4"/>
    <w:rsid w:val="781F11A1"/>
    <w:rsid w:val="78A90480"/>
    <w:rsid w:val="79D71381"/>
    <w:rsid w:val="7A2A00A3"/>
    <w:rsid w:val="7A364017"/>
    <w:rsid w:val="7A7A4B96"/>
    <w:rsid w:val="7A8265E1"/>
    <w:rsid w:val="7B0338CD"/>
    <w:rsid w:val="7B686D42"/>
    <w:rsid w:val="7B841746"/>
    <w:rsid w:val="7BFBCE0F"/>
    <w:rsid w:val="7C5C4760"/>
    <w:rsid w:val="7C6C5AC7"/>
    <w:rsid w:val="7C8A0CCC"/>
    <w:rsid w:val="7CC6544B"/>
    <w:rsid w:val="7D0239FF"/>
    <w:rsid w:val="7D5E40CD"/>
    <w:rsid w:val="7DCD56F2"/>
    <w:rsid w:val="7F001CE7"/>
    <w:rsid w:val="7FE47E50"/>
    <w:rsid w:val="CD9B6F2C"/>
    <w:rsid w:val="CFD5DD7B"/>
    <w:rsid w:val="FDB3C7FB"/>
    <w:rsid w:val="FFF1275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0" w:semiHidden="0" w:name="Salutation" w:locked="1"/>
    <w:lsdException w:qFormat="1" w:unhideWhenUsed="0" w:uiPriority="0" w:semiHidden="0" w:name="Date"/>
    <w:lsdException w:qFormat="1" w:uiPriority="99" w:semiHidden="0" w:name="Body Text First Indent" w:locked="1"/>
    <w:lsdException w:qFormat="1" w:uiPriority="0" w:semiHidden="0" w:name="Body Text First Indent 2" w:locked="1"/>
    <w:lsdException w:unhideWhenUsed="0" w:uiPriority="0" w:semiHidden="0" w:name="Note Heading" w:locked="1"/>
    <w:lsdException w:qFormat="1" w:uiPriority="0" w:semiHidden="0" w:name="Body Text 2" w:locked="1"/>
    <w:lsdException w:qFormat="1" w:uiPriority="0" w:semiHidden="0" w:name="Body Text 3" w:locked="1"/>
    <w:lsdException w:qFormat="1" w:uiPriority="0" w:semiHidden="0" w:name="Body Text Indent 2" w:locked="1"/>
    <w:lsdException w:qFormat="1"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iPriority="0" w:semiHidden="0" w:name="Table Grid 1" w:locked="1"/>
    <w:lsdException w:uiPriority="0" w:name="Table Grid 2" w:locked="1"/>
    <w:lsdException w:uiPriority="0" w:name="Table Grid 3" w:locked="1"/>
    <w:lsdException w:uiPriority="0" w:name="Table Grid 4" w:locked="1"/>
    <w:lsdException w:qFormat="1"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5"/>
    <w:qFormat/>
    <w:locked/>
    <w:uiPriority w:val="0"/>
    <w:pPr>
      <w:keepNext/>
      <w:spacing w:line="400" w:lineRule="exact"/>
      <w:jc w:val="center"/>
      <w:outlineLvl w:val="1"/>
    </w:pPr>
    <w:rPr>
      <w:w w:val="90"/>
      <w:sz w:val="28"/>
    </w:rPr>
  </w:style>
  <w:style w:type="paragraph" w:styleId="5">
    <w:name w:val="heading 3"/>
    <w:basedOn w:val="1"/>
    <w:next w:val="1"/>
    <w:link w:val="46"/>
    <w:qFormat/>
    <w:locked/>
    <w:uiPriority w:val="0"/>
    <w:pPr>
      <w:keepNext/>
      <w:keepLines/>
      <w:spacing w:before="260" w:after="260" w:line="416" w:lineRule="auto"/>
      <w:outlineLvl w:val="2"/>
    </w:pPr>
    <w:rPr>
      <w:b/>
      <w:bCs/>
      <w:sz w:val="32"/>
      <w:szCs w:val="32"/>
    </w:rPr>
  </w:style>
  <w:style w:type="paragraph" w:styleId="6">
    <w:name w:val="heading 4"/>
    <w:basedOn w:val="1"/>
    <w:next w:val="1"/>
    <w:link w:val="47"/>
    <w:qFormat/>
    <w:locked/>
    <w:uiPriority w:val="0"/>
    <w:pPr>
      <w:keepNext/>
      <w:spacing w:line="440" w:lineRule="exact"/>
      <w:ind w:left="-50" w:right="-50"/>
      <w:jc w:val="center"/>
      <w:outlineLvl w:val="3"/>
    </w:pPr>
    <w:rPr>
      <w:sz w:val="28"/>
    </w:rPr>
  </w:style>
  <w:style w:type="paragraph" w:styleId="7">
    <w:name w:val="heading 7"/>
    <w:basedOn w:val="1"/>
    <w:next w:val="1"/>
    <w:link w:val="48"/>
    <w:qFormat/>
    <w:locked/>
    <w:uiPriority w:val="0"/>
    <w:pPr>
      <w:keepNext/>
      <w:numPr>
        <w:ilvl w:val="0"/>
        <w:numId w:val="1"/>
      </w:numPr>
      <w:spacing w:line="348" w:lineRule="auto"/>
      <w:outlineLvl w:val="6"/>
    </w:pPr>
    <w:rPr>
      <w:color w:val="000000"/>
      <w:sz w:val="28"/>
    </w:rPr>
  </w:style>
  <w:style w:type="character" w:default="1" w:styleId="36">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58"/>
    <w:unhideWhenUsed/>
    <w:qFormat/>
    <w:locked/>
    <w:uiPriority w:val="0"/>
    <w:pPr>
      <w:spacing w:after="120" w:line="480" w:lineRule="auto"/>
      <w:ind w:left="420" w:leftChars="200"/>
    </w:pPr>
  </w:style>
  <w:style w:type="paragraph" w:styleId="8">
    <w:name w:val="Normal Indent"/>
    <w:basedOn w:val="1"/>
    <w:next w:val="1"/>
    <w:link w:val="49"/>
    <w:qFormat/>
    <w:locked/>
    <w:uiPriority w:val="0"/>
    <w:pPr>
      <w:spacing w:line="520" w:lineRule="exact"/>
      <w:ind w:firstLine="624"/>
    </w:pPr>
    <w:rPr>
      <w:kern w:val="0"/>
      <w:sz w:val="28"/>
      <w:szCs w:val="20"/>
    </w:rPr>
  </w:style>
  <w:style w:type="paragraph" w:styleId="9">
    <w:name w:val="Document Map"/>
    <w:basedOn w:val="1"/>
    <w:link w:val="50"/>
    <w:unhideWhenUsed/>
    <w:qFormat/>
    <w:locked/>
    <w:uiPriority w:val="0"/>
    <w:pPr>
      <w:shd w:val="clear" w:color="auto" w:fill="000080"/>
    </w:pPr>
  </w:style>
  <w:style w:type="paragraph" w:styleId="10">
    <w:name w:val="annotation text"/>
    <w:basedOn w:val="1"/>
    <w:link w:val="51"/>
    <w:semiHidden/>
    <w:qFormat/>
    <w:uiPriority w:val="0"/>
    <w:pPr>
      <w:jc w:val="left"/>
    </w:pPr>
    <w:rPr>
      <w:kern w:val="0"/>
      <w:sz w:val="24"/>
      <w:szCs w:val="20"/>
    </w:rPr>
  </w:style>
  <w:style w:type="paragraph" w:styleId="11">
    <w:name w:val="Salutation"/>
    <w:basedOn w:val="1"/>
    <w:next w:val="1"/>
    <w:link w:val="52"/>
    <w:unhideWhenUsed/>
    <w:qFormat/>
    <w:locked/>
    <w:uiPriority w:val="0"/>
    <w:rPr>
      <w:b/>
      <w:sz w:val="36"/>
      <w:szCs w:val="36"/>
    </w:rPr>
  </w:style>
  <w:style w:type="paragraph" w:styleId="12">
    <w:name w:val="Body Text 3"/>
    <w:basedOn w:val="1"/>
    <w:link w:val="53"/>
    <w:unhideWhenUsed/>
    <w:qFormat/>
    <w:locked/>
    <w:uiPriority w:val="0"/>
    <w:pPr>
      <w:widowControl/>
      <w:jc w:val="center"/>
    </w:pPr>
    <w:rPr>
      <w:rFonts w:eastAsia="方正书宋简体"/>
      <w:w w:val="90"/>
      <w:kern w:val="0"/>
      <w:sz w:val="28"/>
      <w:szCs w:val="20"/>
    </w:rPr>
  </w:style>
  <w:style w:type="paragraph" w:styleId="13">
    <w:name w:val="Body Text"/>
    <w:basedOn w:val="1"/>
    <w:next w:val="1"/>
    <w:link w:val="54"/>
    <w:qFormat/>
    <w:uiPriority w:val="0"/>
    <w:pPr>
      <w:widowControl/>
      <w:snapToGrid w:val="0"/>
      <w:spacing w:before="60" w:after="160" w:line="259" w:lineRule="auto"/>
      <w:ind w:right="113"/>
    </w:pPr>
    <w:rPr>
      <w:kern w:val="0"/>
      <w:sz w:val="18"/>
      <w:szCs w:val="20"/>
    </w:rPr>
  </w:style>
  <w:style w:type="paragraph" w:styleId="14">
    <w:name w:val="Body Text Indent"/>
    <w:basedOn w:val="1"/>
    <w:link w:val="55"/>
    <w:qFormat/>
    <w:uiPriority w:val="0"/>
    <w:pPr>
      <w:spacing w:after="120"/>
      <w:ind w:left="420" w:leftChars="200"/>
    </w:pPr>
    <w:rPr>
      <w:kern w:val="0"/>
      <w:sz w:val="24"/>
      <w:szCs w:val="20"/>
    </w:rPr>
  </w:style>
  <w:style w:type="paragraph" w:styleId="15">
    <w:name w:val="Block Text"/>
    <w:basedOn w:val="1"/>
    <w:unhideWhenUsed/>
    <w:qFormat/>
    <w:locked/>
    <w:uiPriority w:val="0"/>
    <w:pPr>
      <w:spacing w:line="360" w:lineRule="exact"/>
      <w:ind w:left="105" w:leftChars="50" w:right="105" w:rightChars="50"/>
    </w:pPr>
    <w:rPr>
      <w:sz w:val="24"/>
    </w:rPr>
  </w:style>
  <w:style w:type="paragraph" w:styleId="16">
    <w:name w:val="Plain Text"/>
    <w:basedOn w:val="1"/>
    <w:link w:val="56"/>
    <w:qFormat/>
    <w:locked/>
    <w:uiPriority w:val="0"/>
    <w:rPr>
      <w:rFonts w:ascii="宋体" w:hAnsi="Courier New" w:cs="Courier New"/>
      <w:szCs w:val="21"/>
    </w:rPr>
  </w:style>
  <w:style w:type="paragraph" w:styleId="17">
    <w:name w:val="Date"/>
    <w:basedOn w:val="1"/>
    <w:next w:val="1"/>
    <w:link w:val="57"/>
    <w:qFormat/>
    <w:uiPriority w:val="0"/>
    <w:pPr>
      <w:ind w:left="100" w:leftChars="2500"/>
    </w:pPr>
    <w:rPr>
      <w:kern w:val="0"/>
      <w:sz w:val="24"/>
      <w:szCs w:val="20"/>
    </w:rPr>
  </w:style>
  <w:style w:type="paragraph" w:styleId="18">
    <w:name w:val="Balloon Text"/>
    <w:basedOn w:val="1"/>
    <w:link w:val="59"/>
    <w:semiHidden/>
    <w:qFormat/>
    <w:uiPriority w:val="0"/>
    <w:rPr>
      <w:kern w:val="0"/>
      <w:sz w:val="18"/>
      <w:szCs w:val="20"/>
    </w:rPr>
  </w:style>
  <w:style w:type="paragraph" w:styleId="19">
    <w:name w:val="footer"/>
    <w:basedOn w:val="1"/>
    <w:link w:val="60"/>
    <w:qFormat/>
    <w:uiPriority w:val="99"/>
    <w:pPr>
      <w:tabs>
        <w:tab w:val="center" w:pos="4153"/>
        <w:tab w:val="right" w:pos="8306"/>
      </w:tabs>
      <w:snapToGrid w:val="0"/>
      <w:jc w:val="left"/>
    </w:pPr>
    <w:rPr>
      <w:kern w:val="0"/>
      <w:sz w:val="18"/>
      <w:szCs w:val="20"/>
    </w:rPr>
  </w:style>
  <w:style w:type="paragraph" w:styleId="20">
    <w:name w:val="header"/>
    <w:basedOn w:val="1"/>
    <w:link w:val="61"/>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unhideWhenUsed/>
    <w:qFormat/>
    <w:locked/>
    <w:uiPriority w:val="39"/>
    <w:pPr>
      <w:tabs>
        <w:tab w:val="right" w:leader="dot" w:pos="9459"/>
      </w:tabs>
      <w:adjustRightInd w:val="0"/>
      <w:snapToGrid w:val="0"/>
      <w:spacing w:line="560" w:lineRule="exact"/>
    </w:pPr>
    <w:rPr>
      <w:w w:val="90"/>
      <w:sz w:val="28"/>
      <w:szCs w:val="32"/>
    </w:rPr>
  </w:style>
  <w:style w:type="paragraph" w:styleId="22">
    <w:name w:val="List"/>
    <w:basedOn w:val="1"/>
    <w:next w:val="1"/>
    <w:unhideWhenUsed/>
    <w:qFormat/>
    <w:locked/>
    <w:uiPriority w:val="0"/>
    <w:pPr>
      <w:ind w:left="200" w:hanging="200" w:hangingChars="200"/>
    </w:pPr>
  </w:style>
  <w:style w:type="paragraph" w:styleId="23">
    <w:name w:val="Body Text Indent 3"/>
    <w:basedOn w:val="1"/>
    <w:link w:val="62"/>
    <w:unhideWhenUsed/>
    <w:qFormat/>
    <w:locked/>
    <w:uiPriority w:val="0"/>
    <w:pPr>
      <w:spacing w:line="560" w:lineRule="exact"/>
      <w:ind w:firstLine="560" w:firstLineChars="200"/>
    </w:pPr>
    <w:rPr>
      <w:sz w:val="28"/>
    </w:rPr>
  </w:style>
  <w:style w:type="paragraph" w:styleId="24">
    <w:name w:val="toc 2"/>
    <w:basedOn w:val="1"/>
    <w:next w:val="1"/>
    <w:qFormat/>
    <w:locked/>
    <w:uiPriority w:val="39"/>
    <w:pPr>
      <w:ind w:left="210"/>
      <w:jc w:val="left"/>
    </w:pPr>
    <w:rPr>
      <w:smallCaps/>
      <w:sz w:val="20"/>
      <w:szCs w:val="20"/>
    </w:rPr>
  </w:style>
  <w:style w:type="paragraph" w:styleId="25">
    <w:name w:val="Body Text 2"/>
    <w:basedOn w:val="1"/>
    <w:link w:val="63"/>
    <w:unhideWhenUsed/>
    <w:qFormat/>
    <w:locked/>
    <w:uiPriority w:val="0"/>
    <w:rPr>
      <w:sz w:val="24"/>
    </w:rPr>
  </w:style>
  <w:style w:type="paragraph" w:styleId="26">
    <w:name w:val="HTML Preformatted"/>
    <w:basedOn w:val="1"/>
    <w:link w:val="64"/>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7">
    <w:name w:val="Normal (Web)"/>
    <w:basedOn w:val="1"/>
    <w:link w:val="65"/>
    <w:qFormat/>
    <w:uiPriority w:val="99"/>
    <w:pPr>
      <w:widowControl/>
      <w:spacing w:before="100" w:beforeAutospacing="1" w:after="100" w:afterAutospacing="1"/>
      <w:jc w:val="left"/>
    </w:pPr>
    <w:rPr>
      <w:rFonts w:ascii="宋体" w:hAnsi="宋体"/>
      <w:kern w:val="0"/>
      <w:sz w:val="24"/>
      <w:szCs w:val="20"/>
    </w:rPr>
  </w:style>
  <w:style w:type="paragraph" w:styleId="28">
    <w:name w:val="Title"/>
    <w:basedOn w:val="1"/>
    <w:next w:val="1"/>
    <w:link w:val="66"/>
    <w:qFormat/>
    <w:locked/>
    <w:uiPriority w:val="0"/>
    <w:pPr>
      <w:spacing w:before="240" w:after="60"/>
      <w:jc w:val="center"/>
      <w:outlineLvl w:val="0"/>
    </w:pPr>
    <w:rPr>
      <w:rFonts w:ascii="等线 Light" w:hAnsi="等线 Light"/>
      <w:b/>
      <w:bCs/>
      <w:sz w:val="32"/>
      <w:szCs w:val="32"/>
    </w:rPr>
  </w:style>
  <w:style w:type="paragraph" w:styleId="29">
    <w:name w:val="annotation subject"/>
    <w:basedOn w:val="10"/>
    <w:next w:val="10"/>
    <w:link w:val="67"/>
    <w:semiHidden/>
    <w:qFormat/>
    <w:uiPriority w:val="0"/>
    <w:rPr>
      <w:b/>
    </w:rPr>
  </w:style>
  <w:style w:type="paragraph" w:styleId="30">
    <w:name w:val="Body Text First Indent"/>
    <w:basedOn w:val="13"/>
    <w:link w:val="68"/>
    <w:unhideWhenUsed/>
    <w:qFormat/>
    <w:locked/>
    <w:uiPriority w:val="99"/>
    <w:pPr>
      <w:widowControl w:val="0"/>
      <w:snapToGrid/>
      <w:spacing w:before="0" w:after="120" w:line="240" w:lineRule="auto"/>
      <w:ind w:right="0" w:firstLine="420" w:firstLineChars="100"/>
    </w:pPr>
    <w:rPr>
      <w:kern w:val="2"/>
      <w:sz w:val="21"/>
      <w:szCs w:val="24"/>
    </w:rPr>
  </w:style>
  <w:style w:type="paragraph" w:styleId="31">
    <w:name w:val="Body Text First Indent 2"/>
    <w:basedOn w:val="14"/>
    <w:link w:val="69"/>
    <w:unhideWhenUsed/>
    <w:qFormat/>
    <w:locked/>
    <w:uiPriority w:val="0"/>
    <w:pPr>
      <w:ind w:firstLine="210" w:firstLineChars="200"/>
    </w:pPr>
    <w:rPr>
      <w:kern w:val="2"/>
      <w:sz w:val="21"/>
      <w:szCs w:val="24"/>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Grid 1"/>
    <w:basedOn w:val="32"/>
    <w:unhideWhenUsed/>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35">
    <w:name w:val="Table Grid 5"/>
    <w:basedOn w:val="32"/>
    <w:unhideWhenUsed/>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7">
    <w:name w:val="Strong"/>
    <w:qFormat/>
    <w:locked/>
    <w:uiPriority w:val="22"/>
    <w:rPr>
      <w:b/>
      <w:bCs/>
    </w:rPr>
  </w:style>
  <w:style w:type="character" w:styleId="38">
    <w:name w:val="page number"/>
    <w:qFormat/>
    <w:locked/>
    <w:uiPriority w:val="0"/>
  </w:style>
  <w:style w:type="character" w:styleId="39">
    <w:name w:val="FollowedHyperlink"/>
    <w:unhideWhenUsed/>
    <w:qFormat/>
    <w:locked/>
    <w:uiPriority w:val="99"/>
    <w:rPr>
      <w:color w:val="954F72"/>
      <w:u w:val="single"/>
    </w:rPr>
  </w:style>
  <w:style w:type="character" w:styleId="40">
    <w:name w:val="Hyperlink"/>
    <w:unhideWhenUsed/>
    <w:qFormat/>
    <w:locked/>
    <w:uiPriority w:val="99"/>
    <w:rPr>
      <w:color w:val="0000FF"/>
      <w:u w:val="single"/>
    </w:rPr>
  </w:style>
  <w:style w:type="character" w:styleId="41">
    <w:name w:val="annotation reference"/>
    <w:semiHidden/>
    <w:qFormat/>
    <w:uiPriority w:val="0"/>
    <w:rPr>
      <w:sz w:val="21"/>
    </w:rPr>
  </w:style>
  <w:style w:type="paragraph" w:customStyle="1" w:styleId="42">
    <w:name w:val="Normal (Web)1"/>
    <w:basedOn w:val="1"/>
    <w:next w:val="43"/>
    <w:autoRedefine/>
    <w:qFormat/>
    <w:uiPriority w:val="0"/>
    <w:pPr>
      <w:widowControl/>
    </w:pPr>
    <w:rPr>
      <w:rFonts w:ascii="宋体"/>
      <w:sz w:val="24"/>
      <w:szCs w:val="21"/>
    </w:rPr>
  </w:style>
  <w:style w:type="paragraph" w:customStyle="1" w:styleId="43">
    <w:name w:val="Date1"/>
    <w:basedOn w:val="1"/>
    <w:next w:val="1"/>
    <w:autoRedefine/>
    <w:qFormat/>
    <w:uiPriority w:val="0"/>
    <w:pPr>
      <w:autoSpaceDE w:val="0"/>
      <w:autoSpaceDN w:val="0"/>
      <w:adjustRightInd w:val="0"/>
      <w:textAlignment w:val="baseline"/>
    </w:pPr>
    <w:rPr>
      <w:rFonts w:ascii="宋体"/>
      <w:spacing w:val="5"/>
      <w:kern w:val="0"/>
      <w:sz w:val="24"/>
      <w:szCs w:val="20"/>
    </w:rPr>
  </w:style>
  <w:style w:type="character" w:customStyle="1" w:styleId="44">
    <w:name w:val="标题 1 字符"/>
    <w:link w:val="3"/>
    <w:qFormat/>
    <w:uiPriority w:val="0"/>
    <w:rPr>
      <w:rFonts w:eastAsia="黑体"/>
      <w:b/>
      <w:bCs/>
      <w:color w:val="000000"/>
      <w:kern w:val="44"/>
      <w:sz w:val="30"/>
      <w:szCs w:val="30"/>
    </w:rPr>
  </w:style>
  <w:style w:type="character" w:customStyle="1" w:styleId="45">
    <w:name w:val="标题 2 字符"/>
    <w:link w:val="4"/>
    <w:semiHidden/>
    <w:qFormat/>
    <w:uiPriority w:val="0"/>
    <w:rPr>
      <w:w w:val="90"/>
      <w:kern w:val="2"/>
      <w:sz w:val="28"/>
      <w:szCs w:val="24"/>
    </w:rPr>
  </w:style>
  <w:style w:type="character" w:customStyle="1" w:styleId="46">
    <w:name w:val="标题 3 字符"/>
    <w:link w:val="5"/>
    <w:semiHidden/>
    <w:qFormat/>
    <w:uiPriority w:val="0"/>
    <w:rPr>
      <w:b/>
      <w:bCs/>
      <w:kern w:val="2"/>
      <w:sz w:val="32"/>
      <w:szCs w:val="32"/>
    </w:rPr>
  </w:style>
  <w:style w:type="character" w:customStyle="1" w:styleId="47">
    <w:name w:val="标题 4 字符"/>
    <w:link w:val="6"/>
    <w:semiHidden/>
    <w:qFormat/>
    <w:uiPriority w:val="0"/>
    <w:rPr>
      <w:kern w:val="2"/>
      <w:sz w:val="28"/>
      <w:szCs w:val="24"/>
    </w:rPr>
  </w:style>
  <w:style w:type="character" w:customStyle="1" w:styleId="48">
    <w:name w:val="标题 7 字符"/>
    <w:link w:val="7"/>
    <w:semiHidden/>
    <w:qFormat/>
    <w:uiPriority w:val="0"/>
    <w:rPr>
      <w:color w:val="000000"/>
      <w:kern w:val="2"/>
      <w:sz w:val="28"/>
      <w:szCs w:val="24"/>
    </w:rPr>
  </w:style>
  <w:style w:type="character" w:customStyle="1" w:styleId="49">
    <w:name w:val="正文缩进 字符"/>
    <w:link w:val="8"/>
    <w:qFormat/>
    <w:uiPriority w:val="0"/>
    <w:rPr>
      <w:sz w:val="28"/>
    </w:rPr>
  </w:style>
  <w:style w:type="character" w:customStyle="1" w:styleId="50">
    <w:name w:val="文档结构图 字符"/>
    <w:link w:val="9"/>
    <w:qFormat/>
    <w:uiPriority w:val="0"/>
    <w:rPr>
      <w:kern w:val="2"/>
      <w:sz w:val="21"/>
      <w:szCs w:val="24"/>
      <w:shd w:val="clear" w:color="auto" w:fill="000080"/>
    </w:rPr>
  </w:style>
  <w:style w:type="character" w:customStyle="1" w:styleId="51">
    <w:name w:val="批注文字 字符"/>
    <w:link w:val="10"/>
    <w:qFormat/>
    <w:locked/>
    <w:uiPriority w:val="0"/>
    <w:rPr>
      <w:rFonts w:ascii="Times New Roman" w:hAnsi="Times New Roman" w:eastAsia="宋体"/>
      <w:sz w:val="24"/>
    </w:rPr>
  </w:style>
  <w:style w:type="character" w:customStyle="1" w:styleId="52">
    <w:name w:val="称呼 字符"/>
    <w:link w:val="11"/>
    <w:qFormat/>
    <w:uiPriority w:val="0"/>
    <w:rPr>
      <w:b/>
      <w:kern w:val="2"/>
      <w:sz w:val="36"/>
      <w:szCs w:val="36"/>
    </w:rPr>
  </w:style>
  <w:style w:type="character" w:customStyle="1" w:styleId="53">
    <w:name w:val="正文文本 3 字符"/>
    <w:link w:val="12"/>
    <w:qFormat/>
    <w:uiPriority w:val="0"/>
    <w:rPr>
      <w:rFonts w:eastAsia="方正书宋简体"/>
      <w:w w:val="90"/>
      <w:sz w:val="28"/>
    </w:rPr>
  </w:style>
  <w:style w:type="character" w:customStyle="1" w:styleId="54">
    <w:name w:val="正文文本 字符"/>
    <w:link w:val="13"/>
    <w:qFormat/>
    <w:locked/>
    <w:uiPriority w:val="0"/>
    <w:rPr>
      <w:sz w:val="18"/>
    </w:rPr>
  </w:style>
  <w:style w:type="character" w:customStyle="1" w:styleId="55">
    <w:name w:val="正文文本缩进 字符"/>
    <w:link w:val="14"/>
    <w:semiHidden/>
    <w:qFormat/>
    <w:locked/>
    <w:uiPriority w:val="0"/>
    <w:rPr>
      <w:rFonts w:ascii="Times New Roman" w:hAnsi="Times New Roman" w:eastAsia="宋体"/>
      <w:sz w:val="24"/>
    </w:rPr>
  </w:style>
  <w:style w:type="character" w:customStyle="1" w:styleId="56">
    <w:name w:val="纯文本 字符"/>
    <w:link w:val="16"/>
    <w:qFormat/>
    <w:uiPriority w:val="0"/>
    <w:rPr>
      <w:rFonts w:ascii="宋体" w:hAnsi="Courier New" w:cs="Courier New"/>
      <w:kern w:val="2"/>
      <w:sz w:val="21"/>
      <w:szCs w:val="21"/>
    </w:rPr>
  </w:style>
  <w:style w:type="character" w:customStyle="1" w:styleId="57">
    <w:name w:val="日期 字符1"/>
    <w:link w:val="17"/>
    <w:qFormat/>
    <w:locked/>
    <w:uiPriority w:val="0"/>
    <w:rPr>
      <w:rFonts w:ascii="Times New Roman" w:hAnsi="Times New Roman" w:eastAsia="宋体"/>
      <w:sz w:val="24"/>
    </w:rPr>
  </w:style>
  <w:style w:type="character" w:customStyle="1" w:styleId="58">
    <w:name w:val="正文文本缩进 2 字符"/>
    <w:link w:val="2"/>
    <w:qFormat/>
    <w:uiPriority w:val="0"/>
    <w:rPr>
      <w:kern w:val="2"/>
      <w:sz w:val="21"/>
      <w:szCs w:val="24"/>
    </w:rPr>
  </w:style>
  <w:style w:type="character" w:customStyle="1" w:styleId="59">
    <w:name w:val="批注框文本 字符"/>
    <w:link w:val="18"/>
    <w:semiHidden/>
    <w:qFormat/>
    <w:locked/>
    <w:uiPriority w:val="0"/>
    <w:rPr>
      <w:rFonts w:ascii="Times New Roman" w:hAnsi="Times New Roman" w:eastAsia="宋体"/>
      <w:sz w:val="18"/>
    </w:rPr>
  </w:style>
  <w:style w:type="character" w:customStyle="1" w:styleId="60">
    <w:name w:val="页脚 字符1"/>
    <w:link w:val="19"/>
    <w:qFormat/>
    <w:locked/>
    <w:uiPriority w:val="99"/>
    <w:rPr>
      <w:sz w:val="18"/>
    </w:rPr>
  </w:style>
  <w:style w:type="character" w:customStyle="1" w:styleId="61">
    <w:name w:val="页眉 字符"/>
    <w:link w:val="20"/>
    <w:qFormat/>
    <w:locked/>
    <w:uiPriority w:val="0"/>
    <w:rPr>
      <w:sz w:val="18"/>
    </w:rPr>
  </w:style>
  <w:style w:type="character" w:customStyle="1" w:styleId="62">
    <w:name w:val="正文文本缩进 3 字符"/>
    <w:link w:val="23"/>
    <w:qFormat/>
    <w:uiPriority w:val="0"/>
    <w:rPr>
      <w:kern w:val="2"/>
      <w:sz w:val="28"/>
      <w:szCs w:val="24"/>
    </w:rPr>
  </w:style>
  <w:style w:type="character" w:customStyle="1" w:styleId="63">
    <w:name w:val="正文文本 2 字符"/>
    <w:link w:val="25"/>
    <w:qFormat/>
    <w:uiPriority w:val="0"/>
    <w:rPr>
      <w:kern w:val="2"/>
      <w:sz w:val="24"/>
      <w:szCs w:val="24"/>
    </w:rPr>
  </w:style>
  <w:style w:type="character" w:customStyle="1" w:styleId="64">
    <w:name w:val="HTML 预设格式 字符"/>
    <w:link w:val="26"/>
    <w:qFormat/>
    <w:uiPriority w:val="0"/>
    <w:rPr>
      <w:rFonts w:ascii="宋体" w:hAnsi="宋体" w:cs="宋体"/>
      <w:sz w:val="24"/>
      <w:szCs w:val="24"/>
    </w:rPr>
  </w:style>
  <w:style w:type="character" w:customStyle="1" w:styleId="65">
    <w:name w:val="普通(网站) 字符"/>
    <w:link w:val="27"/>
    <w:qFormat/>
    <w:locked/>
    <w:uiPriority w:val="0"/>
    <w:rPr>
      <w:rFonts w:ascii="宋体" w:hAnsi="宋体" w:eastAsia="宋体"/>
      <w:sz w:val="24"/>
    </w:rPr>
  </w:style>
  <w:style w:type="character" w:customStyle="1" w:styleId="66">
    <w:name w:val="标题 字符"/>
    <w:link w:val="28"/>
    <w:qFormat/>
    <w:uiPriority w:val="0"/>
    <w:rPr>
      <w:rFonts w:ascii="等线 Light" w:hAnsi="等线 Light" w:cs="Times New Roman"/>
      <w:b/>
      <w:bCs/>
      <w:kern w:val="2"/>
      <w:sz w:val="32"/>
      <w:szCs w:val="32"/>
    </w:rPr>
  </w:style>
  <w:style w:type="character" w:customStyle="1" w:styleId="67">
    <w:name w:val="批注主题 字符"/>
    <w:link w:val="29"/>
    <w:semiHidden/>
    <w:qFormat/>
    <w:locked/>
    <w:uiPriority w:val="0"/>
    <w:rPr>
      <w:rFonts w:ascii="Times New Roman" w:hAnsi="Times New Roman" w:eastAsia="宋体"/>
      <w:b/>
      <w:kern w:val="2"/>
      <w:sz w:val="24"/>
    </w:rPr>
  </w:style>
  <w:style w:type="character" w:customStyle="1" w:styleId="68">
    <w:name w:val="正文文本首行缩进 字符"/>
    <w:link w:val="30"/>
    <w:qFormat/>
    <w:uiPriority w:val="99"/>
    <w:rPr>
      <w:kern w:val="2"/>
      <w:sz w:val="21"/>
      <w:szCs w:val="24"/>
    </w:rPr>
  </w:style>
  <w:style w:type="character" w:customStyle="1" w:styleId="69">
    <w:name w:val="正文文本首行缩进 2 字符"/>
    <w:link w:val="31"/>
    <w:qFormat/>
    <w:uiPriority w:val="0"/>
    <w:rPr>
      <w:rFonts w:ascii="Times New Roman" w:hAnsi="Times New Roman" w:eastAsia="宋体"/>
      <w:kern w:val="2"/>
      <w:sz w:val="21"/>
      <w:szCs w:val="24"/>
    </w:rPr>
  </w:style>
  <w:style w:type="character" w:customStyle="1" w:styleId="70">
    <w:name w:val="页脚 字符"/>
    <w:qFormat/>
    <w:uiPriority w:val="99"/>
  </w:style>
  <w:style w:type="character" w:customStyle="1" w:styleId="71">
    <w:name w:val="正文文本 字符1"/>
    <w:semiHidden/>
    <w:qFormat/>
    <w:uiPriority w:val="0"/>
    <w:rPr>
      <w:rFonts w:ascii="Times New Roman" w:hAnsi="Times New Roman" w:eastAsia="宋体"/>
      <w:sz w:val="24"/>
    </w:rPr>
  </w:style>
  <w:style w:type="character" w:customStyle="1" w:styleId="72">
    <w:name w:val="表格 Char"/>
    <w:link w:val="73"/>
    <w:qFormat/>
    <w:locked/>
    <w:uiPriority w:val="0"/>
    <w:rPr>
      <w:rFonts w:ascii="宋体"/>
      <w:sz w:val="21"/>
    </w:rPr>
  </w:style>
  <w:style w:type="paragraph" w:customStyle="1" w:styleId="73">
    <w:name w:val="表格"/>
    <w:basedOn w:val="1"/>
    <w:next w:val="1"/>
    <w:link w:val="72"/>
    <w:qFormat/>
    <w:uiPriority w:val="0"/>
    <w:pPr>
      <w:adjustRightInd w:val="0"/>
      <w:snapToGrid w:val="0"/>
      <w:spacing w:beforeLines="10" w:afterLines="10" w:line="259" w:lineRule="auto"/>
      <w:jc w:val="center"/>
    </w:pPr>
    <w:rPr>
      <w:rFonts w:ascii="宋体"/>
      <w:kern w:val="0"/>
      <w:szCs w:val="20"/>
    </w:rPr>
  </w:style>
  <w:style w:type="character" w:customStyle="1" w:styleId="74">
    <w:name w:val="日期 字符"/>
    <w:semiHidden/>
    <w:qFormat/>
    <w:uiPriority w:val="0"/>
    <w:rPr>
      <w:rFonts w:ascii="Times New Roman" w:hAnsi="Times New Roman" w:eastAsia="宋体"/>
      <w:sz w:val="24"/>
    </w:rPr>
  </w:style>
  <w:style w:type="character" w:customStyle="1" w:styleId="75">
    <w:name w:val="批注文字 字符1"/>
    <w:semiHidden/>
    <w:qFormat/>
    <w:uiPriority w:val="0"/>
    <w:rPr>
      <w:rFonts w:ascii="Times New Roman" w:hAnsi="Times New Roman" w:eastAsia="宋体"/>
      <w:sz w:val="24"/>
    </w:rPr>
  </w:style>
  <w:style w:type="paragraph" w:customStyle="1" w:styleId="7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8">
    <w:name w:val="NormalCharacter"/>
    <w:semiHidden/>
    <w:qFormat/>
    <w:uiPriority w:val="0"/>
  </w:style>
  <w:style w:type="character" w:customStyle="1" w:styleId="79">
    <w:name w:val="表格内容 Char"/>
    <w:link w:val="80"/>
    <w:qFormat/>
    <w:uiPriority w:val="0"/>
    <w:rPr>
      <w:rFonts w:ascii="Arial" w:hAnsi="Arial"/>
      <w:color w:val="000000"/>
      <w:sz w:val="21"/>
      <w:szCs w:val="24"/>
    </w:rPr>
  </w:style>
  <w:style w:type="paragraph" w:customStyle="1" w:styleId="80">
    <w:name w:val="表格内容"/>
    <w:basedOn w:val="1"/>
    <w:next w:val="1"/>
    <w:link w:val="79"/>
    <w:qFormat/>
    <w:uiPriority w:val="0"/>
    <w:pPr>
      <w:overflowPunct w:val="0"/>
      <w:adjustRightInd w:val="0"/>
      <w:spacing w:before="40" w:after="60" w:line="200" w:lineRule="atLeast"/>
      <w:jc w:val="center"/>
      <w:textAlignment w:val="baseline"/>
    </w:pPr>
    <w:rPr>
      <w:rFonts w:ascii="Arial" w:hAnsi="Arial"/>
      <w:color w:val="000000"/>
      <w:kern w:val="0"/>
    </w:rPr>
  </w:style>
  <w:style w:type="character" w:customStyle="1" w:styleId="81">
    <w:name w:val="表格标题 Char"/>
    <w:link w:val="82"/>
    <w:qFormat/>
    <w:uiPriority w:val="0"/>
    <w:rPr>
      <w:b/>
      <w:sz w:val="21"/>
    </w:rPr>
  </w:style>
  <w:style w:type="paragraph" w:customStyle="1" w:styleId="82">
    <w:name w:val="表格标题"/>
    <w:basedOn w:val="1"/>
    <w:next w:val="83"/>
    <w:link w:val="81"/>
    <w:qFormat/>
    <w:uiPriority w:val="0"/>
    <w:pPr>
      <w:keepNext/>
      <w:tabs>
        <w:tab w:val="left" w:pos="0"/>
        <w:tab w:val="left" w:pos="360"/>
      </w:tabs>
      <w:jc w:val="center"/>
    </w:pPr>
    <w:rPr>
      <w:b/>
      <w:kern w:val="0"/>
      <w:szCs w:val="20"/>
    </w:rPr>
  </w:style>
  <w:style w:type="paragraph" w:customStyle="1" w:styleId="83">
    <w:name w:val="报告表正文"/>
    <w:basedOn w:val="84"/>
    <w:next w:val="1"/>
    <w:link w:val="85"/>
    <w:qFormat/>
    <w:uiPriority w:val="0"/>
  </w:style>
  <w:style w:type="paragraph" w:customStyle="1" w:styleId="84">
    <w:name w:val="CM4"/>
    <w:basedOn w:val="1"/>
    <w:next w:val="1"/>
    <w:qFormat/>
    <w:uiPriority w:val="0"/>
    <w:pPr>
      <w:keepNext/>
      <w:spacing w:line="520" w:lineRule="exact"/>
      <w:jc w:val="center"/>
    </w:pPr>
    <w:rPr>
      <w:b/>
      <w:kern w:val="0"/>
      <w:szCs w:val="21"/>
    </w:rPr>
  </w:style>
  <w:style w:type="character" w:customStyle="1" w:styleId="85">
    <w:name w:val="表中字 Char"/>
    <w:link w:val="83"/>
    <w:qFormat/>
    <w:uiPriority w:val="0"/>
    <w:rPr>
      <w:b/>
      <w:sz w:val="21"/>
      <w:szCs w:val="21"/>
    </w:rPr>
  </w:style>
  <w:style w:type="character" w:customStyle="1" w:styleId="86">
    <w:name w:val="正文格式 字符"/>
    <w:link w:val="87"/>
    <w:qFormat/>
    <w:uiPriority w:val="0"/>
    <w:rPr>
      <w:sz w:val="21"/>
      <w:szCs w:val="21"/>
    </w:rPr>
  </w:style>
  <w:style w:type="paragraph" w:customStyle="1" w:styleId="87">
    <w:name w:val="正文格式"/>
    <w:basedOn w:val="1"/>
    <w:link w:val="86"/>
    <w:qFormat/>
    <w:uiPriority w:val="0"/>
    <w:pPr>
      <w:spacing w:line="360" w:lineRule="auto"/>
      <w:ind w:firstLine="420" w:firstLineChars="200"/>
    </w:pPr>
    <w:rPr>
      <w:kern w:val="0"/>
      <w:szCs w:val="21"/>
    </w:rPr>
  </w:style>
  <w:style w:type="paragraph" w:customStyle="1" w:styleId="88">
    <w:name w:val="正文缩进2"/>
    <w:basedOn w:val="1"/>
    <w:qFormat/>
    <w:uiPriority w:val="0"/>
    <w:pPr>
      <w:spacing w:line="520" w:lineRule="exact"/>
      <w:ind w:firstLine="624"/>
    </w:pPr>
    <w:rPr>
      <w:sz w:val="28"/>
    </w:rPr>
  </w:style>
  <w:style w:type="character" w:customStyle="1" w:styleId="89">
    <w:name w:val="【表中文字】 Char Char"/>
    <w:link w:val="90"/>
    <w:qFormat/>
    <w:uiPriority w:val="0"/>
    <w:rPr>
      <w:sz w:val="21"/>
    </w:rPr>
  </w:style>
  <w:style w:type="paragraph" w:customStyle="1" w:styleId="90">
    <w:name w:val="【表中文字】"/>
    <w:basedOn w:val="1"/>
    <w:link w:val="89"/>
    <w:qFormat/>
    <w:uiPriority w:val="0"/>
    <w:pPr>
      <w:jc w:val="center"/>
    </w:pPr>
    <w:rPr>
      <w:kern w:val="0"/>
      <w:szCs w:val="20"/>
    </w:rPr>
  </w:style>
  <w:style w:type="paragraph" w:customStyle="1" w:styleId="91">
    <w:name w:val="a正文"/>
    <w:basedOn w:val="87"/>
    <w:link w:val="92"/>
    <w:qFormat/>
    <w:uiPriority w:val="0"/>
    <w:pPr>
      <w:spacing w:line="520" w:lineRule="exact"/>
      <w:ind w:firstLine="200"/>
    </w:pPr>
    <w:rPr>
      <w:sz w:val="24"/>
    </w:rPr>
  </w:style>
  <w:style w:type="character" w:customStyle="1" w:styleId="92">
    <w:name w:val="a正文 Char"/>
    <w:link w:val="91"/>
    <w:qFormat/>
    <w:uiPriority w:val="0"/>
    <w:rPr>
      <w:sz w:val="24"/>
      <w:szCs w:val="21"/>
    </w:rPr>
  </w:style>
  <w:style w:type="character" w:customStyle="1" w:styleId="93">
    <w:name w:val="样式1 Char Char"/>
    <w:link w:val="94"/>
    <w:qFormat/>
    <w:uiPriority w:val="0"/>
  </w:style>
  <w:style w:type="paragraph" w:customStyle="1" w:styleId="94">
    <w:name w:val="样式1"/>
    <w:basedOn w:val="1"/>
    <w:link w:val="93"/>
    <w:qFormat/>
    <w:uiPriority w:val="0"/>
    <w:pPr>
      <w:spacing w:line="360" w:lineRule="auto"/>
      <w:ind w:firstLine="720" w:firstLineChars="200"/>
    </w:pPr>
    <w:rPr>
      <w:kern w:val="0"/>
      <w:sz w:val="20"/>
      <w:szCs w:val="20"/>
    </w:rPr>
  </w:style>
  <w:style w:type="paragraph" w:customStyle="1" w:styleId="95">
    <w:name w:val="Default"/>
    <w:link w:val="21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表格正文"/>
    <w:link w:val="97"/>
    <w:qFormat/>
    <w:uiPriority w:val="0"/>
    <w:pPr>
      <w:adjustRightInd w:val="0"/>
      <w:snapToGrid w:val="0"/>
      <w:jc w:val="center"/>
    </w:pPr>
    <w:rPr>
      <w:rFonts w:ascii="Times New Roman" w:hAnsi="Times New Roman" w:eastAsia="宋体" w:cs="Times New Roman"/>
      <w:color w:val="FF0000"/>
      <w:kern w:val="2"/>
      <w:sz w:val="21"/>
      <w:szCs w:val="21"/>
      <w:lang w:val="en-US" w:eastAsia="zh-CN" w:bidi="ar-SA"/>
    </w:rPr>
  </w:style>
  <w:style w:type="character" w:customStyle="1" w:styleId="97">
    <w:name w:val="表格正文 Char"/>
    <w:link w:val="96"/>
    <w:qFormat/>
    <w:uiPriority w:val="0"/>
    <w:rPr>
      <w:color w:val="FF0000"/>
      <w:kern w:val="2"/>
      <w:sz w:val="21"/>
      <w:szCs w:val="21"/>
    </w:rPr>
  </w:style>
  <w:style w:type="paragraph" w:customStyle="1" w:styleId="98">
    <w:name w:val="表头"/>
    <w:next w:val="1"/>
    <w:link w:val="99"/>
    <w:qFormat/>
    <w:uiPriority w:val="0"/>
    <w:pPr>
      <w:jc w:val="center"/>
    </w:pPr>
    <w:rPr>
      <w:rFonts w:ascii="Times New Roman" w:hAnsi="Times New Roman" w:eastAsia="宋体" w:cs="Times New Roman"/>
      <w:b/>
      <w:sz w:val="21"/>
      <w:szCs w:val="24"/>
      <w:lang w:val="en-US" w:eastAsia="zh-CN" w:bidi="ar-SA"/>
    </w:rPr>
  </w:style>
  <w:style w:type="character" w:customStyle="1" w:styleId="99">
    <w:name w:val="表头 Char1"/>
    <w:link w:val="98"/>
    <w:qFormat/>
    <w:locked/>
    <w:uiPriority w:val="0"/>
    <w:rPr>
      <w:b/>
      <w:sz w:val="21"/>
      <w:szCs w:val="24"/>
    </w:rPr>
  </w:style>
  <w:style w:type="character" w:customStyle="1" w:styleId="100">
    <w:name w:val="【正文】 Char"/>
    <w:link w:val="101"/>
    <w:qFormat/>
    <w:uiPriority w:val="0"/>
  </w:style>
  <w:style w:type="paragraph" w:customStyle="1" w:styleId="101">
    <w:name w:val="【正文】"/>
    <w:basedOn w:val="1"/>
    <w:link w:val="100"/>
    <w:qFormat/>
    <w:uiPriority w:val="0"/>
    <w:pPr>
      <w:widowControl/>
      <w:spacing w:line="520" w:lineRule="exact"/>
      <w:ind w:firstLine="480" w:firstLineChars="200"/>
    </w:pPr>
    <w:rPr>
      <w:kern w:val="0"/>
      <w:sz w:val="20"/>
      <w:szCs w:val="20"/>
    </w:rPr>
  </w:style>
  <w:style w:type="character" w:customStyle="1" w:styleId="102">
    <w:name w:val="【表头】 Char"/>
    <w:link w:val="103"/>
    <w:qFormat/>
    <w:uiPriority w:val="0"/>
    <w:rPr>
      <w:b/>
      <w:sz w:val="21"/>
    </w:rPr>
  </w:style>
  <w:style w:type="paragraph" w:customStyle="1" w:styleId="103">
    <w:name w:val="【表头】"/>
    <w:basedOn w:val="104"/>
    <w:link w:val="102"/>
    <w:qFormat/>
    <w:uiPriority w:val="0"/>
    <w:pPr>
      <w:adjustRightInd w:val="0"/>
      <w:spacing w:line="500" w:lineRule="exact"/>
      <w:jc w:val="center"/>
    </w:pPr>
    <w:rPr>
      <w:b/>
      <w:szCs w:val="20"/>
    </w:rPr>
  </w:style>
  <w:style w:type="paragraph" w:customStyle="1" w:styleId="104">
    <w:name w:val="0"/>
    <w:basedOn w:val="1"/>
    <w:autoRedefine/>
    <w:qFormat/>
    <w:uiPriority w:val="99"/>
    <w:pPr>
      <w:widowControl/>
      <w:snapToGrid w:val="0"/>
      <w:jc w:val="left"/>
    </w:pPr>
    <w:rPr>
      <w:rFonts w:ascii="宋体"/>
      <w:kern w:val="0"/>
      <w:sz w:val="20"/>
    </w:rPr>
  </w:style>
  <w:style w:type="paragraph" w:customStyle="1" w:styleId="105">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06">
    <w:name w:val="表中的文字"/>
    <w:basedOn w:val="28"/>
    <w:link w:val="107"/>
    <w:qFormat/>
    <w:uiPriority w:val="0"/>
    <w:pPr>
      <w:spacing w:before="0" w:after="0"/>
      <w:outlineLvl w:val="9"/>
    </w:pPr>
    <w:rPr>
      <w:rFonts w:ascii="Times New Roman" w:hAnsi="Times New Roman"/>
      <w:b w:val="0"/>
      <w:sz w:val="21"/>
      <w:szCs w:val="21"/>
    </w:rPr>
  </w:style>
  <w:style w:type="character" w:customStyle="1" w:styleId="107">
    <w:name w:val="表中的文字 Char"/>
    <w:link w:val="106"/>
    <w:qFormat/>
    <w:uiPriority w:val="0"/>
    <w:rPr>
      <w:bCs/>
      <w:kern w:val="2"/>
      <w:sz w:val="21"/>
      <w:szCs w:val="21"/>
    </w:rPr>
  </w:style>
  <w:style w:type="paragraph" w:customStyle="1" w:styleId="108">
    <w:name w:val="环评表中文字"/>
    <w:basedOn w:val="1"/>
    <w:qFormat/>
    <w:uiPriority w:val="0"/>
    <w:pPr>
      <w:jc w:val="center"/>
    </w:pPr>
    <w:rPr>
      <w:szCs w:val="22"/>
    </w:rPr>
  </w:style>
  <w:style w:type="character" w:customStyle="1" w:styleId="109">
    <w:name w:val="【表中文字】- 字符"/>
    <w:link w:val="110"/>
    <w:qFormat/>
    <w:uiPriority w:val="0"/>
  </w:style>
  <w:style w:type="paragraph" w:customStyle="1" w:styleId="110">
    <w:name w:val="【表中文字】-"/>
    <w:basedOn w:val="1"/>
    <w:link w:val="109"/>
    <w:qFormat/>
    <w:uiPriority w:val="0"/>
    <w:pPr>
      <w:jc w:val="center"/>
    </w:pPr>
    <w:rPr>
      <w:kern w:val="0"/>
      <w:sz w:val="20"/>
      <w:szCs w:val="20"/>
    </w:rPr>
  </w:style>
  <w:style w:type="character" w:customStyle="1" w:styleId="111">
    <w:name w:val="正文00 Char"/>
    <w:link w:val="112"/>
    <w:qFormat/>
    <w:uiPriority w:val="0"/>
    <w:rPr>
      <w:rFonts w:cs="宋体"/>
      <w:kern w:val="2"/>
      <w:sz w:val="24"/>
      <w:szCs w:val="24"/>
    </w:rPr>
  </w:style>
  <w:style w:type="paragraph" w:customStyle="1" w:styleId="112">
    <w:name w:val="正文00"/>
    <w:basedOn w:val="1"/>
    <w:link w:val="111"/>
    <w:qFormat/>
    <w:uiPriority w:val="0"/>
    <w:pPr>
      <w:spacing w:line="360" w:lineRule="auto"/>
      <w:ind w:firstLine="480" w:firstLineChars="200"/>
    </w:pPr>
    <w:rPr>
      <w:rFonts w:cs="宋体"/>
      <w:sz w:val="24"/>
    </w:rPr>
  </w:style>
  <w:style w:type="paragraph" w:customStyle="1" w:styleId="113">
    <w:name w:val="表文"/>
    <w:basedOn w:val="1"/>
    <w:link w:val="114"/>
    <w:qFormat/>
    <w:uiPriority w:val="0"/>
    <w:pPr>
      <w:jc w:val="center"/>
    </w:pPr>
    <w:rPr>
      <w:sz w:val="24"/>
      <w:szCs w:val="20"/>
    </w:rPr>
  </w:style>
  <w:style w:type="character" w:customStyle="1" w:styleId="114">
    <w:name w:val="表文 Char"/>
    <w:link w:val="113"/>
    <w:qFormat/>
    <w:uiPriority w:val="0"/>
    <w:rPr>
      <w:kern w:val="2"/>
      <w:sz w:val="24"/>
    </w:rPr>
  </w:style>
  <w:style w:type="paragraph" w:customStyle="1" w:styleId="115">
    <w:name w:val="万瑞正文"/>
    <w:basedOn w:val="1"/>
    <w:qFormat/>
    <w:uiPriority w:val="0"/>
    <w:pPr>
      <w:adjustRightInd w:val="0"/>
      <w:snapToGrid w:val="0"/>
      <w:spacing w:line="360" w:lineRule="auto"/>
      <w:ind w:left="-4" w:leftChars="-2" w:firstLine="200" w:firstLineChars="200"/>
      <w:jc w:val="left"/>
    </w:pPr>
    <w:rPr>
      <w:sz w:val="24"/>
    </w:rPr>
  </w:style>
  <w:style w:type="character" w:customStyle="1" w:styleId="116">
    <w:name w:val="标题 字符1"/>
    <w:qFormat/>
    <w:locked/>
    <w:uiPriority w:val="0"/>
    <w:rPr>
      <w:rFonts w:ascii="Arial" w:hAnsi="Arial" w:eastAsia="黑体"/>
      <w:b/>
      <w:bCs/>
      <w:sz w:val="44"/>
      <w:szCs w:val="44"/>
    </w:rPr>
  </w:style>
  <w:style w:type="paragraph" w:customStyle="1" w:styleId="117">
    <w:name w:val="表格填充1"/>
    <w:basedOn w:val="16"/>
    <w:qFormat/>
    <w:uiPriority w:val="0"/>
    <w:pPr>
      <w:snapToGrid w:val="0"/>
    </w:pPr>
    <w:rPr>
      <w:rFonts w:ascii="Times New Roman" w:hAnsi="Times New Roman" w:eastAsia="仿宋_GB2312"/>
      <w:sz w:val="28"/>
      <w:szCs w:val="20"/>
    </w:rPr>
  </w:style>
  <w:style w:type="character" w:customStyle="1" w:styleId="118">
    <w:name w:val="【表中文字】 Char"/>
    <w:qFormat/>
    <w:uiPriority w:val="0"/>
    <w:rPr>
      <w:rFonts w:hint="default" w:ascii="Times New Roman" w:hAnsi="Times New Roman" w:cs="Times New Roman"/>
      <w:kern w:val="2"/>
      <w:sz w:val="21"/>
    </w:rPr>
  </w:style>
  <w:style w:type="paragraph" w:customStyle="1" w:styleId="119">
    <w:name w:val="Table Paragraph"/>
    <w:basedOn w:val="1"/>
    <w:qFormat/>
    <w:uiPriority w:val="0"/>
    <w:pPr>
      <w:widowControl/>
      <w:jc w:val="left"/>
    </w:pPr>
    <w:rPr>
      <w:rFonts w:ascii="Calibri" w:hAnsi="Calibri" w:cs="宋体"/>
      <w:kern w:val="0"/>
      <w:sz w:val="22"/>
      <w:szCs w:val="22"/>
    </w:rPr>
  </w:style>
  <w:style w:type="character" w:customStyle="1" w:styleId="120">
    <w:name w:val="【华瑞正文】 字符"/>
    <w:link w:val="121"/>
    <w:qFormat/>
    <w:locked/>
    <w:uiPriority w:val="0"/>
    <w:rPr>
      <w:rFonts w:ascii="宋体" w:hAnsi="宋体" w:cs="宋体"/>
      <w:kern w:val="2"/>
      <w:sz w:val="24"/>
    </w:rPr>
  </w:style>
  <w:style w:type="paragraph" w:customStyle="1" w:styleId="121">
    <w:name w:val="【华瑞正文】"/>
    <w:basedOn w:val="1"/>
    <w:link w:val="120"/>
    <w:qFormat/>
    <w:uiPriority w:val="0"/>
    <w:pPr>
      <w:spacing w:line="520" w:lineRule="exact"/>
      <w:ind w:firstLine="200" w:firstLineChars="200"/>
    </w:pPr>
    <w:rPr>
      <w:rFonts w:ascii="宋体" w:hAnsi="宋体" w:cs="宋体"/>
      <w:sz w:val="24"/>
      <w:szCs w:val="20"/>
    </w:rPr>
  </w:style>
  <w:style w:type="paragraph" w:customStyle="1" w:styleId="122">
    <w:name w:val="样式 Times New Roman 五号 居中1"/>
    <w:basedOn w:val="1"/>
    <w:qFormat/>
    <w:uiPriority w:val="0"/>
    <w:pPr>
      <w:jc w:val="center"/>
    </w:pPr>
    <w:rPr>
      <w:rFonts w:ascii="Calibri" w:hAnsi="Calibri" w:cs="宋体"/>
      <w:szCs w:val="20"/>
    </w:rPr>
  </w:style>
  <w:style w:type="character" w:customStyle="1" w:styleId="123">
    <w:name w:val="ref"/>
    <w:qFormat/>
    <w:uiPriority w:val="0"/>
  </w:style>
  <w:style w:type="character" w:customStyle="1" w:styleId="124">
    <w:name w:val="collect-text"/>
    <w:qFormat/>
    <w:uiPriority w:val="0"/>
  </w:style>
  <w:style w:type="character" w:customStyle="1" w:styleId="125">
    <w:name w:val="vote-count"/>
    <w:qFormat/>
    <w:uiPriority w:val="0"/>
  </w:style>
  <w:style w:type="character" w:customStyle="1" w:styleId="126">
    <w:name w:val="share-count"/>
    <w:qFormat/>
    <w:uiPriority w:val="0"/>
  </w:style>
  <w:style w:type="character" w:customStyle="1" w:styleId="127">
    <w:name w:val="lemma-pinyin"/>
    <w:qFormat/>
    <w:uiPriority w:val="0"/>
  </w:style>
  <w:style w:type="character" w:customStyle="1" w:styleId="128">
    <w:name w:val="text"/>
    <w:qFormat/>
    <w:uiPriority w:val="0"/>
  </w:style>
  <w:style w:type="character" w:customStyle="1" w:styleId="129">
    <w:name w:val="num"/>
    <w:qFormat/>
    <w:uiPriority w:val="0"/>
  </w:style>
  <w:style w:type="paragraph" w:customStyle="1" w:styleId="130">
    <w:name w:val="正文段落"/>
    <w:basedOn w:val="1"/>
    <w:qFormat/>
    <w:uiPriority w:val="0"/>
    <w:pPr>
      <w:spacing w:line="520" w:lineRule="exact"/>
      <w:ind w:firstLine="480" w:firstLineChars="200"/>
    </w:pPr>
    <w:rPr>
      <w:sz w:val="24"/>
    </w:rPr>
  </w:style>
  <w:style w:type="paragraph" w:customStyle="1" w:styleId="131">
    <w:name w:val="msonormal"/>
    <w:basedOn w:val="1"/>
    <w:qFormat/>
    <w:uiPriority w:val="0"/>
    <w:pPr>
      <w:widowControl/>
      <w:spacing w:before="100" w:beforeAutospacing="1" w:after="100" w:afterAutospacing="1"/>
      <w:jc w:val="left"/>
    </w:pPr>
    <w:rPr>
      <w:rFonts w:ascii="宋体" w:hAnsi="宋体"/>
      <w:kern w:val="0"/>
      <w:sz w:val="24"/>
    </w:rPr>
  </w:style>
  <w:style w:type="paragraph" w:customStyle="1" w:styleId="132">
    <w:name w:val="默认段落"/>
    <w:basedOn w:val="1"/>
    <w:qFormat/>
    <w:uiPriority w:val="99"/>
  </w:style>
  <w:style w:type="paragraph" w:styleId="133">
    <w:name w:val="List Paragraph"/>
    <w:basedOn w:val="1"/>
    <w:qFormat/>
    <w:uiPriority w:val="0"/>
    <w:pPr>
      <w:ind w:firstLine="420" w:firstLineChars="200"/>
    </w:pPr>
  </w:style>
  <w:style w:type="paragraph" w:customStyle="1" w:styleId="134">
    <w:name w:val="样式2"/>
    <w:basedOn w:val="1"/>
    <w:qFormat/>
    <w:uiPriority w:val="0"/>
    <w:pPr>
      <w:adjustRightInd w:val="0"/>
      <w:snapToGrid w:val="0"/>
      <w:spacing w:line="500" w:lineRule="exact"/>
      <w:jc w:val="center"/>
    </w:pPr>
    <w:rPr>
      <w:rFonts w:ascii="宋体" w:hAnsi="宋体"/>
      <w:b/>
      <w:bCs/>
      <w:sz w:val="24"/>
    </w:rPr>
  </w:style>
  <w:style w:type="paragraph" w:customStyle="1" w:styleId="135">
    <w:name w:val="表格标题新"/>
    <w:basedOn w:val="1"/>
    <w:qFormat/>
    <w:uiPriority w:val="0"/>
    <w:pPr>
      <w:tabs>
        <w:tab w:val="left" w:pos="0"/>
      </w:tabs>
      <w:adjustRightInd w:val="0"/>
      <w:snapToGrid w:val="0"/>
      <w:spacing w:beforeLines="50"/>
      <w:ind w:firstLine="562"/>
      <w:jc w:val="center"/>
    </w:pPr>
    <w:rPr>
      <w:rFonts w:ascii="仿宋_GB2312" w:eastAsia="黑体"/>
      <w:b/>
      <w:kern w:val="21"/>
      <w:sz w:val="24"/>
    </w:rPr>
  </w:style>
  <w:style w:type="character" w:customStyle="1" w:styleId="136">
    <w:name w:val="表、图名 Char"/>
    <w:link w:val="137"/>
    <w:semiHidden/>
    <w:qFormat/>
    <w:locked/>
    <w:uiPriority w:val="0"/>
    <w:rPr>
      <w:rFonts w:ascii="宋体" w:hAnsi="宋体"/>
      <w:b/>
      <w:sz w:val="24"/>
      <w:szCs w:val="24"/>
    </w:rPr>
  </w:style>
  <w:style w:type="paragraph" w:customStyle="1" w:styleId="137">
    <w:name w:val="表、图名"/>
    <w:basedOn w:val="1"/>
    <w:link w:val="136"/>
    <w:semiHidden/>
    <w:qFormat/>
    <w:uiPriority w:val="0"/>
    <w:pPr>
      <w:adjustRightInd w:val="0"/>
      <w:snapToGrid w:val="0"/>
      <w:spacing w:line="360" w:lineRule="auto"/>
      <w:jc w:val="center"/>
    </w:pPr>
    <w:rPr>
      <w:rFonts w:ascii="宋体" w:hAnsi="宋体"/>
      <w:b/>
      <w:kern w:val="0"/>
      <w:sz w:val="24"/>
    </w:rPr>
  </w:style>
  <w:style w:type="paragraph" w:customStyle="1" w:styleId="138">
    <w:name w:val="Char Char Char Char"/>
    <w:basedOn w:val="1"/>
    <w:qFormat/>
    <w:uiPriority w:val="0"/>
    <w:rPr>
      <w:sz w:val="24"/>
    </w:rPr>
  </w:style>
  <w:style w:type="paragraph" w:customStyle="1" w:styleId="139">
    <w:name w:val="Char"/>
    <w:basedOn w:val="1"/>
    <w:next w:val="13"/>
    <w:qFormat/>
    <w:uiPriority w:val="0"/>
    <w:rPr>
      <w:sz w:val="24"/>
    </w:rPr>
  </w:style>
  <w:style w:type="paragraph" w:customStyle="1" w:styleId="140">
    <w:name w:val="表格中文字"/>
    <w:basedOn w:val="1"/>
    <w:qFormat/>
    <w:uiPriority w:val="0"/>
    <w:pPr>
      <w:adjustRightInd w:val="0"/>
      <w:snapToGrid w:val="0"/>
      <w:jc w:val="center"/>
    </w:pPr>
    <w:rPr>
      <w:kern w:val="18"/>
      <w:szCs w:val="21"/>
    </w:rPr>
  </w:style>
  <w:style w:type="paragraph" w:customStyle="1" w:styleId="141">
    <w:name w:val="纯文本1"/>
    <w:basedOn w:val="1"/>
    <w:qFormat/>
    <w:uiPriority w:val="99"/>
    <w:pPr>
      <w:adjustRightInd w:val="0"/>
    </w:pPr>
    <w:rPr>
      <w:rFonts w:ascii="宋体" w:hAnsi="Courier New" w:cs="宋体"/>
    </w:rPr>
  </w:style>
  <w:style w:type="paragraph" w:customStyle="1" w:styleId="142">
    <w:name w:val="2"/>
    <w:basedOn w:val="1"/>
    <w:next w:val="16"/>
    <w:qFormat/>
    <w:uiPriority w:val="0"/>
    <w:rPr>
      <w:rFonts w:ascii="宋体" w:hAnsi="Lucida Console"/>
    </w:rPr>
  </w:style>
  <w:style w:type="paragraph" w:customStyle="1" w:styleId="143">
    <w:name w:val="表内5号居中"/>
    <w:qFormat/>
    <w:uiPriority w:val="0"/>
    <w:pPr>
      <w:widowControl w:val="0"/>
      <w:adjustRightInd w:val="0"/>
      <w:snapToGrid w:val="0"/>
      <w:spacing w:line="540" w:lineRule="exact"/>
      <w:ind w:firstLine="893" w:firstLineChars="425"/>
      <w:jc w:val="both"/>
    </w:pPr>
    <w:rPr>
      <w:rFonts w:ascii="黑体" w:hAnsi="Times New Roman" w:eastAsia="黑体" w:cs="Times New Roman"/>
      <w:kern w:val="2"/>
      <w:sz w:val="21"/>
      <w:szCs w:val="21"/>
      <w:lang w:val="en-US" w:eastAsia="zh-CN" w:bidi="ar-SA"/>
    </w:rPr>
  </w:style>
  <w:style w:type="paragraph" w:customStyle="1" w:styleId="144">
    <w:name w:val="CM2"/>
    <w:basedOn w:val="1"/>
    <w:next w:val="1"/>
    <w:qFormat/>
    <w:uiPriority w:val="0"/>
    <w:pPr>
      <w:autoSpaceDE w:val="0"/>
      <w:autoSpaceDN w:val="0"/>
      <w:adjustRightInd w:val="0"/>
      <w:spacing w:line="363" w:lineRule="atLeast"/>
      <w:jc w:val="left"/>
    </w:pPr>
    <w:rPr>
      <w:rFonts w:ascii="宋体" w:cs="宋体"/>
      <w:kern w:val="0"/>
      <w:sz w:val="24"/>
    </w:rPr>
  </w:style>
  <w:style w:type="paragraph" w:customStyle="1" w:styleId="145">
    <w:name w:val="中文报告书样式"/>
    <w:basedOn w:val="1"/>
    <w:qFormat/>
    <w:uiPriority w:val="0"/>
    <w:pPr>
      <w:adjustRightInd w:val="0"/>
      <w:spacing w:line="480" w:lineRule="atLeast"/>
      <w:ind w:firstLine="482"/>
    </w:pPr>
    <w:rPr>
      <w:kern w:val="24"/>
      <w:sz w:val="24"/>
      <w:szCs w:val="20"/>
    </w:rPr>
  </w:style>
  <w:style w:type="paragraph" w:customStyle="1" w:styleId="146">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147">
    <w:name w:val="正文样式"/>
    <w:basedOn w:val="1"/>
    <w:qFormat/>
    <w:uiPriority w:val="0"/>
    <w:pPr>
      <w:spacing w:line="360" w:lineRule="auto"/>
      <w:ind w:firstLine="480" w:firstLineChars="200"/>
    </w:pPr>
    <w:rPr>
      <w:sz w:val="24"/>
      <w:szCs w:val="20"/>
    </w:rPr>
  </w:style>
  <w:style w:type="character" w:customStyle="1" w:styleId="148">
    <w:name w:val="报告书正文 Char"/>
    <w:link w:val="149"/>
    <w:semiHidden/>
    <w:qFormat/>
    <w:locked/>
    <w:uiPriority w:val="0"/>
    <w:rPr>
      <w:kern w:val="2"/>
      <w:sz w:val="24"/>
      <w:szCs w:val="24"/>
    </w:rPr>
  </w:style>
  <w:style w:type="paragraph" w:customStyle="1" w:styleId="149">
    <w:name w:val="报告书正文"/>
    <w:basedOn w:val="1"/>
    <w:link w:val="148"/>
    <w:qFormat/>
    <w:uiPriority w:val="0"/>
    <w:pPr>
      <w:spacing w:line="360" w:lineRule="auto"/>
      <w:ind w:firstLine="480" w:firstLineChars="200"/>
    </w:pPr>
    <w:rPr>
      <w:sz w:val="24"/>
    </w:rPr>
  </w:style>
  <w:style w:type="character" w:customStyle="1" w:styleId="150">
    <w:name w:val="正文－1.5行距－段后6磅 Char Char"/>
    <w:link w:val="151"/>
    <w:qFormat/>
    <w:locked/>
    <w:uiPriority w:val="0"/>
    <w:rPr>
      <w:rFonts w:ascii="Calibri" w:hAnsi="Calibri" w:cs="Calibri"/>
      <w:kern w:val="2"/>
      <w:sz w:val="24"/>
    </w:rPr>
  </w:style>
  <w:style w:type="paragraph" w:customStyle="1" w:styleId="151">
    <w:name w:val="正文－1.5行距－段后6磅"/>
    <w:basedOn w:val="1"/>
    <w:link w:val="150"/>
    <w:qFormat/>
    <w:uiPriority w:val="0"/>
    <w:pPr>
      <w:spacing w:after="120" w:line="360" w:lineRule="auto"/>
      <w:ind w:firstLine="200" w:firstLineChars="200"/>
    </w:pPr>
    <w:rPr>
      <w:rFonts w:ascii="Calibri" w:hAnsi="Calibri" w:cs="Calibri"/>
      <w:sz w:val="24"/>
      <w:szCs w:val="20"/>
    </w:rPr>
  </w:style>
  <w:style w:type="paragraph" w:customStyle="1" w:styleId="152">
    <w:name w:val="1 Char Char Char Char Char Char Char Char Char Char"/>
    <w:basedOn w:val="1"/>
    <w:qFormat/>
    <w:uiPriority w:val="0"/>
  </w:style>
  <w:style w:type="character" w:customStyle="1" w:styleId="153">
    <w:name w:val="表头1 Char"/>
    <w:link w:val="154"/>
    <w:qFormat/>
    <w:locked/>
    <w:uiPriority w:val="0"/>
    <w:rPr>
      <w:rFonts w:ascii="黑体" w:hAnsi="黑体" w:eastAsia="黑体"/>
      <w:sz w:val="21"/>
      <w:szCs w:val="28"/>
    </w:rPr>
  </w:style>
  <w:style w:type="paragraph" w:customStyle="1" w:styleId="154">
    <w:name w:val="表头1"/>
    <w:basedOn w:val="1"/>
    <w:next w:val="1"/>
    <w:link w:val="153"/>
    <w:qFormat/>
    <w:uiPriority w:val="0"/>
    <w:pPr>
      <w:tabs>
        <w:tab w:val="left" w:pos="605"/>
      </w:tabs>
      <w:adjustRightInd w:val="0"/>
      <w:snapToGrid w:val="0"/>
      <w:jc w:val="center"/>
    </w:pPr>
    <w:rPr>
      <w:rFonts w:ascii="黑体" w:hAnsi="黑体" w:eastAsia="黑体"/>
      <w:kern w:val="0"/>
      <w:szCs w:val="28"/>
    </w:rPr>
  </w:style>
  <w:style w:type="paragraph" w:customStyle="1" w:styleId="155">
    <w:name w:val="表格内容自定"/>
    <w:basedOn w:val="1"/>
    <w:qFormat/>
    <w:uiPriority w:val="0"/>
    <w:pPr>
      <w:spacing w:line="280" w:lineRule="exact"/>
      <w:jc w:val="center"/>
    </w:pPr>
    <w:rPr>
      <w:kern w:val="0"/>
      <w:sz w:val="18"/>
      <w:szCs w:val="21"/>
    </w:rPr>
  </w:style>
  <w:style w:type="paragraph" w:customStyle="1" w:styleId="156">
    <w:name w:val="三级标题"/>
    <w:basedOn w:val="1"/>
    <w:next w:val="31"/>
    <w:qFormat/>
    <w:uiPriority w:val="0"/>
    <w:pPr>
      <w:spacing w:line="440" w:lineRule="exact"/>
      <w:jc w:val="center"/>
    </w:pPr>
    <w:rPr>
      <w:w w:val="90"/>
      <w:sz w:val="24"/>
    </w:rPr>
  </w:style>
  <w:style w:type="paragraph" w:customStyle="1" w:styleId="157">
    <w:name w:val="hao01-图"/>
    <w:qFormat/>
    <w:uiPriority w:val="0"/>
    <w:pPr>
      <w:jc w:val="both"/>
    </w:pPr>
    <w:rPr>
      <w:rFonts w:ascii="宋体" w:hAnsi="Times New Roman" w:eastAsia="宋体" w:cs="Times New Roman"/>
      <w:kern w:val="2"/>
      <w:sz w:val="21"/>
      <w:lang w:val="en-US" w:eastAsia="zh-CN" w:bidi="ar-SA"/>
    </w:rPr>
  </w:style>
  <w:style w:type="character" w:customStyle="1" w:styleId="158">
    <w:name w:val="表头 Char"/>
    <w:qFormat/>
    <w:locked/>
    <w:uiPriority w:val="0"/>
    <w:rPr>
      <w:rFonts w:ascii="宋体" w:hAnsi="宋体"/>
      <w:spacing w:val="6"/>
      <w:kern w:val="2"/>
      <w:position w:val="10"/>
      <w:sz w:val="24"/>
      <w:szCs w:val="24"/>
    </w:rPr>
  </w:style>
  <w:style w:type="character" w:customStyle="1" w:styleId="159">
    <w:name w:val="正文1 Char"/>
    <w:link w:val="160"/>
    <w:qFormat/>
    <w:locked/>
    <w:uiPriority w:val="0"/>
    <w:rPr>
      <w:kern w:val="2"/>
      <w:sz w:val="24"/>
      <w:szCs w:val="24"/>
    </w:rPr>
  </w:style>
  <w:style w:type="paragraph" w:customStyle="1" w:styleId="160">
    <w:name w:val="正文1"/>
    <w:basedOn w:val="1"/>
    <w:link w:val="159"/>
    <w:qFormat/>
    <w:uiPriority w:val="0"/>
    <w:pPr>
      <w:spacing w:line="560" w:lineRule="exact"/>
      <w:ind w:firstLine="480" w:firstLineChars="200"/>
    </w:pPr>
    <w:rPr>
      <w:sz w:val="24"/>
    </w:rPr>
  </w:style>
  <w:style w:type="paragraph" w:customStyle="1" w:styleId="161">
    <w:name w:val="表"/>
    <w:basedOn w:val="1"/>
    <w:qFormat/>
    <w:uiPriority w:val="0"/>
    <w:pPr>
      <w:snapToGrid w:val="0"/>
      <w:jc w:val="center"/>
    </w:pPr>
    <w:rPr>
      <w:spacing w:val="2"/>
      <w:szCs w:val="20"/>
    </w:rPr>
  </w:style>
  <w:style w:type="paragraph" w:customStyle="1" w:styleId="162">
    <w:name w:val="报告表格"/>
    <w:basedOn w:val="1"/>
    <w:qFormat/>
    <w:uiPriority w:val="0"/>
    <w:pPr>
      <w:autoSpaceDE w:val="0"/>
      <w:autoSpaceDN w:val="0"/>
      <w:adjustRightInd w:val="0"/>
      <w:spacing w:before="40" w:after="40"/>
      <w:jc w:val="center"/>
    </w:pPr>
    <w:rPr>
      <w:kern w:val="0"/>
      <w:szCs w:val="20"/>
    </w:rPr>
  </w:style>
  <w:style w:type="paragraph" w:customStyle="1" w:styleId="163">
    <w:name w:val="表格式"/>
    <w:basedOn w:val="22"/>
    <w:qFormat/>
    <w:uiPriority w:val="0"/>
    <w:pPr>
      <w:spacing w:beforeLines="50" w:afterLines="50" w:line="200" w:lineRule="exact"/>
      <w:ind w:left="0" w:firstLine="0" w:firstLineChars="0"/>
      <w:jc w:val="center"/>
    </w:pPr>
    <w:rPr>
      <w:szCs w:val="20"/>
    </w:rPr>
  </w:style>
  <w:style w:type="paragraph" w:customStyle="1" w:styleId="164">
    <w:name w:val="图文框"/>
    <w:basedOn w:val="1"/>
    <w:qFormat/>
    <w:uiPriority w:val="0"/>
    <w:pPr>
      <w:widowControl/>
      <w:ind w:left="56" w:leftChars="-45" w:right="-67" w:rightChars="-28" w:hanging="164" w:hangingChars="78"/>
      <w:jc w:val="center"/>
    </w:pPr>
    <w:rPr>
      <w:rFonts w:ascii="宋体" w:hAnsi="宋体"/>
      <w:kern w:val="0"/>
      <w:szCs w:val="20"/>
    </w:rPr>
  </w:style>
  <w:style w:type="paragraph" w:customStyle="1" w:styleId="165">
    <w:name w:val="zxz5"/>
    <w:next w:val="1"/>
    <w:qFormat/>
    <w:uiPriority w:val="0"/>
    <w:pPr>
      <w:tabs>
        <w:tab w:val="left" w:pos="0"/>
      </w:tabs>
      <w:jc w:val="center"/>
    </w:pPr>
    <w:rPr>
      <w:rFonts w:ascii="Times New Roman" w:hAnsi="Times New Roman" w:eastAsia="宋体" w:cs="Times New Roman"/>
      <w:lang w:val="en-US" w:eastAsia="zh-CN" w:bidi="ar-SA"/>
    </w:rPr>
  </w:style>
  <w:style w:type="paragraph" w:customStyle="1" w:styleId="166">
    <w:name w:val="D正文"/>
    <w:basedOn w:val="1"/>
    <w:qFormat/>
    <w:uiPriority w:val="0"/>
    <w:pPr>
      <w:spacing w:line="324" w:lineRule="auto"/>
      <w:ind w:firstLine="200" w:firstLineChars="200"/>
    </w:pPr>
    <w:rPr>
      <w:rFonts w:ascii="Calibri" w:hAnsi="Calibri"/>
      <w:sz w:val="24"/>
      <w:szCs w:val="22"/>
    </w:rPr>
  </w:style>
  <w:style w:type="paragraph" w:customStyle="1" w:styleId="167">
    <w:name w:val="表的标题"/>
    <w:basedOn w:val="1"/>
    <w:next w:val="1"/>
    <w:qFormat/>
    <w:uiPriority w:val="0"/>
    <w:pPr>
      <w:adjustRightInd w:val="0"/>
      <w:snapToGrid w:val="0"/>
      <w:spacing w:beforeLines="50"/>
      <w:jc w:val="center"/>
    </w:pPr>
    <w:rPr>
      <w:rFonts w:eastAsia="黑体"/>
      <w:sz w:val="24"/>
    </w:rPr>
  </w:style>
  <w:style w:type="paragraph" w:customStyle="1" w:styleId="168">
    <w:name w:val="默认段落字体 Para Char Char Char Char Char Char Char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169">
    <w:name w:val="Char Char Char Char Char Char1 Char"/>
    <w:basedOn w:val="1"/>
    <w:qFormat/>
    <w:uiPriority w:val="0"/>
    <w:pPr>
      <w:spacing w:line="360" w:lineRule="auto"/>
    </w:pPr>
    <w:rPr>
      <w:sz w:val="24"/>
    </w:rPr>
  </w:style>
  <w:style w:type="paragraph" w:customStyle="1" w:styleId="17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1">
    <w:name w:val="默认段落字体 Para Char Char Char Char"/>
    <w:basedOn w:val="1"/>
    <w:qFormat/>
    <w:uiPriority w:val="0"/>
    <w:rPr>
      <w:sz w:val="24"/>
    </w:rPr>
  </w:style>
  <w:style w:type="paragraph" w:customStyle="1" w:styleId="172">
    <w:name w:val="Char Char Char Char Char Char Char"/>
    <w:basedOn w:val="1"/>
    <w:qFormat/>
    <w:uiPriority w:val="0"/>
    <w:pPr>
      <w:adjustRightInd w:val="0"/>
      <w:spacing w:line="360" w:lineRule="auto"/>
    </w:pPr>
    <w:rPr>
      <w:kern w:val="0"/>
      <w:sz w:val="24"/>
      <w:szCs w:val="20"/>
    </w:rPr>
  </w:style>
  <w:style w:type="paragraph" w:customStyle="1" w:styleId="173">
    <w:name w:val="样式35"/>
    <w:basedOn w:val="1"/>
    <w:qFormat/>
    <w:uiPriority w:val="0"/>
    <w:pPr>
      <w:adjustRightInd w:val="0"/>
      <w:spacing w:line="312" w:lineRule="auto"/>
      <w:ind w:firstLine="567"/>
    </w:pPr>
    <w:rPr>
      <w:rFonts w:ascii="宋体"/>
      <w:kern w:val="0"/>
      <w:sz w:val="28"/>
      <w:szCs w:val="20"/>
    </w:rPr>
  </w:style>
  <w:style w:type="character" w:customStyle="1" w:styleId="174">
    <w:name w:val="文本 Char"/>
    <w:link w:val="175"/>
    <w:qFormat/>
    <w:locked/>
    <w:uiPriority w:val="0"/>
    <w:rPr>
      <w:kern w:val="2"/>
      <w:sz w:val="24"/>
      <w:szCs w:val="24"/>
    </w:rPr>
  </w:style>
  <w:style w:type="paragraph" w:customStyle="1" w:styleId="175">
    <w:name w:val="文本"/>
    <w:basedOn w:val="1"/>
    <w:link w:val="174"/>
    <w:qFormat/>
    <w:uiPriority w:val="0"/>
    <w:pPr>
      <w:adjustRightInd w:val="0"/>
      <w:snapToGrid w:val="0"/>
      <w:spacing w:line="360" w:lineRule="auto"/>
      <w:ind w:firstLine="1446" w:firstLineChars="200"/>
    </w:pPr>
    <w:rPr>
      <w:sz w:val="24"/>
    </w:rPr>
  </w:style>
  <w:style w:type="paragraph" w:customStyle="1" w:styleId="176">
    <w:name w:val="T表格"/>
    <w:qFormat/>
    <w:uiPriority w:val="0"/>
    <w:pPr>
      <w:jc w:val="center"/>
    </w:pPr>
    <w:rPr>
      <w:rFonts w:ascii="Times New Roman" w:hAnsi="Times New Roman" w:eastAsia="宋体" w:cs="Times New Roman"/>
      <w:sz w:val="21"/>
      <w:lang w:val="en-US" w:eastAsia="zh-CN" w:bidi="ar-SA"/>
    </w:rPr>
  </w:style>
  <w:style w:type="paragraph" w:customStyle="1" w:styleId="177">
    <w:name w:val="报告书表格"/>
    <w:basedOn w:val="1"/>
    <w:qFormat/>
    <w:uiPriority w:val="0"/>
    <w:pPr>
      <w:adjustRightInd w:val="0"/>
      <w:spacing w:line="240" w:lineRule="atLeast"/>
      <w:jc w:val="center"/>
    </w:pPr>
    <w:rPr>
      <w:kern w:val="0"/>
      <w:sz w:val="24"/>
      <w:szCs w:val="20"/>
    </w:rPr>
  </w:style>
  <w:style w:type="paragraph" w:customStyle="1" w:styleId="178">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79">
    <w:name w:val="xl22"/>
    <w:basedOn w:val="1"/>
    <w:qFormat/>
    <w:uiPriority w:val="0"/>
    <w:pPr>
      <w:widowControl/>
      <w:spacing w:before="100" w:after="100"/>
      <w:jc w:val="center"/>
    </w:pPr>
    <w:rPr>
      <w:kern w:val="0"/>
      <w:sz w:val="24"/>
    </w:rPr>
  </w:style>
  <w:style w:type="paragraph" w:customStyle="1" w:styleId="180">
    <w:name w:val="样式 正文 首行缩进:  2 字符 + 首行缩进:  2 字符"/>
    <w:basedOn w:val="1"/>
    <w:qFormat/>
    <w:uiPriority w:val="0"/>
    <w:pPr>
      <w:spacing w:line="520" w:lineRule="exact"/>
      <w:ind w:firstLine="420" w:firstLineChars="150"/>
    </w:pPr>
    <w:rPr>
      <w:rFonts w:ascii="仿宋_GB2312" w:eastAsia="仿宋_GB2312"/>
      <w:bCs/>
      <w:w w:val="80"/>
      <w:sz w:val="28"/>
      <w:szCs w:val="28"/>
    </w:rPr>
  </w:style>
  <w:style w:type="character" w:customStyle="1" w:styleId="181">
    <w:name w:val="正文(首行缩进) Char"/>
    <w:link w:val="182"/>
    <w:qFormat/>
    <w:locked/>
    <w:uiPriority w:val="0"/>
    <w:rPr>
      <w:sz w:val="24"/>
      <w:szCs w:val="24"/>
    </w:rPr>
  </w:style>
  <w:style w:type="paragraph" w:customStyle="1" w:styleId="182">
    <w:name w:val="正文(首行缩进)"/>
    <w:basedOn w:val="1"/>
    <w:link w:val="181"/>
    <w:qFormat/>
    <w:uiPriority w:val="0"/>
    <w:pPr>
      <w:adjustRightInd w:val="0"/>
      <w:snapToGrid w:val="0"/>
      <w:spacing w:line="360" w:lineRule="auto"/>
      <w:ind w:firstLine="200" w:firstLineChars="200"/>
    </w:pPr>
    <w:rPr>
      <w:kern w:val="0"/>
      <w:sz w:val="24"/>
    </w:rPr>
  </w:style>
  <w:style w:type="paragraph" w:customStyle="1" w:styleId="183">
    <w:name w:val="xl29"/>
    <w:basedOn w:val="1"/>
    <w:qFormat/>
    <w:uiPriority w:val="0"/>
    <w:pPr>
      <w:widowControl/>
      <w:pBdr>
        <w:bottom w:val="single" w:color="auto" w:sz="4" w:space="0"/>
        <w:right w:val="single" w:color="auto" w:sz="8" w:space="0"/>
      </w:pBdr>
      <w:spacing w:before="100" w:beforeAutospacing="1" w:after="100" w:afterAutospacing="1"/>
      <w:jc w:val="center"/>
    </w:pPr>
    <w:rPr>
      <w:kern w:val="0"/>
      <w:szCs w:val="21"/>
    </w:rPr>
  </w:style>
  <w:style w:type="paragraph" w:customStyle="1" w:styleId="184">
    <w:name w:val="表格 32"/>
    <w:basedOn w:val="1"/>
    <w:qFormat/>
    <w:uiPriority w:val="0"/>
    <w:pPr>
      <w:autoSpaceDE w:val="0"/>
      <w:autoSpaceDN w:val="0"/>
      <w:adjustRightInd w:val="0"/>
      <w:spacing w:line="240" w:lineRule="atLeast"/>
      <w:jc w:val="center"/>
    </w:pPr>
    <w:rPr>
      <w:kern w:val="0"/>
      <w:sz w:val="24"/>
    </w:rPr>
  </w:style>
  <w:style w:type="paragraph" w:customStyle="1" w:styleId="185">
    <w:name w:val="样式 标题 3 + 宋体 小四"/>
    <w:basedOn w:val="5"/>
    <w:qFormat/>
    <w:uiPriority w:val="0"/>
    <w:pPr>
      <w:keepLines w:val="0"/>
      <w:spacing w:before="0" w:after="0" w:line="360" w:lineRule="auto"/>
      <w:ind w:right="-105" w:rightChars="-50" w:firstLine="482" w:firstLineChars="100"/>
      <w:jc w:val="center"/>
      <w:outlineLvl w:val="9"/>
    </w:pPr>
    <w:rPr>
      <w:rFonts w:ascii="Calibri" w:hAnsi="Calibri"/>
      <w:b w:val="0"/>
      <w:w w:val="90"/>
      <w:kern w:val="0"/>
      <w:sz w:val="24"/>
    </w:rPr>
  </w:style>
  <w:style w:type="character" w:customStyle="1" w:styleId="186">
    <w:name w:val="报告 Char"/>
    <w:link w:val="187"/>
    <w:qFormat/>
    <w:locked/>
    <w:uiPriority w:val="0"/>
    <w:rPr>
      <w:sz w:val="24"/>
    </w:rPr>
  </w:style>
  <w:style w:type="paragraph" w:customStyle="1" w:styleId="187">
    <w:name w:val="报告"/>
    <w:basedOn w:val="1"/>
    <w:link w:val="186"/>
    <w:qFormat/>
    <w:uiPriority w:val="0"/>
    <w:pPr>
      <w:adjustRightInd w:val="0"/>
      <w:spacing w:line="360" w:lineRule="auto"/>
      <w:ind w:firstLine="505"/>
      <w:jc w:val="left"/>
    </w:pPr>
    <w:rPr>
      <w:kern w:val="0"/>
      <w:sz w:val="24"/>
      <w:szCs w:val="20"/>
    </w:rPr>
  </w:style>
  <w:style w:type="paragraph" w:customStyle="1" w:styleId="188">
    <w:name w:val="样式3"/>
    <w:basedOn w:val="1"/>
    <w:qFormat/>
    <w:uiPriority w:val="0"/>
    <w:pPr>
      <w:autoSpaceDE w:val="0"/>
      <w:autoSpaceDN w:val="0"/>
      <w:snapToGrid w:val="0"/>
      <w:spacing w:before="120" w:line="460" w:lineRule="atLeast"/>
      <w:jc w:val="center"/>
    </w:pPr>
    <w:rPr>
      <w:rFonts w:eastAsia="黑体"/>
      <w:sz w:val="28"/>
    </w:rPr>
  </w:style>
  <w:style w:type="paragraph" w:customStyle="1" w:styleId="189">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90">
    <w:name w:val="图文"/>
    <w:basedOn w:val="1"/>
    <w:qFormat/>
    <w:uiPriority w:val="0"/>
    <w:pPr>
      <w:jc w:val="center"/>
    </w:pPr>
  </w:style>
  <w:style w:type="paragraph" w:customStyle="1" w:styleId="191">
    <w:name w:val="hao01-0"/>
    <w:qFormat/>
    <w:uiPriority w:val="0"/>
    <w:pPr>
      <w:ind w:firstLine="200" w:firstLineChars="200"/>
    </w:pPr>
    <w:rPr>
      <w:rFonts w:ascii="Times New Roman" w:hAnsi="Times New Roman" w:eastAsia="宋体" w:cs="Times New Roman"/>
      <w:kern w:val="2"/>
      <w:sz w:val="24"/>
      <w:lang w:val="en-US" w:eastAsia="zh-CN" w:bidi="ar-SA"/>
    </w:rPr>
  </w:style>
  <w:style w:type="paragraph" w:customStyle="1" w:styleId="192">
    <w:name w:val="默认段落字体 Para Char"/>
    <w:basedOn w:val="1"/>
    <w:qFormat/>
    <w:uiPriority w:val="0"/>
    <w:rPr>
      <w:sz w:val="24"/>
    </w:rPr>
  </w:style>
  <w:style w:type="character" w:customStyle="1" w:styleId="193">
    <w:name w:val="font111"/>
    <w:qFormat/>
    <w:uiPriority w:val="0"/>
    <w:rPr>
      <w:rFonts w:hint="eastAsia" w:ascii="宋体" w:hAnsi="宋体" w:eastAsia="宋体"/>
      <w:b/>
      <w:bCs/>
      <w:color w:val="426196"/>
      <w:sz w:val="28"/>
      <w:szCs w:val="28"/>
    </w:rPr>
  </w:style>
  <w:style w:type="character" w:customStyle="1" w:styleId="194">
    <w:name w:val="表内文字 Char Char"/>
    <w:qFormat/>
    <w:uiPriority w:val="0"/>
    <w:rPr>
      <w:rFonts w:hint="eastAsia" w:ascii="宋体" w:hAnsi="Courier New" w:eastAsia="宋体" w:cs="Courier New"/>
      <w:kern w:val="2"/>
      <w:sz w:val="21"/>
      <w:szCs w:val="21"/>
      <w:lang w:val="en-US" w:eastAsia="zh-CN" w:bidi="ar-SA"/>
    </w:rPr>
  </w:style>
  <w:style w:type="character" w:customStyle="1" w:styleId="195">
    <w:name w:val="apple-style-span"/>
    <w:qFormat/>
    <w:uiPriority w:val="0"/>
  </w:style>
  <w:style w:type="character" w:customStyle="1" w:styleId="196">
    <w:name w:val="t_tag"/>
    <w:qFormat/>
    <w:uiPriority w:val="0"/>
  </w:style>
  <w:style w:type="character" w:customStyle="1" w:styleId="197">
    <w:name w:val="ddd"/>
    <w:qFormat/>
    <w:uiPriority w:val="0"/>
  </w:style>
  <w:style w:type="character" w:customStyle="1" w:styleId="198">
    <w:name w:val="正文文本缩进 2 Char"/>
    <w:qFormat/>
    <w:uiPriority w:val="0"/>
    <w:rPr>
      <w:rFonts w:hint="eastAsia" w:ascii="宋体" w:hAnsi="宋体" w:eastAsia="宋体"/>
      <w:kern w:val="2"/>
      <w:sz w:val="28"/>
      <w:szCs w:val="24"/>
      <w:lang w:val="en-US" w:eastAsia="zh-CN" w:bidi="ar-SA"/>
    </w:rPr>
  </w:style>
  <w:style w:type="character" w:customStyle="1" w:styleId="199">
    <w:name w:val="postbody1"/>
    <w:qFormat/>
    <w:uiPriority w:val="0"/>
    <w:rPr>
      <w:sz w:val="21"/>
      <w:szCs w:val="21"/>
    </w:rPr>
  </w:style>
  <w:style w:type="character" w:customStyle="1" w:styleId="200">
    <w:name w:val="表格 Char Char"/>
    <w:qFormat/>
    <w:locked/>
    <w:uiPriority w:val="0"/>
    <w:rPr>
      <w:rFonts w:hint="eastAsia" w:ascii="黑体" w:hAnsi="黑体" w:eastAsia="黑体" w:cs="Times New Roman"/>
      <w:kern w:val="2"/>
      <w:sz w:val="21"/>
      <w:szCs w:val="24"/>
    </w:rPr>
  </w:style>
  <w:style w:type="character" w:customStyle="1" w:styleId="201">
    <w:name w:val="body21"/>
    <w:qFormat/>
    <w:uiPriority w:val="0"/>
    <w:rPr>
      <w:rFonts w:hint="eastAsia" w:ascii="宋体" w:hAnsi="宋体" w:eastAsia="宋体"/>
      <w:color w:val="006666"/>
      <w:sz w:val="27"/>
      <w:szCs w:val="27"/>
    </w:rPr>
  </w:style>
  <w:style w:type="character" w:customStyle="1" w:styleId="202">
    <w:name w:val="普通文字 Char Char Char Char Char Char1"/>
    <w:qFormat/>
    <w:uiPriority w:val="0"/>
    <w:rPr>
      <w:rFonts w:hint="eastAsia" w:ascii="宋体" w:hAnsi="Courier New" w:eastAsia="宋体" w:cs="Courier New"/>
      <w:kern w:val="2"/>
      <w:sz w:val="21"/>
      <w:szCs w:val="21"/>
      <w:lang w:val="en-US" w:eastAsia="zh-CN" w:bidi="ar-SA"/>
    </w:rPr>
  </w:style>
  <w:style w:type="character" w:customStyle="1" w:styleId="203">
    <w:name w:val="wz1"/>
    <w:qFormat/>
    <w:uiPriority w:val="0"/>
  </w:style>
  <w:style w:type="character" w:customStyle="1" w:styleId="204">
    <w:name w:val="style10"/>
    <w:qFormat/>
    <w:uiPriority w:val="0"/>
  </w:style>
  <w:style w:type="table" w:customStyle="1" w:styleId="205">
    <w:name w:val="左右无边表格"/>
    <w:basedOn w:val="32"/>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206">
    <w:name w:val="无左右边框型"/>
    <w:basedOn w:val="33"/>
    <w:qFormat/>
    <w:uiPriority w:val="0"/>
    <w:pPr>
      <w:widowControl w:val="0"/>
      <w:jc w:val="both"/>
    </w:pPr>
  </w:style>
  <w:style w:type="paragraph" w:customStyle="1" w:styleId="207">
    <w:name w:val="表格名称"/>
    <w:basedOn w:val="73"/>
    <w:qFormat/>
    <w:uiPriority w:val="0"/>
    <w:pPr>
      <w:spacing w:beforeLines="0" w:afterLines="0" w:line="240" w:lineRule="atLeast"/>
    </w:pPr>
    <w:rPr>
      <w:rFonts w:hint="eastAsia" w:ascii="仿宋_GB2312" w:eastAsia="仿宋_GB2312"/>
      <w:b/>
      <w:kern w:val="2"/>
      <w:sz w:val="24"/>
    </w:rPr>
  </w:style>
  <w:style w:type="character" w:customStyle="1" w:styleId="208">
    <w:name w:val="样式 样式 样式 样式 首行缩进:  1 字符 + 首行缩进:  2 字符2 + 首行缩进:  2 字符 + Char"/>
    <w:qFormat/>
    <w:uiPriority w:val="99"/>
    <w:rPr>
      <w:rFonts w:eastAsia="Times New Roman"/>
      <w:sz w:val="24"/>
      <w:szCs w:val="24"/>
      <w:lang w:val="en-US" w:eastAsia="zh-CN"/>
    </w:rPr>
  </w:style>
  <w:style w:type="paragraph" w:customStyle="1" w:styleId="209">
    <w:name w:val="样式 样式 样式 首行缩进:  1 字符 + 首行缩进:  2 字符1 + 首行缩进:  2 字符2"/>
    <w:basedOn w:val="1"/>
    <w:qFormat/>
    <w:uiPriority w:val="0"/>
    <w:pPr>
      <w:spacing w:line="360" w:lineRule="auto"/>
      <w:ind w:firstLine="480" w:firstLineChars="200"/>
    </w:pPr>
    <w:rPr>
      <w:rFonts w:ascii="宋体" w:hAnsi="宋体" w:cs="宋体"/>
      <w:sz w:val="24"/>
    </w:rPr>
  </w:style>
  <w:style w:type="character" w:customStyle="1" w:styleId="210">
    <w:name w:val="样式 样式 样式 首行缩进:  1 字符 + 首行缩进:  2 字符2 + 首行缩进:  2 字符 Char Char"/>
    <w:link w:val="211"/>
    <w:qFormat/>
    <w:locked/>
    <w:uiPriority w:val="0"/>
    <w:rPr>
      <w:rFonts w:ascii="宋体" w:hAnsi="宋体" w:eastAsia="Times New Roman" w:cs="宋体"/>
      <w:sz w:val="24"/>
      <w:szCs w:val="24"/>
    </w:rPr>
  </w:style>
  <w:style w:type="paragraph" w:customStyle="1" w:styleId="211">
    <w:name w:val="样式 样式 样式 首行缩进:  1 字符 + 首行缩进:  2 字符2 + 首行缩进:  2 字符"/>
    <w:basedOn w:val="1"/>
    <w:link w:val="210"/>
    <w:qFormat/>
    <w:uiPriority w:val="0"/>
    <w:pPr>
      <w:spacing w:line="360" w:lineRule="auto"/>
      <w:ind w:firstLine="480" w:firstLineChars="200"/>
    </w:pPr>
    <w:rPr>
      <w:rFonts w:ascii="宋体" w:hAnsi="宋体" w:eastAsia="Times New Roman" w:cs="宋体"/>
      <w:kern w:val="0"/>
      <w:sz w:val="24"/>
    </w:rPr>
  </w:style>
  <w:style w:type="character" w:customStyle="1" w:styleId="212">
    <w:name w:val="htd01"/>
    <w:qFormat/>
    <w:uiPriority w:val="0"/>
  </w:style>
  <w:style w:type="paragraph" w:customStyle="1" w:styleId="213">
    <w:name w:val="样式 表格内文字格式 + 四号 加粗 首行缩进:  2 字符"/>
    <w:basedOn w:val="1"/>
    <w:qFormat/>
    <w:uiPriority w:val="0"/>
    <w:pPr>
      <w:widowControl/>
      <w:spacing w:line="360" w:lineRule="auto"/>
      <w:ind w:right="-55" w:firstLine="517" w:firstLineChars="158"/>
      <w:jc w:val="left"/>
    </w:pPr>
    <w:rPr>
      <w:rFonts w:ascii="宋体" w:hAnsi="宋体" w:cs="宋体"/>
      <w:b/>
      <w:bCs/>
      <w:spacing w:val="80"/>
      <w:sz w:val="28"/>
      <w:szCs w:val="20"/>
    </w:rPr>
  </w:style>
  <w:style w:type="character" w:customStyle="1" w:styleId="214">
    <w:name w:val="Default Char Char"/>
    <w:link w:val="95"/>
    <w:qFormat/>
    <w:uiPriority w:val="0"/>
    <w:rPr>
      <w:rFonts w:ascii="宋体" w:cs="宋体"/>
      <w:color w:val="000000"/>
      <w:sz w:val="24"/>
      <w:szCs w:val="24"/>
    </w:rPr>
  </w:style>
  <w:style w:type="paragraph" w:customStyle="1" w:styleId="215">
    <w:name w:val="2表中文字"/>
    <w:qFormat/>
    <w:uiPriority w:val="0"/>
    <w:pPr>
      <w:jc w:val="center"/>
    </w:pPr>
    <w:rPr>
      <w:rFonts w:ascii="Times New Roman" w:hAnsi="Times New Roman" w:eastAsia="宋体" w:cs="Times New Roman"/>
      <w:kern w:val="2"/>
      <w:sz w:val="21"/>
      <w:szCs w:val="21"/>
      <w:lang w:val="en-US" w:eastAsia="zh-CN" w:bidi="ar-SA"/>
    </w:rPr>
  </w:style>
  <w:style w:type="paragraph" w:customStyle="1" w:styleId="216">
    <w:name w:val="正文缩进1"/>
    <w:basedOn w:val="1"/>
    <w:qFormat/>
    <w:uiPriority w:val="0"/>
    <w:pPr>
      <w:spacing w:line="520" w:lineRule="exact"/>
      <w:ind w:firstLine="624"/>
    </w:pPr>
    <w:rPr>
      <w:sz w:val="28"/>
    </w:rPr>
  </w:style>
  <w:style w:type="paragraph" w:customStyle="1" w:styleId="217">
    <w:name w:val="TOC 标题1"/>
    <w:basedOn w:val="3"/>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E74B5"/>
      <w:kern w:val="0"/>
      <w:sz w:val="32"/>
      <w:szCs w:val="32"/>
    </w:rPr>
  </w:style>
  <w:style w:type="paragraph" w:customStyle="1" w:styleId="218">
    <w:name w:val="- 页码 -"/>
    <w:qFormat/>
    <w:uiPriority w:val="0"/>
    <w:pPr>
      <w:widowControl w:val="0"/>
      <w:spacing w:line="360" w:lineRule="auto"/>
      <w:ind w:firstLine="200" w:firstLineChars="200"/>
      <w:jc w:val="both"/>
    </w:pPr>
    <w:rPr>
      <w:rFonts w:ascii="Calibri" w:hAnsi="Calibri" w:eastAsia="宋体" w:cs="Times New Roman"/>
      <w:kern w:val="2"/>
      <w:sz w:val="24"/>
      <w:lang w:val="en-US" w:eastAsia="zh-CN" w:bidi="ar-SA"/>
    </w:rPr>
  </w:style>
  <w:style w:type="paragraph" w:customStyle="1" w:styleId="219">
    <w:name w:val="..正文"/>
    <w:basedOn w:val="1"/>
    <w:qFormat/>
    <w:uiPriority w:val="0"/>
    <w:pPr>
      <w:spacing w:line="520" w:lineRule="exact"/>
      <w:ind w:firstLine="200" w:firstLineChars="200"/>
    </w:pPr>
    <w:rPr>
      <w:kern w:val="0"/>
      <w:sz w:val="24"/>
    </w:rPr>
  </w:style>
  <w:style w:type="paragraph" w:customStyle="1" w:styleId="220">
    <w:name w:val="样式 黑体 居中 行距: 1.5 倍行距"/>
    <w:basedOn w:val="1"/>
    <w:autoRedefine/>
    <w:qFormat/>
    <w:uiPriority w:val="0"/>
    <w:pPr>
      <w:spacing w:line="360" w:lineRule="auto"/>
      <w:jc w:val="center"/>
    </w:pPr>
    <w:rPr>
      <w:rFonts w:hint="eastAsia" w:ascii="黑体" w:hAnsi="黑体" w:eastAsia="黑体"/>
      <w:kern w:val="0"/>
      <w:sz w:val="24"/>
      <w:szCs w:val="20"/>
    </w:rPr>
  </w:style>
  <w:style w:type="paragraph" w:customStyle="1" w:styleId="221">
    <w:name w:val="正文标准"/>
    <w:basedOn w:val="1"/>
    <w:autoRedefine/>
    <w:qFormat/>
    <w:uiPriority w:val="0"/>
    <w:pPr>
      <w:ind w:firstLine="560" w:firstLineChars="200"/>
    </w:pPr>
    <w:rPr>
      <w:rFonts w:ascii="宋体" w:hAnsi="宋体"/>
      <w:sz w:val="28"/>
    </w:rPr>
  </w:style>
  <w:style w:type="paragraph" w:customStyle="1" w:styleId="222">
    <w:name w:val="我的正文"/>
    <w:basedOn w:val="1"/>
    <w:autoRedefine/>
    <w:qFormat/>
    <w:uiPriority w:val="0"/>
    <w:pPr>
      <w:adjustRightInd w:val="0"/>
      <w:snapToGrid w:val="0"/>
      <w:spacing w:line="480" w:lineRule="exact"/>
      <w:ind w:firstLine="720" w:firstLineChars="200"/>
      <w:jc w:val="left"/>
    </w:pPr>
    <w:rPr>
      <w:rFonts w:cs="宋体"/>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288ca8ac-e5fb-4a07-9ee6-4d5929ced951</errorID>
      <errorWord xmlns="http://schemas.wps.cn/vas-ai-hub/contract-review">.</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年</item>
      </candidateList>
      <explain xmlns="http://schemas.wps.cn/vas-ai-hub/contract-review"/>
      <paraID xmlns="http://schemas.wps.cn/vas-ai-hub/contract-review">5AC8C177</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42f8f0cd-5ea6-44ac-815e-4dde5d7beeeb</errorID>
      <errorWord xmlns="http://schemas.wps.cn/vas-ai-hub/contract-review">-</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月-</item>
      </candidateList>
      <explain xmlns="http://schemas.wps.cn/vas-ai-hub/contract-review"/>
      <paraID xmlns="http://schemas.wps.cn/vas-ai-hub/contract-review">5AC8C177</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c98a2c39-7c71-4547-8bc5-80bca3ede3fa</errorID>
      <errorWord xmlns="http://schemas.wps.cn/vas-ai-hub/contract-review">.</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年</item>
      </candidateList>
      <explain xmlns="http://schemas.wps.cn/vas-ai-hub/contract-review"/>
      <paraID xmlns="http://schemas.wps.cn/vas-ai-hub/contract-review">5AC8C177</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7cf9c3f5-7140-47ff-99f7-41035133bd49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1AF9E290</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2e89a1ad-4bc3-49c4-8774-8d5e7860fd1a</errorID>
      <errorWord xmlns="http://schemas.wps.cn/vas-ai-hub/contract-review">最近</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临近</item>
      </candidateList>
      <explain xmlns="http://schemas.wps.cn/vas-ai-hub/contract-review"/>
      <paraID xmlns="http://schemas.wps.cn/vas-ai-hub/contract-review">325C6849</paraID>
      <start xmlns="http://schemas.wps.cn/vas-ai-hub/contract-review">3</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6bd52686-03dc-4b4c-8986-56de2852c29c</errorID>
      <errorWord xmlns="http://schemas.wps.cn/vas-ai-hub/contract-review">在</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位于</item>
      </candidateList>
      <explain xmlns="http://schemas.wps.cn/vas-ai-hub/contract-review"/>
      <paraID xmlns="http://schemas.wps.cn/vas-ai-hub/contract-review">325C6849</paraID>
      <start xmlns="http://schemas.wps.cn/vas-ai-hub/contract-review">122</start>
      <end xmlns="http://schemas.wps.cn/vas-ai-hub/contract-review">123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dd500641-8600-45b9-ab4f-aaead8b2a973</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325C6849</paraID>
      <start xmlns="http://schemas.wps.cn/vas-ai-hub/contract-review">134</start>
      <end xmlns="http://schemas.wps.cn/vas-ai-hub/contract-review">135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e39a587f-63a3-4e20-9799-7cc508c8b319</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26A8FAAB</paraID>
      <start xmlns="http://schemas.wps.cn/vas-ai-hub/contract-review">85</start>
      <end xmlns="http://schemas.wps.cn/vas-ai-hub/contract-review">87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cdd85d3d-1331-438c-955d-f9081b2ac406</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78AFF4CB</paraID>
      <start xmlns="http://schemas.wps.cn/vas-ai-hub/contract-review">30</start>
      <end xmlns="http://schemas.wps.cn/vas-ai-hub/contract-review">32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8d8837d8-e87a-4777-add4-786d50889a6a</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78AFF4CB</paraID>
      <start xmlns="http://schemas.wps.cn/vas-ai-hub/contract-review">58</start>
      <end xmlns="http://schemas.wps.cn/vas-ai-hub/contract-review">60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bca4a9c2-6c37-490f-8903-c8111dcf5a93</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78AFF4CB</paraID>
      <start xmlns="http://schemas.wps.cn/vas-ai-hub/contract-review">129</start>
      <end xmlns="http://schemas.wps.cn/vas-ai-hub/contract-review">130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d88cdf86-7bf2-42cb-a32b-26aba341722f</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78AFF4CB</paraID>
      <start xmlns="http://schemas.wps.cn/vas-ai-hub/contract-review">155</start>
      <end xmlns="http://schemas.wps.cn/vas-ai-hub/contract-review">157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0d561077-3136-4a71-ba72-f14209be1aeb</errorID>
      <errorWord xmlns="http://schemas.wps.cn/vas-ai-hub/contract-review">以及</errorWord>
      <group xmlns="http://schemas.wps.cn/vas-ai-hub/contract-review">L1_AI</group>
      <groupName xmlns="http://schemas.wps.cn/vas-ai-hub/contract-review">深度校对</groupName>
      <ability xmlns="http://schemas.wps.cn/vas-ai-hub/contract-review">L2_AI_Word</ability>
      <abilityName xmlns="http://schemas.wps.cn/vas-ai-hub/contract-review">字词纠错</abilityName>
      <candidateList xmlns="http://schemas.wps.cn/vas-ai-hub/contract-review">
        <item xmlns="http://schemas.wps.cn/vas-ai-hub/contract-review">且</item>
      </candidateList>
      <explain xmlns="http://schemas.wps.cn/vas-ai-hub/contract-review"/>
      <paraID xmlns="http://schemas.wps.cn/vas-ai-hub/contract-review">7C45EC8F</paraID>
      <start xmlns="http://schemas.wps.cn/vas-ai-hub/contract-review">30</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d5035e9b-4c88-4881-a460-c7edf8ac437e</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5A0DE061</paraID>
      <start xmlns="http://schemas.wps.cn/vas-ai-hub/contract-review">19</start>
      <end xmlns="http://schemas.wps.cn/vas-ai-hub/contract-review">21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3934d9d7-1ad5-40f8-97ed-3297fb2965db</errorID>
      <errorWord xmlns="http://schemas.wps.cn/vas-ai-hub/contract-review">数据交集</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数据采集</item>
      </candidateList>
      <explain xmlns="http://schemas.wps.cn/vas-ai-hub/contract-review"/>
      <paraID xmlns="http://schemas.wps.cn/vas-ai-hub/contract-review">44C6DA80</paraID>
      <start xmlns="http://schemas.wps.cn/vas-ai-hub/contract-review">12</start>
      <end xmlns="http://schemas.wps.cn/vas-ai-hub/contract-review">16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e20dde7c-42b3-4634-8649-011e1d525a5c</errorID>
      <errorWord xmlns="http://schemas.wps.cn/vas-ai-hub/contract-review">交集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交界</item>
      </candidateList>
      <explain xmlns="http://schemas.wps.cn/vas-ai-hub/contract-review"/>
      <paraID xmlns="http://schemas.wps.cn/vas-ai-hub/contract-review">44C6DA80</paraID>
      <start xmlns="http://schemas.wps.cn/vas-ai-hub/contract-review">65</start>
      <end xmlns="http://schemas.wps.cn/vas-ai-hub/contract-review">67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2e0adb95-40e1-49be-80c3-3e763035d491</errorID>
      <errorWord xmlns="http://schemas.wps.cn/vas-ai-hub/contract-review">交集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交接</item>
      </candidateList>
      <explain xmlns="http://schemas.wps.cn/vas-ai-hub/contract-review"/>
      <paraID xmlns="http://schemas.wps.cn/vas-ai-hub/contract-review">31366073</paraID>
      <start xmlns="http://schemas.wps.cn/vas-ai-hub/contract-review">9</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44174323-20d8-46c3-865f-010df62afc00</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23DAE72F</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471c784f-f0be-41bf-92ec-2bb5cc70570d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省略号错误。</explain>
      <paraID xmlns="http://schemas.wps.cn/vas-ai-hub/contract-review">3D1E96C8</paraID>
      <start xmlns="http://schemas.wps.cn/vas-ai-hub/contract-review">102</start>
      <end xmlns="http://schemas.wps.cn/vas-ai-hub/contract-review">104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d5c678d6-2a09-4a00-90cc-18e0a51b65f0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7EB64CE</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f0be5df4-c8bd-4afd-b5f7-c79e0784bd08</errorID>
      <errorWord xmlns="http://schemas.wps.cn/vas-ai-hub/contract-review">很小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很少</item>
      </candidateList>
      <explain xmlns="http://schemas.wps.cn/vas-ai-hub/contract-review">存在字形相近字词的误用。</explain>
      <paraID xmlns="http://schemas.wps.cn/vas-ai-hub/contract-review">7A478E04</paraID>
      <start xmlns="http://schemas.wps.cn/vas-ai-hub/contract-review">20</start>
      <end xmlns="http://schemas.wps.cn/vas-ai-hub/contract-review">22</end>
      <status xmlns="http://schemas.wps.cn/vas-ai-hub/contract-review">modified</status>
      <modifiedWord xmlns="http://schemas.wps.cn/vas-ai-hub/contract-review">很少</modifiedWord>
      <trackRevisions xmlns="http://schemas.wps.cn/vas-ai-hub/contract-review">false</trackRevisions>
    </reviewItem>
    <reviewItem xmlns="http://schemas.wps.cn/vas-ai-hub/contract-review">
      <errorID xmlns="http://schemas.wps.cn/vas-ai-hub/contract-review">bf3f453b-a892-419e-bd97-5978e7258a02</errorID>
      <errorWord xmlns="http://schemas.wps.cn/vas-ai-hub/contract-review">噪音</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噪声</item>
      </candidateList>
      <explain xmlns="http://schemas.wps.cn/vas-ai-hub/contract-review">词汇[噪音]为不规范表述或旧称，其规范书面表述为[噪声]。</explain>
      <paraID xmlns="http://schemas.wps.cn/vas-ai-hub/contract-review">35B69823</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1293ab29-d3b8-4c52-9f43-e33742db4627</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4D412E81</paraID>
      <start xmlns="http://schemas.wps.cn/vas-ai-hub/contract-review">32</start>
      <end xmlns="http://schemas.wps.cn/vas-ai-hub/contract-review">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ee6af9ad-5e73-46e2-8c69-0464f2c1bc16</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4D412E81</paraID>
      <start xmlns="http://schemas.wps.cn/vas-ai-hub/contract-review">78</start>
      <end xmlns="http://schemas.wps.cn/vas-ai-hub/contract-review">79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4ab880c5-39d7-446f-a0fd-e6a9dbc47b09</errorID>
      <errorWord xmlns="http://schemas.wps.cn/vas-ai-hub/contract-review">应对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xmlns="http://schemas.wps.cn/vas-ai-hub/contract-review">5FE12BD1</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59a7cc2b-7e9d-4b3d-b55e-0174167f975c</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7D6530FE</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5a5b7bc5-dab2-4d3b-a221-dfb66781c5f8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3A780E46</paraID>
      <start xmlns="http://schemas.wps.cn/vas-ai-hub/contract-review">0</start>
      <end xmlns="http://schemas.wps.cn/vas-ai-hub/contract-review">2</end>
      <status xmlns="http://schemas.wps.cn/vas-ai-hub/contract-review">modified</status>
      <modifiedWord xmlns="http://schemas.wps.cn/vas-ai-hub/contract-review">5.</modifiedWord>
      <trackRevisions xmlns="http://schemas.wps.cn/vas-ai-hub/contract-review">false</trackRevisions>
    </reviewItem>
    <reviewItem xmlns="http://schemas.wps.cn/vas-ai-hub/contract-review">
      <errorID xmlns="http://schemas.wps.cn/vas-ai-hub/contract-review">6181a81f-f594-4dc2-b4b5-900904764266</errorID>
      <errorWord xmlns="http://schemas.wps.cn/vas-ai-hub/contract-review">应选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 95AA493</paraID>
      <start xmlns="http://schemas.wps.cn/vas-ai-hub/contract-review">1</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ffbe33ae-4897-4b9f-b773-308b25c47eb5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4D7F3885</paraID>
      <start xmlns="http://schemas.wps.cn/vas-ai-hub/contract-review">0</start>
      <end xmlns="http://schemas.wps.cn/vas-ai-hub/contract-review">2</end>
      <status xmlns="http://schemas.wps.cn/vas-ai-hub/contract-review">modified</status>
      <modifiedWord xmlns="http://schemas.wps.cn/vas-ai-hub/contract-review">6.</modifiedWord>
      <trackRevisions xmlns="http://schemas.wps.cn/vas-ai-hub/contract-review">false</trackRevisions>
    </reviewItem>
    <reviewItem xmlns="http://schemas.wps.cn/vas-ai-hub/contract-review">
      <errorID xmlns="http://schemas.wps.cn/vas-ai-hub/contract-review">7464240b-876e-4efc-bd79-77b2fb8ae880</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100DD466</paraID>
      <start xmlns="http://schemas.wps.cn/vas-ai-hub/contract-review">0</start>
      <end xmlns="http://schemas.wps.cn/vas-ai-hub/contract-review">2</end>
      <status xmlns="http://schemas.wps.cn/vas-ai-hub/contract-review">modified</status>
      <modifiedWord xmlns="http://schemas.wps.cn/vas-ai-hub/contract-review">7.</modifiedWord>
      <trackRevisions xmlns="http://schemas.wps.cn/vas-ai-hub/contract-review">false</trackRevisions>
    </reviewItem>
    <reviewItem xmlns="http://schemas.wps.cn/vas-ai-hub/contract-review">
      <errorID xmlns="http://schemas.wps.cn/vas-ai-hub/contract-review">f2807759-0cde-4545-b243-de8eced03235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C2D4F45</paraID>
      <start xmlns="http://schemas.wps.cn/vas-ai-hub/contract-review">64</start>
      <end xmlns="http://schemas.wps.cn/vas-ai-hub/contract-review">65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1cbf6957-a69d-45f8-8a41-1af4005f5a49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1033B458</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1bf0525e-aa89-4d7c-a635-fcfb9b238c0b</errorID>
      <errorWord xmlns="http://schemas.wps.cn/vas-ai-hub/contract-review">砂子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沙子</item>
      </candidateList>
      <explain xmlns="http://schemas.wps.cn/vas-ai-hub/contract-review">存在发音相同字词的误用。</explain>
      <paraID xmlns="http://schemas.wps.cn/vas-ai-hub/contract-review">6A4907E3</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ff714737-4fc4-4439-b635-728cab216118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3EFB1E0D</paraID>
      <start xmlns="http://schemas.wps.cn/vas-ai-hub/contract-review">129</start>
      <end xmlns="http://schemas.wps.cn/vas-ai-hub/contract-review">130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b0ab47f5-d7c5-4497-8ce7-8a5945fb7f5e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241C5A2C</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6efb31d0-e6e5-4c93-b5c3-3f9178fd048f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3D07F198</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68246b3d-cb04-4fb9-bc1c-bac87148ba67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6C2C67A4</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03199baa-f54e-443f-ace6-2efa7dfc2f6f</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743F061C</paraID>
      <start xmlns="http://schemas.wps.cn/vas-ai-hub/contract-review">0</start>
      <end xmlns="http://schemas.wps.cn/vas-ai-hub/contract-review">2</end>
      <status xmlns="http://schemas.wps.cn/vas-ai-hub/contract-review">modified</status>
      <modifiedWord xmlns="http://schemas.wps.cn/vas-ai-hub/contract-review">5.</modifiedWord>
      <trackRevisions xmlns="http://schemas.wps.cn/vas-ai-hub/contract-review">false</trackRevisions>
    </reviewItem>
    <reviewItem xmlns="http://schemas.wps.cn/vas-ai-hub/contract-review">
      <errorID xmlns="http://schemas.wps.cn/vas-ai-hub/contract-review">05cfe430-2b8d-45fb-8a60-33fd2b1f349e</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31C8ED6B</paraID>
      <start xmlns="http://schemas.wps.cn/vas-ai-hub/contract-review">0</start>
      <end xmlns="http://schemas.wps.cn/vas-ai-hub/contract-review">2</end>
      <status xmlns="http://schemas.wps.cn/vas-ai-hub/contract-review">modified</status>
      <modifiedWord xmlns="http://schemas.wps.cn/vas-ai-hub/contract-review">6.</modifiedWord>
      <trackRevisions xmlns="http://schemas.wps.cn/vas-ai-hub/contract-review">false</trackRevisions>
    </reviewItem>
    <reviewItem xmlns="http://schemas.wps.cn/vas-ai-hub/contract-review">
      <errorID xmlns="http://schemas.wps.cn/vas-ai-hub/contract-review">1d22fc6b-0300-4260-8736-060ce159b8e9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：一</item>
      </candidateList>
      <explain xmlns="http://schemas.wps.cn/vas-ai-hub/contract-review"/>
      <paraID xmlns="http://schemas.wps.cn/vas-ai-hub/contract-review">195D3291</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39a68106-e314-467a-884f-d41828bef212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11E9768A</paraID>
      <start xmlns="http://schemas.wps.cn/vas-ai-hub/contract-review">0</start>
      <end xmlns="http://schemas.wps.cn/vas-ai-hub/contract-review">2</end>
      <status xmlns="http://schemas.wps.cn/vas-ai-hub/contract-review">modified</status>
      <modifiedWord xmlns="http://schemas.wps.cn/vas-ai-hub/contract-review">7.</modifiedWord>
      <trackRevisions xmlns="http://schemas.wps.cn/vas-ai-hub/contract-review">false</trackRevisions>
    </reviewItem>
    <reviewItem xmlns="http://schemas.wps.cn/vas-ai-hub/contract-review">
      <errorID xmlns="http://schemas.wps.cn/vas-ai-hub/contract-review">e1952c28-89aa-416c-b09c-f5f04731b5fa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88CB9F</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b44531a0-fb79-42f1-8496-79f8951fdafb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2272DEAD</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08119776-2e09-41b9-9bd1-89fffd5d6212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28A0F4E4</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c0a3ae08-5cc6-4cd4-9b00-786fdc9a58cf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7B3AAADD</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2c403bf8-574d-4064-bec9-b5c1aa06d405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1B07D218</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a93c14f9-000a-4a74-9bf5-41c56b40851e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20F4047E</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be6090b4-6c3f-4cdd-aaf3-6f622361e532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13DB32AC</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4b35ee85-2c34-496b-909a-5cc6e1deb900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707CAF40</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2c0eff7e-b8ea-4414-a472-392fb24a58e1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630D028C</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d88499ec-6ddb-4ec6-bb3f-6aac31e5d21e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68C7D4A2</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9b8c15b0-22f0-4e5a-8a6c-5ef7a2a20cef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64177F1A</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89adee0c-cdf6-4d62-ba54-23c59e1317b8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66F7AF54</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09c45d60-3c91-40c1-a8a1-c7eca1b276f3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3C440F0</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cf1807b9-3402-4704-a2f3-fc77604bb43d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473718DC</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a68bc9c4-183a-452b-a221-5cb1d4ce99f8</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A1F076F</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bc0076e4-ee0c-4104-b2a5-8ce50fb1152d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409585E2</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459fda48-c145-4638-9bb5-fc74630860c8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63FDBBFC</paraID>
      <start xmlns="http://schemas.wps.cn/vas-ai-hub/contract-review">0</start>
      <end xmlns="http://schemas.wps.cn/vas-ai-hub/contract-review">2</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8e0b4b8b-f74c-4898-87d4-394e6a9fa4e8</errorID>
      <errorWord xmlns="http://schemas.wps.cn/vas-ai-hub/contract-review">使用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采取</item>
      </candidateList>
      <explain xmlns="http://schemas.wps.cn/vas-ai-hub/contract-review">“使用～措施”搭配不当，建议修改为“采取～措施”。</explain>
      <paraID xmlns="http://schemas.wps.cn/vas-ai-hub/contract-review">25CEAF47</paraID>
      <start xmlns="http://schemas.wps.cn/vas-ai-hub/contract-review">356</start>
      <end xmlns="http://schemas.wps.cn/vas-ai-hub/contract-review">358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97481df2-7051-4751-96d7-cdf8c358c8f2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76E6A679</paraID>
      <start xmlns="http://schemas.wps.cn/vas-ai-hub/contract-review">0</start>
      <end xmlns="http://schemas.wps.cn/vas-ai-hub/contract-review">2</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940b7f82-17a0-478e-ace1-8c4e653850ce</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6904CF13</paraID>
      <start xmlns="http://schemas.wps.cn/vas-ai-hub/contract-review">0</start>
      <end xmlns="http://schemas.wps.cn/vas-ai-hub/contract-review">2</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4c9caf95-5c68-4226-8153-cf35fc83f9fe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41059D0A</paraID>
      <start xmlns="http://schemas.wps.cn/vas-ai-hub/contract-review">99</start>
      <end xmlns="http://schemas.wps.cn/vas-ai-hub/contract-review">100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f7c964e8-59ab-4529-aa56-3b633c607738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40AD4322</paraID>
      <start xmlns="http://schemas.wps.cn/vas-ai-hub/contract-review">0</start>
      <end xmlns="http://schemas.wps.cn/vas-ai-hub/contract-review">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34644a6e-b0bc-411d-9732-1fa83272d939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40AD4322</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42c16b8c-3266-493f-9701-2c06e480bbba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430D0F58</paraID>
      <start xmlns="http://schemas.wps.cn/vas-ai-hub/contract-review">0</start>
      <end xmlns="http://schemas.wps.cn/vas-ai-hub/contract-review">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ad4a80a6-8c0a-4862-864b-4ac718a166a3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430D0F58</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c710218c-2cb8-4d0d-a208-d557d72d3a4e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DC37A71</paraID>
      <start xmlns="http://schemas.wps.cn/vas-ai-hub/contract-review">0</start>
      <end xmlns="http://schemas.wps.cn/vas-ai-hub/contract-review">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cb8cb464-a006-4e07-95f0-b328dd6648db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DC37A71</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e5dd07e3-44bb-40a7-bed6-30b7e57c9532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6A1905A8</paraID>
      <start xmlns="http://schemas.wps.cn/vas-ai-hub/contract-review">0</start>
      <end xmlns="http://schemas.wps.cn/vas-ai-hub/contract-review">2</end>
      <status xmlns="http://schemas.wps.cn/vas-ai-hub/contract-review">modified</status>
      <modifiedWord xmlns="http://schemas.wps.cn/vas-ai-hub/contract-review">5.</modifiedWord>
      <trackRevisions xmlns="http://schemas.wps.cn/vas-ai-hub/contract-review">false</trackRevisions>
    </reviewItem>
    <reviewItem xmlns="http://schemas.wps.cn/vas-ai-hub/contract-review">
      <errorID xmlns="http://schemas.wps.cn/vas-ai-hub/contract-review">fadf7f55-2a08-4cb5-840e-fe2589e69940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4674D8BE</paraID>
      <start xmlns="http://schemas.wps.cn/vas-ai-hub/contract-review">58</start>
      <end xmlns="http://schemas.wps.cn/vas-ai-hub/contract-review">59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65f2dfc2-09db-4beb-9c1f-ba61df6307ba</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4E8A1C1B</paraID>
      <start xmlns="http://schemas.wps.cn/vas-ai-hub/contract-review">0</start>
      <end xmlns="http://schemas.wps.cn/vas-ai-hub/contract-review">2</end>
      <status xmlns="http://schemas.wps.cn/vas-ai-hub/contract-review">modified</status>
      <modifiedWord xmlns="http://schemas.wps.cn/vas-ai-hub/contract-review">6.</modifiedWord>
      <trackRevisions xmlns="http://schemas.wps.cn/vas-ai-hub/contract-review">false</trackRevisions>
    </reviewItem>
    <reviewItem xmlns="http://schemas.wps.cn/vas-ai-hub/contract-review">
      <errorID xmlns="http://schemas.wps.cn/vas-ai-hub/contract-review">1e326f15-090c-4298-81e7-750f1d7560a1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5FC87AE4</paraID>
      <start xmlns="http://schemas.wps.cn/vas-ai-hub/contract-review">48</start>
      <end xmlns="http://schemas.wps.cn/vas-ai-hub/contract-review">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6bed424b-6ab2-4001-941a-a780b4a35dfe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5FC87AE4</paraID>
      <start xmlns="http://schemas.wps.cn/vas-ai-hub/contract-review">149</start>
      <end xmlns="http://schemas.wps.cn/vas-ai-hub/contract-review">150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5343db89-d5d0-48be-a0d4-23b097876621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5FC87AE4</paraID>
      <start xmlns="http://schemas.wps.cn/vas-ai-hub/contract-review">247</start>
      <end xmlns="http://schemas.wps.cn/vas-ai-hub/contract-review">248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1335fa4c-e918-4bac-88fb-4a247e8bd6c5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5FC87AE4</paraID>
      <start xmlns="http://schemas.wps.cn/vas-ai-hub/contract-review">334</start>
      <end xmlns="http://schemas.wps.cn/vas-ai-hub/contract-review">335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bfec9654-9f32-486a-99a9-aef94f2e54b7</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3E93E6FE</paraID>
      <start xmlns="http://schemas.wps.cn/vas-ai-hub/contract-review">0</start>
      <end xmlns="http://schemas.wps.cn/vas-ai-hub/contract-review">2</end>
      <status xmlns="http://schemas.wps.cn/vas-ai-hub/contract-review">modified</status>
      <modifiedWord xmlns="http://schemas.wps.cn/vas-ai-hub/contract-review">7.</modifiedWord>
      <trackRevisions xmlns="http://schemas.wps.cn/vas-ai-hub/contract-review">false</trackRevisions>
    </reviewItem>
    <reviewItem xmlns="http://schemas.wps.cn/vas-ai-hub/contract-review">
      <errorID xmlns="http://schemas.wps.cn/vas-ai-hub/contract-review">9d8f2348-f233-4a9e-b400-d4b84dc9dea8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1C9641B1</paraID>
      <start xmlns="http://schemas.wps.cn/vas-ai-hub/contract-review">191</start>
      <end xmlns="http://schemas.wps.cn/vas-ai-hub/contract-review">192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51ac138b-cf60-4fe7-917e-54f4ec7cb3bf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753CCAAD</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f596c0b4-4f72-435f-a0c2-a09e3ea5445b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753CCAAD</paraID>
      <start xmlns="http://schemas.wps.cn/vas-ai-hub/contract-review">144</start>
      <end xmlns="http://schemas.wps.cn/vas-ai-hub/contract-review">145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7a9ecd8f-746d-4abc-85ea-f59a155ae634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753CCAAD</paraID>
      <start xmlns="http://schemas.wps.cn/vas-ai-hub/contract-review">233</start>
      <end xmlns="http://schemas.wps.cn/vas-ai-hub/contract-review">234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605bf696-826c-4838-8898-f2129d863997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68D890C1</paraID>
      <start xmlns="http://schemas.wps.cn/vas-ai-hub/contract-review">141</start>
      <end xmlns="http://schemas.wps.cn/vas-ai-hub/contract-review">142</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3.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476F64-66B4-4CEE-AFBC-DFC582CAAC52}">
  <ds:schemaRefs/>
</ds:datastoreItem>
</file>

<file path=customXml/itemProps3.xml><?xml version="1.0" encoding="utf-8"?>
<ds:datastoreItem xmlns:ds="http://schemas.openxmlformats.org/officeDocument/2006/customXml" ds:itemID="{52E691D4-1346-4E4D-A4E5-14A1A34F7C46}">
  <ds:schemaRefs/>
</ds:datastoreItem>
</file>

<file path=docProps/app.xml><?xml version="1.0" encoding="utf-8"?>
<Properties xmlns="http://schemas.openxmlformats.org/officeDocument/2006/extended-properties" xmlns:vt="http://schemas.openxmlformats.org/officeDocument/2006/docPropsVTypes">
  <Company>微软中国</Company>
  <Pages>75</Pages>
  <Words>16388</Words>
  <Characters>17513</Characters>
  <Lines>1818</Lines>
  <Paragraphs>1508</Paragraphs>
  <TotalTime>11</TotalTime>
  <ScaleCrop>false</ScaleCrop>
  <LinksUpToDate>false</LinksUpToDate>
  <CharactersWithSpaces>17629</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2026-02-25T06:16:00Z</dcterms:created>
  <dc:creator>qx</dc:creator>
  <cp:lastModifiedBy>WPS_1742558756</cp:lastModifiedBy>
  <cp:lastPrinted>2021-10-09T19:54:00Z</cp:lastPrinted>
  <dcterms:modified xsi:type="dcterms:W3CDTF">2026-02-28T14:36:50Z</dcterms:modified>
  <dc:title>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1F649796640DF606028DA26931048CFD_43</vt:lpwstr>
  </property>
  <property fmtid="{D5CDD505-2E9C-101B-9397-08002B2CF9AE}" pid="4" name="KSOTemplateDocerSaveRecord">
    <vt:lpwstr>eyJoZGlkIjoiMDYyOTQ3ODRiODJiNjYzY2FmYTYxMjYxMjkwMWRjY2QiLCJ1c2VySWQiOiI0MDE4MjU1MjYifQ==</vt:lpwstr>
  </property>
</Properties>
</file>