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8C0F6">
      <w:pPr>
        <w:rPr>
          <w:rFonts w:hint="default" w:ascii="Times New Roman" w:hAnsi="Times New Roman" w:eastAsia="仿宋_GB2312" w:cs="Times New Roman"/>
          <w:color w:val="auto"/>
          <w:sz w:val="36"/>
          <w:szCs w:val="36"/>
        </w:rPr>
      </w:pPr>
      <w:bookmarkStart w:id="0" w:name="_Hlk57883707"/>
    </w:p>
    <w:p w14:paraId="707B520E">
      <w:pPr>
        <w:rPr>
          <w:rFonts w:hint="default" w:ascii="Times New Roman" w:hAnsi="Times New Roman" w:eastAsia="仿宋_GB2312" w:cs="Times New Roman"/>
          <w:color w:val="auto"/>
          <w:sz w:val="36"/>
          <w:szCs w:val="36"/>
        </w:rPr>
      </w:pPr>
    </w:p>
    <w:p w14:paraId="1866AA1E">
      <w:pPr>
        <w:rPr>
          <w:rFonts w:hint="default" w:ascii="Times New Roman" w:hAnsi="Times New Roman" w:eastAsia="仿宋_GB2312" w:cs="Times New Roman"/>
          <w:color w:val="auto"/>
          <w:sz w:val="36"/>
          <w:szCs w:val="36"/>
        </w:rPr>
      </w:pPr>
    </w:p>
    <w:bookmarkEnd w:id="0"/>
    <w:p w14:paraId="6001BBE6">
      <w:pPr>
        <w:keepNext w:val="0"/>
        <w:keepLines w:val="0"/>
        <w:pageBreakBefore w:val="0"/>
        <w:widowControl w:val="0"/>
        <w:kinsoku/>
        <w:wordWrap/>
        <w:overflowPunct/>
        <w:topLinePunct w:val="0"/>
        <w:autoSpaceDE/>
        <w:autoSpaceDN/>
        <w:bidi w:val="0"/>
        <w:adjustRightInd w:val="0"/>
        <w:snapToGrid/>
        <w:jc w:val="center"/>
        <w:textAlignment w:val="auto"/>
        <w:rPr>
          <w:rFonts w:hint="default" w:ascii="Times New Roman" w:hAnsi="Times New Roman" w:eastAsia="方正小标宋_GBK" w:cs="Times New Roman"/>
          <w:bCs/>
          <w:color w:val="auto"/>
          <w:sz w:val="72"/>
          <w:szCs w:val="72"/>
        </w:rPr>
      </w:pPr>
      <w:r>
        <w:rPr>
          <w:rFonts w:hint="default" w:ascii="Times New Roman" w:hAnsi="Times New Roman" w:eastAsia="方正小标宋_GBK" w:cs="Times New Roman"/>
          <w:bCs/>
          <w:color w:val="auto"/>
          <w:sz w:val="72"/>
          <w:szCs w:val="72"/>
        </w:rPr>
        <w:t>建设项目环境影响报告表</w:t>
      </w:r>
    </w:p>
    <w:p w14:paraId="72962576">
      <w:pPr>
        <w:adjustRightInd w:val="0"/>
        <w:snapToGrid w:val="0"/>
        <w:spacing w:before="192" w:beforeLines="80"/>
        <w:jc w:val="center"/>
        <w:rPr>
          <w:rFonts w:hint="default" w:ascii="Times New Roman" w:hAnsi="Times New Roman" w:eastAsia="楷体_GB2312" w:cs="Times New Roman"/>
          <w:bCs/>
          <w:color w:val="auto"/>
          <w:sz w:val="48"/>
          <w:szCs w:val="48"/>
        </w:rPr>
      </w:pPr>
      <w:r>
        <w:rPr>
          <w:rFonts w:hint="default" w:ascii="Times New Roman" w:hAnsi="Times New Roman" w:eastAsia="楷体_GB2312" w:cs="Times New Roman"/>
          <w:bCs/>
          <w:color w:val="auto"/>
          <w:sz w:val="48"/>
          <w:szCs w:val="48"/>
        </w:rPr>
        <w:t>（生态影响类）</w:t>
      </w:r>
    </w:p>
    <w:p w14:paraId="1A1797C5">
      <w:pPr>
        <w:adjustRightInd w:val="0"/>
        <w:snapToGrid w:val="0"/>
        <w:spacing w:line="288" w:lineRule="auto"/>
        <w:jc w:val="center"/>
        <w:rPr>
          <w:rFonts w:hint="default" w:ascii="Times New Roman" w:hAnsi="Times New Roman" w:eastAsia="华文仿宋" w:cs="Times New Roman"/>
          <w:color w:val="auto"/>
          <w:kern w:val="44"/>
          <w:sz w:val="44"/>
          <w:szCs w:val="44"/>
        </w:rPr>
      </w:pPr>
      <w:bookmarkStart w:id="1" w:name="_Hlk57883728"/>
    </w:p>
    <w:p w14:paraId="1553FC31">
      <w:pPr>
        <w:jc w:val="center"/>
        <w:rPr>
          <w:rFonts w:hint="default" w:ascii="Times New Roman" w:hAnsi="Times New Roman" w:eastAsia="仿宋" w:cs="Times New Roman"/>
          <w:color w:val="auto"/>
          <w:sz w:val="44"/>
          <w:szCs w:val="44"/>
        </w:rPr>
      </w:pPr>
    </w:p>
    <w:p w14:paraId="70F75E9D">
      <w:pPr>
        <w:jc w:val="center"/>
        <w:rPr>
          <w:rFonts w:hint="default" w:ascii="Times New Roman" w:hAnsi="Times New Roman" w:eastAsia="仿宋" w:cs="Times New Roman"/>
          <w:color w:val="auto"/>
          <w:sz w:val="44"/>
          <w:szCs w:val="44"/>
        </w:rPr>
      </w:pPr>
    </w:p>
    <w:p w14:paraId="2EFB214D">
      <w:pPr>
        <w:jc w:val="center"/>
        <w:rPr>
          <w:rFonts w:hint="default" w:ascii="Times New Roman" w:hAnsi="Times New Roman" w:eastAsia="仿宋" w:cs="Times New Roman"/>
          <w:color w:val="auto"/>
          <w:sz w:val="44"/>
          <w:szCs w:val="44"/>
        </w:rPr>
      </w:pPr>
    </w:p>
    <w:bookmarkEnd w:id="1"/>
    <w:p w14:paraId="03AC25F3">
      <w:pPr>
        <w:widowControl/>
        <w:ind w:left="1440" w:hanging="1440" w:hangingChars="400"/>
        <w:jc w:val="left"/>
        <w:rPr>
          <w:rFonts w:hint="default" w:ascii="Times New Roman" w:hAnsi="Times New Roman" w:eastAsia="仿宋_GB2312" w:cs="Times New Roman"/>
          <w:color w:val="auto"/>
          <w:sz w:val="36"/>
          <w:szCs w:val="36"/>
          <w:u w:val="single"/>
          <w:lang w:eastAsia="zh-CN"/>
        </w:rPr>
      </w:pPr>
      <w:r>
        <w:rPr>
          <w:rFonts w:hint="default" w:ascii="Times New Roman" w:hAnsi="Times New Roman" w:eastAsia="仿宋_GB2312" w:cs="Times New Roman"/>
          <w:color w:val="auto"/>
          <w:sz w:val="36"/>
          <w:szCs w:val="36"/>
        </w:rPr>
        <w:t>项目名称</w:t>
      </w:r>
      <w:r>
        <w:rPr>
          <w:rFonts w:hint="default" w:ascii="Times New Roman" w:hAnsi="Times New Roman" w:eastAsia="仿宋_GB2312" w:cs="Times New Roman"/>
          <w:color w:val="auto"/>
          <w:sz w:val="36"/>
          <w:szCs w:val="36"/>
          <w:u w:val="single"/>
        </w:rPr>
        <w:t>:</w:t>
      </w:r>
      <w:r>
        <w:rPr>
          <w:rFonts w:hint="default" w:ascii="Times New Roman" w:hAnsi="Times New Roman" w:eastAsia="仿宋_GB2312" w:cs="Times New Roman"/>
          <w:color w:val="auto"/>
          <w:sz w:val="36"/>
          <w:szCs w:val="36"/>
          <w:u w:val="single"/>
          <w:lang w:eastAsia="zh-CN"/>
        </w:rPr>
        <w:t>国道集贤至当壁公路宝清界至兴凯镇段路面改造工程</w:t>
      </w:r>
    </w:p>
    <w:p w14:paraId="620CB736">
      <w:pPr>
        <w:adjustRightInd w:val="0"/>
        <w:snapToGrid w:val="0"/>
        <w:rPr>
          <w:rFonts w:hint="default" w:ascii="Times New Roman" w:hAnsi="Times New Roman" w:eastAsia="仿宋_GB2312" w:cs="Times New Roman"/>
          <w:color w:val="auto"/>
          <w:sz w:val="36"/>
          <w:szCs w:val="36"/>
          <w:u w:val="single"/>
        </w:rPr>
      </w:pPr>
      <w:r>
        <w:rPr>
          <w:rFonts w:hint="default" w:ascii="Times New Roman" w:hAnsi="Times New Roman" w:eastAsia="仿宋_GB2312" w:cs="Times New Roman"/>
          <w:color w:val="auto"/>
          <w:sz w:val="36"/>
          <w:szCs w:val="36"/>
        </w:rPr>
        <w:t>建设单位（盖章）：</w:t>
      </w:r>
      <w:r>
        <w:rPr>
          <w:rFonts w:hint="default" w:ascii="Times New Roman" w:hAnsi="Times New Roman" w:eastAsia="仿宋_GB2312" w:cs="Times New Roman"/>
          <w:color w:val="auto"/>
          <w:sz w:val="36"/>
          <w:szCs w:val="36"/>
          <w:u w:val="single"/>
        </w:rPr>
        <w:t xml:space="preserve">    </w:t>
      </w:r>
      <w:r>
        <w:rPr>
          <w:rFonts w:hint="default" w:ascii="Times New Roman" w:hAnsi="Times New Roman" w:eastAsia="仿宋_GB2312" w:cs="Times New Roman"/>
          <w:color w:val="auto"/>
          <w:sz w:val="36"/>
          <w:szCs w:val="36"/>
          <w:u w:val="single"/>
          <w:lang w:eastAsia="zh-CN"/>
        </w:rPr>
        <w:t>密山市交通运输局</w:t>
      </w:r>
      <w:r>
        <w:rPr>
          <w:rFonts w:hint="default" w:ascii="Times New Roman" w:hAnsi="Times New Roman" w:eastAsia="仿宋_GB2312" w:cs="Times New Roman"/>
          <w:color w:val="auto"/>
          <w:sz w:val="36"/>
          <w:szCs w:val="36"/>
          <w:u w:val="single"/>
        </w:rPr>
        <w:t xml:space="preserve">     </w:t>
      </w:r>
    </w:p>
    <w:p w14:paraId="244C3B2A">
      <w:pPr>
        <w:adjustRightInd w:val="0"/>
        <w:snapToGrid w:val="0"/>
        <w:rPr>
          <w:rFonts w:hint="default" w:ascii="Times New Roman" w:hAnsi="Times New Roman" w:eastAsia="仿宋_GB2312" w:cs="Times New Roman"/>
          <w:color w:val="auto"/>
          <w:sz w:val="36"/>
          <w:szCs w:val="36"/>
          <w:u w:val="single"/>
        </w:rPr>
      </w:pPr>
      <w:r>
        <w:rPr>
          <w:rFonts w:hint="default" w:ascii="Times New Roman" w:hAnsi="Times New Roman" w:eastAsia="仿宋_GB2312" w:cs="Times New Roman"/>
          <w:color w:val="auto"/>
          <w:sz w:val="36"/>
          <w:szCs w:val="36"/>
        </w:rPr>
        <w:t>编制日期：</w:t>
      </w:r>
      <w:r>
        <w:rPr>
          <w:rFonts w:hint="default" w:ascii="Times New Roman" w:hAnsi="Times New Roman" w:eastAsia="仿宋_GB2312" w:cs="Times New Roman"/>
          <w:color w:val="auto"/>
          <w:sz w:val="36"/>
          <w:szCs w:val="36"/>
          <w:u w:val="single"/>
        </w:rPr>
        <w:t xml:space="preserve">          202</w:t>
      </w:r>
      <w:r>
        <w:rPr>
          <w:rFonts w:hint="eastAsia" w:eastAsia="仿宋_GB2312" w:cs="Times New Roman"/>
          <w:color w:val="auto"/>
          <w:sz w:val="36"/>
          <w:szCs w:val="36"/>
          <w:u w:val="single"/>
          <w:lang w:val="en-US" w:eastAsia="zh-CN"/>
        </w:rPr>
        <w:t>6</w:t>
      </w:r>
      <w:r>
        <w:rPr>
          <w:rFonts w:hint="default" w:ascii="Times New Roman" w:hAnsi="Times New Roman" w:eastAsia="仿宋_GB2312" w:cs="Times New Roman"/>
          <w:color w:val="auto"/>
          <w:sz w:val="36"/>
          <w:szCs w:val="36"/>
          <w:u w:val="single"/>
        </w:rPr>
        <w:t xml:space="preserve">年1月             </w:t>
      </w:r>
    </w:p>
    <w:p w14:paraId="4C761D1D">
      <w:pPr>
        <w:adjustRightInd w:val="0"/>
        <w:snapToGrid w:val="0"/>
        <w:spacing w:line="288" w:lineRule="auto"/>
        <w:rPr>
          <w:rFonts w:hint="default" w:ascii="Times New Roman" w:hAnsi="Times New Roman" w:eastAsia="仿宋_GB2312" w:cs="Times New Roman"/>
          <w:color w:val="auto"/>
          <w:sz w:val="36"/>
          <w:szCs w:val="36"/>
          <w:u w:val="single"/>
        </w:rPr>
      </w:pPr>
    </w:p>
    <w:p w14:paraId="2D6663D3">
      <w:pPr>
        <w:adjustRightInd w:val="0"/>
        <w:snapToGrid w:val="0"/>
        <w:spacing w:line="288" w:lineRule="auto"/>
        <w:rPr>
          <w:rFonts w:hint="default" w:ascii="Times New Roman" w:hAnsi="Times New Roman" w:eastAsia="仿宋_GB2312" w:cs="Times New Roman"/>
          <w:color w:val="auto"/>
          <w:sz w:val="36"/>
          <w:szCs w:val="36"/>
        </w:rPr>
      </w:pPr>
    </w:p>
    <w:p w14:paraId="779755A3">
      <w:pPr>
        <w:adjustRightInd w:val="0"/>
        <w:snapToGrid w:val="0"/>
        <w:spacing w:line="288" w:lineRule="auto"/>
        <w:rPr>
          <w:rFonts w:hint="default" w:ascii="Times New Roman" w:hAnsi="Times New Roman" w:eastAsia="仿宋_GB2312" w:cs="Times New Roman"/>
          <w:color w:val="auto"/>
          <w:sz w:val="36"/>
          <w:szCs w:val="36"/>
        </w:rPr>
      </w:pPr>
    </w:p>
    <w:p w14:paraId="4AC0151E">
      <w:pPr>
        <w:adjustRightInd w:val="0"/>
        <w:snapToGrid w:val="0"/>
        <w:spacing w:line="288" w:lineRule="auto"/>
        <w:rPr>
          <w:rFonts w:hint="default" w:ascii="Times New Roman" w:hAnsi="Times New Roman" w:eastAsia="仿宋_GB2312" w:cs="Times New Roman"/>
          <w:color w:val="auto"/>
          <w:sz w:val="36"/>
          <w:szCs w:val="36"/>
        </w:rPr>
      </w:pPr>
    </w:p>
    <w:p w14:paraId="2B2C23B9">
      <w:pPr>
        <w:adjustRightInd w:val="0"/>
        <w:snapToGrid w:val="0"/>
        <w:spacing w:line="288" w:lineRule="auto"/>
        <w:jc w:val="center"/>
        <w:rPr>
          <w:rFonts w:hint="default" w:ascii="Times New Roman" w:hAnsi="Times New Roman" w:eastAsia="楷体_GB2312" w:cs="Times New Roman"/>
          <w:color w:val="auto"/>
          <w:sz w:val="36"/>
          <w:szCs w:val="36"/>
        </w:rPr>
      </w:pPr>
      <w:r>
        <w:rPr>
          <w:rFonts w:hint="default" w:ascii="Times New Roman" w:hAnsi="Times New Roman" w:eastAsia="楷体_GB2312" w:cs="Times New Roman"/>
          <w:color w:val="auto"/>
          <w:sz w:val="36"/>
          <w:szCs w:val="36"/>
        </w:rPr>
        <w:t>中华人民共和国生态环境部制</w:t>
      </w:r>
    </w:p>
    <w:p w14:paraId="2F5692E4">
      <w:pPr>
        <w:adjustRightInd w:val="0"/>
        <w:snapToGrid w:val="0"/>
        <w:spacing w:line="288" w:lineRule="auto"/>
        <w:rPr>
          <w:rFonts w:hint="default" w:ascii="Times New Roman" w:hAnsi="Times New Roman" w:eastAsia="仿宋_GB2312" w:cs="Times New Roman"/>
          <w:color w:val="auto"/>
          <w:sz w:val="36"/>
          <w:szCs w:val="36"/>
        </w:rPr>
      </w:pPr>
    </w:p>
    <w:p w14:paraId="0E9366C0">
      <w:pPr>
        <w:pStyle w:val="11"/>
        <w:ind w:firstLine="0" w:firstLineChars="0"/>
        <w:rPr>
          <w:rFonts w:hint="default" w:ascii="Times New Roman" w:hAnsi="Times New Roman" w:eastAsia="仿宋_GB2312" w:cs="Times New Roman"/>
          <w:color w:val="auto"/>
          <w:sz w:val="36"/>
          <w:szCs w:val="36"/>
        </w:rPr>
      </w:pPr>
    </w:p>
    <w:p w14:paraId="4859DA22">
      <w:pPr>
        <w:pStyle w:val="11"/>
        <w:ind w:firstLine="0" w:firstLineChars="0"/>
        <w:rPr>
          <w:rFonts w:hint="default" w:ascii="Times New Roman" w:hAnsi="Times New Roman" w:eastAsia="仿宋_GB2312" w:cs="Times New Roman"/>
          <w:color w:val="auto"/>
          <w:sz w:val="36"/>
          <w:szCs w:val="36"/>
        </w:rPr>
        <w:sectPr>
          <w:footerReference r:id="rId5" w:type="default"/>
          <w:footerReference r:id="rId6" w:type="even"/>
          <w:pgSz w:w="11850" w:h="16783"/>
          <w:pgMar w:top="1440" w:right="1800" w:bottom="1440" w:left="1800" w:header="851" w:footer="1077" w:gutter="0"/>
          <w:pgBorders>
            <w:top w:val="none" w:sz="0" w:space="0"/>
            <w:left w:val="none" w:sz="0" w:space="0"/>
            <w:bottom w:val="none" w:sz="0" w:space="0"/>
            <w:right w:val="none" w:sz="0" w:space="0"/>
          </w:pgBorders>
          <w:pgNumType w:start="21"/>
          <w:cols w:space="720" w:num="1"/>
          <w:docGrid w:linePitch="312" w:charSpace="0"/>
        </w:sectPr>
      </w:pPr>
    </w:p>
    <w:p w14:paraId="0FCE9753">
      <w:pPr>
        <w:jc w:val="center"/>
        <w:rPr>
          <w:rFonts w:hint="eastAsia" w:ascii="Times New Roman" w:hAnsi="Times New Roman" w:eastAsia="宋体" w:cs="Times New Roman"/>
          <w:b/>
          <w:bCs/>
          <w:color w:val="auto"/>
          <w:sz w:val="36"/>
          <w:szCs w:val="36"/>
          <w:lang w:eastAsia="zh-CN"/>
        </w:rPr>
      </w:pPr>
      <w:r>
        <w:rPr>
          <w:rFonts w:hint="eastAsia" w:ascii="Times New Roman" w:hAnsi="Times New Roman" w:eastAsia="宋体" w:cs="Times New Roman"/>
          <w:b/>
          <w:bCs/>
          <w:color w:val="auto"/>
          <w:sz w:val="36"/>
          <w:szCs w:val="36"/>
          <w:lang w:eastAsia="zh-CN"/>
        </w:rPr>
        <w:drawing>
          <wp:anchor distT="0" distB="0" distL="114300" distR="114300" simplePos="0" relativeHeight="251669504" behindDoc="0" locked="0" layoutInCell="1" allowOverlap="1">
            <wp:simplePos x="0" y="0"/>
            <wp:positionH relativeFrom="column">
              <wp:posOffset>-1270000</wp:posOffset>
            </wp:positionH>
            <wp:positionV relativeFrom="paragraph">
              <wp:posOffset>1395730</wp:posOffset>
            </wp:positionV>
            <wp:extent cx="7943850" cy="5596255"/>
            <wp:effectExtent l="0" t="0" r="4445" b="0"/>
            <wp:wrapNone/>
            <wp:docPr id="60" name="图片 60" descr="94b511ecd28389ef0fe5b03d075b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94b511ecd28389ef0fe5b03d075b7745"/>
                    <pic:cNvPicPr>
                      <a:picLocks noChangeAspect="1"/>
                    </pic:cNvPicPr>
                  </pic:nvPicPr>
                  <pic:blipFill>
                    <a:blip r:embed="rId9"/>
                    <a:srcRect t="6075"/>
                    <a:stretch>
                      <a:fillRect/>
                    </a:stretch>
                  </pic:blipFill>
                  <pic:spPr>
                    <a:xfrm rot="5400000">
                      <a:off x="0" y="0"/>
                      <a:ext cx="7943850" cy="5596255"/>
                    </a:xfrm>
                    <a:prstGeom prst="rect">
                      <a:avLst/>
                    </a:prstGeom>
                  </pic:spPr>
                </pic:pic>
              </a:graphicData>
            </a:graphic>
          </wp:anchor>
        </w:drawing>
      </w:r>
    </w:p>
    <w:p w14:paraId="20BE28EF">
      <w:pPr>
        <w:jc w:val="center"/>
        <w:rPr>
          <w:rFonts w:hint="default" w:ascii="Times New Roman" w:hAnsi="Times New Roman" w:cs="Times New Roman"/>
          <w:b/>
          <w:bCs/>
          <w:color w:val="auto"/>
          <w:sz w:val="44"/>
          <w:szCs w:val="44"/>
        </w:rPr>
      </w:pPr>
    </w:p>
    <w:p w14:paraId="4ACBED31">
      <w:pPr>
        <w:jc w:val="center"/>
        <w:rPr>
          <w:rFonts w:hint="default" w:ascii="Times New Roman" w:hAnsi="Times New Roman" w:cs="Times New Roman"/>
          <w:b/>
          <w:bCs/>
          <w:color w:val="auto"/>
          <w:sz w:val="44"/>
          <w:szCs w:val="44"/>
        </w:rPr>
      </w:pPr>
    </w:p>
    <w:p w14:paraId="5FA9C34C">
      <w:pPr>
        <w:jc w:val="center"/>
        <w:rPr>
          <w:rFonts w:hint="default" w:ascii="Times New Roman" w:hAnsi="Times New Roman" w:cs="Times New Roman"/>
          <w:b/>
          <w:bCs/>
          <w:color w:val="auto"/>
          <w:sz w:val="44"/>
          <w:szCs w:val="44"/>
        </w:rPr>
      </w:pPr>
    </w:p>
    <w:p w14:paraId="184A4727">
      <w:pPr>
        <w:jc w:val="center"/>
        <w:rPr>
          <w:rFonts w:hint="default" w:ascii="Times New Roman" w:hAnsi="Times New Roman" w:cs="Times New Roman"/>
          <w:b/>
          <w:bCs/>
          <w:color w:val="auto"/>
          <w:sz w:val="44"/>
          <w:szCs w:val="44"/>
        </w:rPr>
      </w:pPr>
    </w:p>
    <w:p w14:paraId="083FD2D0">
      <w:pPr>
        <w:jc w:val="center"/>
        <w:rPr>
          <w:rFonts w:hint="default" w:ascii="Times New Roman" w:hAnsi="Times New Roman" w:cs="Times New Roman"/>
          <w:b/>
          <w:bCs/>
          <w:color w:val="auto"/>
          <w:sz w:val="44"/>
          <w:szCs w:val="44"/>
        </w:rPr>
      </w:pPr>
    </w:p>
    <w:p w14:paraId="7A38AC86">
      <w:pPr>
        <w:jc w:val="center"/>
        <w:rPr>
          <w:rFonts w:hint="default" w:ascii="Times New Roman" w:hAnsi="Times New Roman" w:cs="Times New Roman"/>
          <w:b/>
          <w:bCs/>
          <w:color w:val="auto"/>
          <w:sz w:val="44"/>
          <w:szCs w:val="44"/>
        </w:rPr>
      </w:pPr>
    </w:p>
    <w:p w14:paraId="77E939D0">
      <w:pPr>
        <w:jc w:val="center"/>
        <w:rPr>
          <w:rFonts w:hint="default" w:ascii="Times New Roman" w:hAnsi="Times New Roman" w:cs="Times New Roman"/>
          <w:b/>
          <w:bCs/>
          <w:color w:val="auto"/>
          <w:sz w:val="44"/>
          <w:szCs w:val="44"/>
        </w:rPr>
      </w:pPr>
    </w:p>
    <w:p w14:paraId="24B54A8F">
      <w:pPr>
        <w:jc w:val="center"/>
        <w:rPr>
          <w:rFonts w:hint="default" w:ascii="Times New Roman" w:hAnsi="Times New Roman" w:cs="Times New Roman"/>
          <w:b/>
          <w:bCs/>
          <w:color w:val="auto"/>
          <w:sz w:val="44"/>
          <w:szCs w:val="44"/>
        </w:rPr>
      </w:pPr>
    </w:p>
    <w:p w14:paraId="4CC3CA03">
      <w:pPr>
        <w:jc w:val="center"/>
        <w:rPr>
          <w:rFonts w:hint="default" w:ascii="Times New Roman" w:hAnsi="Times New Roman" w:cs="Times New Roman"/>
          <w:b/>
          <w:bCs/>
          <w:color w:val="auto"/>
          <w:sz w:val="44"/>
          <w:szCs w:val="44"/>
        </w:rPr>
      </w:pPr>
    </w:p>
    <w:p w14:paraId="5309FE04">
      <w:pPr>
        <w:jc w:val="center"/>
        <w:rPr>
          <w:rFonts w:hint="default" w:ascii="Times New Roman" w:hAnsi="Times New Roman" w:cs="Times New Roman"/>
          <w:b/>
          <w:bCs/>
          <w:color w:val="auto"/>
          <w:sz w:val="44"/>
          <w:szCs w:val="44"/>
        </w:rPr>
      </w:pPr>
    </w:p>
    <w:p w14:paraId="1C99AF50">
      <w:pPr>
        <w:jc w:val="center"/>
        <w:rPr>
          <w:rFonts w:hint="default" w:ascii="Times New Roman" w:hAnsi="Times New Roman" w:cs="Times New Roman"/>
          <w:b/>
          <w:bCs/>
          <w:color w:val="auto"/>
          <w:sz w:val="44"/>
          <w:szCs w:val="44"/>
        </w:rPr>
      </w:pPr>
    </w:p>
    <w:p w14:paraId="6CC29B5B">
      <w:pPr>
        <w:jc w:val="center"/>
        <w:rPr>
          <w:rFonts w:hint="default" w:ascii="Times New Roman" w:hAnsi="Times New Roman" w:cs="Times New Roman"/>
          <w:b/>
          <w:bCs/>
          <w:color w:val="auto"/>
          <w:sz w:val="44"/>
          <w:szCs w:val="44"/>
        </w:rPr>
      </w:pPr>
    </w:p>
    <w:p w14:paraId="1555F475">
      <w:pPr>
        <w:jc w:val="center"/>
        <w:rPr>
          <w:rFonts w:hint="default" w:ascii="Times New Roman" w:hAnsi="Times New Roman" w:cs="Times New Roman"/>
          <w:b/>
          <w:bCs/>
          <w:color w:val="auto"/>
          <w:sz w:val="44"/>
          <w:szCs w:val="44"/>
        </w:rPr>
      </w:pPr>
    </w:p>
    <w:p w14:paraId="64D36708">
      <w:pPr>
        <w:jc w:val="center"/>
        <w:rPr>
          <w:rFonts w:hint="default" w:ascii="Times New Roman" w:hAnsi="Times New Roman" w:cs="Times New Roman"/>
          <w:b/>
          <w:bCs/>
          <w:color w:val="auto"/>
          <w:sz w:val="44"/>
          <w:szCs w:val="44"/>
        </w:rPr>
      </w:pPr>
    </w:p>
    <w:p w14:paraId="1CA10D60">
      <w:pPr>
        <w:jc w:val="center"/>
        <w:rPr>
          <w:rFonts w:hint="default" w:ascii="Times New Roman" w:hAnsi="Times New Roman" w:cs="Times New Roman"/>
          <w:b/>
          <w:bCs/>
          <w:color w:val="auto"/>
          <w:sz w:val="44"/>
          <w:szCs w:val="44"/>
        </w:rPr>
      </w:pPr>
    </w:p>
    <w:p w14:paraId="1B468135">
      <w:pPr>
        <w:jc w:val="center"/>
        <w:rPr>
          <w:rFonts w:hint="default" w:ascii="Times New Roman" w:hAnsi="Times New Roman" w:cs="Times New Roman"/>
          <w:b/>
          <w:bCs/>
          <w:color w:val="auto"/>
          <w:sz w:val="44"/>
          <w:szCs w:val="44"/>
        </w:rPr>
      </w:pPr>
    </w:p>
    <w:p w14:paraId="2F42D118">
      <w:pPr>
        <w:jc w:val="center"/>
        <w:rPr>
          <w:rFonts w:hint="default" w:ascii="Times New Roman" w:hAnsi="Times New Roman" w:cs="Times New Roman"/>
          <w:b/>
          <w:bCs/>
          <w:color w:val="auto"/>
          <w:sz w:val="44"/>
          <w:szCs w:val="44"/>
        </w:rPr>
      </w:pPr>
    </w:p>
    <w:p w14:paraId="5D28A039">
      <w:pPr>
        <w:jc w:val="center"/>
        <w:rPr>
          <w:rFonts w:hint="default" w:ascii="Times New Roman" w:hAnsi="Times New Roman" w:cs="Times New Roman"/>
          <w:b/>
          <w:bCs/>
          <w:color w:val="auto"/>
          <w:sz w:val="44"/>
          <w:szCs w:val="44"/>
        </w:rPr>
      </w:pPr>
    </w:p>
    <w:p w14:paraId="605E05D9">
      <w:pPr>
        <w:jc w:val="center"/>
        <w:rPr>
          <w:rFonts w:hint="default" w:ascii="Times New Roman" w:hAnsi="Times New Roman" w:cs="Times New Roman"/>
          <w:b/>
          <w:bCs/>
          <w:color w:val="auto"/>
          <w:sz w:val="44"/>
          <w:szCs w:val="44"/>
        </w:rPr>
      </w:pPr>
      <w:r>
        <w:rPr>
          <w:rFonts w:hint="default" w:ascii="Times New Roman" w:hAnsi="Times New Roman" w:cs="Times New Roman"/>
          <w:b/>
          <w:bCs/>
          <w:color w:val="auto"/>
          <w:sz w:val="44"/>
          <w:szCs w:val="44"/>
        </w:rPr>
        <w:t xml:space="preserve">目 </w:t>
      </w:r>
      <w:r>
        <w:rPr>
          <w:rFonts w:hint="default" w:ascii="Times New Roman" w:hAnsi="Times New Roman" w:cs="Times New Roman"/>
          <w:b/>
          <w:bCs/>
          <w:color w:val="auto"/>
          <w:sz w:val="44"/>
          <w:szCs w:val="44"/>
          <w:lang w:val="en-US" w:eastAsia="zh-CN"/>
        </w:rPr>
        <w:t xml:space="preserve">  </w:t>
      </w:r>
      <w:r>
        <w:rPr>
          <w:rFonts w:hint="default" w:ascii="Times New Roman" w:hAnsi="Times New Roman" w:cs="Times New Roman"/>
          <w:b/>
          <w:bCs/>
          <w:color w:val="auto"/>
          <w:sz w:val="44"/>
          <w:szCs w:val="44"/>
        </w:rPr>
        <w:t>录</w:t>
      </w:r>
    </w:p>
    <w:p w14:paraId="5625DAAA">
      <w:pPr>
        <w:jc w:val="center"/>
        <w:rPr>
          <w:rFonts w:hint="default" w:ascii="Times New Roman" w:hAnsi="Times New Roman" w:cs="Times New Roman"/>
          <w:b/>
          <w:bCs/>
          <w:color w:val="auto"/>
          <w:sz w:val="30"/>
          <w:szCs w:val="30"/>
        </w:rPr>
      </w:pPr>
    </w:p>
    <w:p w14:paraId="2B9F3A12">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eastAsia="宋体" w:cs="Times New Roman"/>
          <w:b/>
          <w:bCs/>
          <w:color w:val="auto"/>
          <w:sz w:val="28"/>
          <w:szCs w:val="28"/>
        </w:rPr>
      </w:pPr>
      <w:r>
        <w:rPr>
          <w:rFonts w:hint="default" w:ascii="Times New Roman" w:hAnsi="Times New Roman" w:cs="Times New Roman"/>
          <w:b/>
          <w:bCs/>
          <w:color w:val="auto"/>
          <w:sz w:val="28"/>
          <w:szCs w:val="28"/>
        </w:rPr>
        <w:fldChar w:fldCharType="begin"/>
      </w:r>
      <w:r>
        <w:rPr>
          <w:rFonts w:hint="default" w:ascii="Times New Roman" w:hAnsi="Times New Roman" w:cs="Times New Roman"/>
          <w:b/>
          <w:bCs/>
          <w:color w:val="auto"/>
          <w:sz w:val="28"/>
          <w:szCs w:val="28"/>
        </w:rPr>
        <w:instrText xml:space="preserve">TOC \o "1-1" \h \u </w:instrText>
      </w:r>
      <w:r>
        <w:rPr>
          <w:rFonts w:hint="default" w:ascii="Times New Roman" w:hAnsi="Times New Roman" w:cs="Times New Roman"/>
          <w:b/>
          <w:bCs/>
          <w:color w:val="auto"/>
          <w:sz w:val="28"/>
          <w:szCs w:val="28"/>
        </w:rPr>
        <w:fldChar w:fldCharType="separate"/>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_Toc30934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一、建设项目基本情况</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_Toc30934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1</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7C89105A">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eastAsia="宋体" w:cs="Times New Roman"/>
          <w:b/>
          <w:bCs/>
          <w:color w:val="auto"/>
          <w:sz w:val="28"/>
          <w:szCs w:val="28"/>
        </w:rPr>
      </w:pP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_Toc7258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二、建设内容</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_Toc7258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16</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177F4A9B">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eastAsia="宋体" w:cs="Times New Roman"/>
          <w:b/>
          <w:bCs/>
          <w:color w:val="auto"/>
          <w:sz w:val="28"/>
          <w:szCs w:val="28"/>
        </w:rPr>
      </w:pP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_Toc9504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三、生态环境现状、保护目标及评价标准</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_Toc9504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27</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4442F3D6">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eastAsia="宋体" w:cs="Times New Roman"/>
          <w:b/>
          <w:bCs/>
          <w:color w:val="auto"/>
          <w:sz w:val="28"/>
          <w:szCs w:val="28"/>
        </w:rPr>
      </w:pP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_Toc23563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四、生态环境影响分析</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_Toc23563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46</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78267323">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eastAsia="宋体" w:cs="Times New Roman"/>
          <w:b/>
          <w:bCs/>
          <w:color w:val="auto"/>
          <w:sz w:val="28"/>
          <w:szCs w:val="28"/>
        </w:rPr>
      </w:pP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_Toc516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五、主要生态环境保护措施</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_Toc516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54</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657F27A4">
      <w:pPr>
        <w:pStyle w:val="21"/>
        <w:keepNext w:val="0"/>
        <w:keepLines w:val="0"/>
        <w:pageBreakBefore w:val="0"/>
        <w:widowControl w:val="0"/>
        <w:tabs>
          <w:tab w:val="right" w:leader="dot" w:pos="8250"/>
        </w:tabs>
        <w:kinsoku/>
        <w:wordWrap/>
        <w:overflowPunct/>
        <w:topLinePunct w:val="0"/>
        <w:autoSpaceDE/>
        <w:autoSpaceDN/>
        <w:bidi w:val="0"/>
        <w:adjustRightInd/>
        <w:snapToGrid/>
        <w:textAlignment w:val="auto"/>
        <w:rPr>
          <w:rFonts w:hint="default" w:ascii="Times New Roman" w:hAnsi="Times New Roman" w:cs="Times New Roman"/>
          <w:b/>
          <w:bCs/>
          <w:color w:val="auto"/>
          <w:sz w:val="28"/>
          <w:szCs w:val="28"/>
        </w:rPr>
      </w:pP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HYPERLINK \l _Toc13468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snapToGrid w:val="0"/>
          <w:color w:val="auto"/>
          <w:kern w:val="21"/>
          <w:sz w:val="28"/>
          <w:szCs w:val="28"/>
        </w:rPr>
        <w:t>六、生态环境保护措施监督检查清单</w:t>
      </w:r>
      <w:r>
        <w:rPr>
          <w:rFonts w:hint="default" w:ascii="Times New Roman" w:hAnsi="Times New Roman" w:eastAsia="宋体" w:cs="Times New Roman"/>
          <w:b/>
          <w:bCs/>
          <w:color w:val="auto"/>
          <w:sz w:val="28"/>
          <w:szCs w:val="28"/>
        </w:rPr>
        <w:tab/>
      </w:r>
      <w:r>
        <w:rPr>
          <w:rFonts w:hint="default" w:ascii="Times New Roman" w:hAnsi="Times New Roman" w:eastAsia="宋体" w:cs="Times New Roman"/>
          <w:b/>
          <w:bCs/>
          <w:color w:val="auto"/>
          <w:sz w:val="28"/>
          <w:szCs w:val="28"/>
        </w:rPr>
        <w:fldChar w:fldCharType="begin"/>
      </w:r>
      <w:r>
        <w:rPr>
          <w:rFonts w:hint="default" w:ascii="Times New Roman" w:hAnsi="Times New Roman" w:eastAsia="宋体" w:cs="Times New Roman"/>
          <w:b/>
          <w:bCs/>
          <w:color w:val="auto"/>
          <w:sz w:val="28"/>
          <w:szCs w:val="28"/>
        </w:rPr>
        <w:instrText xml:space="preserve"> PAGEREF _Toc13468 \h </w:instrText>
      </w:r>
      <w:r>
        <w:rPr>
          <w:rFonts w:hint="default" w:ascii="Times New Roman" w:hAnsi="Times New Roman" w:eastAsia="宋体" w:cs="Times New Roman"/>
          <w:b/>
          <w:bCs/>
          <w:color w:val="auto"/>
          <w:sz w:val="28"/>
          <w:szCs w:val="28"/>
        </w:rPr>
        <w:fldChar w:fldCharType="separate"/>
      </w:r>
      <w:r>
        <w:rPr>
          <w:rFonts w:hint="default" w:ascii="Times New Roman" w:hAnsi="Times New Roman" w:eastAsia="宋体" w:cs="Times New Roman"/>
          <w:b/>
          <w:bCs/>
          <w:color w:val="auto"/>
          <w:sz w:val="28"/>
          <w:szCs w:val="28"/>
        </w:rPr>
        <w:t>65</w:t>
      </w:r>
      <w:r>
        <w:rPr>
          <w:rFonts w:hint="default" w:ascii="Times New Roman" w:hAnsi="Times New Roman" w:eastAsia="宋体" w:cs="Times New Roman"/>
          <w:b/>
          <w:bCs/>
          <w:color w:val="auto"/>
          <w:sz w:val="28"/>
          <w:szCs w:val="28"/>
        </w:rPr>
        <w:fldChar w:fldCharType="end"/>
      </w:r>
      <w:r>
        <w:rPr>
          <w:rFonts w:hint="default" w:ascii="Times New Roman" w:hAnsi="Times New Roman" w:eastAsia="宋体" w:cs="Times New Roman"/>
          <w:b/>
          <w:bCs/>
          <w:color w:val="auto"/>
          <w:sz w:val="28"/>
          <w:szCs w:val="28"/>
        </w:rPr>
        <w:fldChar w:fldCharType="end"/>
      </w:r>
    </w:p>
    <w:p w14:paraId="0C549678">
      <w:pPr>
        <w:pStyle w:val="21"/>
        <w:tabs>
          <w:tab w:val="right" w:leader="dot" w:pos="8250"/>
        </w:tabs>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fldChar w:fldCharType="begin"/>
      </w:r>
      <w:r>
        <w:rPr>
          <w:rFonts w:hint="default" w:ascii="Times New Roman" w:hAnsi="Times New Roman" w:cs="Times New Roman"/>
          <w:b/>
          <w:bCs/>
          <w:color w:val="auto"/>
          <w:sz w:val="28"/>
          <w:szCs w:val="28"/>
        </w:rPr>
        <w:instrText xml:space="preserve"> HYPERLINK \l _Toc24890 </w:instrText>
      </w:r>
      <w:r>
        <w:rPr>
          <w:rFonts w:hint="default" w:ascii="Times New Roman" w:hAnsi="Times New Roman" w:cs="Times New Roman"/>
          <w:b/>
          <w:bCs/>
          <w:color w:val="auto"/>
          <w:sz w:val="28"/>
          <w:szCs w:val="28"/>
        </w:rPr>
        <w:fldChar w:fldCharType="separate"/>
      </w:r>
      <w:r>
        <w:rPr>
          <w:rFonts w:hint="default" w:ascii="Times New Roman" w:hAnsi="Times New Roman" w:cs="Times New Roman"/>
          <w:b/>
          <w:bCs/>
          <w:snapToGrid w:val="0"/>
          <w:color w:val="auto"/>
          <w:kern w:val="21"/>
          <w:sz w:val="28"/>
          <w:szCs w:val="28"/>
        </w:rPr>
        <w:t>七、结论</w:t>
      </w:r>
      <w:r>
        <w:rPr>
          <w:rFonts w:hint="default" w:ascii="Times New Roman" w:hAnsi="Times New Roman" w:cs="Times New Roman"/>
          <w:b/>
          <w:bCs/>
          <w:color w:val="auto"/>
          <w:sz w:val="28"/>
          <w:szCs w:val="28"/>
        </w:rPr>
        <w:tab/>
      </w:r>
      <w:r>
        <w:rPr>
          <w:rFonts w:hint="default" w:ascii="Times New Roman" w:hAnsi="Times New Roman" w:cs="Times New Roman"/>
          <w:b/>
          <w:bCs/>
          <w:color w:val="auto"/>
          <w:sz w:val="28"/>
          <w:szCs w:val="28"/>
        </w:rPr>
        <w:fldChar w:fldCharType="begin"/>
      </w:r>
      <w:r>
        <w:rPr>
          <w:rFonts w:hint="default" w:ascii="Times New Roman" w:hAnsi="Times New Roman" w:cs="Times New Roman"/>
          <w:b/>
          <w:bCs/>
          <w:color w:val="auto"/>
          <w:sz w:val="28"/>
          <w:szCs w:val="28"/>
        </w:rPr>
        <w:instrText xml:space="preserve"> PAGEREF _Toc24890 \h </w:instrText>
      </w:r>
      <w:r>
        <w:rPr>
          <w:rFonts w:hint="default" w:ascii="Times New Roman" w:hAnsi="Times New Roman" w:cs="Times New Roman"/>
          <w:b/>
          <w:bCs/>
          <w:color w:val="auto"/>
          <w:sz w:val="28"/>
          <w:szCs w:val="28"/>
        </w:rPr>
        <w:fldChar w:fldCharType="separate"/>
      </w:r>
      <w:r>
        <w:rPr>
          <w:rFonts w:hint="default" w:ascii="Times New Roman" w:hAnsi="Times New Roman" w:cs="Times New Roman"/>
          <w:b/>
          <w:bCs/>
          <w:color w:val="auto"/>
          <w:sz w:val="28"/>
          <w:szCs w:val="28"/>
        </w:rPr>
        <w:t>68</w:t>
      </w:r>
      <w:r>
        <w:rPr>
          <w:rFonts w:hint="default" w:ascii="Times New Roman" w:hAnsi="Times New Roman" w:cs="Times New Roman"/>
          <w:b/>
          <w:bCs/>
          <w:color w:val="auto"/>
          <w:sz w:val="28"/>
          <w:szCs w:val="28"/>
        </w:rPr>
        <w:fldChar w:fldCharType="end"/>
      </w:r>
      <w:r>
        <w:rPr>
          <w:rFonts w:hint="default" w:ascii="Times New Roman" w:hAnsi="Times New Roman" w:cs="Times New Roman"/>
          <w:b/>
          <w:bCs/>
          <w:color w:val="auto"/>
          <w:sz w:val="28"/>
          <w:szCs w:val="28"/>
        </w:rPr>
        <w:fldChar w:fldCharType="end"/>
      </w:r>
    </w:p>
    <w:p w14:paraId="319D0729">
      <w:pPr>
        <w:spacing w:line="276" w:lineRule="auto"/>
        <w:ind w:firstLine="562" w:firstLineChars="200"/>
        <w:rPr>
          <w:rFonts w:hint="default" w:ascii="Times New Roman" w:hAnsi="Times New Roman" w:cs="Times New Roman"/>
          <w:color w:val="auto"/>
          <w:sz w:val="21"/>
          <w:szCs w:val="21"/>
          <w:highlight w:val="yellow"/>
        </w:rPr>
      </w:pPr>
      <w:r>
        <w:rPr>
          <w:rFonts w:hint="default" w:ascii="Times New Roman" w:hAnsi="Times New Roman" w:cs="Times New Roman"/>
          <w:b/>
          <w:bCs/>
          <w:color w:val="auto"/>
          <w:sz w:val="28"/>
          <w:szCs w:val="28"/>
        </w:rPr>
        <w:fldChar w:fldCharType="end"/>
      </w:r>
    </w:p>
    <w:p w14:paraId="12E7E39B">
      <w:pPr>
        <w:spacing w:line="360" w:lineRule="auto"/>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附件：</w:t>
      </w:r>
    </w:p>
    <w:p w14:paraId="01BA5E19">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w:t>
      </w:r>
      <w:r>
        <w:rPr>
          <w:rFonts w:hint="default"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 xml:space="preserve"> 关于</w:t>
      </w:r>
      <w:r>
        <w:rPr>
          <w:rFonts w:hint="default" w:ascii="Times New Roman" w:hAnsi="Times New Roman" w:eastAsia="宋体" w:cs="Times New Roman"/>
          <w:color w:val="auto"/>
          <w:sz w:val="21"/>
          <w:szCs w:val="21"/>
          <w:highlight w:val="none"/>
          <w:lang w:eastAsia="zh-CN"/>
        </w:rPr>
        <w:t>省道名山至兴凯湖公路兴光至兴凯湖博物馆段路面改造工程</w:t>
      </w:r>
      <w:r>
        <w:rPr>
          <w:rFonts w:hint="default" w:ascii="Times New Roman" w:hAnsi="Times New Roman" w:eastAsia="宋体" w:cs="Times New Roman"/>
          <w:color w:val="auto"/>
          <w:sz w:val="21"/>
          <w:szCs w:val="21"/>
          <w:highlight w:val="none"/>
        </w:rPr>
        <w:t>施工图设计的批复</w:t>
      </w:r>
    </w:p>
    <w:p w14:paraId="4888801D">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附件2 生态环境分区管控分析报告</w:t>
      </w:r>
    </w:p>
    <w:p w14:paraId="54251227">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w:t>
      </w:r>
      <w:r>
        <w:rPr>
          <w:rFonts w:hint="default"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 xml:space="preserve"> 噪声监测报告</w:t>
      </w:r>
    </w:p>
    <w:p w14:paraId="39E7F0E1">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附件4：沥青混凝土拌合站场地租赁合同</w:t>
      </w:r>
    </w:p>
    <w:p w14:paraId="3918AEC1">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附件5：施工驻地租赁合同</w:t>
      </w:r>
    </w:p>
    <w:p w14:paraId="3A7D0EDB">
      <w:pPr>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附件6：兴凯镇路段限速说明</w:t>
      </w:r>
    </w:p>
    <w:p w14:paraId="31D1B4CD">
      <w:pPr>
        <w:spacing w:line="360" w:lineRule="auto"/>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附图：</w:t>
      </w:r>
    </w:p>
    <w:p w14:paraId="359D8753">
      <w:pPr>
        <w:spacing w:line="360" w:lineRule="auto"/>
        <w:ind w:firstLine="420" w:firstLineChars="200"/>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附图1 本项目地理位置图</w:t>
      </w:r>
    </w:p>
    <w:p w14:paraId="45EAA4F6">
      <w:pPr>
        <w:spacing w:line="360" w:lineRule="auto"/>
        <w:ind w:firstLine="420" w:firstLineChars="200"/>
        <w:rPr>
          <w:rFonts w:hint="default" w:cs="Times New Roman"/>
          <w:color w:val="auto"/>
          <w:sz w:val="21"/>
          <w:szCs w:val="21"/>
          <w:highlight w:val="none"/>
          <w:lang w:val="en-US" w:eastAsia="zh-CN"/>
        </w:rPr>
      </w:pPr>
      <w:r>
        <w:rPr>
          <w:rFonts w:hint="default" w:ascii="Times New Roman" w:hAnsi="Times New Roman" w:cs="Times New Roman"/>
          <w:color w:val="auto"/>
          <w:sz w:val="21"/>
          <w:szCs w:val="21"/>
          <w:highlight w:val="none"/>
        </w:rPr>
        <w:t xml:space="preserve">附图2 </w:t>
      </w:r>
      <w:r>
        <w:rPr>
          <w:rFonts w:hint="eastAsia" w:cs="Times New Roman"/>
          <w:color w:val="auto"/>
          <w:sz w:val="21"/>
          <w:szCs w:val="21"/>
          <w:highlight w:val="none"/>
          <w:lang w:val="en-US" w:eastAsia="zh-CN"/>
        </w:rPr>
        <w:t>本项目总平面施工布置图</w:t>
      </w:r>
    </w:p>
    <w:p w14:paraId="34E2066A">
      <w:pPr>
        <w:spacing w:line="360" w:lineRule="auto"/>
        <w:ind w:firstLine="420" w:firstLineChars="200"/>
        <w:rPr>
          <w:rFonts w:hint="default" w:cs="Times New Roman"/>
          <w:color w:val="auto"/>
          <w:sz w:val="21"/>
          <w:szCs w:val="21"/>
          <w:highlight w:val="none"/>
          <w:lang w:val="en-US" w:eastAsia="zh-CN"/>
        </w:rPr>
      </w:pPr>
      <w:r>
        <w:rPr>
          <w:rFonts w:hint="default" w:ascii="Times New Roman" w:hAnsi="Times New Roman" w:cs="Times New Roman"/>
          <w:color w:val="auto"/>
          <w:sz w:val="21"/>
          <w:szCs w:val="21"/>
          <w:highlight w:val="none"/>
        </w:rPr>
        <w:t xml:space="preserve">附图3 </w:t>
      </w:r>
      <w:r>
        <w:rPr>
          <w:rFonts w:hint="eastAsia" w:cs="Times New Roman"/>
          <w:color w:val="auto"/>
          <w:sz w:val="21"/>
          <w:szCs w:val="21"/>
          <w:highlight w:val="none"/>
          <w:lang w:val="en-US" w:eastAsia="zh-CN"/>
        </w:rPr>
        <w:t>本项目线路走向平面图</w:t>
      </w:r>
    </w:p>
    <w:p w14:paraId="2FB07871">
      <w:pPr>
        <w:spacing w:line="360" w:lineRule="auto"/>
        <w:ind w:firstLine="420" w:firstLineChars="200"/>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附图4 本项目平纵缩图</w:t>
      </w:r>
    </w:p>
    <w:p w14:paraId="1D00EF2D">
      <w:pPr>
        <w:spacing w:line="360" w:lineRule="auto"/>
        <w:ind w:firstLine="420" w:firstLineChars="200"/>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附图5 本项目评价范围图</w:t>
      </w:r>
    </w:p>
    <w:p w14:paraId="7DA5A5CB">
      <w:pPr>
        <w:spacing w:line="360" w:lineRule="auto"/>
        <w:ind w:firstLine="420" w:firstLineChars="200"/>
        <w:rPr>
          <w:rFonts w:hint="eastAsia" w:cs="Times New Roman"/>
          <w:color w:val="auto"/>
          <w:sz w:val="21"/>
          <w:szCs w:val="21"/>
          <w:highlight w:val="none"/>
          <w:lang w:val="en-US" w:eastAsia="zh-CN"/>
        </w:rPr>
      </w:pPr>
      <w:r>
        <w:rPr>
          <w:rFonts w:hint="default" w:ascii="Times New Roman" w:hAnsi="Times New Roman" w:cs="Times New Roman"/>
          <w:color w:val="auto"/>
          <w:sz w:val="21"/>
          <w:szCs w:val="21"/>
          <w:highlight w:val="none"/>
        </w:rPr>
        <w:t>附图</w:t>
      </w:r>
      <w:r>
        <w:rPr>
          <w:rFonts w:hint="eastAsia" w:cs="Times New Roman"/>
          <w:color w:val="auto"/>
          <w:sz w:val="21"/>
          <w:szCs w:val="21"/>
          <w:highlight w:val="none"/>
          <w:lang w:val="en-US" w:eastAsia="zh-CN"/>
        </w:rPr>
        <w:t>6</w:t>
      </w:r>
      <w:r>
        <w:rPr>
          <w:rFonts w:hint="default" w:ascii="Times New Roman" w:hAnsi="Times New Roman" w:cs="Times New Roman"/>
          <w:color w:val="auto"/>
          <w:sz w:val="21"/>
          <w:szCs w:val="21"/>
          <w:highlight w:val="none"/>
        </w:rPr>
        <w:t xml:space="preserve"> </w:t>
      </w:r>
      <w:r>
        <w:rPr>
          <w:rFonts w:hint="eastAsia" w:cs="Times New Roman"/>
          <w:color w:val="auto"/>
          <w:sz w:val="21"/>
          <w:szCs w:val="21"/>
          <w:highlight w:val="none"/>
          <w:lang w:val="en-US" w:eastAsia="zh-CN"/>
        </w:rPr>
        <w:t>本项目声环境保护目标图</w:t>
      </w:r>
    </w:p>
    <w:p w14:paraId="762C06C0">
      <w:pPr>
        <w:spacing w:line="360" w:lineRule="auto"/>
        <w:ind w:firstLine="420" w:firstLineChars="200"/>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附图7 本项目地表水系图</w:t>
      </w:r>
    </w:p>
    <w:p w14:paraId="15EAE2F7">
      <w:pPr>
        <w:pStyle w:val="11"/>
        <w:ind w:firstLine="720" w:firstLineChars="200"/>
        <w:rPr>
          <w:rFonts w:hint="default" w:ascii="Times New Roman" w:hAnsi="Times New Roman" w:eastAsia="仿宋_GB2312" w:cs="Times New Roman"/>
          <w:color w:val="auto"/>
          <w:sz w:val="36"/>
          <w:szCs w:val="36"/>
          <w:highlight w:val="yellow"/>
        </w:rPr>
        <w:sectPr>
          <w:pgSz w:w="11850" w:h="16783"/>
          <w:pgMar w:top="1440" w:right="1800" w:bottom="1440" w:left="1800" w:header="851" w:footer="1077" w:gutter="0"/>
          <w:pgBorders>
            <w:top w:val="none" w:sz="0" w:space="0"/>
            <w:left w:val="none" w:sz="0" w:space="0"/>
            <w:bottom w:val="none" w:sz="0" w:space="0"/>
            <w:right w:val="none" w:sz="0" w:space="0"/>
          </w:pgBorders>
          <w:pgNumType w:start="21"/>
          <w:cols w:space="720" w:num="1"/>
          <w:docGrid w:linePitch="312" w:charSpace="0"/>
        </w:sectPr>
      </w:pPr>
    </w:p>
    <w:p w14:paraId="46B6DF86">
      <w:pPr>
        <w:pStyle w:val="25"/>
        <w:spacing w:before="0" w:beforeAutospacing="0" w:after="120" w:afterLines="50" w:afterAutospacing="0"/>
        <w:jc w:val="center"/>
        <w:outlineLvl w:val="0"/>
        <w:rPr>
          <w:rFonts w:hint="default" w:ascii="Times New Roman" w:hAnsi="Times New Roman" w:eastAsia="黑体" w:cs="Times New Roman"/>
          <w:snapToGrid w:val="0"/>
          <w:color w:val="auto"/>
          <w:kern w:val="21"/>
          <w:sz w:val="30"/>
          <w:szCs w:val="30"/>
        </w:rPr>
      </w:pPr>
      <w:bookmarkStart w:id="2" w:name="_Toc30934"/>
      <w:r>
        <w:rPr>
          <w:rFonts w:hint="default" w:ascii="Times New Roman" w:hAnsi="Times New Roman" w:eastAsia="黑体" w:cs="Times New Roman"/>
          <w:snapToGrid w:val="0"/>
          <w:color w:val="auto"/>
          <w:kern w:val="21"/>
          <w:sz w:val="30"/>
          <w:szCs w:val="30"/>
        </w:rPr>
        <w:t>一、建设项目基本情况</w:t>
      </w:r>
      <w:bookmarkEnd w:id="2"/>
    </w:p>
    <w:tbl>
      <w:tblPr>
        <w:tblStyle w:val="30"/>
        <w:tblW w:w="8379"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13" w:type="dxa"/>
          <w:bottom w:w="0" w:type="dxa"/>
          <w:right w:w="113" w:type="dxa"/>
        </w:tblCellMar>
      </w:tblPr>
      <w:tblGrid>
        <w:gridCol w:w="1797"/>
        <w:gridCol w:w="2117"/>
        <w:gridCol w:w="1560"/>
        <w:gridCol w:w="2905"/>
      </w:tblGrid>
      <w:tr w14:paraId="4D707C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3B2CF83A">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建设项目名称</w:t>
            </w:r>
          </w:p>
        </w:tc>
        <w:tc>
          <w:tcPr>
            <w:tcW w:w="6582" w:type="dxa"/>
            <w:gridSpan w:val="3"/>
            <w:noWrap w:val="0"/>
            <w:vAlign w:val="center"/>
          </w:tcPr>
          <w:p w14:paraId="79518391">
            <w:pPr>
              <w:spacing w:line="240" w:lineRule="auto"/>
              <w:jc w:val="center"/>
              <w:rPr>
                <w:rFonts w:hint="default" w:ascii="Times New Roman" w:hAnsi="Times New Roman" w:eastAsia="宋体" w:cs="Times New Roman"/>
                <w:color w:val="auto"/>
                <w:kern w:val="21"/>
                <w:szCs w:val="21"/>
                <w:lang w:eastAsia="zh-CN"/>
              </w:rPr>
            </w:pPr>
            <w:r>
              <w:rPr>
                <w:rFonts w:hint="default" w:ascii="Times New Roman" w:hAnsi="Times New Roman" w:eastAsia="宋体" w:cs="Times New Roman"/>
                <w:color w:val="auto"/>
                <w:kern w:val="21"/>
                <w:szCs w:val="21"/>
                <w:lang w:eastAsia="zh-CN"/>
              </w:rPr>
              <w:t>国道集贤至当壁公路宝清界至兴凯镇段路面改造工程</w:t>
            </w:r>
          </w:p>
        </w:tc>
      </w:tr>
      <w:tr w14:paraId="2EEB09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045DFA90">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项目代码</w:t>
            </w:r>
          </w:p>
        </w:tc>
        <w:tc>
          <w:tcPr>
            <w:tcW w:w="6582" w:type="dxa"/>
            <w:gridSpan w:val="3"/>
            <w:noWrap w:val="0"/>
            <w:vAlign w:val="center"/>
          </w:tcPr>
          <w:p w14:paraId="092E481B">
            <w:pPr>
              <w:spacing w:line="240" w:lineRule="auto"/>
              <w:jc w:val="center"/>
              <w:rPr>
                <w:rFonts w:hint="default" w:ascii="Times New Roman" w:hAnsi="Times New Roman" w:eastAsia="宋体" w:cs="Times New Roman"/>
                <w:color w:val="auto"/>
                <w:kern w:val="21"/>
                <w:szCs w:val="21"/>
                <w:highlight w:val="none"/>
                <w:lang w:val="en-US" w:eastAsia="zh-CN"/>
              </w:rPr>
            </w:pPr>
            <w:r>
              <w:rPr>
                <w:rFonts w:hint="default" w:ascii="Times New Roman" w:hAnsi="Times New Roman" w:cs="Times New Roman"/>
                <w:color w:val="auto"/>
                <w:kern w:val="21"/>
                <w:szCs w:val="21"/>
                <w:highlight w:val="none"/>
                <w:lang w:val="en-US" w:eastAsia="zh-CN"/>
              </w:rPr>
              <w:t>/</w:t>
            </w:r>
          </w:p>
        </w:tc>
      </w:tr>
      <w:tr w14:paraId="19BB97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5D7F20CB">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建设单位联系人</w:t>
            </w:r>
          </w:p>
        </w:tc>
        <w:tc>
          <w:tcPr>
            <w:tcW w:w="2117" w:type="dxa"/>
            <w:noWrap w:val="0"/>
            <w:vAlign w:val="center"/>
          </w:tcPr>
          <w:p w14:paraId="05FFE5EE">
            <w:pPr>
              <w:spacing w:line="240" w:lineRule="auto"/>
              <w:jc w:val="center"/>
              <w:rPr>
                <w:rFonts w:hint="default" w:ascii="Times New Roman" w:hAnsi="Times New Roman" w:eastAsia="宋体" w:cs="Times New Roman"/>
                <w:color w:val="auto"/>
                <w:kern w:val="21"/>
                <w:szCs w:val="21"/>
                <w:lang w:val="en-US" w:eastAsia="zh-CN"/>
              </w:rPr>
            </w:pPr>
            <w:r>
              <w:rPr>
                <w:rFonts w:hint="default" w:ascii="Times New Roman" w:hAnsi="Times New Roman" w:cs="Times New Roman"/>
                <w:color w:val="auto"/>
                <w:kern w:val="21"/>
                <w:szCs w:val="21"/>
                <w:lang w:val="en-US" w:eastAsia="zh-CN"/>
              </w:rPr>
              <w:t>鞠博宇</w:t>
            </w:r>
          </w:p>
        </w:tc>
        <w:tc>
          <w:tcPr>
            <w:tcW w:w="1560" w:type="dxa"/>
            <w:noWrap w:val="0"/>
            <w:vAlign w:val="center"/>
          </w:tcPr>
          <w:p w14:paraId="1E74BA8C">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联系方式</w:t>
            </w:r>
          </w:p>
        </w:tc>
        <w:tc>
          <w:tcPr>
            <w:tcW w:w="2905" w:type="dxa"/>
            <w:noWrap w:val="0"/>
            <w:vAlign w:val="center"/>
          </w:tcPr>
          <w:p w14:paraId="608CB796">
            <w:pPr>
              <w:spacing w:line="240" w:lineRule="auto"/>
              <w:jc w:val="center"/>
              <w:rPr>
                <w:rFonts w:hint="default" w:ascii="Times New Roman" w:hAnsi="Times New Roman" w:eastAsia="宋体" w:cs="Times New Roman"/>
                <w:color w:val="auto"/>
                <w:kern w:val="21"/>
                <w:szCs w:val="21"/>
                <w:lang w:val="en-US" w:eastAsia="zh-CN"/>
              </w:rPr>
            </w:pPr>
            <w:r>
              <w:rPr>
                <w:rFonts w:hint="default" w:ascii="Times New Roman" w:hAnsi="Times New Roman" w:cs="Times New Roman"/>
                <w:color w:val="auto"/>
                <w:kern w:val="21"/>
                <w:szCs w:val="21"/>
                <w:lang w:val="en-US" w:eastAsia="zh-CN"/>
              </w:rPr>
              <w:t>13614689497</w:t>
            </w:r>
          </w:p>
        </w:tc>
      </w:tr>
      <w:tr w14:paraId="4E957C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6242232A">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建设地点</w:t>
            </w:r>
          </w:p>
        </w:tc>
        <w:tc>
          <w:tcPr>
            <w:tcW w:w="6582" w:type="dxa"/>
            <w:gridSpan w:val="3"/>
            <w:noWrap w:val="0"/>
            <w:vAlign w:val="center"/>
          </w:tcPr>
          <w:p w14:paraId="0297529B">
            <w:pPr>
              <w:widowControl/>
              <w:spacing w:line="240" w:lineRule="auto"/>
              <w:jc w:val="center"/>
              <w:rPr>
                <w:rFonts w:hint="default" w:ascii="Times New Roman" w:hAnsi="Times New Roman" w:eastAsia="宋体" w:cs="Times New Roman"/>
                <w:color w:val="auto"/>
                <w:kern w:val="21"/>
                <w:szCs w:val="21"/>
                <w:lang w:val="en-US" w:eastAsia="zh-CN"/>
              </w:rPr>
            </w:pPr>
            <w:r>
              <w:rPr>
                <w:rFonts w:hint="default" w:ascii="Times New Roman" w:hAnsi="Times New Roman" w:cs="Times New Roman"/>
                <w:color w:val="auto"/>
                <w:kern w:val="21"/>
                <w:szCs w:val="21"/>
              </w:rPr>
              <w:t>黑龙江省</w:t>
            </w:r>
            <w:r>
              <w:rPr>
                <w:rFonts w:hint="default" w:ascii="Times New Roman" w:hAnsi="Times New Roman" w:cs="Times New Roman"/>
                <w:color w:val="auto"/>
                <w:kern w:val="21"/>
                <w:szCs w:val="21"/>
                <w:lang w:val="en-US" w:eastAsia="zh-CN"/>
              </w:rPr>
              <w:t>鸡西</w:t>
            </w:r>
            <w:r>
              <w:rPr>
                <w:rFonts w:hint="default" w:ascii="Times New Roman" w:hAnsi="Times New Roman" w:cs="Times New Roman"/>
                <w:color w:val="auto"/>
                <w:kern w:val="21"/>
                <w:szCs w:val="21"/>
              </w:rPr>
              <w:t>市</w:t>
            </w:r>
            <w:r>
              <w:rPr>
                <w:rFonts w:hint="default" w:ascii="Times New Roman" w:hAnsi="Times New Roman" w:cs="Times New Roman"/>
                <w:color w:val="auto"/>
                <w:kern w:val="21"/>
                <w:szCs w:val="21"/>
                <w:lang w:val="en-US" w:eastAsia="zh-CN"/>
              </w:rPr>
              <w:t>密山</w:t>
            </w:r>
            <w:r>
              <w:rPr>
                <w:rFonts w:hint="default" w:ascii="Times New Roman" w:hAnsi="Times New Roman" w:cs="Times New Roman"/>
                <w:color w:val="auto"/>
                <w:kern w:val="21"/>
                <w:szCs w:val="21"/>
              </w:rPr>
              <w:t>市</w:t>
            </w:r>
            <w:r>
              <w:rPr>
                <w:rFonts w:hint="default" w:ascii="Times New Roman" w:hAnsi="Times New Roman" w:cs="Times New Roman"/>
                <w:color w:val="auto"/>
                <w:kern w:val="21"/>
                <w:szCs w:val="21"/>
                <w:lang w:eastAsia="zh-CN"/>
              </w:rPr>
              <w:t>，</w:t>
            </w:r>
            <w:r>
              <w:rPr>
                <w:rFonts w:hint="default" w:ascii="Times New Roman" w:hAnsi="Times New Roman" w:cs="Times New Roman"/>
                <w:color w:val="auto"/>
                <w:kern w:val="21"/>
                <w:szCs w:val="21"/>
                <w:lang w:val="en-US" w:eastAsia="zh-CN"/>
              </w:rPr>
              <w:t>起点起自国道集当公路密山与宝清县交界处，终点止于与国道丹阿公路交叉处。</w:t>
            </w:r>
          </w:p>
        </w:tc>
      </w:tr>
      <w:tr w14:paraId="6B2D51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267F61A5">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地理坐标</w:t>
            </w:r>
          </w:p>
        </w:tc>
        <w:tc>
          <w:tcPr>
            <w:tcW w:w="6582" w:type="dxa"/>
            <w:gridSpan w:val="3"/>
            <w:noWrap w:val="0"/>
            <w:vAlign w:val="center"/>
          </w:tcPr>
          <w:p w14:paraId="36CAF1A6">
            <w:pPr>
              <w:spacing w:line="240" w:lineRule="auto"/>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起点（</w:t>
            </w:r>
            <w:r>
              <w:rPr>
                <w:rFonts w:hint="default" w:ascii="Times New Roman" w:hAnsi="Times New Roman" w:cs="Times New Roman"/>
                <w:color w:val="auto"/>
                <w:kern w:val="21"/>
                <w:szCs w:val="21"/>
                <w:u w:val="single"/>
              </w:rPr>
              <w:t>1</w:t>
            </w:r>
            <w:r>
              <w:rPr>
                <w:rFonts w:hint="default" w:ascii="Times New Roman" w:hAnsi="Times New Roman" w:cs="Times New Roman"/>
                <w:color w:val="auto"/>
                <w:kern w:val="21"/>
                <w:szCs w:val="21"/>
                <w:u w:val="single"/>
                <w:lang w:val="en-US" w:eastAsia="zh-CN"/>
              </w:rPr>
              <w:t>32</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度</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u w:val="single"/>
                <w:lang w:val="en-US" w:eastAsia="zh-CN"/>
              </w:rPr>
              <w:t>1</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分</w:t>
            </w:r>
            <w:r>
              <w:rPr>
                <w:rFonts w:hint="default" w:ascii="Times New Roman" w:hAnsi="Times New Roman" w:cs="Times New Roman"/>
                <w:color w:val="auto"/>
                <w:kern w:val="21"/>
                <w:szCs w:val="21"/>
                <w:u w:val="single"/>
              </w:rPr>
              <w:t xml:space="preserve"> 5.711 </w:t>
            </w:r>
            <w:r>
              <w:rPr>
                <w:rFonts w:hint="default" w:ascii="Times New Roman" w:hAnsi="Times New Roman" w:cs="Times New Roman"/>
                <w:color w:val="auto"/>
                <w:kern w:val="21"/>
                <w:szCs w:val="21"/>
              </w:rPr>
              <w:t>秒，</w:t>
            </w:r>
            <w:r>
              <w:rPr>
                <w:rFonts w:hint="default" w:ascii="Times New Roman" w:hAnsi="Times New Roman" w:cs="Times New Roman"/>
                <w:color w:val="auto"/>
                <w:kern w:val="21"/>
                <w:szCs w:val="21"/>
                <w:u w:val="single"/>
              </w:rPr>
              <w:t xml:space="preserve"> 4</w:t>
            </w:r>
            <w:r>
              <w:rPr>
                <w:rFonts w:hint="default" w:ascii="Times New Roman" w:hAnsi="Times New Roman" w:cs="Times New Roman"/>
                <w:color w:val="auto"/>
                <w:kern w:val="21"/>
                <w:szCs w:val="21"/>
                <w:u w:val="single"/>
                <w:lang w:val="en-US" w:eastAsia="zh-CN"/>
              </w:rPr>
              <w:t>5</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度</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u w:val="single"/>
                <w:lang w:val="en-US" w:eastAsia="zh-CN"/>
              </w:rPr>
              <w:t>48</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分</w:t>
            </w:r>
            <w:r>
              <w:rPr>
                <w:rFonts w:hint="default" w:ascii="Times New Roman" w:hAnsi="Times New Roman" w:cs="Times New Roman"/>
                <w:color w:val="auto"/>
                <w:kern w:val="21"/>
                <w:szCs w:val="21"/>
                <w:u w:val="single"/>
              </w:rPr>
              <w:t xml:space="preserve"> 45.841</w:t>
            </w:r>
            <w:r>
              <w:rPr>
                <w:rFonts w:hint="default" w:ascii="Times New Roman" w:hAnsi="Times New Roman" w:cs="Times New Roman"/>
                <w:color w:val="auto"/>
                <w:kern w:val="21"/>
                <w:szCs w:val="21"/>
              </w:rPr>
              <w:t>秒）</w:t>
            </w:r>
          </w:p>
          <w:p w14:paraId="5D5BF441">
            <w:pPr>
              <w:spacing w:line="240" w:lineRule="auto"/>
              <w:rPr>
                <w:rFonts w:hint="default" w:ascii="Times New Roman" w:hAnsi="Times New Roman" w:cs="Times New Roman"/>
                <w:color w:val="auto"/>
              </w:rPr>
            </w:pPr>
            <w:r>
              <w:rPr>
                <w:rFonts w:hint="default" w:ascii="Times New Roman" w:hAnsi="Times New Roman" w:cs="Times New Roman"/>
                <w:color w:val="auto"/>
                <w:kern w:val="21"/>
                <w:szCs w:val="21"/>
              </w:rPr>
              <w:t>终点（</w:t>
            </w:r>
            <w:r>
              <w:rPr>
                <w:rFonts w:hint="default" w:ascii="Times New Roman" w:hAnsi="Times New Roman" w:cs="Times New Roman"/>
                <w:color w:val="auto"/>
                <w:kern w:val="21"/>
                <w:szCs w:val="21"/>
                <w:u w:val="single"/>
              </w:rPr>
              <w:t xml:space="preserve"> 1</w:t>
            </w:r>
            <w:r>
              <w:rPr>
                <w:rFonts w:hint="default" w:ascii="Times New Roman" w:hAnsi="Times New Roman" w:cs="Times New Roman"/>
                <w:color w:val="auto"/>
                <w:kern w:val="21"/>
                <w:szCs w:val="21"/>
                <w:u w:val="single"/>
                <w:lang w:val="en-US" w:eastAsia="zh-CN"/>
              </w:rPr>
              <w:t>32</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度</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u w:val="single"/>
                <w:lang w:val="en-US" w:eastAsia="zh-CN"/>
              </w:rPr>
              <w:t>3</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分</w:t>
            </w:r>
            <w:r>
              <w:rPr>
                <w:rFonts w:hint="default" w:ascii="Times New Roman" w:hAnsi="Times New Roman" w:cs="Times New Roman"/>
                <w:color w:val="auto"/>
                <w:kern w:val="21"/>
                <w:szCs w:val="21"/>
                <w:u w:val="single"/>
                <w:lang w:val="en-US" w:eastAsia="zh-CN"/>
              </w:rPr>
              <w:t xml:space="preserve"> </w:t>
            </w:r>
            <w:r>
              <w:rPr>
                <w:rFonts w:hint="default" w:ascii="Times New Roman" w:hAnsi="Times New Roman" w:cs="Times New Roman"/>
                <w:color w:val="auto"/>
                <w:kern w:val="21"/>
                <w:szCs w:val="21"/>
                <w:u w:val="single"/>
              </w:rPr>
              <w:t>38.79</w:t>
            </w:r>
            <w:r>
              <w:rPr>
                <w:rFonts w:hint="default" w:ascii="Times New Roman" w:hAnsi="Times New Roman" w:cs="Times New Roman"/>
                <w:color w:val="auto"/>
                <w:kern w:val="21"/>
                <w:szCs w:val="21"/>
                <w:u w:val="single"/>
                <w:lang w:val="en-US" w:eastAsia="zh-CN"/>
              </w:rPr>
              <w:t>7</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秒，</w:t>
            </w:r>
            <w:r>
              <w:rPr>
                <w:rFonts w:hint="default" w:ascii="Times New Roman" w:hAnsi="Times New Roman" w:cs="Times New Roman"/>
                <w:color w:val="auto"/>
                <w:kern w:val="21"/>
                <w:szCs w:val="21"/>
                <w:u w:val="single"/>
              </w:rPr>
              <w:t xml:space="preserve"> 4</w:t>
            </w:r>
            <w:r>
              <w:rPr>
                <w:rFonts w:hint="default" w:ascii="Times New Roman" w:hAnsi="Times New Roman" w:cs="Times New Roman"/>
                <w:color w:val="auto"/>
                <w:kern w:val="21"/>
                <w:szCs w:val="21"/>
                <w:u w:val="single"/>
                <w:lang w:val="en-US" w:eastAsia="zh-CN"/>
              </w:rPr>
              <w:t>5</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度</w:t>
            </w:r>
            <w:r>
              <w:rPr>
                <w:rFonts w:hint="default" w:ascii="Times New Roman" w:hAnsi="Times New Roman" w:cs="Times New Roman"/>
                <w:color w:val="auto"/>
                <w:kern w:val="21"/>
                <w:szCs w:val="21"/>
                <w:u w:val="single"/>
                <w:lang w:val="en-US" w:eastAsia="zh-CN"/>
              </w:rPr>
              <w:t xml:space="preserve"> </w:t>
            </w:r>
            <w:r>
              <w:rPr>
                <w:rFonts w:hint="default" w:ascii="Times New Roman" w:hAnsi="Times New Roman" w:cs="Times New Roman"/>
                <w:color w:val="auto"/>
                <w:kern w:val="21"/>
                <w:szCs w:val="21"/>
                <w:u w:val="single"/>
              </w:rPr>
              <w:t>4</w:t>
            </w:r>
            <w:r>
              <w:rPr>
                <w:rFonts w:hint="default" w:ascii="Times New Roman" w:hAnsi="Times New Roman" w:cs="Times New Roman"/>
                <w:color w:val="auto"/>
                <w:kern w:val="21"/>
                <w:szCs w:val="21"/>
                <w:u w:val="single"/>
                <w:lang w:val="en-US" w:eastAsia="zh-CN"/>
              </w:rPr>
              <w:t>2</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分</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u w:val="single"/>
                <w:lang w:val="en-US" w:eastAsia="zh-CN"/>
              </w:rPr>
              <w:t>14.746</w:t>
            </w:r>
            <w:r>
              <w:rPr>
                <w:rFonts w:hint="default" w:ascii="Times New Roman" w:hAnsi="Times New Roman" w:cs="Times New Roman"/>
                <w:color w:val="auto"/>
                <w:kern w:val="21"/>
                <w:szCs w:val="21"/>
                <w:u w:val="single"/>
              </w:rPr>
              <w:t xml:space="preserve"> </w:t>
            </w:r>
            <w:r>
              <w:rPr>
                <w:rFonts w:hint="default" w:ascii="Times New Roman" w:hAnsi="Times New Roman" w:cs="Times New Roman"/>
                <w:color w:val="auto"/>
                <w:kern w:val="21"/>
                <w:szCs w:val="21"/>
              </w:rPr>
              <w:t>秒）</w:t>
            </w:r>
          </w:p>
        </w:tc>
      </w:tr>
      <w:tr w14:paraId="42E8D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012429BD">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建设项目</w:t>
            </w:r>
          </w:p>
          <w:p w14:paraId="05324174">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行业类别</w:t>
            </w:r>
          </w:p>
        </w:tc>
        <w:tc>
          <w:tcPr>
            <w:tcW w:w="2117" w:type="dxa"/>
            <w:noWrap w:val="0"/>
            <w:vAlign w:val="center"/>
          </w:tcPr>
          <w:p w14:paraId="123625D5">
            <w:pPr>
              <w:spacing w:line="240" w:lineRule="auto"/>
              <w:rPr>
                <w:rFonts w:hint="default" w:ascii="Times New Roman" w:hAnsi="Times New Roman" w:cs="Times New Roman"/>
                <w:color w:val="auto"/>
                <w:kern w:val="21"/>
                <w:szCs w:val="21"/>
              </w:rPr>
            </w:pPr>
            <w:r>
              <w:rPr>
                <w:rFonts w:hint="default" w:ascii="Times New Roman" w:hAnsi="Times New Roman" w:cs="Times New Roman"/>
                <w:color w:val="auto"/>
                <w:kern w:val="21"/>
              </w:rPr>
              <w:t>五十二、交通运输业、管道运输业-130 等级公路（不含维护；不含生命救援、应急保通工程以及国防交通保障项目；不含改扩建四级公路）-其他（配套设施除外；不涉及环境敏感区的三级、四级公路除外）</w:t>
            </w:r>
          </w:p>
        </w:tc>
        <w:tc>
          <w:tcPr>
            <w:tcW w:w="1560" w:type="dxa"/>
            <w:noWrap w:val="0"/>
            <w:vAlign w:val="center"/>
          </w:tcPr>
          <w:p w14:paraId="672E3625">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用地（用海）面积（m</w:t>
            </w:r>
            <w:r>
              <w:rPr>
                <w:rFonts w:hint="default" w:ascii="Times New Roman" w:hAnsi="Times New Roman" w:cs="Times New Roman"/>
                <w:color w:val="auto"/>
                <w:kern w:val="21"/>
                <w:szCs w:val="21"/>
                <w:vertAlign w:val="superscript"/>
              </w:rPr>
              <w:t>2</w:t>
            </w:r>
            <w:r>
              <w:rPr>
                <w:rFonts w:hint="default" w:ascii="Times New Roman" w:hAnsi="Times New Roman" w:cs="Times New Roman"/>
                <w:color w:val="auto"/>
                <w:kern w:val="21"/>
                <w:szCs w:val="21"/>
              </w:rPr>
              <w:t>）/长度（km）</w:t>
            </w:r>
          </w:p>
        </w:tc>
        <w:tc>
          <w:tcPr>
            <w:tcW w:w="2905" w:type="dxa"/>
            <w:noWrap w:val="0"/>
            <w:vAlign w:val="center"/>
          </w:tcPr>
          <w:p w14:paraId="0714A4CC">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lang w:val="en-US" w:eastAsia="zh-CN"/>
              </w:rPr>
              <w:t>无</w:t>
            </w:r>
            <w:r>
              <w:rPr>
                <w:rFonts w:hint="default" w:ascii="Times New Roman" w:hAnsi="Times New Roman" w:cs="Times New Roman"/>
                <w:color w:val="auto"/>
                <w:kern w:val="21"/>
                <w:highlight w:val="none"/>
              </w:rPr>
              <w:t>新增永久占地，临时占地</w:t>
            </w:r>
            <w:r>
              <w:rPr>
                <w:rFonts w:hint="eastAsia" w:cs="Times New Roman"/>
                <w:color w:val="auto"/>
                <w:kern w:val="21"/>
                <w:highlight w:val="none"/>
                <w:lang w:val="en-US" w:eastAsia="zh-CN"/>
              </w:rPr>
              <w:t>3.86</w:t>
            </w:r>
            <w:r>
              <w:rPr>
                <w:rFonts w:hint="default" w:ascii="Times New Roman" w:hAnsi="Times New Roman" w:cs="Times New Roman"/>
                <w:color w:val="auto"/>
                <w:kern w:val="21"/>
                <w:highlight w:val="none"/>
              </w:rPr>
              <w:t>hm</w:t>
            </w:r>
            <w:r>
              <w:rPr>
                <w:rFonts w:hint="default" w:ascii="Times New Roman" w:hAnsi="Times New Roman" w:cs="Times New Roman"/>
                <w:color w:val="auto"/>
                <w:kern w:val="21"/>
                <w:highlight w:val="none"/>
                <w:vertAlign w:val="superscript"/>
              </w:rPr>
              <w:t>2</w:t>
            </w:r>
            <w:r>
              <w:rPr>
                <w:rFonts w:hint="default" w:ascii="Times New Roman" w:hAnsi="Times New Roman" w:cs="Times New Roman"/>
                <w:color w:val="auto"/>
                <w:kern w:val="21"/>
                <w:highlight w:val="none"/>
              </w:rPr>
              <w:t>；路线全长</w:t>
            </w:r>
            <w:r>
              <w:rPr>
                <w:rFonts w:hint="default" w:ascii="Times New Roman" w:hAnsi="Times New Roman" w:cs="Times New Roman"/>
                <w:color w:val="auto"/>
                <w:kern w:val="21"/>
                <w:highlight w:val="none"/>
                <w:lang w:val="en-US" w:eastAsia="zh-CN"/>
              </w:rPr>
              <w:t>16.101</w:t>
            </w:r>
            <w:r>
              <w:rPr>
                <w:rFonts w:hint="default" w:ascii="Times New Roman" w:hAnsi="Times New Roman" w:eastAsia="宋体" w:cs="Times New Roman"/>
                <w:color w:val="auto"/>
                <w:highlight w:val="none"/>
                <w:lang w:val="en-US" w:eastAsia="zh-CN"/>
              </w:rPr>
              <w:t>km</w:t>
            </w:r>
          </w:p>
        </w:tc>
      </w:tr>
      <w:tr w14:paraId="7424A3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17D687D8">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建设性质</w:t>
            </w:r>
          </w:p>
        </w:tc>
        <w:tc>
          <w:tcPr>
            <w:tcW w:w="2117" w:type="dxa"/>
            <w:noWrap w:val="0"/>
            <w:vAlign w:val="center"/>
          </w:tcPr>
          <w:p w14:paraId="256CB534">
            <w:pPr>
              <w:adjustRightInd w:val="0"/>
              <w:snapToGrid w:val="0"/>
              <w:spacing w:line="240" w:lineRule="auto"/>
              <w:jc w:val="left"/>
              <w:rPr>
                <w:rFonts w:hint="default" w:ascii="Times New Roman" w:hAnsi="Times New Roman" w:cs="Times New Roman"/>
                <w:color w:val="auto"/>
                <w:szCs w:val="21"/>
              </w:rPr>
            </w:pPr>
            <w:r>
              <w:rPr>
                <w:rFonts w:hint="default" w:ascii="Times New Roman" w:hAnsi="Times New Roman" w:cs="Times New Roman"/>
                <w:color w:val="auto"/>
                <w:szCs w:val="21"/>
              </w:rPr>
              <w:t>□新建（迁建）</w:t>
            </w:r>
          </w:p>
          <w:p w14:paraId="3AFE56DB">
            <w:pPr>
              <w:adjustRightInd w:val="0"/>
              <w:snapToGrid w:val="0"/>
              <w:spacing w:line="240" w:lineRule="auto"/>
              <w:jc w:val="left"/>
              <w:rPr>
                <w:rFonts w:hint="default" w:ascii="Times New Roman" w:hAnsi="Times New Roman" w:cs="Times New Roman"/>
                <w:color w:val="auto"/>
                <w:szCs w:val="21"/>
              </w:rPr>
            </w:pPr>
            <w:r>
              <w:rPr>
                <w:rFonts w:hint="default" w:ascii="Times New Roman" w:hAnsi="Times New Roman" w:cs="Times New Roman"/>
                <w:color w:val="auto"/>
                <w:szCs w:val="21"/>
                <w:lang w:eastAsia="zh-CN"/>
              </w:rPr>
              <w:t>☑</w:t>
            </w:r>
            <w:r>
              <w:rPr>
                <w:rFonts w:hint="default" w:ascii="Times New Roman" w:hAnsi="Times New Roman" w:cs="Times New Roman"/>
                <w:color w:val="auto"/>
                <w:szCs w:val="21"/>
              </w:rPr>
              <w:t>改建</w:t>
            </w:r>
          </w:p>
          <w:p w14:paraId="3C9E2123">
            <w:pPr>
              <w:adjustRightInd w:val="0"/>
              <w:snapToGrid w:val="0"/>
              <w:spacing w:line="240" w:lineRule="auto"/>
              <w:jc w:val="left"/>
              <w:rPr>
                <w:rFonts w:hint="default" w:ascii="Times New Roman" w:hAnsi="Times New Roman" w:cs="Times New Roman"/>
                <w:color w:val="auto"/>
                <w:szCs w:val="21"/>
              </w:rPr>
            </w:pPr>
            <w:r>
              <w:rPr>
                <w:rFonts w:hint="default" w:ascii="Times New Roman" w:hAnsi="Times New Roman" w:cs="Times New Roman"/>
                <w:color w:val="auto"/>
                <w:szCs w:val="21"/>
              </w:rPr>
              <w:sym w:font="Wingdings 2" w:char="00A3"/>
            </w:r>
            <w:r>
              <w:rPr>
                <w:rFonts w:hint="default" w:ascii="Times New Roman" w:hAnsi="Times New Roman" w:cs="Times New Roman"/>
                <w:color w:val="auto"/>
                <w:szCs w:val="21"/>
              </w:rPr>
              <w:t>扩建</w:t>
            </w:r>
          </w:p>
          <w:p w14:paraId="7F2BBD50">
            <w:pPr>
              <w:spacing w:line="240" w:lineRule="auto"/>
              <w:jc w:val="left"/>
              <w:rPr>
                <w:rFonts w:hint="default" w:ascii="Times New Roman" w:hAnsi="Times New Roman" w:cs="Times New Roman"/>
                <w:color w:val="auto"/>
                <w:kern w:val="21"/>
                <w:szCs w:val="21"/>
              </w:rPr>
            </w:pPr>
            <w:r>
              <w:rPr>
                <w:rFonts w:hint="default" w:ascii="Times New Roman" w:hAnsi="Times New Roman" w:cs="Times New Roman"/>
                <w:color w:val="auto"/>
                <w:szCs w:val="21"/>
              </w:rPr>
              <w:t>□技术改造</w:t>
            </w:r>
          </w:p>
        </w:tc>
        <w:tc>
          <w:tcPr>
            <w:tcW w:w="1560" w:type="dxa"/>
            <w:noWrap w:val="0"/>
            <w:vAlign w:val="center"/>
          </w:tcPr>
          <w:p w14:paraId="1E7DEE73">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建设项目</w:t>
            </w:r>
          </w:p>
          <w:p w14:paraId="71F42B13">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申报情形</w:t>
            </w:r>
          </w:p>
        </w:tc>
        <w:tc>
          <w:tcPr>
            <w:tcW w:w="2905" w:type="dxa"/>
            <w:noWrap w:val="0"/>
            <w:vAlign w:val="center"/>
          </w:tcPr>
          <w:p w14:paraId="41A507F9">
            <w:pPr>
              <w:spacing w:line="240" w:lineRule="auto"/>
              <w:jc w:val="left"/>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sym w:font="Wingdings 2" w:char="0052"/>
            </w:r>
            <w:r>
              <w:rPr>
                <w:rFonts w:hint="default" w:ascii="Times New Roman" w:hAnsi="Times New Roman" w:cs="Times New Roman"/>
                <w:color w:val="auto"/>
                <w:kern w:val="21"/>
                <w:szCs w:val="21"/>
              </w:rPr>
              <w:t>首次申报项目</w:t>
            </w:r>
          </w:p>
          <w:p w14:paraId="6E8A879C">
            <w:pPr>
              <w:spacing w:line="240" w:lineRule="auto"/>
              <w:jc w:val="left"/>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□不予批准后再次申报项目</w:t>
            </w:r>
          </w:p>
          <w:p w14:paraId="4EBB8A14">
            <w:pPr>
              <w:spacing w:line="240" w:lineRule="auto"/>
              <w:jc w:val="left"/>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□超五年重新审核项目</w:t>
            </w:r>
          </w:p>
          <w:p w14:paraId="6D2CF413">
            <w:pPr>
              <w:spacing w:line="240" w:lineRule="auto"/>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□重大变动重新报批项目</w:t>
            </w:r>
          </w:p>
        </w:tc>
      </w:tr>
      <w:tr w14:paraId="6B4830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030E7DEB">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项目审批（核准/备案）部门（选填）</w:t>
            </w:r>
          </w:p>
        </w:tc>
        <w:tc>
          <w:tcPr>
            <w:tcW w:w="2117" w:type="dxa"/>
            <w:noWrap w:val="0"/>
            <w:vAlign w:val="center"/>
          </w:tcPr>
          <w:p w14:paraId="39A826F3">
            <w:pPr>
              <w:spacing w:line="240" w:lineRule="auto"/>
              <w:jc w:val="center"/>
              <w:rPr>
                <w:rFonts w:hint="default" w:ascii="Times New Roman" w:hAnsi="Times New Roman" w:eastAsia="宋体" w:cs="Times New Roman"/>
                <w:color w:val="auto"/>
                <w:kern w:val="21"/>
                <w:szCs w:val="21"/>
                <w:lang w:val="en-US" w:eastAsia="zh-CN"/>
              </w:rPr>
            </w:pPr>
            <w:r>
              <w:rPr>
                <w:rFonts w:hint="default" w:ascii="Times New Roman" w:hAnsi="Times New Roman" w:cs="Times New Roman"/>
                <w:color w:val="auto"/>
                <w:kern w:val="21"/>
                <w:szCs w:val="21"/>
                <w:lang w:val="en-US" w:eastAsia="zh-CN"/>
              </w:rPr>
              <w:t>黑龙江省交通运输厅</w:t>
            </w:r>
          </w:p>
        </w:tc>
        <w:tc>
          <w:tcPr>
            <w:tcW w:w="1560" w:type="dxa"/>
            <w:noWrap w:val="0"/>
            <w:vAlign w:val="center"/>
          </w:tcPr>
          <w:p w14:paraId="2F679EA9">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项目审批（核准/备案）文号（选填）</w:t>
            </w:r>
          </w:p>
        </w:tc>
        <w:tc>
          <w:tcPr>
            <w:tcW w:w="2905" w:type="dxa"/>
            <w:noWrap w:val="0"/>
            <w:vAlign w:val="center"/>
          </w:tcPr>
          <w:p w14:paraId="0F08D029">
            <w:pPr>
              <w:spacing w:line="240" w:lineRule="auto"/>
              <w:jc w:val="center"/>
              <w:rPr>
                <w:rFonts w:hint="default" w:ascii="Times New Roman" w:hAnsi="Times New Roman" w:eastAsia="宋体" w:cs="Times New Roman"/>
                <w:color w:val="auto"/>
                <w:kern w:val="21"/>
                <w:szCs w:val="21"/>
                <w:lang w:val="en-US" w:eastAsia="zh-CN"/>
              </w:rPr>
            </w:pPr>
            <w:r>
              <w:rPr>
                <w:rFonts w:hint="default" w:ascii="Times New Roman" w:hAnsi="Times New Roman" w:cs="Times New Roman"/>
                <w:color w:val="auto"/>
                <w:kern w:val="21"/>
                <w:szCs w:val="21"/>
                <w:lang w:val="en-US" w:eastAsia="zh-CN"/>
              </w:rPr>
              <w:t>黑交发[2024]205号</w:t>
            </w:r>
          </w:p>
        </w:tc>
      </w:tr>
      <w:tr w14:paraId="0D9EC4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00A7EF67">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总投资（万元）</w:t>
            </w:r>
          </w:p>
        </w:tc>
        <w:tc>
          <w:tcPr>
            <w:tcW w:w="2117" w:type="dxa"/>
            <w:noWrap w:val="0"/>
            <w:vAlign w:val="center"/>
          </w:tcPr>
          <w:p w14:paraId="132FF166">
            <w:pPr>
              <w:widowControl/>
              <w:spacing w:line="240" w:lineRule="auto"/>
              <w:jc w:val="center"/>
              <w:rPr>
                <w:rFonts w:hint="default" w:ascii="Times New Roman" w:hAnsi="Times New Roman" w:eastAsia="宋体" w:cs="Times New Roman"/>
                <w:color w:val="auto"/>
                <w:kern w:val="21"/>
                <w:szCs w:val="21"/>
                <w:highlight w:val="none"/>
                <w:lang w:val="en-US" w:eastAsia="zh-CN"/>
              </w:rPr>
            </w:pPr>
            <w:r>
              <w:rPr>
                <w:rFonts w:hint="default" w:ascii="Times New Roman" w:hAnsi="Times New Roman" w:cs="Times New Roman"/>
                <w:color w:val="auto"/>
                <w:kern w:val="21"/>
                <w:szCs w:val="21"/>
                <w:highlight w:val="none"/>
                <w:lang w:val="en-US" w:eastAsia="zh-CN"/>
              </w:rPr>
              <w:t>3876.9104</w:t>
            </w:r>
          </w:p>
        </w:tc>
        <w:tc>
          <w:tcPr>
            <w:tcW w:w="1560" w:type="dxa"/>
            <w:noWrap w:val="0"/>
            <w:tcMar>
              <w:top w:w="16" w:type="dxa"/>
              <w:left w:w="16" w:type="dxa"/>
              <w:right w:w="16" w:type="dxa"/>
            </w:tcMar>
            <w:vAlign w:val="center"/>
          </w:tcPr>
          <w:p w14:paraId="2B2C0F46">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环保投资</w:t>
            </w:r>
          </w:p>
          <w:p w14:paraId="33E58973">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（万元）</w:t>
            </w:r>
          </w:p>
        </w:tc>
        <w:tc>
          <w:tcPr>
            <w:tcW w:w="2905" w:type="dxa"/>
            <w:noWrap w:val="0"/>
            <w:vAlign w:val="center"/>
          </w:tcPr>
          <w:p w14:paraId="5F589CEE">
            <w:pPr>
              <w:spacing w:line="240" w:lineRule="auto"/>
              <w:jc w:val="center"/>
              <w:rPr>
                <w:rFonts w:hint="default" w:ascii="Times New Roman" w:hAnsi="Times New Roman" w:eastAsia="宋体" w:cs="Times New Roman"/>
                <w:color w:val="auto"/>
                <w:kern w:val="21"/>
                <w:szCs w:val="21"/>
                <w:highlight w:val="none"/>
                <w:lang w:val="en-US" w:eastAsia="zh-CN"/>
              </w:rPr>
            </w:pPr>
            <w:r>
              <w:rPr>
                <w:rFonts w:hint="eastAsia" w:cs="Times New Roman"/>
                <w:color w:val="auto"/>
                <w:kern w:val="21"/>
                <w:szCs w:val="21"/>
                <w:highlight w:val="none"/>
                <w:lang w:val="en-US" w:eastAsia="zh-CN"/>
              </w:rPr>
              <w:t>211</w:t>
            </w:r>
          </w:p>
        </w:tc>
      </w:tr>
      <w:tr w14:paraId="6C5D1F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797" w:type="dxa"/>
            <w:noWrap w:val="0"/>
            <w:tcMar>
              <w:top w:w="16" w:type="dxa"/>
              <w:left w:w="16" w:type="dxa"/>
              <w:right w:w="16" w:type="dxa"/>
            </w:tcMar>
            <w:vAlign w:val="center"/>
          </w:tcPr>
          <w:p w14:paraId="6748F1AB">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环保投资占比（%）</w:t>
            </w:r>
          </w:p>
        </w:tc>
        <w:tc>
          <w:tcPr>
            <w:tcW w:w="2117" w:type="dxa"/>
            <w:noWrap w:val="0"/>
            <w:vAlign w:val="center"/>
          </w:tcPr>
          <w:p w14:paraId="028A13F5">
            <w:pPr>
              <w:spacing w:line="240" w:lineRule="auto"/>
              <w:jc w:val="center"/>
              <w:rPr>
                <w:rFonts w:hint="default" w:ascii="Times New Roman" w:hAnsi="Times New Roman" w:eastAsia="宋体" w:cs="Times New Roman"/>
                <w:color w:val="auto"/>
                <w:kern w:val="21"/>
                <w:szCs w:val="21"/>
                <w:highlight w:val="none"/>
                <w:lang w:val="en-US" w:eastAsia="zh-CN"/>
              </w:rPr>
            </w:pPr>
            <w:r>
              <w:rPr>
                <w:rFonts w:hint="eastAsia" w:cs="Times New Roman"/>
                <w:color w:val="auto"/>
                <w:kern w:val="21"/>
                <w:szCs w:val="21"/>
                <w:highlight w:val="none"/>
                <w:lang w:val="en-US" w:eastAsia="zh-CN"/>
              </w:rPr>
              <w:t>5.44</w:t>
            </w:r>
          </w:p>
        </w:tc>
        <w:tc>
          <w:tcPr>
            <w:tcW w:w="1560" w:type="dxa"/>
            <w:noWrap w:val="0"/>
            <w:tcMar>
              <w:top w:w="16" w:type="dxa"/>
              <w:left w:w="16" w:type="dxa"/>
              <w:right w:w="16" w:type="dxa"/>
            </w:tcMar>
            <w:vAlign w:val="center"/>
          </w:tcPr>
          <w:p w14:paraId="547118C6">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施工工期</w:t>
            </w:r>
          </w:p>
        </w:tc>
        <w:tc>
          <w:tcPr>
            <w:tcW w:w="2905" w:type="dxa"/>
            <w:noWrap w:val="0"/>
            <w:vAlign w:val="center"/>
          </w:tcPr>
          <w:p w14:paraId="6D5F8A4D">
            <w:pPr>
              <w:spacing w:line="240" w:lineRule="auto"/>
              <w:jc w:val="center"/>
              <w:rPr>
                <w:rFonts w:hint="default" w:ascii="Times New Roman" w:hAnsi="Times New Roman" w:cs="Times New Roman"/>
                <w:color w:val="auto"/>
                <w:kern w:val="21"/>
                <w:szCs w:val="21"/>
                <w:highlight w:val="none"/>
              </w:rPr>
            </w:pPr>
            <w:r>
              <w:rPr>
                <w:rFonts w:hint="eastAsia" w:cs="Times New Roman"/>
                <w:color w:val="auto"/>
                <w:kern w:val="21"/>
                <w:szCs w:val="21"/>
                <w:highlight w:val="none"/>
                <w:lang w:val="en-US" w:eastAsia="zh-CN"/>
              </w:rPr>
              <w:t>3</w:t>
            </w:r>
            <w:r>
              <w:rPr>
                <w:rFonts w:hint="default" w:ascii="Times New Roman" w:hAnsi="Times New Roman" w:cs="Times New Roman"/>
                <w:color w:val="auto"/>
                <w:kern w:val="21"/>
                <w:szCs w:val="21"/>
                <w:highlight w:val="none"/>
              </w:rPr>
              <w:t>个月(202</w:t>
            </w:r>
            <w:r>
              <w:rPr>
                <w:rFonts w:hint="eastAsia" w:cs="Times New Roman"/>
                <w:color w:val="auto"/>
                <w:kern w:val="21"/>
                <w:szCs w:val="21"/>
                <w:highlight w:val="none"/>
                <w:lang w:val="en-US" w:eastAsia="zh-CN"/>
              </w:rPr>
              <w:t>6</w:t>
            </w:r>
            <w:r>
              <w:rPr>
                <w:rFonts w:hint="default" w:ascii="Times New Roman" w:hAnsi="Times New Roman" w:cs="Times New Roman"/>
                <w:color w:val="auto"/>
                <w:kern w:val="21"/>
                <w:szCs w:val="21"/>
                <w:highlight w:val="none"/>
              </w:rPr>
              <w:t>年</w:t>
            </w:r>
            <w:r>
              <w:rPr>
                <w:rFonts w:hint="eastAsia" w:cs="Times New Roman"/>
                <w:color w:val="auto"/>
                <w:kern w:val="21"/>
                <w:szCs w:val="21"/>
                <w:highlight w:val="none"/>
                <w:lang w:val="en-US" w:eastAsia="zh-CN"/>
              </w:rPr>
              <w:t>4</w:t>
            </w:r>
            <w:r>
              <w:rPr>
                <w:rFonts w:hint="default" w:ascii="Times New Roman" w:hAnsi="Times New Roman" w:cs="Times New Roman"/>
                <w:color w:val="auto"/>
                <w:kern w:val="21"/>
                <w:szCs w:val="21"/>
                <w:highlight w:val="none"/>
              </w:rPr>
              <w:t>月-202</w:t>
            </w:r>
            <w:r>
              <w:rPr>
                <w:rFonts w:hint="eastAsia" w:cs="Times New Roman"/>
                <w:color w:val="auto"/>
                <w:kern w:val="21"/>
                <w:szCs w:val="21"/>
                <w:highlight w:val="none"/>
                <w:lang w:val="en-US" w:eastAsia="zh-CN"/>
              </w:rPr>
              <w:t>6</w:t>
            </w:r>
            <w:r>
              <w:rPr>
                <w:rFonts w:hint="default" w:ascii="Times New Roman" w:hAnsi="Times New Roman" w:cs="Times New Roman"/>
                <w:color w:val="auto"/>
                <w:kern w:val="21"/>
                <w:szCs w:val="21"/>
                <w:highlight w:val="none"/>
              </w:rPr>
              <w:t>年</w:t>
            </w:r>
            <w:r>
              <w:rPr>
                <w:rFonts w:hint="eastAsia" w:cs="Times New Roman"/>
                <w:color w:val="auto"/>
                <w:kern w:val="21"/>
                <w:szCs w:val="21"/>
                <w:highlight w:val="none"/>
                <w:lang w:val="en-US" w:eastAsia="zh-CN"/>
              </w:rPr>
              <w:t>6</w:t>
            </w:r>
            <w:r>
              <w:rPr>
                <w:rFonts w:hint="default" w:ascii="Times New Roman" w:hAnsi="Times New Roman" w:cs="Times New Roman"/>
                <w:color w:val="auto"/>
                <w:kern w:val="21"/>
                <w:szCs w:val="21"/>
                <w:highlight w:val="none"/>
              </w:rPr>
              <w:t>月)</w:t>
            </w:r>
          </w:p>
        </w:tc>
      </w:tr>
      <w:tr w14:paraId="7E9250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301" w:hRule="atLeast"/>
        </w:trPr>
        <w:tc>
          <w:tcPr>
            <w:tcW w:w="1797" w:type="dxa"/>
            <w:noWrap w:val="0"/>
            <w:tcMar>
              <w:top w:w="16" w:type="dxa"/>
              <w:left w:w="16" w:type="dxa"/>
              <w:right w:w="16" w:type="dxa"/>
            </w:tcMar>
            <w:vAlign w:val="center"/>
          </w:tcPr>
          <w:p w14:paraId="2A5103F6">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是否开工建设</w:t>
            </w:r>
          </w:p>
        </w:tc>
        <w:tc>
          <w:tcPr>
            <w:tcW w:w="6582" w:type="dxa"/>
            <w:gridSpan w:val="3"/>
            <w:noWrap w:val="0"/>
            <w:vAlign w:val="center"/>
          </w:tcPr>
          <w:p w14:paraId="3C38F2B0">
            <w:pPr>
              <w:spacing w:line="240" w:lineRule="auto"/>
              <w:ind w:firstLine="105"/>
              <w:jc w:val="left"/>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sym w:font="Wingdings 2" w:char="0052"/>
            </w:r>
            <w:r>
              <w:rPr>
                <w:rFonts w:hint="default" w:ascii="Times New Roman" w:hAnsi="Times New Roman" w:cs="Times New Roman"/>
                <w:color w:val="auto"/>
                <w:kern w:val="21"/>
                <w:szCs w:val="21"/>
              </w:rPr>
              <w:t>否</w:t>
            </w:r>
          </w:p>
          <w:p w14:paraId="523C04B2">
            <w:pPr>
              <w:spacing w:line="240" w:lineRule="auto"/>
              <w:ind w:firstLine="92"/>
              <w:jc w:val="left"/>
              <w:rPr>
                <w:rFonts w:hint="default" w:ascii="Times New Roman" w:hAnsi="Times New Roman" w:cs="Times New Roman"/>
                <w:color w:val="auto"/>
                <w:kern w:val="21"/>
                <w:szCs w:val="21"/>
              </w:rPr>
            </w:pPr>
            <w:r>
              <w:rPr>
                <w:rFonts w:hint="eastAsia" w:cs="Times New Roman"/>
                <w:color w:val="auto"/>
                <w:kern w:val="21"/>
                <w:szCs w:val="21"/>
                <w:lang w:eastAsia="zh-CN"/>
              </w:rPr>
              <w:t>□</w:t>
            </w:r>
            <w:r>
              <w:rPr>
                <w:rFonts w:hint="default" w:ascii="Times New Roman" w:hAnsi="Times New Roman" w:cs="Times New Roman"/>
                <w:color w:val="auto"/>
                <w:kern w:val="21"/>
                <w:szCs w:val="21"/>
              </w:rPr>
              <w:t>是：</w:t>
            </w:r>
            <w:r>
              <w:rPr>
                <w:rFonts w:hint="default" w:ascii="Times New Roman" w:hAnsi="Times New Roman" w:cs="Times New Roman"/>
                <w:color w:val="auto"/>
                <w:kern w:val="21"/>
                <w:szCs w:val="21"/>
                <w:u w:val="single"/>
              </w:rPr>
              <w:t xml:space="preserve">       </w:t>
            </w:r>
          </w:p>
        </w:tc>
      </w:tr>
      <w:tr w14:paraId="48ABEB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1583" w:hRule="atLeast"/>
        </w:trPr>
        <w:tc>
          <w:tcPr>
            <w:tcW w:w="1797" w:type="dxa"/>
            <w:noWrap w:val="0"/>
            <w:tcMar>
              <w:top w:w="16" w:type="dxa"/>
              <w:left w:w="16" w:type="dxa"/>
              <w:right w:w="16" w:type="dxa"/>
            </w:tcMar>
            <w:vAlign w:val="center"/>
          </w:tcPr>
          <w:p w14:paraId="2EFAD926">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专项评价</w:t>
            </w:r>
          </w:p>
          <w:p w14:paraId="0CCDF8F1">
            <w:pPr>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设置情况</w:t>
            </w:r>
          </w:p>
        </w:tc>
        <w:tc>
          <w:tcPr>
            <w:tcW w:w="6582" w:type="dxa"/>
            <w:gridSpan w:val="3"/>
            <w:noWrap w:val="0"/>
            <w:tcMar>
              <w:top w:w="16" w:type="dxa"/>
              <w:left w:w="16" w:type="dxa"/>
              <w:right w:w="16" w:type="dxa"/>
            </w:tcMar>
            <w:vAlign w:val="center"/>
          </w:tcPr>
          <w:p w14:paraId="50473995">
            <w:pPr>
              <w:keepLines w:val="0"/>
              <w:pageBreakBefore w:val="0"/>
              <w:widowControl w:val="0"/>
              <w:kinsoku/>
              <w:wordWrap/>
              <w:overflowPunct/>
              <w:topLinePunct w:val="0"/>
              <w:autoSpaceDE/>
              <w:autoSpaceDN/>
              <w:bidi w:val="0"/>
              <w:adjustRightInd/>
              <w:snapToGrid/>
              <w:spacing w:line="360" w:lineRule="auto"/>
              <w:ind w:firstLine="42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根据《建设项目环境影响报告表编制技术指南（生态影响类）》（试行），项目专项评价设置情况如下表。</w:t>
            </w:r>
          </w:p>
          <w:p w14:paraId="49A85166">
            <w:pPr>
              <w:pStyle w:val="72"/>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表1-1   专项评价设置情况表</w:t>
            </w:r>
          </w:p>
          <w:tbl>
            <w:tblPr>
              <w:tblStyle w:val="30"/>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0"/>
              <w:gridCol w:w="3059"/>
              <w:gridCol w:w="1880"/>
              <w:gridCol w:w="731"/>
            </w:tblGrid>
            <w:tr w14:paraId="6B669F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01E68929">
                  <w:pPr>
                    <w:pStyle w:val="80"/>
                    <w:rPr>
                      <w:rFonts w:hint="default" w:ascii="Times New Roman" w:hAnsi="Times New Roman" w:cs="Times New Roman"/>
                      <w:color w:val="auto"/>
                    </w:rPr>
                  </w:pPr>
                  <w:r>
                    <w:rPr>
                      <w:rFonts w:hint="default" w:ascii="Times New Roman" w:hAnsi="Times New Roman" w:cs="Times New Roman"/>
                      <w:color w:val="auto"/>
                    </w:rPr>
                    <w:t>专项评价类别</w:t>
                  </w:r>
                </w:p>
              </w:tc>
              <w:tc>
                <w:tcPr>
                  <w:tcW w:w="2335" w:type="pct"/>
                  <w:noWrap w:val="0"/>
                  <w:vAlign w:val="center"/>
                </w:tcPr>
                <w:p w14:paraId="61230386">
                  <w:pPr>
                    <w:pStyle w:val="80"/>
                    <w:rPr>
                      <w:rFonts w:hint="default" w:ascii="Times New Roman" w:hAnsi="Times New Roman" w:cs="Times New Roman"/>
                      <w:color w:val="auto"/>
                    </w:rPr>
                  </w:pPr>
                  <w:r>
                    <w:rPr>
                      <w:rFonts w:hint="default" w:ascii="Times New Roman" w:hAnsi="Times New Roman" w:cs="Times New Roman"/>
                      <w:color w:val="auto"/>
                    </w:rPr>
                    <w:t>涉及项目类别</w:t>
                  </w:r>
                </w:p>
              </w:tc>
              <w:tc>
                <w:tcPr>
                  <w:tcW w:w="1435" w:type="pct"/>
                  <w:noWrap w:val="0"/>
                  <w:vAlign w:val="center"/>
                </w:tcPr>
                <w:p w14:paraId="410EE9D7">
                  <w:pPr>
                    <w:pStyle w:val="80"/>
                    <w:rPr>
                      <w:rFonts w:hint="default" w:ascii="Times New Roman" w:hAnsi="Times New Roman" w:cs="Times New Roman"/>
                      <w:color w:val="auto"/>
                    </w:rPr>
                  </w:pPr>
                  <w:r>
                    <w:rPr>
                      <w:rFonts w:hint="default" w:ascii="Times New Roman" w:hAnsi="Times New Roman" w:cs="Times New Roman"/>
                      <w:color w:val="auto"/>
                    </w:rPr>
                    <w:t>本项目情况</w:t>
                  </w:r>
                </w:p>
              </w:tc>
              <w:tc>
                <w:tcPr>
                  <w:tcW w:w="558" w:type="pct"/>
                  <w:noWrap w:val="0"/>
                  <w:vAlign w:val="center"/>
                </w:tcPr>
                <w:p w14:paraId="6AF83053">
                  <w:pPr>
                    <w:pStyle w:val="80"/>
                    <w:rPr>
                      <w:rFonts w:hint="default" w:ascii="Times New Roman" w:hAnsi="Times New Roman" w:cs="Times New Roman"/>
                      <w:color w:val="auto"/>
                    </w:rPr>
                  </w:pPr>
                  <w:r>
                    <w:rPr>
                      <w:rFonts w:hint="default" w:ascii="Times New Roman" w:hAnsi="Times New Roman" w:cs="Times New Roman"/>
                      <w:color w:val="auto"/>
                    </w:rPr>
                    <w:t>设置情况</w:t>
                  </w:r>
                </w:p>
              </w:tc>
            </w:tr>
            <w:tr w14:paraId="077516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32D5FD7A">
                  <w:pPr>
                    <w:pStyle w:val="80"/>
                    <w:rPr>
                      <w:rFonts w:hint="default" w:ascii="Times New Roman" w:hAnsi="Times New Roman" w:cs="Times New Roman"/>
                      <w:color w:val="auto"/>
                    </w:rPr>
                  </w:pPr>
                  <w:r>
                    <w:rPr>
                      <w:rFonts w:hint="default" w:ascii="Times New Roman" w:hAnsi="Times New Roman" w:cs="Times New Roman"/>
                      <w:color w:val="auto"/>
                    </w:rPr>
                    <w:t>地表水</w:t>
                  </w:r>
                </w:p>
              </w:tc>
              <w:tc>
                <w:tcPr>
                  <w:tcW w:w="2335" w:type="pct"/>
                  <w:noWrap w:val="0"/>
                  <w:vAlign w:val="center"/>
                </w:tcPr>
                <w:p w14:paraId="76523629">
                  <w:pPr>
                    <w:pStyle w:val="80"/>
                    <w:jc w:val="both"/>
                    <w:rPr>
                      <w:rFonts w:hint="default" w:ascii="Times New Roman" w:hAnsi="Times New Roman" w:eastAsia="宋体" w:cs="Times New Roman"/>
                      <w:color w:val="auto"/>
                      <w:lang w:eastAsia="zh-CN"/>
                    </w:rPr>
                  </w:pPr>
                  <w:r>
                    <w:rPr>
                      <w:rFonts w:hint="default" w:ascii="Times New Roman" w:hAnsi="Times New Roman" w:cs="Times New Roman"/>
                      <w:color w:val="auto"/>
                    </w:rPr>
                    <w:t>水力发电：引水式发电、涉及调峰发电的项目；人工湖、人工湿地：全部；水库：全部；引水工程：全部（配套的管线工程等除外）；防洪除涝工程：包含水库的项目；河湖整治：涉及清淤且底泥存在重金属污染的项目</w:t>
                  </w:r>
                </w:p>
              </w:tc>
              <w:tc>
                <w:tcPr>
                  <w:tcW w:w="1435" w:type="pct"/>
                  <w:noWrap w:val="0"/>
                  <w:vAlign w:val="center"/>
                </w:tcPr>
                <w:p w14:paraId="6FE58F86">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为</w:t>
                  </w:r>
                  <w:r>
                    <w:rPr>
                      <w:rFonts w:hint="default" w:ascii="Times New Roman" w:hAnsi="Times New Roman" w:cs="Times New Roman"/>
                      <w:color w:val="auto"/>
                    </w:rPr>
                    <w:t>公路</w:t>
                  </w:r>
                  <w:r>
                    <w:rPr>
                      <w:rFonts w:hint="default" w:ascii="Times New Roman" w:hAnsi="Times New Roman" w:cs="Times New Roman"/>
                      <w:color w:val="auto"/>
                      <w:lang w:val="en-US" w:eastAsia="zh-CN"/>
                    </w:rPr>
                    <w:t>改造</w:t>
                  </w:r>
                  <w:r>
                    <w:rPr>
                      <w:rFonts w:hint="default" w:ascii="Times New Roman" w:hAnsi="Times New Roman" w:cs="Times New Roman"/>
                      <w:color w:val="auto"/>
                    </w:rPr>
                    <w:t>项目</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不涉及</w:t>
                  </w:r>
                  <w:r>
                    <w:rPr>
                      <w:rFonts w:hint="default" w:ascii="Times New Roman" w:hAnsi="Times New Roman" w:cs="Times New Roman"/>
                      <w:color w:val="auto"/>
                    </w:rPr>
                    <w:t>上述项目类别</w:t>
                  </w:r>
                  <w:r>
                    <w:rPr>
                      <w:rFonts w:hint="default" w:ascii="Times New Roman" w:hAnsi="Times New Roman" w:cs="Times New Roman"/>
                      <w:color w:val="auto"/>
                      <w:lang w:eastAsia="zh-CN"/>
                    </w:rPr>
                    <w:t>。</w:t>
                  </w:r>
                </w:p>
              </w:tc>
              <w:tc>
                <w:tcPr>
                  <w:tcW w:w="558" w:type="pct"/>
                  <w:noWrap w:val="0"/>
                  <w:vAlign w:val="center"/>
                </w:tcPr>
                <w:p w14:paraId="0E8C0F8C">
                  <w:pPr>
                    <w:pStyle w:val="80"/>
                    <w:rPr>
                      <w:rFonts w:hint="default" w:ascii="Times New Roman" w:hAnsi="Times New Roman" w:cs="Times New Roman"/>
                      <w:color w:val="auto"/>
                    </w:rPr>
                  </w:pPr>
                  <w:r>
                    <w:rPr>
                      <w:rFonts w:hint="default" w:ascii="Times New Roman" w:hAnsi="Times New Roman" w:cs="Times New Roman"/>
                      <w:color w:val="auto"/>
                    </w:rPr>
                    <w:t>无需设置</w:t>
                  </w:r>
                </w:p>
              </w:tc>
            </w:tr>
            <w:tr w14:paraId="65EB6A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11ED64B0">
                  <w:pPr>
                    <w:pStyle w:val="80"/>
                    <w:rPr>
                      <w:rFonts w:hint="default" w:ascii="Times New Roman" w:hAnsi="Times New Roman" w:cs="Times New Roman"/>
                      <w:color w:val="auto"/>
                    </w:rPr>
                  </w:pPr>
                  <w:r>
                    <w:rPr>
                      <w:rFonts w:hint="default" w:ascii="Times New Roman" w:hAnsi="Times New Roman" w:cs="Times New Roman"/>
                      <w:color w:val="auto"/>
                    </w:rPr>
                    <w:t>地下水</w:t>
                  </w:r>
                </w:p>
              </w:tc>
              <w:tc>
                <w:tcPr>
                  <w:tcW w:w="2335" w:type="pct"/>
                  <w:noWrap w:val="0"/>
                  <w:vAlign w:val="center"/>
                </w:tcPr>
                <w:p w14:paraId="7F7337EF">
                  <w:pPr>
                    <w:pStyle w:val="80"/>
                    <w:jc w:val="both"/>
                    <w:rPr>
                      <w:rFonts w:hint="default" w:ascii="Times New Roman" w:hAnsi="Times New Roman" w:cs="Times New Roman"/>
                      <w:color w:val="auto"/>
                    </w:rPr>
                  </w:pPr>
                  <w:r>
                    <w:rPr>
                      <w:rFonts w:hint="default" w:ascii="Times New Roman" w:hAnsi="Times New Roman" w:cs="Times New Roman"/>
                      <w:color w:val="auto"/>
                    </w:rPr>
                    <w:t>陆地石油和天然气开采：全部；</w:t>
                  </w:r>
                </w:p>
                <w:p w14:paraId="7A3B3605">
                  <w:pPr>
                    <w:pStyle w:val="80"/>
                    <w:jc w:val="both"/>
                    <w:rPr>
                      <w:rFonts w:hint="default" w:ascii="Times New Roman" w:hAnsi="Times New Roman" w:cs="Times New Roman"/>
                      <w:color w:val="auto"/>
                    </w:rPr>
                  </w:pPr>
                  <w:r>
                    <w:rPr>
                      <w:rFonts w:hint="default" w:ascii="Times New Roman" w:hAnsi="Times New Roman" w:cs="Times New Roman"/>
                      <w:color w:val="auto"/>
                    </w:rPr>
                    <w:t>地下水（含矿泉水）开采：全部；</w:t>
                  </w:r>
                </w:p>
                <w:p w14:paraId="21B5266B">
                  <w:pPr>
                    <w:pStyle w:val="80"/>
                    <w:jc w:val="both"/>
                    <w:rPr>
                      <w:rFonts w:hint="default" w:ascii="Times New Roman" w:hAnsi="Times New Roman" w:cs="Times New Roman"/>
                      <w:color w:val="auto"/>
                    </w:rPr>
                  </w:pPr>
                  <w:r>
                    <w:rPr>
                      <w:rFonts w:hint="default" w:ascii="Times New Roman" w:hAnsi="Times New Roman" w:cs="Times New Roman"/>
                      <w:color w:val="auto"/>
                    </w:rPr>
                    <w:t>水利、水电、交通等：含穿越可溶岩地层隧道的项目</w:t>
                  </w:r>
                </w:p>
              </w:tc>
              <w:tc>
                <w:tcPr>
                  <w:tcW w:w="1435" w:type="pct"/>
                  <w:noWrap w:val="0"/>
                  <w:vAlign w:val="center"/>
                </w:tcPr>
                <w:p w14:paraId="035B27FA">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为</w:t>
                  </w:r>
                  <w:r>
                    <w:rPr>
                      <w:rFonts w:hint="default" w:ascii="Times New Roman" w:hAnsi="Times New Roman" w:cs="Times New Roman"/>
                      <w:color w:val="auto"/>
                    </w:rPr>
                    <w:t>公路</w:t>
                  </w:r>
                  <w:r>
                    <w:rPr>
                      <w:rFonts w:hint="default" w:ascii="Times New Roman" w:hAnsi="Times New Roman" w:cs="Times New Roman"/>
                      <w:color w:val="auto"/>
                      <w:lang w:val="en-US" w:eastAsia="zh-CN"/>
                    </w:rPr>
                    <w:t>改造</w:t>
                  </w:r>
                  <w:r>
                    <w:rPr>
                      <w:rFonts w:hint="default" w:ascii="Times New Roman" w:hAnsi="Times New Roman" w:cs="Times New Roman"/>
                      <w:color w:val="auto"/>
                    </w:rPr>
                    <w:t>项目</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不涉及</w:t>
                  </w:r>
                  <w:r>
                    <w:rPr>
                      <w:rFonts w:hint="default" w:ascii="Times New Roman" w:hAnsi="Times New Roman" w:cs="Times New Roman"/>
                      <w:color w:val="auto"/>
                    </w:rPr>
                    <w:t>上述项目类别</w:t>
                  </w:r>
                  <w:r>
                    <w:rPr>
                      <w:rFonts w:hint="default" w:ascii="Times New Roman" w:hAnsi="Times New Roman" w:cs="Times New Roman"/>
                      <w:color w:val="auto"/>
                      <w:lang w:eastAsia="zh-CN"/>
                    </w:rPr>
                    <w:t>。</w:t>
                  </w:r>
                </w:p>
              </w:tc>
              <w:tc>
                <w:tcPr>
                  <w:tcW w:w="558" w:type="pct"/>
                  <w:noWrap w:val="0"/>
                  <w:vAlign w:val="center"/>
                </w:tcPr>
                <w:p w14:paraId="0917B99D">
                  <w:pPr>
                    <w:pStyle w:val="80"/>
                    <w:rPr>
                      <w:rFonts w:hint="default" w:ascii="Times New Roman" w:hAnsi="Times New Roman" w:cs="Times New Roman"/>
                      <w:color w:val="auto"/>
                    </w:rPr>
                  </w:pPr>
                  <w:r>
                    <w:rPr>
                      <w:rFonts w:hint="default" w:ascii="Times New Roman" w:hAnsi="Times New Roman" w:cs="Times New Roman"/>
                      <w:color w:val="auto"/>
                    </w:rPr>
                    <w:t>无需设置</w:t>
                  </w:r>
                </w:p>
              </w:tc>
            </w:tr>
            <w:tr w14:paraId="4CF68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23CABDA2">
                  <w:pPr>
                    <w:pStyle w:val="80"/>
                    <w:rPr>
                      <w:rFonts w:hint="default" w:ascii="Times New Roman" w:hAnsi="Times New Roman" w:cs="Times New Roman"/>
                      <w:color w:val="auto"/>
                    </w:rPr>
                  </w:pPr>
                  <w:r>
                    <w:rPr>
                      <w:rFonts w:hint="default" w:ascii="Times New Roman" w:hAnsi="Times New Roman" w:cs="Times New Roman"/>
                      <w:color w:val="auto"/>
                    </w:rPr>
                    <w:t>生态</w:t>
                  </w:r>
                </w:p>
              </w:tc>
              <w:tc>
                <w:tcPr>
                  <w:tcW w:w="2335" w:type="pct"/>
                  <w:noWrap w:val="0"/>
                  <w:vAlign w:val="center"/>
                </w:tcPr>
                <w:p w14:paraId="383A9D1D">
                  <w:pPr>
                    <w:pStyle w:val="80"/>
                    <w:jc w:val="both"/>
                    <w:rPr>
                      <w:rFonts w:hint="default" w:ascii="Times New Roman" w:hAnsi="Times New Roman" w:cs="Times New Roman"/>
                      <w:color w:val="auto"/>
                    </w:rPr>
                  </w:pPr>
                  <w:r>
                    <w:rPr>
                      <w:rFonts w:hint="default" w:ascii="Times New Roman" w:hAnsi="Times New Roman" w:cs="Times New Roman"/>
                      <w:color w:val="auto"/>
                    </w:rPr>
                    <w:t>涉及环境敏感区（不包括饮用水水源保护区，以居住、医疗卫生、文化教育、科研、行政办公为主要功能的区域，以及文物保护单位）的项目</w:t>
                  </w:r>
                </w:p>
              </w:tc>
              <w:tc>
                <w:tcPr>
                  <w:tcW w:w="1435" w:type="pct"/>
                  <w:noWrap w:val="0"/>
                  <w:vAlign w:val="center"/>
                </w:tcPr>
                <w:p w14:paraId="1F9E63DC">
                  <w:pPr>
                    <w:pStyle w:val="80"/>
                    <w:rPr>
                      <w:rFonts w:hint="default" w:ascii="Times New Roman" w:hAnsi="Times New Roman" w:eastAsia="宋体" w:cs="Times New Roman"/>
                      <w:color w:val="auto"/>
                      <w:lang w:val="en-US" w:eastAsia="zh-CN"/>
                    </w:rPr>
                  </w:pPr>
                  <w:r>
                    <w:rPr>
                      <w:rFonts w:hint="eastAsia" w:cs="Times New Roman"/>
                      <w:color w:val="auto"/>
                      <w:lang w:val="en-US" w:eastAsia="zh-CN"/>
                    </w:rPr>
                    <w:t>根据《黑龙江省水土保持规划（2015~2030年）》，密山市属于东北漫川漫岗</w:t>
                  </w:r>
                  <w:r>
                    <w:rPr>
                      <w:rFonts w:hint="default" w:ascii="Times New Roman" w:hAnsi="Times New Roman" w:cs="Times New Roman"/>
                      <w:color w:val="auto"/>
                      <w:lang w:val="en-US" w:eastAsia="zh-CN"/>
                    </w:rPr>
                    <w:t>水土流失重点治理区。</w:t>
                  </w:r>
                  <w:r>
                    <w:rPr>
                      <w:rFonts w:hint="eastAsia" w:cs="Times New Roman"/>
                      <w:color w:val="auto"/>
                      <w:lang w:val="en-US" w:eastAsia="zh-CN"/>
                    </w:rPr>
                    <w:t>因此本项目涉及环境敏感区（</w:t>
                  </w:r>
                  <w:r>
                    <w:rPr>
                      <w:rFonts w:hint="default" w:ascii="Times New Roman" w:hAnsi="Times New Roman" w:cs="Times New Roman"/>
                      <w:color w:val="auto"/>
                      <w:lang w:val="en-US" w:eastAsia="zh-CN"/>
                    </w:rPr>
                    <w:t>水土流失重点治理区</w:t>
                  </w:r>
                  <w:r>
                    <w:rPr>
                      <w:rFonts w:hint="eastAsia" w:cs="Times New Roman"/>
                      <w:color w:val="auto"/>
                      <w:lang w:val="en-US" w:eastAsia="zh-CN"/>
                    </w:rPr>
                    <w:t>）。</w:t>
                  </w:r>
                </w:p>
              </w:tc>
              <w:tc>
                <w:tcPr>
                  <w:tcW w:w="558" w:type="pct"/>
                  <w:noWrap w:val="0"/>
                  <w:vAlign w:val="center"/>
                </w:tcPr>
                <w:p w14:paraId="42609A15">
                  <w:pPr>
                    <w:pStyle w:val="80"/>
                    <w:rPr>
                      <w:rFonts w:hint="default" w:ascii="Times New Roman" w:hAnsi="Times New Roman" w:cs="Times New Roman"/>
                      <w:color w:val="auto"/>
                    </w:rPr>
                  </w:pPr>
                  <w:r>
                    <w:rPr>
                      <w:rFonts w:hint="default" w:ascii="Times New Roman" w:hAnsi="Times New Roman" w:cs="Times New Roman"/>
                      <w:color w:val="auto"/>
                    </w:rPr>
                    <w:t>需设置</w:t>
                  </w:r>
                </w:p>
              </w:tc>
            </w:tr>
            <w:tr w14:paraId="56E59E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5FFD93C1">
                  <w:pPr>
                    <w:pStyle w:val="80"/>
                    <w:rPr>
                      <w:rFonts w:hint="default" w:ascii="Times New Roman" w:hAnsi="Times New Roman" w:cs="Times New Roman"/>
                      <w:color w:val="auto"/>
                    </w:rPr>
                  </w:pPr>
                  <w:r>
                    <w:rPr>
                      <w:rFonts w:hint="default" w:ascii="Times New Roman" w:hAnsi="Times New Roman" w:cs="Times New Roman"/>
                      <w:color w:val="auto"/>
                    </w:rPr>
                    <w:t>大气</w:t>
                  </w:r>
                </w:p>
              </w:tc>
              <w:tc>
                <w:tcPr>
                  <w:tcW w:w="2335" w:type="pct"/>
                  <w:noWrap w:val="0"/>
                  <w:vAlign w:val="center"/>
                </w:tcPr>
                <w:p w14:paraId="3A8EAEEA">
                  <w:pPr>
                    <w:pStyle w:val="80"/>
                    <w:jc w:val="both"/>
                    <w:rPr>
                      <w:rFonts w:hint="default" w:ascii="Times New Roman" w:hAnsi="Times New Roman" w:cs="Times New Roman"/>
                      <w:color w:val="auto"/>
                    </w:rPr>
                  </w:pPr>
                  <w:r>
                    <w:rPr>
                      <w:rFonts w:hint="default" w:ascii="Times New Roman" w:hAnsi="Times New Roman" w:cs="Times New Roman"/>
                      <w:color w:val="auto"/>
                    </w:rPr>
                    <w:t>油气、液体化工码头：全部；</w:t>
                  </w:r>
                </w:p>
                <w:p w14:paraId="5C4732F1">
                  <w:pPr>
                    <w:pStyle w:val="80"/>
                    <w:jc w:val="both"/>
                    <w:rPr>
                      <w:rFonts w:hint="default" w:ascii="Times New Roman" w:hAnsi="Times New Roman" w:cs="Times New Roman"/>
                      <w:color w:val="auto"/>
                    </w:rPr>
                  </w:pPr>
                  <w:r>
                    <w:rPr>
                      <w:rFonts w:hint="default" w:ascii="Times New Roman" w:hAnsi="Times New Roman" w:cs="Times New Roman"/>
                      <w:color w:val="auto"/>
                    </w:rPr>
                    <w:t>干散货（含煤炭、矿石）、件杂、多用途、通用码头：涉及粉尘、挥发性有机物排放的项目</w:t>
                  </w:r>
                </w:p>
              </w:tc>
              <w:tc>
                <w:tcPr>
                  <w:tcW w:w="1435" w:type="pct"/>
                  <w:noWrap w:val="0"/>
                  <w:vAlign w:val="center"/>
                </w:tcPr>
                <w:p w14:paraId="1F38ADDA">
                  <w:pPr>
                    <w:pStyle w:val="80"/>
                    <w:rPr>
                      <w:rFonts w:hint="default" w:ascii="Times New Roman" w:hAnsi="Times New Roman" w:cs="Times New Roman"/>
                      <w:color w:val="auto"/>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为</w:t>
                  </w:r>
                  <w:r>
                    <w:rPr>
                      <w:rFonts w:hint="default" w:ascii="Times New Roman" w:hAnsi="Times New Roman" w:cs="Times New Roman"/>
                      <w:color w:val="auto"/>
                    </w:rPr>
                    <w:t>公路</w:t>
                  </w:r>
                  <w:r>
                    <w:rPr>
                      <w:rFonts w:hint="default" w:ascii="Times New Roman" w:hAnsi="Times New Roman" w:cs="Times New Roman"/>
                      <w:color w:val="auto"/>
                      <w:lang w:val="en-US" w:eastAsia="zh-CN"/>
                    </w:rPr>
                    <w:t>改造</w:t>
                  </w:r>
                  <w:r>
                    <w:rPr>
                      <w:rFonts w:hint="default" w:ascii="Times New Roman" w:hAnsi="Times New Roman" w:cs="Times New Roman"/>
                      <w:color w:val="auto"/>
                    </w:rPr>
                    <w:t>项目</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不涉及</w:t>
                  </w:r>
                  <w:r>
                    <w:rPr>
                      <w:rFonts w:hint="default" w:ascii="Times New Roman" w:hAnsi="Times New Roman" w:cs="Times New Roman"/>
                      <w:color w:val="auto"/>
                    </w:rPr>
                    <w:t>上述项目类别</w:t>
                  </w:r>
                  <w:r>
                    <w:rPr>
                      <w:rFonts w:hint="default" w:ascii="Times New Roman" w:hAnsi="Times New Roman" w:cs="Times New Roman"/>
                      <w:color w:val="auto"/>
                      <w:lang w:eastAsia="zh-CN"/>
                    </w:rPr>
                    <w:t>。</w:t>
                  </w:r>
                </w:p>
              </w:tc>
              <w:tc>
                <w:tcPr>
                  <w:tcW w:w="558" w:type="pct"/>
                  <w:noWrap w:val="0"/>
                  <w:vAlign w:val="center"/>
                </w:tcPr>
                <w:p w14:paraId="14EB7ED1">
                  <w:pPr>
                    <w:pStyle w:val="80"/>
                    <w:rPr>
                      <w:rFonts w:hint="default" w:ascii="Times New Roman" w:hAnsi="Times New Roman" w:cs="Times New Roman"/>
                      <w:color w:val="auto"/>
                    </w:rPr>
                  </w:pPr>
                  <w:r>
                    <w:rPr>
                      <w:rFonts w:hint="default" w:ascii="Times New Roman" w:hAnsi="Times New Roman" w:cs="Times New Roman"/>
                      <w:color w:val="auto"/>
                    </w:rPr>
                    <w:t>无需设置</w:t>
                  </w:r>
                </w:p>
              </w:tc>
            </w:tr>
            <w:tr w14:paraId="02B424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1F7A3E5D">
                  <w:pPr>
                    <w:pStyle w:val="80"/>
                    <w:rPr>
                      <w:rFonts w:hint="default" w:ascii="Times New Roman" w:hAnsi="Times New Roman" w:cs="Times New Roman"/>
                      <w:color w:val="auto"/>
                    </w:rPr>
                  </w:pPr>
                  <w:r>
                    <w:rPr>
                      <w:rFonts w:hint="default" w:ascii="Times New Roman" w:hAnsi="Times New Roman" w:cs="Times New Roman"/>
                      <w:color w:val="auto"/>
                    </w:rPr>
                    <w:t>噪声</w:t>
                  </w:r>
                </w:p>
              </w:tc>
              <w:tc>
                <w:tcPr>
                  <w:tcW w:w="2335" w:type="pct"/>
                  <w:noWrap w:val="0"/>
                  <w:vAlign w:val="center"/>
                </w:tcPr>
                <w:p w14:paraId="783658B1">
                  <w:pPr>
                    <w:pStyle w:val="80"/>
                    <w:jc w:val="both"/>
                    <w:rPr>
                      <w:rFonts w:hint="default" w:ascii="Times New Roman" w:hAnsi="Times New Roman" w:cs="Times New Roman"/>
                      <w:color w:val="auto"/>
                    </w:rPr>
                  </w:pPr>
                  <w:r>
                    <w:rPr>
                      <w:rFonts w:hint="default" w:ascii="Times New Roman" w:hAnsi="Times New Roman" w:cs="Times New Roman"/>
                      <w:color w:val="auto"/>
                    </w:rPr>
                    <w:t>公路、铁路、机场等交通运输业涉及环境敏感区（以居住、医疗卫生、文化教育、科研、行政办公为主要功能的区域）的项目；</w:t>
                  </w:r>
                </w:p>
                <w:p w14:paraId="6235B0A9">
                  <w:pPr>
                    <w:pStyle w:val="80"/>
                    <w:jc w:val="both"/>
                    <w:rPr>
                      <w:rFonts w:hint="default" w:ascii="Times New Roman" w:hAnsi="Times New Roman" w:cs="Times New Roman"/>
                      <w:color w:val="auto"/>
                    </w:rPr>
                  </w:pPr>
                  <w:r>
                    <w:rPr>
                      <w:rFonts w:hint="default" w:ascii="Times New Roman" w:hAnsi="Times New Roman" w:cs="Times New Roman"/>
                      <w:color w:val="auto"/>
                    </w:rPr>
                    <w:t>城市道路（不含维护，不含支路、人行天桥、人行地道）：全部</w:t>
                  </w:r>
                </w:p>
              </w:tc>
              <w:tc>
                <w:tcPr>
                  <w:tcW w:w="1435" w:type="pct"/>
                  <w:noWrap w:val="0"/>
                  <w:vAlign w:val="center"/>
                </w:tcPr>
                <w:p w14:paraId="12F91573">
                  <w:pPr>
                    <w:pStyle w:val="80"/>
                    <w:rPr>
                      <w:rFonts w:hint="default" w:ascii="Times New Roman" w:hAnsi="Times New Roman" w:cs="Times New Roman"/>
                      <w:color w:val="auto"/>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为</w:t>
                  </w:r>
                  <w:r>
                    <w:rPr>
                      <w:rFonts w:hint="default" w:ascii="Times New Roman" w:hAnsi="Times New Roman" w:cs="Times New Roman"/>
                      <w:color w:val="auto"/>
                    </w:rPr>
                    <w:t>公路</w:t>
                  </w:r>
                  <w:r>
                    <w:rPr>
                      <w:rFonts w:hint="default" w:ascii="Times New Roman" w:hAnsi="Times New Roman" w:cs="Times New Roman"/>
                      <w:color w:val="auto"/>
                      <w:lang w:val="en-US" w:eastAsia="zh-CN"/>
                    </w:rPr>
                    <w:t>改造</w:t>
                  </w:r>
                  <w:r>
                    <w:rPr>
                      <w:rFonts w:hint="default" w:ascii="Times New Roman" w:hAnsi="Times New Roman" w:cs="Times New Roman"/>
                      <w:color w:val="auto"/>
                    </w:rPr>
                    <w:t>项目</w:t>
                  </w:r>
                  <w:r>
                    <w:rPr>
                      <w:rFonts w:hint="default" w:ascii="Times New Roman" w:hAnsi="Times New Roman" w:cs="Times New Roman"/>
                      <w:color w:val="auto"/>
                      <w:lang w:eastAsia="zh-CN"/>
                    </w:rPr>
                    <w:t>，涉及环境敏感区（以居住、医疗卫生、文化教育、科研、行政办公为主要功能的区域）。</w:t>
                  </w:r>
                </w:p>
              </w:tc>
              <w:tc>
                <w:tcPr>
                  <w:tcW w:w="558" w:type="pct"/>
                  <w:noWrap w:val="0"/>
                  <w:vAlign w:val="center"/>
                </w:tcPr>
                <w:p w14:paraId="309B1174">
                  <w:pPr>
                    <w:pStyle w:val="80"/>
                    <w:rPr>
                      <w:rFonts w:hint="default" w:ascii="Times New Roman" w:hAnsi="Times New Roman" w:cs="Times New Roman"/>
                      <w:color w:val="auto"/>
                    </w:rPr>
                  </w:pPr>
                  <w:r>
                    <w:rPr>
                      <w:rFonts w:hint="default" w:ascii="Times New Roman" w:hAnsi="Times New Roman" w:cs="Times New Roman"/>
                      <w:color w:val="auto"/>
                    </w:rPr>
                    <w:t>需设置</w:t>
                  </w:r>
                </w:p>
              </w:tc>
            </w:tr>
            <w:tr w14:paraId="43967C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1" w:type="pct"/>
                  <w:noWrap w:val="0"/>
                  <w:vAlign w:val="center"/>
                </w:tcPr>
                <w:p w14:paraId="3C7E1C6C">
                  <w:pPr>
                    <w:pStyle w:val="80"/>
                    <w:rPr>
                      <w:rFonts w:hint="default" w:ascii="Times New Roman" w:hAnsi="Times New Roman" w:cs="Times New Roman"/>
                      <w:color w:val="auto"/>
                    </w:rPr>
                  </w:pPr>
                  <w:r>
                    <w:rPr>
                      <w:rFonts w:hint="default" w:ascii="Times New Roman" w:hAnsi="Times New Roman" w:cs="Times New Roman"/>
                      <w:color w:val="auto"/>
                    </w:rPr>
                    <w:t>环境</w:t>
                  </w:r>
                </w:p>
                <w:p w14:paraId="2E38353C">
                  <w:pPr>
                    <w:pStyle w:val="80"/>
                    <w:rPr>
                      <w:rFonts w:hint="default" w:ascii="Times New Roman" w:hAnsi="Times New Roman" w:cs="Times New Roman"/>
                      <w:color w:val="auto"/>
                    </w:rPr>
                  </w:pPr>
                  <w:r>
                    <w:rPr>
                      <w:rFonts w:hint="default" w:ascii="Times New Roman" w:hAnsi="Times New Roman" w:cs="Times New Roman"/>
                      <w:color w:val="auto"/>
                    </w:rPr>
                    <w:t>风险</w:t>
                  </w:r>
                </w:p>
              </w:tc>
              <w:tc>
                <w:tcPr>
                  <w:tcW w:w="2335" w:type="pct"/>
                  <w:noWrap w:val="0"/>
                  <w:vAlign w:val="center"/>
                </w:tcPr>
                <w:p w14:paraId="1E39F61B">
                  <w:pPr>
                    <w:pStyle w:val="80"/>
                    <w:jc w:val="both"/>
                    <w:rPr>
                      <w:rFonts w:hint="default" w:ascii="Times New Roman" w:hAnsi="Times New Roman" w:cs="Times New Roman"/>
                      <w:color w:val="auto"/>
                    </w:rPr>
                  </w:pPr>
                  <w:r>
                    <w:rPr>
                      <w:rFonts w:hint="default" w:ascii="Times New Roman" w:hAnsi="Times New Roman" w:cs="Times New Roman"/>
                      <w:color w:val="auto"/>
                    </w:rPr>
                    <w:t>石油和天然气开采：全部；</w:t>
                  </w:r>
                </w:p>
                <w:p w14:paraId="2760B50F">
                  <w:pPr>
                    <w:pStyle w:val="80"/>
                    <w:jc w:val="both"/>
                    <w:rPr>
                      <w:rFonts w:hint="default" w:ascii="Times New Roman" w:hAnsi="Times New Roman" w:cs="Times New Roman"/>
                      <w:color w:val="auto"/>
                    </w:rPr>
                  </w:pPr>
                  <w:r>
                    <w:rPr>
                      <w:rFonts w:hint="default" w:ascii="Times New Roman" w:hAnsi="Times New Roman" w:cs="Times New Roman"/>
                      <w:color w:val="auto"/>
                    </w:rPr>
                    <w:t>油气、液体化工码头：全部；</w:t>
                  </w:r>
                </w:p>
                <w:p w14:paraId="52F9A8B5">
                  <w:pPr>
                    <w:pStyle w:val="80"/>
                    <w:jc w:val="both"/>
                    <w:rPr>
                      <w:rFonts w:hint="default" w:ascii="Times New Roman" w:hAnsi="Times New Roman" w:cs="Times New Roman"/>
                      <w:color w:val="auto"/>
                    </w:rPr>
                  </w:pPr>
                  <w:r>
                    <w:rPr>
                      <w:rFonts w:hint="default" w:ascii="Times New Roman" w:hAnsi="Times New Roman" w:cs="Times New Roman"/>
                      <w:color w:val="auto"/>
                    </w:rPr>
                    <w:t>原油、成品油、天然气管线（不含城镇天然气管线、企业厂区内管线），危险化学品输送管线（不含企业厂区内管线）：全部</w:t>
                  </w:r>
                </w:p>
              </w:tc>
              <w:tc>
                <w:tcPr>
                  <w:tcW w:w="1435" w:type="pct"/>
                  <w:noWrap w:val="0"/>
                  <w:vAlign w:val="center"/>
                </w:tcPr>
                <w:p w14:paraId="561EF87E">
                  <w:pPr>
                    <w:pStyle w:val="80"/>
                    <w:rPr>
                      <w:rFonts w:hint="default" w:ascii="Times New Roman" w:hAnsi="Times New Roman" w:cs="Times New Roman"/>
                      <w:color w:val="auto"/>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为</w:t>
                  </w:r>
                  <w:r>
                    <w:rPr>
                      <w:rFonts w:hint="default" w:ascii="Times New Roman" w:hAnsi="Times New Roman" w:cs="Times New Roman"/>
                      <w:color w:val="auto"/>
                    </w:rPr>
                    <w:t>公路</w:t>
                  </w:r>
                  <w:r>
                    <w:rPr>
                      <w:rFonts w:hint="default" w:ascii="Times New Roman" w:hAnsi="Times New Roman" w:cs="Times New Roman"/>
                      <w:color w:val="auto"/>
                      <w:lang w:val="en-US" w:eastAsia="zh-CN"/>
                    </w:rPr>
                    <w:t>改造</w:t>
                  </w:r>
                  <w:r>
                    <w:rPr>
                      <w:rFonts w:hint="default" w:ascii="Times New Roman" w:hAnsi="Times New Roman" w:cs="Times New Roman"/>
                      <w:color w:val="auto"/>
                    </w:rPr>
                    <w:t>项目</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不涉及</w:t>
                  </w:r>
                  <w:r>
                    <w:rPr>
                      <w:rFonts w:hint="default" w:ascii="Times New Roman" w:hAnsi="Times New Roman" w:cs="Times New Roman"/>
                      <w:color w:val="auto"/>
                    </w:rPr>
                    <w:t>上述项目类别</w:t>
                  </w:r>
                  <w:r>
                    <w:rPr>
                      <w:rFonts w:hint="default" w:ascii="Times New Roman" w:hAnsi="Times New Roman" w:cs="Times New Roman"/>
                      <w:color w:val="auto"/>
                      <w:lang w:eastAsia="zh-CN"/>
                    </w:rPr>
                    <w:t>。</w:t>
                  </w:r>
                </w:p>
              </w:tc>
              <w:tc>
                <w:tcPr>
                  <w:tcW w:w="558" w:type="pct"/>
                  <w:noWrap w:val="0"/>
                  <w:vAlign w:val="center"/>
                </w:tcPr>
                <w:p w14:paraId="6CE876E0">
                  <w:pPr>
                    <w:pStyle w:val="80"/>
                    <w:rPr>
                      <w:rFonts w:hint="default" w:ascii="Times New Roman" w:hAnsi="Times New Roman" w:cs="Times New Roman"/>
                      <w:color w:val="auto"/>
                    </w:rPr>
                  </w:pPr>
                  <w:r>
                    <w:rPr>
                      <w:rFonts w:hint="default" w:ascii="Times New Roman" w:hAnsi="Times New Roman" w:cs="Times New Roman"/>
                      <w:color w:val="auto"/>
                    </w:rPr>
                    <w:t>无需设置</w:t>
                  </w:r>
                </w:p>
              </w:tc>
            </w:tr>
          </w:tbl>
          <w:p w14:paraId="0FA4C316">
            <w:pPr>
              <w:pStyle w:val="76"/>
              <w:ind w:left="0" w:leftChars="0" w:firstLine="480" w:firstLineChars="200"/>
              <w:rPr>
                <w:rFonts w:hint="default" w:ascii="Times New Roman" w:hAnsi="Times New Roman" w:cs="Times New Roman"/>
                <w:color w:val="auto"/>
              </w:rPr>
            </w:pPr>
            <w:r>
              <w:rPr>
                <w:rFonts w:hint="default" w:ascii="Times New Roman" w:hAnsi="Times New Roman" w:cs="Times New Roman"/>
                <w:color w:val="auto"/>
              </w:rPr>
              <w:t>综上分析，本项目需要设置</w:t>
            </w:r>
            <w:r>
              <w:rPr>
                <w:rFonts w:hint="eastAsia" w:cs="Times New Roman"/>
                <w:color w:val="auto"/>
                <w:lang w:val="en-US" w:eastAsia="zh-CN"/>
              </w:rPr>
              <w:t>生态和</w:t>
            </w:r>
            <w:r>
              <w:rPr>
                <w:rFonts w:hint="default" w:ascii="Times New Roman" w:hAnsi="Times New Roman" w:cs="Times New Roman"/>
                <w:color w:val="auto"/>
              </w:rPr>
              <w:t>噪声专项评价。</w:t>
            </w:r>
          </w:p>
          <w:p w14:paraId="32AA89FD">
            <w:pPr>
              <w:pStyle w:val="76"/>
              <w:ind w:left="0" w:leftChars="0" w:firstLine="480" w:firstLineChars="200"/>
              <w:rPr>
                <w:rFonts w:hint="default" w:ascii="Times New Roman" w:hAnsi="Times New Roman" w:cs="Times New Roman"/>
                <w:color w:val="auto"/>
              </w:rPr>
            </w:pPr>
          </w:p>
        </w:tc>
      </w:tr>
      <w:tr w14:paraId="236658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229" w:hRule="atLeast"/>
        </w:trPr>
        <w:tc>
          <w:tcPr>
            <w:tcW w:w="1797" w:type="dxa"/>
            <w:noWrap w:val="0"/>
            <w:tcMar>
              <w:top w:w="16" w:type="dxa"/>
              <w:left w:w="16" w:type="dxa"/>
              <w:right w:w="16" w:type="dxa"/>
            </w:tcMar>
            <w:vAlign w:val="center"/>
          </w:tcPr>
          <w:p w14:paraId="1C14A2FE">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规划情况</w:t>
            </w:r>
          </w:p>
        </w:tc>
        <w:tc>
          <w:tcPr>
            <w:tcW w:w="6582" w:type="dxa"/>
            <w:gridSpan w:val="3"/>
            <w:noWrap w:val="0"/>
            <w:tcMar>
              <w:top w:w="16" w:type="dxa"/>
              <w:left w:w="16" w:type="dxa"/>
              <w:right w:w="16" w:type="dxa"/>
            </w:tcMar>
            <w:vAlign w:val="center"/>
          </w:tcPr>
          <w:p w14:paraId="0DFA1B8B">
            <w:pPr>
              <w:pStyle w:val="76"/>
              <w:keepNext w:val="0"/>
              <w:keepLines w:val="0"/>
              <w:pageBreakBefore w:val="0"/>
              <w:widowControl w:val="0"/>
              <w:kinsoku/>
              <w:wordWrap/>
              <w:overflowPunct/>
              <w:topLinePunct w:val="0"/>
              <w:autoSpaceDE/>
              <w:autoSpaceDN/>
              <w:bidi w:val="0"/>
              <w:adjustRightInd/>
              <w:snapToGrid/>
              <w:spacing w:line="460" w:lineRule="exact"/>
              <w:ind w:left="0" w:leftChars="0" w:firstLine="480" w:firstLineChars="200"/>
              <w:textAlignment w:val="auto"/>
              <w:rPr>
                <w:rFonts w:hint="default" w:ascii="Times New Roman" w:hAnsi="Times New Roman" w:cs="Times New Roman"/>
                <w:color w:val="auto"/>
                <w:highlight w:val="none"/>
                <w:lang w:val="en-US" w:eastAsia="zh-CN"/>
              </w:rPr>
            </w:pPr>
            <w:r>
              <w:rPr>
                <w:rFonts w:hint="eastAsia" w:ascii="Times New Roman" w:hAnsi="Times New Roman" w:eastAsia="宋体" w:cs="Times New Roman"/>
                <w:color w:val="auto"/>
                <w:sz w:val="24"/>
                <w:szCs w:val="24"/>
                <w:highlight w:val="none"/>
                <w:lang w:val="en-US" w:eastAsia="zh-CN"/>
              </w:rPr>
              <w:t>《国家公路网规划》（发改基础〔2022〕1033号）</w:t>
            </w:r>
          </w:p>
        </w:tc>
      </w:tr>
      <w:tr w14:paraId="120766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922" w:hRule="atLeast"/>
        </w:trPr>
        <w:tc>
          <w:tcPr>
            <w:tcW w:w="1797" w:type="dxa"/>
            <w:noWrap w:val="0"/>
            <w:tcMar>
              <w:top w:w="16" w:type="dxa"/>
              <w:left w:w="16" w:type="dxa"/>
              <w:right w:w="16" w:type="dxa"/>
            </w:tcMar>
            <w:vAlign w:val="center"/>
          </w:tcPr>
          <w:p w14:paraId="44BB2DA7">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规划环境影响</w:t>
            </w:r>
          </w:p>
          <w:p w14:paraId="5538E45B">
            <w:pPr>
              <w:spacing w:line="240" w:lineRule="auto"/>
              <w:jc w:val="center"/>
              <w:rPr>
                <w:rFonts w:hint="default" w:ascii="Times New Roman" w:hAnsi="Times New Roman" w:cs="Times New Roman"/>
                <w:color w:val="auto"/>
                <w:kern w:val="21"/>
                <w:szCs w:val="21"/>
                <w:highlight w:val="none"/>
              </w:rPr>
            </w:pPr>
            <w:r>
              <w:rPr>
                <w:rFonts w:hint="default" w:ascii="Times New Roman" w:hAnsi="Times New Roman" w:cs="Times New Roman"/>
                <w:color w:val="auto"/>
                <w:kern w:val="21"/>
                <w:szCs w:val="21"/>
                <w:highlight w:val="none"/>
              </w:rPr>
              <w:t>评价情况</w:t>
            </w:r>
          </w:p>
        </w:tc>
        <w:tc>
          <w:tcPr>
            <w:tcW w:w="6582" w:type="dxa"/>
            <w:gridSpan w:val="3"/>
            <w:noWrap w:val="0"/>
            <w:tcMar>
              <w:top w:w="16" w:type="dxa"/>
              <w:left w:w="16" w:type="dxa"/>
              <w:right w:w="16" w:type="dxa"/>
            </w:tcMar>
            <w:vAlign w:val="center"/>
          </w:tcPr>
          <w:p w14:paraId="6AB8EE2A">
            <w:pPr>
              <w:pStyle w:val="76"/>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w:t>
            </w:r>
          </w:p>
        </w:tc>
      </w:tr>
      <w:tr w14:paraId="6325F9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3887" w:hRule="atLeast"/>
        </w:trPr>
        <w:tc>
          <w:tcPr>
            <w:tcW w:w="1797" w:type="dxa"/>
            <w:noWrap w:val="0"/>
            <w:tcMar>
              <w:top w:w="16" w:type="dxa"/>
              <w:left w:w="16" w:type="dxa"/>
              <w:right w:w="16" w:type="dxa"/>
            </w:tcMar>
            <w:vAlign w:val="center"/>
          </w:tcPr>
          <w:p w14:paraId="3AA748D9">
            <w:pPr>
              <w:autoSpaceDE w:val="0"/>
              <w:autoSpaceDN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规划及规划环境影响评价符合性分析</w:t>
            </w:r>
          </w:p>
        </w:tc>
        <w:tc>
          <w:tcPr>
            <w:tcW w:w="6582" w:type="dxa"/>
            <w:gridSpan w:val="3"/>
            <w:noWrap w:val="0"/>
            <w:tcMar>
              <w:top w:w="16" w:type="dxa"/>
              <w:left w:w="16" w:type="dxa"/>
              <w:right w:w="16" w:type="dxa"/>
            </w:tcMar>
            <w:vAlign w:val="center"/>
          </w:tcPr>
          <w:p w14:paraId="6419C8BF">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1、与国家公路网规划的符合性</w:t>
            </w:r>
            <w:r>
              <w:rPr>
                <w:rFonts w:hint="eastAsia" w:cs="Times New Roman"/>
                <w:color w:val="auto"/>
                <w:highlight w:val="none"/>
                <w:lang w:val="en-US" w:eastAsia="zh-CN"/>
              </w:rPr>
              <w:t>分析</w:t>
            </w:r>
          </w:p>
          <w:p w14:paraId="12E61C7F">
            <w:pPr>
              <w:pStyle w:val="99"/>
              <w:keepNext w:val="0"/>
              <w:keepLines w:val="0"/>
              <w:pageBreakBefore w:val="0"/>
              <w:widowControl w:val="0"/>
              <w:kinsoku/>
              <w:wordWrap/>
              <w:overflowPunct/>
              <w:topLinePunct w:val="0"/>
              <w:autoSpaceDE/>
              <w:autoSpaceDN/>
              <w:bidi w:val="0"/>
              <w:adjustRightInd/>
              <w:snapToGrid/>
              <w:spacing w:line="500" w:lineRule="exact"/>
              <w:ind w:left="0" w:leftChars="0" w:firstLine="480" w:firstLineChars="200"/>
              <w:jc w:val="both"/>
              <w:textAlignment w:val="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2022年7月4日，国家发展改革委、交通运输部印发《国家公路网规划》（发改基础〔2022〕1033号），该规划目标为：到2035年，基本建成覆盖广泛、功能完备、集约高效、绿色智能、安全可靠的现代化高质量国家公路网，形成多中心网络化路网格局，实现国际省际互联互通、城市群间多路连通、城市群城际便捷畅通、地级城市高速畅达、县级节点全面覆盖、沿边沿海公路连续贯通。</w:t>
            </w:r>
          </w:p>
          <w:p w14:paraId="6BC5DC1E">
            <w:pPr>
              <w:pStyle w:val="99"/>
              <w:keepNext w:val="0"/>
              <w:keepLines w:val="0"/>
              <w:pageBreakBefore w:val="0"/>
              <w:widowControl w:val="0"/>
              <w:kinsoku/>
              <w:wordWrap/>
              <w:overflowPunct/>
              <w:topLinePunct w:val="0"/>
              <w:autoSpaceDE/>
              <w:autoSpaceDN/>
              <w:bidi w:val="0"/>
              <w:adjustRightInd/>
              <w:snapToGrid/>
              <w:spacing w:line="500" w:lineRule="exact"/>
              <w:ind w:left="0" w:leftChars="0" w:firstLine="480" w:firstLineChars="200"/>
              <w:jc w:val="both"/>
              <w:textAlignment w:val="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规划方案为：国家公路网规划总规模约46.1万公里，由国家高速公路网和普通国道网组成，其中国家高速公路约16.2万公里（含远景展望线约0.8万公里），普通国道约29.9万公里。</w:t>
            </w:r>
          </w:p>
          <w:p w14:paraId="6A810909">
            <w:pPr>
              <w:pStyle w:val="99"/>
              <w:keepNext w:val="0"/>
              <w:keepLines w:val="0"/>
              <w:pageBreakBefore w:val="0"/>
              <w:widowControl w:val="0"/>
              <w:kinsoku/>
              <w:wordWrap/>
              <w:overflowPunct/>
              <w:topLinePunct w:val="0"/>
              <w:autoSpaceDE/>
              <w:autoSpaceDN/>
              <w:bidi w:val="0"/>
              <w:adjustRightInd/>
              <w:snapToGrid/>
              <w:spacing w:line="500" w:lineRule="exact"/>
              <w:ind w:left="0" w:leftChars="0" w:firstLine="480" w:firstLineChars="200"/>
              <w:jc w:val="both"/>
              <w:textAlignment w:val="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普通国道网由12条首都放射线、47条北南纵线、60条东西横线，以及182条联络线组成。首都放射线包括北京—沈阳、北京—抚远（G102）、北京—滨海新区、北京—平潭、北京—澳门、北京—广州、北京—香港、北京—昆明、北京—拉萨、北京—青铜峡、北京—漠河、北京环线。</w:t>
            </w:r>
          </w:p>
          <w:p w14:paraId="4089A79B">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highlight w:val="none"/>
              </w:rPr>
            </w:pPr>
            <w:r>
              <w:rPr>
                <w:rFonts w:hint="eastAsia" w:cs="Times New Roman"/>
                <w:color w:val="auto"/>
                <w:highlight w:val="none"/>
                <w:lang w:val="en-US" w:eastAsia="zh-CN"/>
              </w:rPr>
              <w:t>本项目为</w:t>
            </w:r>
            <w:r>
              <w:rPr>
                <w:rFonts w:hint="default" w:ascii="Times New Roman" w:hAnsi="Times New Roman" w:eastAsia="宋体" w:cs="Times New Roman"/>
                <w:color w:val="auto"/>
                <w:kern w:val="21"/>
                <w:szCs w:val="21"/>
                <w:highlight w:val="none"/>
                <w:lang w:eastAsia="zh-CN"/>
              </w:rPr>
              <w:t>国道集贤至当壁公路宝清界至兴凯镇段路面改造工程</w:t>
            </w:r>
            <w:r>
              <w:rPr>
                <w:rFonts w:hint="eastAsia" w:eastAsia="宋体" w:cs="Times New Roman"/>
                <w:color w:val="auto"/>
                <w:kern w:val="21"/>
                <w:szCs w:val="21"/>
                <w:highlight w:val="none"/>
                <w:lang w:eastAsia="zh-CN"/>
              </w:rPr>
              <w:t>，</w:t>
            </w:r>
            <w:r>
              <w:rPr>
                <w:rFonts w:hint="eastAsia" w:cs="Times New Roman"/>
                <w:color w:val="auto"/>
                <w:highlight w:val="none"/>
                <w:lang w:val="en-US" w:eastAsia="zh-CN"/>
              </w:rPr>
              <w:t>属于</w:t>
            </w:r>
            <w:r>
              <w:rPr>
                <w:rFonts w:hint="default" w:ascii="Times New Roman" w:hAnsi="Times New Roman" w:eastAsia="宋体" w:cs="Times New Roman"/>
                <w:color w:val="auto"/>
                <w:sz w:val="24"/>
                <w:szCs w:val="24"/>
                <w:highlight w:val="none"/>
                <w:lang w:val="en-US" w:eastAsia="zh-CN"/>
              </w:rPr>
              <w:t>《国家公路网规划》中</w:t>
            </w:r>
            <w:r>
              <w:rPr>
                <w:rFonts w:hint="default" w:ascii="Times New Roman" w:hAnsi="Times New Roman" w:cs="Times New Roman"/>
                <w:color w:val="auto"/>
                <w:highlight w:val="none"/>
                <w:lang w:val="en-US" w:eastAsia="zh-CN"/>
              </w:rPr>
              <w:t>普通国道182条联络线中的</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G501集贤—当壁</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Hans"/>
              </w:rPr>
              <w:t>中的一部分</w:t>
            </w:r>
            <w:r>
              <w:rPr>
                <w:rFonts w:hint="default" w:ascii="Times New Roman" w:hAnsi="Times New Roman" w:eastAsia="宋体" w:cs="Times New Roman"/>
                <w:color w:val="auto"/>
                <w:sz w:val="24"/>
                <w:szCs w:val="24"/>
                <w:highlight w:val="none"/>
                <w:lang w:val="en-US" w:eastAsia="zh-CN"/>
              </w:rPr>
              <w:t>，因此本项目符合《国家公路网规划》（发改基础[2022]1033号）</w:t>
            </w:r>
            <w:r>
              <w:rPr>
                <w:rFonts w:hint="default" w:ascii="Times New Roman" w:hAnsi="Times New Roman" w:cs="Times New Roman"/>
                <w:color w:val="auto"/>
                <w:highlight w:val="none"/>
              </w:rPr>
              <w:t>。</w:t>
            </w:r>
          </w:p>
          <w:p w14:paraId="4ADC8D0A">
            <w:pPr>
              <w:pStyle w:val="76"/>
              <w:rPr>
                <w:rFonts w:hint="default" w:ascii="Times New Roman" w:hAnsi="Times New Roman" w:cs="Times New Roman"/>
                <w:color w:val="auto"/>
                <w:highlight w:val="yellow"/>
              </w:rPr>
            </w:pPr>
          </w:p>
          <w:p w14:paraId="7540338C">
            <w:pPr>
              <w:pStyle w:val="76"/>
              <w:rPr>
                <w:rFonts w:hint="default" w:ascii="Times New Roman" w:hAnsi="Times New Roman" w:cs="Times New Roman"/>
                <w:color w:val="auto"/>
                <w:highlight w:val="yellow"/>
              </w:rPr>
            </w:pPr>
          </w:p>
          <w:p w14:paraId="64917BC4">
            <w:pPr>
              <w:pStyle w:val="76"/>
              <w:rPr>
                <w:rFonts w:hint="default" w:ascii="Times New Roman" w:hAnsi="Times New Roman" w:cs="Times New Roman"/>
                <w:color w:val="auto"/>
                <w:highlight w:val="yellow"/>
              </w:rPr>
            </w:pPr>
          </w:p>
          <w:p w14:paraId="56F1B4E5">
            <w:pPr>
              <w:pStyle w:val="76"/>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drawing>
                <wp:anchor distT="0" distB="0" distL="114300" distR="114300" simplePos="0" relativeHeight="251661312" behindDoc="0" locked="0" layoutInCell="1" allowOverlap="1">
                  <wp:simplePos x="0" y="0"/>
                  <wp:positionH relativeFrom="column">
                    <wp:posOffset>64135</wp:posOffset>
                  </wp:positionH>
                  <wp:positionV relativeFrom="paragraph">
                    <wp:posOffset>8890</wp:posOffset>
                  </wp:positionV>
                  <wp:extent cx="4037330" cy="1990725"/>
                  <wp:effectExtent l="0" t="0" r="0" b="0"/>
                  <wp:wrapNone/>
                  <wp:docPr id="53" name="图片 53" descr="ScreenShot_2025-11-25_142452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ScreenShot_2025-11-25_142452_256"/>
                          <pic:cNvPicPr>
                            <a:picLocks noChangeAspect="1"/>
                          </pic:cNvPicPr>
                        </pic:nvPicPr>
                        <pic:blipFill>
                          <a:blip r:embed="rId10"/>
                          <a:srcRect l="2813"/>
                          <a:stretch>
                            <a:fillRect/>
                          </a:stretch>
                        </pic:blipFill>
                        <pic:spPr>
                          <a:xfrm>
                            <a:off x="0" y="0"/>
                            <a:ext cx="4037330" cy="1990725"/>
                          </a:xfrm>
                          <a:prstGeom prst="rect">
                            <a:avLst/>
                          </a:prstGeom>
                        </pic:spPr>
                      </pic:pic>
                    </a:graphicData>
                  </a:graphic>
                </wp:anchor>
              </w:drawing>
            </w:r>
          </w:p>
          <w:p w14:paraId="47885CD4">
            <w:pPr>
              <w:pStyle w:val="76"/>
              <w:ind w:left="0" w:leftChars="0" w:firstLine="0" w:firstLineChars="0"/>
              <w:rPr>
                <w:rFonts w:hint="default" w:ascii="Times New Roman" w:hAnsi="Times New Roman" w:cs="Times New Roman"/>
                <w:color w:val="auto"/>
              </w:rPr>
            </w:pPr>
          </w:p>
          <w:p w14:paraId="25344F8D">
            <w:pPr>
              <w:pStyle w:val="76"/>
              <w:rPr>
                <w:rFonts w:hint="default" w:ascii="Times New Roman" w:hAnsi="Times New Roman" w:cs="Times New Roman"/>
                <w:color w:val="auto"/>
              </w:rPr>
            </w:pPr>
          </w:p>
          <w:p w14:paraId="4B266069">
            <w:pPr>
              <w:pStyle w:val="76"/>
              <w:rPr>
                <w:rFonts w:hint="default" w:ascii="Times New Roman" w:hAnsi="Times New Roman" w:cs="Times New Roman"/>
                <w:color w:val="auto"/>
              </w:rPr>
            </w:pPr>
          </w:p>
          <w:p w14:paraId="73F81E1E">
            <w:pPr>
              <w:pStyle w:val="76"/>
              <w:rPr>
                <w:rFonts w:hint="default" w:ascii="Times New Roman" w:hAnsi="Times New Roman" w:cs="Times New Roman"/>
                <w:color w:val="auto"/>
              </w:rPr>
            </w:pPr>
          </w:p>
          <w:p w14:paraId="53EC5574">
            <w:pPr>
              <w:pStyle w:val="76"/>
              <w:rPr>
                <w:rFonts w:hint="default" w:ascii="Times New Roman" w:hAnsi="Times New Roman" w:cs="Times New Roman"/>
                <w:color w:val="auto"/>
              </w:rPr>
            </w:pPr>
          </w:p>
          <w:p w14:paraId="5B44375A">
            <w:pPr>
              <w:pStyle w:val="76"/>
              <w:ind w:left="0" w:leftChars="0" w:firstLine="0" w:firstLineChars="0"/>
              <w:jc w:val="center"/>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图1-</w:t>
            </w:r>
            <w:r>
              <w:rPr>
                <w:rFonts w:hint="eastAsia" w:ascii="Times New Roman" w:hAnsi="Times New Roman" w:cs="Times New Roman"/>
                <w:b/>
                <w:bCs/>
                <w:color w:val="auto"/>
                <w:lang w:val="en-US" w:eastAsia="zh-CN"/>
              </w:rPr>
              <w:t>1</w:t>
            </w:r>
            <w:r>
              <w:rPr>
                <w:rFonts w:hint="default" w:ascii="Times New Roman" w:hAnsi="Times New Roman" w:eastAsia="宋体" w:cs="Times New Roman"/>
                <w:b/>
                <w:bCs/>
                <w:color w:val="auto"/>
                <w:lang w:val="en-US" w:eastAsia="zh-CN"/>
              </w:rPr>
              <w:t xml:space="preserve">  </w:t>
            </w:r>
            <w:r>
              <w:rPr>
                <w:rFonts w:hint="default" w:ascii="Times New Roman" w:hAnsi="Times New Roman" w:eastAsia="宋体" w:cs="Times New Roman"/>
                <w:b/>
                <w:bCs/>
                <w:color w:val="auto"/>
              </w:rPr>
              <w:t>《国家公路网规划》</w:t>
            </w:r>
            <w:r>
              <w:rPr>
                <w:rFonts w:hint="default" w:ascii="Times New Roman" w:hAnsi="Times New Roman" w:eastAsia="宋体" w:cs="Times New Roman"/>
                <w:b/>
                <w:bCs/>
                <w:color w:val="auto"/>
                <w:lang w:val="en-US" w:eastAsia="zh-CN"/>
              </w:rPr>
              <w:t>截图</w:t>
            </w:r>
          </w:p>
          <w:p w14:paraId="2938B8BA">
            <w:pPr>
              <w:rPr>
                <w:rFonts w:hint="default" w:ascii="Times New Roman" w:hAnsi="Times New Roman" w:cs="Times New Roman"/>
                <w:color w:val="auto"/>
              </w:rPr>
            </w:pPr>
          </w:p>
        </w:tc>
      </w:tr>
      <w:tr w14:paraId="27AD83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9456" w:hRule="atLeast"/>
        </w:trPr>
        <w:tc>
          <w:tcPr>
            <w:tcW w:w="1797" w:type="dxa"/>
            <w:noWrap w:val="0"/>
            <w:tcMar>
              <w:top w:w="16" w:type="dxa"/>
              <w:left w:w="16" w:type="dxa"/>
              <w:right w:w="16" w:type="dxa"/>
            </w:tcMar>
            <w:vAlign w:val="center"/>
          </w:tcPr>
          <w:p w14:paraId="25EB1CF8">
            <w:pPr>
              <w:autoSpaceDE w:val="0"/>
              <w:autoSpaceDN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其他符合性分析</w:t>
            </w:r>
          </w:p>
        </w:tc>
        <w:tc>
          <w:tcPr>
            <w:tcW w:w="6582" w:type="dxa"/>
            <w:gridSpan w:val="3"/>
            <w:noWrap w:val="0"/>
            <w:tcMar>
              <w:top w:w="16" w:type="dxa"/>
              <w:left w:w="16" w:type="dxa"/>
              <w:right w:w="16" w:type="dxa"/>
            </w:tcMar>
            <w:vAlign w:val="center"/>
          </w:tcPr>
          <w:p w14:paraId="746EA0D1">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rPr>
            </w:pPr>
            <w:r>
              <w:rPr>
                <w:rFonts w:hint="default" w:ascii="Times New Roman" w:hAnsi="Times New Roman" w:cs="Times New Roman"/>
                <w:color w:val="auto"/>
              </w:rPr>
              <w:t>1、产业政策符合性分析</w:t>
            </w:r>
          </w:p>
          <w:p w14:paraId="22E3105C">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rPr>
            </w:pPr>
            <w:r>
              <w:rPr>
                <w:rFonts w:hint="default" w:ascii="Times New Roman" w:hAnsi="Times New Roman" w:cs="Times New Roman"/>
                <w:color w:val="auto"/>
              </w:rPr>
              <w:t>根据《产业结构调整指导目录（2024年本）》，本项目属于“第一类 鼓励类”“二十四、公路及道路运输”、“1．公路交通网络建设”中的“国省干线改造升级”，本项目为鼓励类项目，符合国家产业政策。</w:t>
            </w:r>
          </w:p>
          <w:p w14:paraId="49485B67">
            <w:pPr>
              <w:rPr>
                <w:rFonts w:hint="default" w:ascii="Times New Roman" w:hAnsi="Times New Roman" w:cs="Times New Roman"/>
                <w:color w:val="auto"/>
              </w:rPr>
            </w:pPr>
          </w:p>
        </w:tc>
      </w:tr>
      <w:tr w14:paraId="1E7234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0502" w:hRule="atLeast"/>
        </w:trPr>
        <w:tc>
          <w:tcPr>
            <w:tcW w:w="1797" w:type="dxa"/>
            <w:noWrap w:val="0"/>
            <w:tcMar>
              <w:top w:w="16" w:type="dxa"/>
              <w:left w:w="16" w:type="dxa"/>
              <w:right w:w="16" w:type="dxa"/>
            </w:tcMar>
            <w:vAlign w:val="center"/>
          </w:tcPr>
          <w:p w14:paraId="1B84BCBB">
            <w:pPr>
              <w:autoSpaceDE w:val="0"/>
              <w:autoSpaceDN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其他符合性分析</w:t>
            </w:r>
          </w:p>
        </w:tc>
        <w:tc>
          <w:tcPr>
            <w:tcW w:w="6582" w:type="dxa"/>
            <w:gridSpan w:val="3"/>
            <w:noWrap w:val="0"/>
            <w:tcMar>
              <w:top w:w="16" w:type="dxa"/>
              <w:left w:w="16" w:type="dxa"/>
              <w:right w:w="16" w:type="dxa"/>
            </w:tcMar>
            <w:vAlign w:val="center"/>
          </w:tcPr>
          <w:p w14:paraId="584D24AE">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rPr>
            </w:pPr>
            <w:r>
              <w:rPr>
                <w:rFonts w:hint="default" w:ascii="Times New Roman" w:hAnsi="Times New Roman" w:cs="Times New Roman"/>
                <w:color w:val="auto"/>
              </w:rPr>
              <w:t>2、与“生态环境分区管控”的符合性分析</w:t>
            </w:r>
          </w:p>
          <w:p w14:paraId="45F9F7ED">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rPr>
              <w:t>本项目位于黑龙江省</w:t>
            </w:r>
            <w:r>
              <w:rPr>
                <w:rFonts w:hint="default" w:ascii="Times New Roman" w:hAnsi="Times New Roman" w:cs="Times New Roman"/>
                <w:color w:val="auto"/>
                <w:lang w:val="en-US" w:eastAsia="zh-CN"/>
              </w:rPr>
              <w:t>鸡西市密山</w:t>
            </w:r>
            <w:r>
              <w:rPr>
                <w:rFonts w:hint="default" w:ascii="Times New Roman" w:hAnsi="Times New Roman" w:cs="Times New Roman"/>
                <w:color w:val="auto"/>
              </w:rPr>
              <w:t>市，根据</w:t>
            </w:r>
            <w:r>
              <w:rPr>
                <w:rFonts w:hint="default" w:ascii="Times New Roman" w:hAnsi="Times New Roman" w:cs="Times New Roman"/>
                <w:color w:val="auto"/>
                <w:highlight w:val="none"/>
              </w:rPr>
              <w:t>《关于发布2023年生态环境分区管控动态更新的通知》（黑环发〔2024〕1号）、《</w:t>
            </w:r>
            <w:r>
              <w:rPr>
                <w:rFonts w:hint="default" w:ascii="Times New Roman" w:hAnsi="Times New Roman" w:cs="Times New Roman"/>
                <w:color w:val="auto"/>
                <w:highlight w:val="none"/>
                <w:lang w:val="en-US" w:eastAsia="zh-CN"/>
              </w:rPr>
              <w:t>鸡西</w:t>
            </w:r>
            <w:r>
              <w:rPr>
                <w:rFonts w:hint="default" w:ascii="Times New Roman" w:hAnsi="Times New Roman" w:cs="Times New Roman"/>
                <w:color w:val="auto"/>
                <w:highlight w:val="none"/>
              </w:rPr>
              <w:t>市人民政府关于“三线一单”生态环境分区管控的实施意见》（</w:t>
            </w:r>
            <w:r>
              <w:rPr>
                <w:rFonts w:hint="default" w:ascii="Times New Roman" w:hAnsi="Times New Roman" w:cs="Times New Roman"/>
                <w:color w:val="auto"/>
                <w:highlight w:val="none"/>
                <w:lang w:val="en-US" w:eastAsia="zh-CN"/>
              </w:rPr>
              <w:t>鸡</w:t>
            </w:r>
            <w:r>
              <w:rPr>
                <w:rFonts w:hint="default" w:ascii="Times New Roman" w:hAnsi="Times New Roman" w:cs="Times New Roman"/>
                <w:color w:val="auto"/>
                <w:highlight w:val="none"/>
              </w:rPr>
              <w:t>政</w:t>
            </w:r>
            <w:r>
              <w:rPr>
                <w:rFonts w:hint="default" w:ascii="Times New Roman" w:hAnsi="Times New Roman" w:cs="Times New Roman"/>
                <w:color w:val="auto"/>
                <w:highlight w:val="none"/>
                <w:lang w:val="en-US" w:eastAsia="zh-CN"/>
              </w:rPr>
              <w:t>发</w:t>
            </w:r>
            <w:r>
              <w:rPr>
                <w:rFonts w:hint="default" w:ascii="Times New Roman" w:hAnsi="Times New Roman" w:cs="Times New Roman"/>
                <w:color w:val="auto"/>
                <w:highlight w:val="none"/>
              </w:rPr>
              <w:t>〔2021〕</w:t>
            </w:r>
            <w:r>
              <w:rPr>
                <w:rFonts w:hint="default" w:ascii="Times New Roman" w:hAnsi="Times New Roman" w:cs="Times New Roman"/>
                <w:color w:val="auto"/>
                <w:highlight w:val="none"/>
                <w:lang w:val="en-US" w:eastAsia="zh-CN"/>
              </w:rPr>
              <w:t>7</w:t>
            </w:r>
            <w:r>
              <w:rPr>
                <w:rFonts w:hint="default" w:ascii="Times New Roman" w:hAnsi="Times New Roman" w:cs="Times New Roman"/>
                <w:color w:val="auto"/>
                <w:highlight w:val="none"/>
              </w:rPr>
              <w:t>号）、《</w:t>
            </w:r>
            <w:r>
              <w:rPr>
                <w:rFonts w:hint="default" w:ascii="Times New Roman" w:hAnsi="Times New Roman" w:cs="Times New Roman"/>
                <w:color w:val="auto"/>
                <w:highlight w:val="none"/>
                <w:lang w:val="en-US" w:eastAsia="zh-CN"/>
              </w:rPr>
              <w:t>鸡西</w:t>
            </w:r>
            <w:r>
              <w:rPr>
                <w:rFonts w:hint="default" w:ascii="Times New Roman" w:hAnsi="Times New Roman" w:cs="Times New Roman"/>
                <w:color w:val="auto"/>
                <w:highlight w:val="none"/>
              </w:rPr>
              <w:t>市生态环境准入清单》（2023年版）</w:t>
            </w:r>
            <w:r>
              <w:rPr>
                <w:rFonts w:hint="default" w:ascii="Times New Roman" w:hAnsi="Times New Roman" w:cs="Times New Roman"/>
                <w:color w:val="auto"/>
                <w:highlight w:val="none"/>
                <w:lang w:val="en-US" w:eastAsia="zh-CN"/>
              </w:rPr>
              <w:t>以及</w:t>
            </w:r>
            <w:r>
              <w:rPr>
                <w:rFonts w:hint="default" w:ascii="Times New Roman" w:hAnsi="Times New Roman" w:cs="Times New Roman"/>
                <w:color w:val="auto"/>
                <w:highlight w:val="none"/>
              </w:rPr>
              <w:t>《</w:t>
            </w:r>
            <w:r>
              <w:rPr>
                <w:rFonts w:hint="default" w:ascii="Times New Roman" w:hAnsi="Times New Roman" w:eastAsia="宋体" w:cs="Times New Roman"/>
                <w:color w:val="auto"/>
                <w:kern w:val="21"/>
                <w:szCs w:val="21"/>
                <w:highlight w:val="none"/>
                <w:lang w:eastAsia="zh-CN"/>
              </w:rPr>
              <w:t>国道集贤至当壁公路宝清界至兴凯镇段路面改造工程</w:t>
            </w:r>
            <w:r>
              <w:rPr>
                <w:rFonts w:hint="default" w:ascii="Times New Roman" w:hAnsi="Times New Roman" w:cs="Times New Roman"/>
                <w:color w:val="auto"/>
                <w:highlight w:val="none"/>
              </w:rPr>
              <w:t>生态环境分区管控分析报告》</w:t>
            </w:r>
            <w:r>
              <w:rPr>
                <w:rFonts w:hint="default" w:ascii="Times New Roman" w:hAnsi="Times New Roman" w:cs="Times New Roman"/>
                <w:color w:val="auto"/>
                <w:highlight w:val="none"/>
                <w:lang w:val="en-US" w:eastAsia="zh-CN"/>
              </w:rPr>
              <w:t>可知</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本项目属于密山市地下水环境一般管控区（YS2303826310001）、密山市一般生态空间（ZH23038210002）、密山市城镇空间（ZH23038220002）、密山市水环境农业污染重点管控区（ZH23038220004）。</w:t>
            </w:r>
            <w:r>
              <w:rPr>
                <w:rFonts w:hint="default" w:ascii="Times New Roman" w:hAnsi="Times New Roman" w:cs="Times New Roman"/>
                <w:color w:val="auto"/>
                <w:highlight w:val="none"/>
              </w:rPr>
              <w:t>本项目与黑龙江省生态环境分区管控成果数据相交情况汇总表见下表</w:t>
            </w:r>
            <w:r>
              <w:rPr>
                <w:rFonts w:hint="default" w:ascii="Times New Roman" w:hAnsi="Times New Roman" w:cs="Times New Roman"/>
                <w:color w:val="auto"/>
                <w:highlight w:val="none"/>
                <w:lang w:eastAsia="zh-CN"/>
              </w:rPr>
              <w:t>。</w:t>
            </w:r>
          </w:p>
          <w:p w14:paraId="44C761C5">
            <w:pPr>
              <w:keepNext w:val="0"/>
              <w:keepLines w:val="0"/>
              <w:pageBreakBefore w:val="0"/>
              <w:widowControl w:val="0"/>
              <w:kinsoku/>
              <w:wordWrap/>
              <w:overflowPunct/>
              <w:topLinePunct w:val="0"/>
              <w:autoSpaceDE/>
              <w:autoSpaceDN/>
              <w:bidi w:val="0"/>
              <w:adjustRightInd/>
              <w:snapToGrid/>
              <w:spacing w:line="460" w:lineRule="exact"/>
              <w:jc w:val="center"/>
              <w:textAlignment w:val="auto"/>
              <w:rPr>
                <w:rFonts w:hint="default" w:ascii="Times New Roman" w:hAnsi="Times New Roman" w:eastAsia="宋体" w:cs="Times New Roman"/>
                <w:b/>
                <w:color w:val="auto"/>
                <w:kern w:val="2"/>
                <w:sz w:val="24"/>
                <w:szCs w:val="24"/>
                <w:lang w:val="en-US" w:eastAsia="zh-CN" w:bidi="ar-SA"/>
              </w:rPr>
            </w:pPr>
            <w:r>
              <w:rPr>
                <w:rFonts w:hint="default" w:ascii="Times New Roman" w:hAnsi="Times New Roman" w:eastAsia="宋体" w:cs="Times New Roman"/>
                <w:b/>
                <w:color w:val="auto"/>
                <w:kern w:val="2"/>
                <w:sz w:val="24"/>
                <w:szCs w:val="24"/>
                <w:lang w:val="en-US" w:eastAsia="zh-CN" w:bidi="ar-SA"/>
              </w:rPr>
              <w:t>表1-</w:t>
            </w:r>
            <w:r>
              <w:rPr>
                <w:rFonts w:hint="eastAsia" w:cs="Times New Roman"/>
                <w:b/>
                <w:color w:val="auto"/>
                <w:kern w:val="2"/>
                <w:sz w:val="24"/>
                <w:szCs w:val="24"/>
                <w:lang w:val="en-US" w:eastAsia="zh-CN" w:bidi="ar-SA"/>
              </w:rPr>
              <w:t>2</w:t>
            </w:r>
            <w:r>
              <w:rPr>
                <w:rFonts w:hint="default" w:ascii="Times New Roman" w:hAnsi="Times New Roman" w:eastAsia="宋体" w:cs="Times New Roman"/>
                <w:b/>
                <w:color w:val="auto"/>
                <w:kern w:val="2"/>
                <w:sz w:val="24"/>
                <w:szCs w:val="24"/>
                <w:lang w:val="en-US" w:eastAsia="zh-CN" w:bidi="ar-SA"/>
              </w:rPr>
              <w:t xml:space="preserve">  本项目与“生态环境分区管控”成果相交情况一览表</w:t>
            </w:r>
          </w:p>
          <w:tbl>
            <w:tblPr>
              <w:tblStyle w:val="30"/>
              <w:tblW w:w="661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847"/>
              <w:gridCol w:w="1333"/>
              <w:gridCol w:w="705"/>
              <w:gridCol w:w="945"/>
              <w:gridCol w:w="855"/>
              <w:gridCol w:w="1928"/>
            </w:tblGrid>
            <w:tr w14:paraId="2C1CE5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09" w:hRule="atLeast"/>
                <w:tblHeader/>
                <w:jc w:val="center"/>
              </w:trPr>
              <w:tc>
                <w:tcPr>
                  <w:tcW w:w="640" w:type="pct"/>
                  <w:tcBorders>
                    <w:tl2br w:val="nil"/>
                    <w:tr2bl w:val="nil"/>
                  </w:tcBorders>
                  <w:tcMar>
                    <w:top w:w="15" w:type="dxa"/>
                    <w:left w:w="108" w:type="dxa"/>
                    <w:bottom w:w="15" w:type="dxa"/>
                    <w:right w:w="108" w:type="dxa"/>
                  </w:tcMar>
                  <w:vAlign w:val="center"/>
                </w:tcPr>
                <w:p w14:paraId="4CF74FA7">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一级</w:t>
                  </w:r>
                </w:p>
                <w:p w14:paraId="5B55980D">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分类</w:t>
                  </w:r>
                </w:p>
              </w:tc>
              <w:tc>
                <w:tcPr>
                  <w:tcW w:w="1007" w:type="pct"/>
                  <w:tcBorders>
                    <w:tl2br w:val="nil"/>
                    <w:tr2bl w:val="nil"/>
                  </w:tcBorders>
                  <w:tcMar>
                    <w:top w:w="15" w:type="dxa"/>
                    <w:left w:w="108" w:type="dxa"/>
                    <w:bottom w:w="15" w:type="dxa"/>
                    <w:right w:w="108" w:type="dxa"/>
                  </w:tcMar>
                  <w:vAlign w:val="center"/>
                </w:tcPr>
                <w:p w14:paraId="2D1FF602">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二级分类</w:t>
                  </w:r>
                </w:p>
              </w:tc>
              <w:tc>
                <w:tcPr>
                  <w:tcW w:w="533" w:type="pct"/>
                  <w:tcBorders>
                    <w:tl2br w:val="nil"/>
                    <w:tr2bl w:val="nil"/>
                  </w:tcBorders>
                  <w:tcMar>
                    <w:top w:w="15" w:type="dxa"/>
                    <w:left w:w="108" w:type="dxa"/>
                    <w:bottom w:w="15" w:type="dxa"/>
                    <w:right w:w="108" w:type="dxa"/>
                  </w:tcMar>
                  <w:vAlign w:val="center"/>
                </w:tcPr>
                <w:p w14:paraId="36F36E37">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是否相交</w:t>
                  </w:r>
                </w:p>
              </w:tc>
              <w:tc>
                <w:tcPr>
                  <w:tcW w:w="714" w:type="pct"/>
                  <w:tcBorders>
                    <w:tl2br w:val="nil"/>
                    <w:tr2bl w:val="nil"/>
                  </w:tcBorders>
                  <w:tcMar>
                    <w:top w:w="15" w:type="dxa"/>
                    <w:left w:w="108" w:type="dxa"/>
                    <w:bottom w:w="15" w:type="dxa"/>
                    <w:right w:w="108" w:type="dxa"/>
                  </w:tcMar>
                  <w:vAlign w:val="center"/>
                </w:tcPr>
                <w:p w14:paraId="6B187F6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所属</w:t>
                  </w:r>
                </w:p>
                <w:p w14:paraId="146B35EF">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地市</w:t>
                  </w:r>
                </w:p>
              </w:tc>
              <w:tc>
                <w:tcPr>
                  <w:tcW w:w="646" w:type="pct"/>
                  <w:tcBorders>
                    <w:tl2br w:val="nil"/>
                    <w:tr2bl w:val="nil"/>
                  </w:tcBorders>
                  <w:tcMar>
                    <w:top w:w="15" w:type="dxa"/>
                    <w:left w:w="108" w:type="dxa"/>
                    <w:bottom w:w="15" w:type="dxa"/>
                    <w:right w:w="108" w:type="dxa"/>
                  </w:tcMar>
                  <w:vAlign w:val="center"/>
                </w:tcPr>
                <w:p w14:paraId="3CBC0357">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所属</w:t>
                  </w:r>
                </w:p>
                <w:p w14:paraId="15B71E58">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区县</w:t>
                  </w:r>
                </w:p>
              </w:tc>
              <w:tc>
                <w:tcPr>
                  <w:tcW w:w="1457" w:type="pct"/>
                  <w:tcBorders>
                    <w:tl2br w:val="nil"/>
                    <w:tr2bl w:val="nil"/>
                  </w:tcBorders>
                  <w:tcMar>
                    <w:top w:w="15" w:type="dxa"/>
                    <w:left w:w="108" w:type="dxa"/>
                    <w:bottom w:w="15" w:type="dxa"/>
                    <w:right w:w="108" w:type="dxa"/>
                  </w:tcMar>
                  <w:vAlign w:val="center"/>
                </w:tcPr>
                <w:p w14:paraId="5A49E7B8">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zh-CN"/>
                    </w:rPr>
                    <w:t>相交</w:t>
                  </w:r>
                  <w:r>
                    <w:rPr>
                      <w:rFonts w:hint="default" w:ascii="Times New Roman" w:hAnsi="Times New Roman" w:eastAsia="宋体" w:cs="Times New Roman"/>
                      <w:color w:val="auto"/>
                      <w:sz w:val="21"/>
                      <w:szCs w:val="21"/>
                      <w:lang w:val="en-US" w:eastAsia="zh-CN"/>
                    </w:rPr>
                    <w:t>单元名称</w:t>
                  </w:r>
                </w:p>
              </w:tc>
            </w:tr>
            <w:tr w14:paraId="57FA46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09" w:hRule="atLeast"/>
                <w:tblHeader/>
                <w:jc w:val="center"/>
              </w:trPr>
              <w:tc>
                <w:tcPr>
                  <w:tcW w:w="640" w:type="pct"/>
                  <w:tcBorders>
                    <w:tl2br w:val="nil"/>
                    <w:tr2bl w:val="nil"/>
                  </w:tcBorders>
                  <w:tcMar>
                    <w:top w:w="15" w:type="dxa"/>
                    <w:left w:w="108" w:type="dxa"/>
                    <w:bottom w:w="15" w:type="dxa"/>
                    <w:right w:w="108" w:type="dxa"/>
                  </w:tcMar>
                  <w:vAlign w:val="center"/>
                </w:tcPr>
                <w:p w14:paraId="6531AB4A">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生态保护红线与一般生态空间</w:t>
                  </w:r>
                </w:p>
              </w:tc>
              <w:tc>
                <w:tcPr>
                  <w:tcW w:w="1007" w:type="pct"/>
                  <w:tcBorders>
                    <w:tl2br w:val="nil"/>
                    <w:tr2bl w:val="nil"/>
                  </w:tcBorders>
                  <w:tcMar>
                    <w:top w:w="15" w:type="dxa"/>
                    <w:left w:w="108" w:type="dxa"/>
                    <w:bottom w:w="15" w:type="dxa"/>
                    <w:right w:w="108" w:type="dxa"/>
                  </w:tcMar>
                  <w:vAlign w:val="center"/>
                </w:tcPr>
                <w:p w14:paraId="0BA35C0E">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一般生态</w:t>
                  </w:r>
                </w:p>
                <w:p w14:paraId="40815EE8">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空间</w:t>
                  </w:r>
                </w:p>
              </w:tc>
              <w:tc>
                <w:tcPr>
                  <w:tcW w:w="533" w:type="pct"/>
                  <w:tcBorders>
                    <w:tl2br w:val="nil"/>
                    <w:tr2bl w:val="nil"/>
                  </w:tcBorders>
                  <w:tcMar>
                    <w:top w:w="15" w:type="dxa"/>
                    <w:left w:w="108" w:type="dxa"/>
                    <w:bottom w:w="15" w:type="dxa"/>
                    <w:right w:w="108" w:type="dxa"/>
                  </w:tcMar>
                  <w:vAlign w:val="center"/>
                </w:tcPr>
                <w:p w14:paraId="6CAD6C09">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是</w:t>
                  </w:r>
                </w:p>
              </w:tc>
              <w:tc>
                <w:tcPr>
                  <w:tcW w:w="714" w:type="pct"/>
                  <w:tcBorders>
                    <w:tl2br w:val="nil"/>
                    <w:tr2bl w:val="nil"/>
                  </w:tcBorders>
                  <w:tcMar>
                    <w:top w:w="15" w:type="dxa"/>
                    <w:left w:w="108" w:type="dxa"/>
                    <w:bottom w:w="15" w:type="dxa"/>
                    <w:right w:w="108" w:type="dxa"/>
                  </w:tcMar>
                  <w:vAlign w:val="center"/>
                </w:tcPr>
                <w:p w14:paraId="531F8DE2">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31211E18">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567F3014">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eastAsia="宋体" w:cs="Times New Roman"/>
                      <w:color w:val="auto"/>
                      <w:spacing w:val="-1"/>
                      <w:sz w:val="21"/>
                      <w:szCs w:val="21"/>
                    </w:rPr>
                    <w:t>密山市一般生态空间区</w:t>
                  </w:r>
                </w:p>
              </w:tc>
            </w:tr>
            <w:tr w14:paraId="7B3BA1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63" w:hRule="atLeast"/>
                <w:jc w:val="center"/>
              </w:trPr>
              <w:tc>
                <w:tcPr>
                  <w:tcW w:w="640" w:type="pct"/>
                  <w:vMerge w:val="restart"/>
                  <w:tcBorders>
                    <w:tl2br w:val="nil"/>
                    <w:tr2bl w:val="nil"/>
                  </w:tcBorders>
                  <w:tcMar>
                    <w:top w:w="15" w:type="dxa"/>
                    <w:left w:w="108" w:type="dxa"/>
                    <w:bottom w:w="15" w:type="dxa"/>
                    <w:right w:w="108" w:type="dxa"/>
                  </w:tcMar>
                  <w:vAlign w:val="center"/>
                </w:tcPr>
                <w:p w14:paraId="558B7217">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环境质量底线</w:t>
                  </w:r>
                </w:p>
              </w:tc>
              <w:tc>
                <w:tcPr>
                  <w:tcW w:w="1007" w:type="pct"/>
                  <w:tcBorders>
                    <w:tl2br w:val="nil"/>
                    <w:tr2bl w:val="nil"/>
                  </w:tcBorders>
                  <w:tcMar>
                    <w:top w:w="15" w:type="dxa"/>
                    <w:left w:w="108" w:type="dxa"/>
                    <w:bottom w:w="15" w:type="dxa"/>
                    <w:right w:w="108" w:type="dxa"/>
                  </w:tcMar>
                  <w:vAlign w:val="center"/>
                </w:tcPr>
                <w:p w14:paraId="2C1E1663">
                  <w:pPr>
                    <w:keepNext w:val="0"/>
                    <w:keepLines w:val="0"/>
                    <w:widowControl/>
                    <w:suppressLineNumbers w:val="0"/>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水环境农业污染重点管控区</w:t>
                  </w:r>
                </w:p>
              </w:tc>
              <w:tc>
                <w:tcPr>
                  <w:tcW w:w="533" w:type="pct"/>
                  <w:tcBorders>
                    <w:tl2br w:val="nil"/>
                    <w:tr2bl w:val="nil"/>
                  </w:tcBorders>
                  <w:tcMar>
                    <w:top w:w="15" w:type="dxa"/>
                    <w:left w:w="108" w:type="dxa"/>
                    <w:bottom w:w="15" w:type="dxa"/>
                    <w:right w:w="108" w:type="dxa"/>
                  </w:tcMar>
                  <w:vAlign w:val="center"/>
                </w:tcPr>
                <w:p w14:paraId="01FF31EA">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6FD97DB3">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7410F953">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5BF7CCD5">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1"/>
                      <w:sz w:val="21"/>
                      <w:szCs w:val="21"/>
                    </w:rPr>
                    <w:t>穆棱河裴德河穆棱河口内密山市</w:t>
                  </w:r>
                  <w:r>
                    <w:rPr>
                      <w:rFonts w:hint="default" w:ascii="Times New Roman" w:hAnsi="Times New Roman" w:eastAsia="宋体" w:cs="Times New Roman"/>
                      <w:color w:val="auto"/>
                      <w:spacing w:val="-45"/>
                      <w:sz w:val="21"/>
                      <w:szCs w:val="21"/>
                    </w:rPr>
                    <w:t xml:space="preserve"> </w:t>
                  </w:r>
                  <w:r>
                    <w:rPr>
                      <w:rFonts w:hint="default" w:ascii="Times New Roman" w:hAnsi="Times New Roman" w:eastAsia="宋体" w:cs="Times New Roman"/>
                      <w:color w:val="auto"/>
                      <w:spacing w:val="-1"/>
                      <w:sz w:val="21"/>
                      <w:szCs w:val="21"/>
                    </w:rPr>
                    <w:t>3</w:t>
                  </w:r>
                </w:p>
              </w:tc>
            </w:tr>
            <w:tr w14:paraId="656B18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63" w:hRule="atLeast"/>
                <w:jc w:val="center"/>
              </w:trPr>
              <w:tc>
                <w:tcPr>
                  <w:tcW w:w="640" w:type="pct"/>
                  <w:vMerge w:val="continue"/>
                  <w:tcBorders>
                    <w:tl2br w:val="nil"/>
                    <w:tr2bl w:val="nil"/>
                  </w:tcBorders>
                  <w:tcMar>
                    <w:top w:w="15" w:type="dxa"/>
                    <w:left w:w="108" w:type="dxa"/>
                    <w:bottom w:w="15" w:type="dxa"/>
                    <w:right w:w="108" w:type="dxa"/>
                  </w:tcMar>
                  <w:vAlign w:val="center"/>
                </w:tcPr>
                <w:p w14:paraId="60E2159A">
                  <w:pPr>
                    <w:spacing w:line="240" w:lineRule="auto"/>
                    <w:jc w:val="center"/>
                    <w:rPr>
                      <w:rFonts w:hint="default" w:ascii="Times New Roman" w:hAnsi="Times New Roman" w:cs="Times New Roman"/>
                      <w:color w:val="auto"/>
                      <w:sz w:val="21"/>
                      <w:szCs w:val="21"/>
                    </w:rPr>
                  </w:pPr>
                </w:p>
              </w:tc>
              <w:tc>
                <w:tcPr>
                  <w:tcW w:w="1007" w:type="pct"/>
                  <w:tcBorders>
                    <w:tl2br w:val="nil"/>
                    <w:tr2bl w:val="nil"/>
                  </w:tcBorders>
                  <w:tcMar>
                    <w:top w:w="15" w:type="dxa"/>
                    <w:left w:w="108" w:type="dxa"/>
                    <w:bottom w:w="15" w:type="dxa"/>
                    <w:right w:w="108" w:type="dxa"/>
                  </w:tcMar>
                  <w:vAlign w:val="center"/>
                </w:tcPr>
                <w:p w14:paraId="64D384A8">
                  <w:pPr>
                    <w:keepNext w:val="0"/>
                    <w:keepLines w:val="0"/>
                    <w:widowControl/>
                    <w:suppressLineNumbers w:val="0"/>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spacing w:val="-4"/>
                      <w:sz w:val="21"/>
                      <w:szCs w:val="21"/>
                    </w:rPr>
                    <w:t>大气环境受体敏感重点</w:t>
                  </w:r>
                  <w:r>
                    <w:rPr>
                      <w:rFonts w:hint="default" w:ascii="Times New Roman" w:hAnsi="Times New Roman" w:eastAsia="宋体" w:cs="Times New Roman"/>
                      <w:color w:val="auto"/>
                      <w:spacing w:val="-5"/>
                      <w:sz w:val="21"/>
                      <w:szCs w:val="21"/>
                    </w:rPr>
                    <w:t>管控区</w:t>
                  </w:r>
                </w:p>
              </w:tc>
              <w:tc>
                <w:tcPr>
                  <w:tcW w:w="533" w:type="pct"/>
                  <w:tcBorders>
                    <w:tl2br w:val="nil"/>
                    <w:tr2bl w:val="nil"/>
                  </w:tcBorders>
                  <w:tcMar>
                    <w:top w:w="15" w:type="dxa"/>
                    <w:left w:w="108" w:type="dxa"/>
                    <w:bottom w:w="15" w:type="dxa"/>
                    <w:right w:w="108" w:type="dxa"/>
                  </w:tcMar>
                  <w:vAlign w:val="center"/>
                </w:tcPr>
                <w:p w14:paraId="518218BD">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47059624">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52DE21A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536B9221">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spacing w:val="-1"/>
                      <w:sz w:val="21"/>
                      <w:szCs w:val="21"/>
                    </w:rPr>
                    <w:t>密山市大气环境受体敏感重点管控区</w:t>
                  </w:r>
                </w:p>
              </w:tc>
            </w:tr>
            <w:tr w14:paraId="0BB37B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63" w:hRule="atLeast"/>
                <w:jc w:val="center"/>
              </w:trPr>
              <w:tc>
                <w:tcPr>
                  <w:tcW w:w="640" w:type="pct"/>
                  <w:vMerge w:val="continue"/>
                  <w:tcBorders>
                    <w:tl2br w:val="nil"/>
                    <w:tr2bl w:val="nil"/>
                  </w:tcBorders>
                  <w:tcMar>
                    <w:top w:w="15" w:type="dxa"/>
                    <w:left w:w="108" w:type="dxa"/>
                    <w:bottom w:w="15" w:type="dxa"/>
                    <w:right w:w="108" w:type="dxa"/>
                  </w:tcMar>
                  <w:vAlign w:val="center"/>
                </w:tcPr>
                <w:p w14:paraId="6B98BFD9">
                  <w:pPr>
                    <w:spacing w:line="240" w:lineRule="auto"/>
                    <w:jc w:val="center"/>
                    <w:rPr>
                      <w:rFonts w:hint="default" w:ascii="Times New Roman" w:hAnsi="Times New Roman" w:cs="Times New Roman"/>
                      <w:color w:val="auto"/>
                      <w:sz w:val="21"/>
                      <w:szCs w:val="21"/>
                    </w:rPr>
                  </w:pPr>
                </w:p>
              </w:tc>
              <w:tc>
                <w:tcPr>
                  <w:tcW w:w="1007" w:type="pct"/>
                  <w:tcBorders>
                    <w:tl2br w:val="nil"/>
                    <w:tr2bl w:val="nil"/>
                  </w:tcBorders>
                  <w:tcMar>
                    <w:top w:w="15" w:type="dxa"/>
                    <w:left w:w="108" w:type="dxa"/>
                    <w:bottom w:w="15" w:type="dxa"/>
                    <w:right w:w="108" w:type="dxa"/>
                  </w:tcMar>
                  <w:vAlign w:val="center"/>
                </w:tcPr>
                <w:p w14:paraId="5310F6C4">
                  <w:pPr>
                    <w:keepNext w:val="0"/>
                    <w:keepLines w:val="0"/>
                    <w:widowControl/>
                    <w:suppressLineNumbers w:val="0"/>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大气环境一般管控区</w:t>
                  </w:r>
                </w:p>
              </w:tc>
              <w:tc>
                <w:tcPr>
                  <w:tcW w:w="533" w:type="pct"/>
                  <w:tcBorders>
                    <w:tl2br w:val="nil"/>
                    <w:tr2bl w:val="nil"/>
                  </w:tcBorders>
                  <w:tcMar>
                    <w:top w:w="15" w:type="dxa"/>
                    <w:left w:w="108" w:type="dxa"/>
                    <w:bottom w:w="15" w:type="dxa"/>
                    <w:right w:w="108" w:type="dxa"/>
                  </w:tcMar>
                  <w:vAlign w:val="center"/>
                </w:tcPr>
                <w:p w14:paraId="610D9E1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7554EED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3FFDC0F8">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2430778E">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1"/>
                      <w:sz w:val="21"/>
                      <w:szCs w:val="21"/>
                    </w:rPr>
                    <w:t>密山市大气环境一般管控区</w:t>
                  </w:r>
                </w:p>
              </w:tc>
            </w:tr>
            <w:tr w14:paraId="3AA47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69" w:hRule="atLeast"/>
                <w:jc w:val="center"/>
              </w:trPr>
              <w:tc>
                <w:tcPr>
                  <w:tcW w:w="640" w:type="pct"/>
                  <w:tcBorders>
                    <w:tl2br w:val="nil"/>
                    <w:tr2bl w:val="nil"/>
                  </w:tcBorders>
                  <w:tcMar>
                    <w:top w:w="15" w:type="dxa"/>
                    <w:left w:w="108" w:type="dxa"/>
                    <w:bottom w:w="15" w:type="dxa"/>
                    <w:right w:w="108" w:type="dxa"/>
                  </w:tcMar>
                  <w:vAlign w:val="center"/>
                </w:tcPr>
                <w:p w14:paraId="0BEEBDA5">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资源利用上线</w:t>
                  </w:r>
                </w:p>
              </w:tc>
              <w:tc>
                <w:tcPr>
                  <w:tcW w:w="1007" w:type="pct"/>
                  <w:tcBorders>
                    <w:tl2br w:val="nil"/>
                    <w:tr2bl w:val="nil"/>
                  </w:tcBorders>
                  <w:tcMar>
                    <w:top w:w="15" w:type="dxa"/>
                    <w:left w:w="108" w:type="dxa"/>
                    <w:bottom w:w="15" w:type="dxa"/>
                    <w:right w:w="108" w:type="dxa"/>
                  </w:tcMar>
                  <w:vAlign w:val="center"/>
                </w:tcPr>
                <w:p w14:paraId="71A3C68D">
                  <w:pPr>
                    <w:keepNext w:val="0"/>
                    <w:keepLines w:val="0"/>
                    <w:widowControl/>
                    <w:suppressLineNumbers w:val="0"/>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自然资源一般管控区</w:t>
                  </w:r>
                </w:p>
              </w:tc>
              <w:tc>
                <w:tcPr>
                  <w:tcW w:w="533" w:type="pct"/>
                  <w:tcBorders>
                    <w:tl2br w:val="nil"/>
                    <w:tr2bl w:val="nil"/>
                  </w:tcBorders>
                  <w:tcMar>
                    <w:top w:w="15" w:type="dxa"/>
                    <w:left w:w="108" w:type="dxa"/>
                    <w:bottom w:w="15" w:type="dxa"/>
                    <w:right w:w="108" w:type="dxa"/>
                  </w:tcMar>
                  <w:vAlign w:val="center"/>
                </w:tcPr>
                <w:p w14:paraId="61A113CD">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2CE78EB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2AC6DF92">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1D8CE816">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1"/>
                      <w:sz w:val="21"/>
                      <w:szCs w:val="21"/>
                    </w:rPr>
                    <w:t>密山市自然资源一般管控区</w:t>
                  </w:r>
                </w:p>
              </w:tc>
            </w:tr>
            <w:tr w14:paraId="25B9F0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69" w:hRule="atLeast"/>
                <w:jc w:val="center"/>
              </w:trPr>
              <w:tc>
                <w:tcPr>
                  <w:tcW w:w="640" w:type="pct"/>
                  <w:vMerge w:val="restart"/>
                  <w:tcBorders>
                    <w:tl2br w:val="nil"/>
                    <w:tr2bl w:val="nil"/>
                  </w:tcBorders>
                  <w:tcMar>
                    <w:top w:w="15" w:type="dxa"/>
                    <w:left w:w="108" w:type="dxa"/>
                    <w:bottom w:w="15" w:type="dxa"/>
                    <w:right w:w="108" w:type="dxa"/>
                  </w:tcMar>
                  <w:vAlign w:val="center"/>
                </w:tcPr>
                <w:p w14:paraId="7938B08C">
                  <w:pPr>
                    <w:spacing w:line="240" w:lineRule="auto"/>
                    <w:jc w:val="cente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环境管控单元</w:t>
                  </w:r>
                </w:p>
              </w:tc>
              <w:tc>
                <w:tcPr>
                  <w:tcW w:w="1007" w:type="pct"/>
                  <w:tcBorders>
                    <w:tl2br w:val="nil"/>
                    <w:tr2bl w:val="nil"/>
                  </w:tcBorders>
                  <w:tcMar>
                    <w:top w:w="15" w:type="dxa"/>
                    <w:left w:w="108" w:type="dxa"/>
                    <w:bottom w:w="15" w:type="dxa"/>
                    <w:right w:w="108" w:type="dxa"/>
                  </w:tcMar>
                  <w:vAlign w:val="center"/>
                </w:tcPr>
                <w:p w14:paraId="559EB4E3">
                  <w:pPr>
                    <w:keepNext w:val="0"/>
                    <w:keepLines w:val="0"/>
                    <w:widowControl/>
                    <w:suppressLineNumbers w:val="0"/>
                    <w:spacing w:line="240" w:lineRule="auto"/>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优先保护</w:t>
                  </w:r>
                </w:p>
                <w:p w14:paraId="25679081">
                  <w:pPr>
                    <w:keepNext w:val="0"/>
                    <w:keepLines w:val="0"/>
                    <w:widowControl/>
                    <w:suppressLineNumbers w:val="0"/>
                    <w:spacing w:line="240" w:lineRule="auto"/>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单元</w:t>
                  </w:r>
                </w:p>
              </w:tc>
              <w:tc>
                <w:tcPr>
                  <w:tcW w:w="533" w:type="pct"/>
                  <w:tcBorders>
                    <w:tl2br w:val="nil"/>
                    <w:tr2bl w:val="nil"/>
                  </w:tcBorders>
                  <w:shd w:val="clear" w:color="auto" w:fill="auto"/>
                  <w:tcMar>
                    <w:top w:w="15" w:type="dxa"/>
                    <w:left w:w="108" w:type="dxa"/>
                    <w:bottom w:w="15" w:type="dxa"/>
                    <w:right w:w="108" w:type="dxa"/>
                  </w:tcMar>
                  <w:vAlign w:val="center"/>
                </w:tcPr>
                <w:p w14:paraId="7D04E7A7">
                  <w:pPr>
                    <w:spacing w:line="240" w:lineRule="auto"/>
                    <w:jc w:val="center"/>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 w:val="21"/>
                      <w:szCs w:val="21"/>
                      <w:lang w:val="zh-CN"/>
                    </w:rPr>
                    <w:t>是</w:t>
                  </w:r>
                </w:p>
              </w:tc>
              <w:tc>
                <w:tcPr>
                  <w:tcW w:w="714" w:type="pct"/>
                  <w:tcBorders>
                    <w:tl2br w:val="nil"/>
                    <w:tr2bl w:val="nil"/>
                  </w:tcBorders>
                  <w:shd w:val="clear" w:color="auto" w:fill="auto"/>
                  <w:tcMar>
                    <w:top w:w="15" w:type="dxa"/>
                    <w:left w:w="108" w:type="dxa"/>
                    <w:bottom w:w="15" w:type="dxa"/>
                    <w:right w:w="108" w:type="dxa"/>
                  </w:tcMar>
                  <w:vAlign w:val="center"/>
                </w:tcPr>
                <w:p w14:paraId="55AC8B16">
                  <w:pPr>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shd w:val="clear" w:color="auto" w:fill="auto"/>
                  <w:tcMar>
                    <w:top w:w="15" w:type="dxa"/>
                    <w:left w:w="108" w:type="dxa"/>
                    <w:bottom w:w="15" w:type="dxa"/>
                    <w:right w:w="108" w:type="dxa"/>
                  </w:tcMar>
                  <w:vAlign w:val="center"/>
                </w:tcPr>
                <w:p w14:paraId="1A61595D">
                  <w:pPr>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41D823B3">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color w:val="auto"/>
                      <w:spacing w:val="-2"/>
                      <w:sz w:val="21"/>
                      <w:szCs w:val="21"/>
                    </w:rPr>
                  </w:pPr>
                  <w:r>
                    <w:rPr>
                      <w:rFonts w:hint="default" w:ascii="Times New Roman" w:hAnsi="Times New Roman" w:eastAsia="宋体" w:cs="Times New Roman"/>
                      <w:color w:val="auto"/>
                      <w:spacing w:val="-2"/>
                      <w:sz w:val="21"/>
                      <w:szCs w:val="21"/>
                    </w:rPr>
                    <w:t>密山市一般生态</w:t>
                  </w:r>
                </w:p>
                <w:p w14:paraId="0389296D">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2"/>
                      <w:sz w:val="21"/>
                      <w:szCs w:val="21"/>
                    </w:rPr>
                    <w:t>空间</w:t>
                  </w:r>
                </w:p>
              </w:tc>
            </w:tr>
            <w:tr w14:paraId="177547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34" w:hRule="atLeast"/>
                <w:jc w:val="center"/>
              </w:trPr>
              <w:tc>
                <w:tcPr>
                  <w:tcW w:w="640" w:type="pct"/>
                  <w:vMerge w:val="continue"/>
                  <w:tcBorders>
                    <w:tl2br w:val="nil"/>
                    <w:tr2bl w:val="nil"/>
                  </w:tcBorders>
                  <w:tcMar>
                    <w:top w:w="15" w:type="dxa"/>
                    <w:left w:w="108" w:type="dxa"/>
                    <w:bottom w:w="15" w:type="dxa"/>
                    <w:right w:w="108" w:type="dxa"/>
                  </w:tcMar>
                  <w:vAlign w:val="center"/>
                </w:tcPr>
                <w:p w14:paraId="01EF6BC2">
                  <w:pPr>
                    <w:spacing w:line="240" w:lineRule="auto"/>
                    <w:jc w:val="center"/>
                    <w:rPr>
                      <w:rFonts w:hint="default" w:ascii="Times New Roman" w:hAnsi="Times New Roman" w:cs="Times New Roman"/>
                      <w:color w:val="auto"/>
                      <w:sz w:val="21"/>
                      <w:szCs w:val="21"/>
                      <w:lang w:val="zh-CN"/>
                    </w:rPr>
                  </w:pPr>
                </w:p>
              </w:tc>
              <w:tc>
                <w:tcPr>
                  <w:tcW w:w="1007" w:type="pct"/>
                  <w:tcBorders>
                    <w:tl2br w:val="nil"/>
                    <w:tr2bl w:val="nil"/>
                  </w:tcBorders>
                  <w:tcMar>
                    <w:top w:w="15" w:type="dxa"/>
                    <w:left w:w="108" w:type="dxa"/>
                    <w:bottom w:w="15" w:type="dxa"/>
                    <w:right w:w="108" w:type="dxa"/>
                  </w:tcMar>
                  <w:vAlign w:val="center"/>
                </w:tcPr>
                <w:p w14:paraId="1277CE80">
                  <w:pPr>
                    <w:keepNext w:val="0"/>
                    <w:keepLines w:val="0"/>
                    <w:widowControl/>
                    <w:suppressLineNumbers w:val="0"/>
                    <w:spacing w:line="240" w:lineRule="auto"/>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重点管控</w:t>
                  </w:r>
                </w:p>
                <w:p w14:paraId="07E85EA1">
                  <w:pPr>
                    <w:keepNext w:val="0"/>
                    <w:keepLines w:val="0"/>
                    <w:widowControl/>
                    <w:suppressLineNumbers w:val="0"/>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单元</w:t>
                  </w:r>
                </w:p>
              </w:tc>
              <w:tc>
                <w:tcPr>
                  <w:tcW w:w="533" w:type="pct"/>
                  <w:tcBorders>
                    <w:tl2br w:val="nil"/>
                    <w:tr2bl w:val="nil"/>
                  </w:tcBorders>
                  <w:tcMar>
                    <w:top w:w="15" w:type="dxa"/>
                    <w:left w:w="108" w:type="dxa"/>
                    <w:bottom w:w="15" w:type="dxa"/>
                    <w:right w:w="108" w:type="dxa"/>
                  </w:tcMar>
                  <w:vAlign w:val="center"/>
                </w:tcPr>
                <w:p w14:paraId="5C435194">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4326A42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0A9B797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652EBFB0">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2"/>
                      <w:sz w:val="21"/>
                      <w:szCs w:val="21"/>
                    </w:rPr>
                    <w:t>密山市城镇空间</w:t>
                  </w:r>
                </w:p>
              </w:tc>
            </w:tr>
            <w:tr w14:paraId="09A62F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634" w:hRule="atLeast"/>
                <w:jc w:val="center"/>
              </w:trPr>
              <w:tc>
                <w:tcPr>
                  <w:tcW w:w="640" w:type="pct"/>
                  <w:vMerge w:val="continue"/>
                  <w:tcBorders>
                    <w:tl2br w:val="nil"/>
                    <w:tr2bl w:val="nil"/>
                  </w:tcBorders>
                  <w:tcMar>
                    <w:top w:w="15" w:type="dxa"/>
                    <w:left w:w="108" w:type="dxa"/>
                    <w:bottom w:w="15" w:type="dxa"/>
                    <w:right w:w="108" w:type="dxa"/>
                  </w:tcMar>
                  <w:vAlign w:val="center"/>
                </w:tcPr>
                <w:p w14:paraId="4313CB3F">
                  <w:pPr>
                    <w:spacing w:line="240" w:lineRule="auto"/>
                    <w:jc w:val="center"/>
                    <w:rPr>
                      <w:rFonts w:hint="default" w:ascii="Times New Roman" w:hAnsi="Times New Roman" w:cs="Times New Roman"/>
                      <w:color w:val="auto"/>
                      <w:sz w:val="21"/>
                      <w:szCs w:val="21"/>
                      <w:lang w:val="zh-CN"/>
                    </w:rPr>
                  </w:pPr>
                </w:p>
              </w:tc>
              <w:tc>
                <w:tcPr>
                  <w:tcW w:w="1007" w:type="pct"/>
                  <w:tcBorders>
                    <w:tl2br w:val="nil"/>
                    <w:tr2bl w:val="nil"/>
                  </w:tcBorders>
                  <w:tcMar>
                    <w:top w:w="15" w:type="dxa"/>
                    <w:left w:w="108" w:type="dxa"/>
                    <w:bottom w:w="15" w:type="dxa"/>
                    <w:right w:w="108" w:type="dxa"/>
                  </w:tcMar>
                  <w:vAlign w:val="center"/>
                </w:tcPr>
                <w:p w14:paraId="22108C8A">
                  <w:pPr>
                    <w:keepNext w:val="0"/>
                    <w:keepLines w:val="0"/>
                    <w:widowControl/>
                    <w:suppressLineNumbers w:val="0"/>
                    <w:spacing w:line="240" w:lineRule="auto"/>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重点管控</w:t>
                  </w:r>
                </w:p>
                <w:p w14:paraId="51471DE4">
                  <w:pPr>
                    <w:keepNext w:val="0"/>
                    <w:keepLines w:val="0"/>
                    <w:widowControl/>
                    <w:suppressLineNumbers w:val="0"/>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0"/>
                      <w:sz w:val="21"/>
                      <w:szCs w:val="21"/>
                      <w:lang w:val="en-US" w:eastAsia="zh-CN" w:bidi="ar"/>
                    </w:rPr>
                    <w:t>单元</w:t>
                  </w:r>
                </w:p>
              </w:tc>
              <w:tc>
                <w:tcPr>
                  <w:tcW w:w="533" w:type="pct"/>
                  <w:tcBorders>
                    <w:tl2br w:val="nil"/>
                    <w:tr2bl w:val="nil"/>
                  </w:tcBorders>
                  <w:tcMar>
                    <w:top w:w="15" w:type="dxa"/>
                    <w:left w:w="108" w:type="dxa"/>
                    <w:bottom w:w="15" w:type="dxa"/>
                    <w:right w:w="108" w:type="dxa"/>
                  </w:tcMar>
                  <w:vAlign w:val="center"/>
                </w:tcPr>
                <w:p w14:paraId="27C4FF4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是</w:t>
                  </w:r>
                </w:p>
              </w:tc>
              <w:tc>
                <w:tcPr>
                  <w:tcW w:w="714" w:type="pct"/>
                  <w:tcBorders>
                    <w:tl2br w:val="nil"/>
                    <w:tr2bl w:val="nil"/>
                  </w:tcBorders>
                  <w:tcMar>
                    <w:top w:w="15" w:type="dxa"/>
                    <w:left w:w="108" w:type="dxa"/>
                    <w:bottom w:w="15" w:type="dxa"/>
                    <w:right w:w="108" w:type="dxa"/>
                  </w:tcMar>
                  <w:vAlign w:val="center"/>
                </w:tcPr>
                <w:p w14:paraId="528113B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鸡西市</w:t>
                  </w:r>
                </w:p>
              </w:tc>
              <w:tc>
                <w:tcPr>
                  <w:tcW w:w="646" w:type="pct"/>
                  <w:tcBorders>
                    <w:tl2br w:val="nil"/>
                    <w:tr2bl w:val="nil"/>
                  </w:tcBorders>
                  <w:tcMar>
                    <w:top w:w="15" w:type="dxa"/>
                    <w:left w:w="108" w:type="dxa"/>
                    <w:bottom w:w="15" w:type="dxa"/>
                    <w:right w:w="108" w:type="dxa"/>
                  </w:tcMar>
                  <w:vAlign w:val="center"/>
                </w:tcPr>
                <w:p w14:paraId="3D044555">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密山市</w:t>
                  </w:r>
                </w:p>
              </w:tc>
              <w:tc>
                <w:tcPr>
                  <w:tcW w:w="1457" w:type="pct"/>
                  <w:tcBorders>
                    <w:tl2br w:val="nil"/>
                    <w:tr2bl w:val="nil"/>
                  </w:tcBorders>
                  <w:tcMar>
                    <w:top w:w="15" w:type="dxa"/>
                    <w:left w:w="108" w:type="dxa"/>
                    <w:bottom w:w="15" w:type="dxa"/>
                    <w:right w:w="108" w:type="dxa"/>
                  </w:tcMar>
                  <w:vAlign w:val="center"/>
                </w:tcPr>
                <w:p w14:paraId="7516739D">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pacing w:val="-1"/>
                      <w:sz w:val="21"/>
                      <w:szCs w:val="21"/>
                    </w:rPr>
                    <w:t>密山市水环境农业污染重点管控区</w:t>
                  </w:r>
                </w:p>
              </w:tc>
            </w:tr>
          </w:tbl>
          <w:p w14:paraId="0FBB4438">
            <w:pPr>
              <w:keepNext w:val="0"/>
              <w:keepLines w:val="0"/>
              <w:pageBreakBefore w:val="0"/>
              <w:kinsoku/>
              <w:topLinePunct w:val="0"/>
              <w:autoSpaceDE/>
              <w:autoSpaceDN/>
              <w:bidi w:val="0"/>
              <w:adjustRightInd/>
              <w:snapToGrid/>
              <w:spacing w:line="480" w:lineRule="exact"/>
              <w:ind w:firstLine="480" w:firstLineChars="200"/>
              <w:jc w:val="left"/>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cs="Times New Roman"/>
                <w:b w:val="0"/>
                <w:bCs/>
                <w:color w:val="auto"/>
                <w:kern w:val="2"/>
                <w:sz w:val="24"/>
                <w:szCs w:val="24"/>
                <w:highlight w:val="none"/>
                <w:lang w:val="en-US" w:eastAsia="zh-CN" w:bidi="ar-SA"/>
              </w:rPr>
              <w:t>（1）</w:t>
            </w:r>
            <w:r>
              <w:rPr>
                <w:rFonts w:hint="default" w:ascii="Times New Roman" w:hAnsi="Times New Roman" w:eastAsia="宋体" w:cs="Times New Roman"/>
                <w:b w:val="0"/>
                <w:bCs/>
                <w:color w:val="auto"/>
                <w:kern w:val="2"/>
                <w:sz w:val="24"/>
                <w:szCs w:val="24"/>
                <w:highlight w:val="none"/>
                <w:lang w:val="en-US" w:eastAsia="zh-CN" w:bidi="ar-SA"/>
              </w:rPr>
              <w:t>生态保护红线</w:t>
            </w:r>
          </w:p>
          <w:p w14:paraId="370A1A3F">
            <w:pPr>
              <w:keepNext w:val="0"/>
              <w:keepLines w:val="0"/>
              <w:pageBreakBefore w:val="0"/>
              <w:kinsoku/>
              <w:topLinePunct w:val="0"/>
              <w:autoSpaceDE/>
              <w:autoSpaceDN/>
              <w:bidi w:val="0"/>
              <w:adjustRightInd/>
              <w:snapToGrid/>
              <w:spacing w:line="480" w:lineRule="exact"/>
              <w:ind w:firstLine="480" w:firstLineChars="200"/>
              <w:jc w:val="left"/>
              <w:rPr>
                <w:rFonts w:hint="default" w:ascii="Times New Roman" w:hAnsi="Times New Roman" w:eastAsia="宋体" w:cs="Times New Roman"/>
                <w:b w:val="0"/>
                <w:bCs/>
                <w:color w:val="auto"/>
                <w:kern w:val="2"/>
                <w:sz w:val="24"/>
                <w:szCs w:val="24"/>
                <w:highlight w:val="none"/>
                <w:lang w:val="sq-AL" w:eastAsia="zh-CN" w:bidi="ar-SA"/>
              </w:rPr>
            </w:pPr>
            <w:r>
              <w:rPr>
                <w:rFonts w:hint="default" w:ascii="Times New Roman" w:hAnsi="Times New Roman" w:cs="Times New Roman"/>
                <w:b w:val="0"/>
                <w:bCs/>
                <w:color w:val="auto"/>
                <w:kern w:val="2"/>
                <w:sz w:val="24"/>
                <w:szCs w:val="24"/>
                <w:highlight w:val="none"/>
                <w:lang w:val="en-US" w:eastAsia="zh-CN" w:bidi="ar-SA"/>
              </w:rPr>
              <w:t>根据</w:t>
            </w:r>
            <w:r>
              <w:rPr>
                <w:rFonts w:hint="default" w:ascii="Times New Roman" w:hAnsi="Times New Roman" w:cs="Times New Roman"/>
                <w:b w:val="0"/>
                <w:bCs/>
                <w:color w:val="auto"/>
                <w:highlight w:val="none"/>
              </w:rPr>
              <w:t>《</w:t>
            </w:r>
            <w:r>
              <w:rPr>
                <w:rFonts w:hint="default" w:ascii="Times New Roman" w:hAnsi="Times New Roman" w:eastAsia="宋体" w:cs="Times New Roman"/>
                <w:b w:val="0"/>
                <w:bCs/>
                <w:color w:val="auto"/>
                <w:kern w:val="21"/>
                <w:szCs w:val="21"/>
                <w:highlight w:val="none"/>
                <w:lang w:eastAsia="zh-CN"/>
              </w:rPr>
              <w:t>国道集贤至当壁公路宝清界至兴凯镇段路面改造工程</w:t>
            </w:r>
            <w:r>
              <w:rPr>
                <w:rFonts w:hint="default" w:ascii="Times New Roman" w:hAnsi="Times New Roman" w:cs="Times New Roman"/>
                <w:b w:val="0"/>
                <w:bCs/>
                <w:color w:val="auto"/>
                <w:highlight w:val="none"/>
              </w:rPr>
              <w:t>生态环境分区管控分析报告》</w:t>
            </w:r>
            <w:r>
              <w:rPr>
                <w:rFonts w:hint="default" w:ascii="Times New Roman" w:hAnsi="Times New Roman" w:cs="Times New Roman"/>
                <w:b w:val="0"/>
                <w:bCs/>
                <w:color w:val="auto"/>
                <w:highlight w:val="none"/>
                <w:lang w:val="en-US" w:eastAsia="zh-CN"/>
              </w:rPr>
              <w:t>可知，本项目不占用</w:t>
            </w:r>
            <w:r>
              <w:rPr>
                <w:rFonts w:hint="default" w:ascii="Times New Roman" w:hAnsi="Times New Roman" w:cs="Times New Roman" w:eastAsiaTheme="minorEastAsia"/>
                <w:b w:val="0"/>
                <w:bCs/>
                <w:color w:val="auto"/>
                <w:sz w:val="24"/>
                <w:szCs w:val="24"/>
                <w:highlight w:val="none"/>
                <w:lang w:eastAsia="zh-CN"/>
              </w:rPr>
              <w:t>生态保护红线，</w:t>
            </w:r>
            <w:r>
              <w:rPr>
                <w:rFonts w:hint="default" w:ascii="Times New Roman" w:hAnsi="Times New Roman" w:cs="Times New Roman" w:eastAsiaTheme="minorEastAsia"/>
                <w:b w:val="0"/>
                <w:bCs/>
                <w:color w:val="auto"/>
                <w:sz w:val="24"/>
                <w:szCs w:val="24"/>
                <w:highlight w:val="none"/>
                <w:lang w:val="en-US" w:eastAsia="zh-CN"/>
              </w:rPr>
              <w:t>属于一般生态空间，</w:t>
            </w:r>
            <w:r>
              <w:rPr>
                <w:rFonts w:hint="default" w:ascii="Times New Roman" w:hAnsi="Times New Roman" w:cs="Times New Roman" w:eastAsiaTheme="minorEastAsia"/>
                <w:b w:val="0"/>
                <w:bCs/>
                <w:color w:val="auto"/>
                <w:sz w:val="24"/>
                <w:szCs w:val="24"/>
                <w:highlight w:val="none"/>
                <w:lang w:eastAsia="zh-CN"/>
              </w:rPr>
              <w:t>符合要求。</w:t>
            </w:r>
          </w:p>
          <w:p w14:paraId="52AB5CB4">
            <w:pPr>
              <w:keepNext w:val="0"/>
              <w:keepLines w:val="0"/>
              <w:pageBreakBefore w:val="0"/>
              <w:kinsoku/>
              <w:topLinePunct w:val="0"/>
              <w:autoSpaceDE/>
              <w:autoSpaceDN/>
              <w:bidi w:val="0"/>
              <w:adjustRightInd/>
              <w:snapToGrid/>
              <w:spacing w:line="480" w:lineRule="exact"/>
              <w:ind w:firstLine="480" w:firstLineChars="200"/>
              <w:jc w:val="left"/>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cs="Times New Roman"/>
                <w:b w:val="0"/>
                <w:bCs/>
                <w:color w:val="auto"/>
                <w:kern w:val="2"/>
                <w:sz w:val="24"/>
                <w:szCs w:val="24"/>
                <w:highlight w:val="none"/>
                <w:lang w:val="en-US" w:eastAsia="zh-CN" w:bidi="ar-SA"/>
              </w:rPr>
              <w:t>（2）</w:t>
            </w:r>
            <w:r>
              <w:rPr>
                <w:rFonts w:hint="default" w:ascii="Times New Roman" w:hAnsi="Times New Roman" w:eastAsia="宋体" w:cs="Times New Roman"/>
                <w:b w:val="0"/>
                <w:bCs/>
                <w:color w:val="auto"/>
                <w:kern w:val="2"/>
                <w:sz w:val="24"/>
                <w:szCs w:val="24"/>
                <w:highlight w:val="none"/>
                <w:lang w:val="en-US" w:eastAsia="zh-CN" w:bidi="ar-SA"/>
              </w:rPr>
              <w:t>环境质量底线</w:t>
            </w:r>
          </w:p>
          <w:p w14:paraId="75AD8ED4">
            <w:pPr>
              <w:pStyle w:val="90"/>
              <w:keepNext w:val="0"/>
              <w:keepLines w:val="0"/>
              <w:pageBreakBefore w:val="0"/>
              <w:kinsoku/>
              <w:topLinePunct w:val="0"/>
              <w:autoSpaceDE/>
              <w:autoSpaceDN/>
              <w:bidi w:val="0"/>
              <w:adjustRightInd/>
              <w:snapToGrid/>
              <w:spacing w:line="480" w:lineRule="exact"/>
              <w:ind w:firstLine="420"/>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根据</w:t>
            </w:r>
            <w:r>
              <w:rPr>
                <w:rFonts w:hint="default" w:ascii="Times New Roman" w:hAnsi="Times New Roman" w:cs="Times New Roman"/>
                <w:color w:val="auto"/>
                <w:kern w:val="0"/>
              </w:rPr>
              <w:t>黑龙江省生态环境分区管控数据应用平台出具</w:t>
            </w:r>
            <w:r>
              <w:rPr>
                <w:rFonts w:hint="default" w:ascii="Times New Roman" w:hAnsi="Times New Roman" w:cs="Times New Roman"/>
                <w:bCs/>
                <w:color w:val="auto"/>
                <w:sz w:val="24"/>
                <w:szCs w:val="24"/>
                <w:highlight w:val="none"/>
                <w:lang w:val="en-US" w:eastAsia="zh-CN"/>
              </w:rPr>
              <w:t>的《</w:t>
            </w:r>
            <w:r>
              <w:rPr>
                <w:rFonts w:hint="default" w:ascii="Times New Roman" w:hAnsi="Times New Roman" w:eastAsia="宋体" w:cs="Times New Roman"/>
                <w:b w:val="0"/>
                <w:bCs/>
                <w:color w:val="auto"/>
                <w:kern w:val="21"/>
                <w:szCs w:val="21"/>
                <w:highlight w:val="none"/>
                <w:lang w:eastAsia="zh-CN"/>
              </w:rPr>
              <w:t>国道集贤至当壁公路宝清界至兴凯镇段路面改造工程</w:t>
            </w:r>
            <w:r>
              <w:rPr>
                <w:rFonts w:hint="default" w:ascii="Times New Roman" w:hAnsi="Times New Roman" w:cs="Times New Roman"/>
                <w:b w:val="0"/>
                <w:bCs/>
                <w:color w:val="auto"/>
                <w:highlight w:val="none"/>
              </w:rPr>
              <w:t>生态环境分区管控分析报告</w:t>
            </w:r>
            <w:r>
              <w:rPr>
                <w:rFonts w:hint="default" w:ascii="Times New Roman" w:hAnsi="Times New Roman" w:cs="Times New Roman"/>
                <w:bCs/>
                <w:color w:val="auto"/>
                <w:sz w:val="24"/>
                <w:szCs w:val="24"/>
                <w:highlight w:val="none"/>
                <w:lang w:val="en-US" w:eastAsia="zh-CN"/>
              </w:rPr>
              <w:t>》（见附件），本项目位于水环境农业污染重点管控区、大气环境受体敏感重点管控区和大气环境一般管控区。</w:t>
            </w:r>
          </w:p>
          <w:p w14:paraId="01D97C7C">
            <w:pPr>
              <w:pStyle w:val="90"/>
              <w:keepNext w:val="0"/>
              <w:keepLines w:val="0"/>
              <w:pageBreakBefore w:val="0"/>
              <w:kinsoku/>
              <w:topLinePunct w:val="0"/>
              <w:autoSpaceDE/>
              <w:autoSpaceDN/>
              <w:bidi w:val="0"/>
              <w:adjustRightInd/>
              <w:snapToGrid/>
              <w:spacing w:line="480" w:lineRule="exact"/>
              <w:ind w:firstLine="420"/>
              <w:rPr>
                <w:rFonts w:hint="default" w:ascii="Times New Roman" w:hAnsi="Times New Roman" w:eastAsia="宋体"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rPr>
              <w:t>①大气</w:t>
            </w:r>
            <w:r>
              <w:rPr>
                <w:rFonts w:hint="default" w:ascii="Times New Roman" w:hAnsi="Times New Roman" w:cs="Times New Roman"/>
                <w:bCs/>
                <w:color w:val="auto"/>
                <w:sz w:val="24"/>
                <w:szCs w:val="24"/>
                <w:highlight w:val="none"/>
                <w:lang w:val="en-US" w:eastAsia="zh-CN"/>
              </w:rPr>
              <w:t>环境质量底线</w:t>
            </w:r>
          </w:p>
          <w:p w14:paraId="6B606924">
            <w:pPr>
              <w:pStyle w:val="89"/>
              <w:keepNext w:val="0"/>
              <w:keepLines w:val="0"/>
              <w:pageBreakBefore w:val="0"/>
              <w:kinsoku/>
              <w:topLinePunct w:val="0"/>
              <w:autoSpaceDE/>
              <w:autoSpaceDN/>
              <w:bidi w:val="0"/>
              <w:adjustRightInd/>
              <w:snapToGrid/>
              <w:spacing w:line="480" w:lineRule="exact"/>
              <w:ind w:firstLine="482"/>
              <w:rPr>
                <w:rFonts w:hint="default" w:ascii="Times New Roman" w:hAnsi="Times New Roman" w:cs="Times New Roman"/>
                <w:color w:val="auto"/>
                <w:lang w:eastAsia="zh-CN"/>
              </w:rPr>
            </w:pPr>
            <w:r>
              <w:rPr>
                <w:rFonts w:hint="default" w:ascii="Times New Roman" w:hAnsi="Times New Roman" w:cs="Times New Roman"/>
                <w:bCs/>
                <w:color w:val="auto"/>
                <w:kern w:val="2"/>
                <w:sz w:val="24"/>
                <w:szCs w:val="24"/>
                <w:highlight w:val="none"/>
                <w:lang w:val="sq-AL" w:eastAsia="zh-CN" w:bidi="ar-SA"/>
              </w:rPr>
              <w:t>本工程</w:t>
            </w:r>
            <w:r>
              <w:rPr>
                <w:rFonts w:hint="default" w:ascii="Times New Roman" w:hAnsi="Times New Roman" w:eastAsia="宋体" w:cs="Times New Roman"/>
                <w:bCs/>
                <w:color w:val="auto"/>
                <w:kern w:val="2"/>
                <w:sz w:val="24"/>
                <w:szCs w:val="24"/>
                <w:highlight w:val="none"/>
                <w:lang w:val="en-US" w:eastAsia="zh-CN" w:bidi="ar-SA"/>
              </w:rPr>
              <w:t>位于</w:t>
            </w:r>
            <w:r>
              <w:rPr>
                <w:rFonts w:hint="default" w:ascii="Times New Roman" w:hAnsi="Times New Roman" w:cs="Times New Roman" w:eastAsiaTheme="minorEastAsia"/>
                <w:color w:val="auto"/>
                <w:sz w:val="24"/>
                <w:szCs w:val="24"/>
                <w:highlight w:val="none"/>
                <w:lang w:val="en-US" w:eastAsia="zh-CN"/>
              </w:rPr>
              <w:t>鸡西市密山市</w:t>
            </w:r>
            <w:r>
              <w:rPr>
                <w:rFonts w:hint="default" w:ascii="Times New Roman" w:hAnsi="Times New Roman" w:eastAsia="宋体" w:cs="Times New Roman"/>
                <w:bCs/>
                <w:color w:val="auto"/>
                <w:sz w:val="24"/>
                <w:szCs w:val="24"/>
                <w:highlight w:val="none"/>
                <w:lang w:val="en-US" w:eastAsia="zh-CN"/>
              </w:rPr>
              <w:t>。</w:t>
            </w:r>
            <w:r>
              <w:rPr>
                <w:rFonts w:hint="default" w:ascii="Times New Roman" w:hAnsi="Times New Roman" w:eastAsia="宋体" w:cs="Times New Roman"/>
                <w:color w:val="auto"/>
                <w:kern w:val="2"/>
                <w:sz w:val="24"/>
                <w:szCs w:val="24"/>
                <w:highlight w:val="none"/>
                <w:lang w:val="en-US" w:eastAsia="zh-CN" w:bidi="ar-SA"/>
              </w:rPr>
              <w:t>根据《2024年黑龙江省生态环境质量状况》</w:t>
            </w:r>
            <w:r>
              <w:rPr>
                <w:rFonts w:hint="default" w:ascii="Times New Roman" w:hAnsi="Times New Roman" w:cs="Times New Roman"/>
                <w:color w:val="auto"/>
                <w:kern w:val="2"/>
                <w:sz w:val="24"/>
                <w:szCs w:val="24"/>
                <w:highlight w:val="none"/>
                <w:lang w:val="en-US" w:eastAsia="zh-CN" w:bidi="ar-SA"/>
              </w:rPr>
              <w:t>，</w:t>
            </w:r>
            <w:r>
              <w:rPr>
                <w:rFonts w:hint="default" w:ascii="Times New Roman" w:hAnsi="Times New Roman" w:cs="Times New Roman"/>
                <w:color w:val="auto"/>
                <w:sz w:val="24"/>
                <w:szCs w:val="24"/>
                <w:highlight w:val="none"/>
                <w:lang w:val="en-US" w:eastAsia="zh-CN"/>
              </w:rPr>
              <w:t>鸡西</w:t>
            </w:r>
            <w:r>
              <w:rPr>
                <w:rFonts w:hint="default" w:ascii="Times New Roman" w:hAnsi="Times New Roman" w:eastAsia="宋体" w:cs="Times New Roman"/>
                <w:color w:val="auto"/>
                <w:sz w:val="24"/>
                <w:szCs w:val="24"/>
                <w:highlight w:val="none"/>
                <w:lang w:val="en-US" w:eastAsia="zh-CN"/>
              </w:rPr>
              <w:t>市202</w:t>
            </w:r>
            <w:r>
              <w:rPr>
                <w:rFonts w:hint="default" w:ascii="Times New Roman" w:hAnsi="Times New Roman"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年环境空气质量为达标区。</w:t>
            </w:r>
            <w:r>
              <w:rPr>
                <w:rFonts w:hint="default" w:ascii="Times New Roman" w:hAnsi="Times New Roman" w:cs="Times New Roman"/>
                <w:color w:val="auto"/>
                <w:sz w:val="24"/>
                <w:szCs w:val="24"/>
                <w:lang w:val="en-US" w:eastAsia="zh-CN"/>
              </w:rPr>
              <w:t>本</w:t>
            </w:r>
            <w:r>
              <w:rPr>
                <w:rFonts w:hint="default" w:ascii="Times New Roman" w:hAnsi="Times New Roman" w:cs="Times New Roman"/>
                <w:color w:val="auto"/>
                <w:spacing w:val="0"/>
                <w:position w:val="0"/>
                <w:sz w:val="24"/>
                <w:szCs w:val="24"/>
                <w:lang w:val="en-US" w:eastAsia="zh-CN"/>
              </w:rPr>
              <w:t>项目所在区域属于大气环境受体敏感重点管控区和大气环境一般管控区，</w:t>
            </w:r>
            <w:r>
              <w:rPr>
                <w:rFonts w:hint="default" w:ascii="Times New Roman" w:hAnsi="Times New Roman" w:eastAsia="宋体" w:cs="Times New Roman"/>
                <w:color w:val="auto"/>
                <w:spacing w:val="0"/>
                <w:position w:val="0"/>
                <w:sz w:val="24"/>
                <w:szCs w:val="24"/>
              </w:rPr>
              <w:t>项目在施工期会产生一定的</w:t>
            </w:r>
            <w:r>
              <w:rPr>
                <w:rFonts w:hint="default" w:ascii="Times New Roman" w:hAnsi="Times New Roman" w:cs="Times New Roman"/>
                <w:color w:val="auto"/>
                <w:spacing w:val="0"/>
                <w:position w:val="0"/>
                <w:sz w:val="24"/>
                <w:szCs w:val="24"/>
                <w:lang w:eastAsia="zh-CN"/>
              </w:rPr>
              <w:t>施工扬尘及机械尾气</w:t>
            </w:r>
            <w:r>
              <w:rPr>
                <w:rFonts w:hint="default" w:ascii="Times New Roman" w:hAnsi="Times New Roman" w:eastAsia="宋体" w:cs="Times New Roman"/>
                <w:color w:val="auto"/>
                <w:spacing w:val="0"/>
                <w:position w:val="0"/>
                <w:sz w:val="24"/>
                <w:szCs w:val="24"/>
              </w:rPr>
              <w:t>，会对项目所在区域的大气环境产生一定的影响，施工结束后影响随之消除。运行期</w:t>
            </w:r>
            <w:r>
              <w:rPr>
                <w:rFonts w:hint="default" w:ascii="Times New Roman" w:hAnsi="Times New Roman" w:cs="Times New Roman"/>
                <w:color w:val="auto"/>
                <w:spacing w:val="0"/>
                <w:position w:val="0"/>
                <w:sz w:val="24"/>
                <w:szCs w:val="24"/>
                <w:lang w:val="en-US" w:eastAsia="zh-CN"/>
              </w:rPr>
              <w:t>主要为汽车尾气</w:t>
            </w:r>
            <w:r>
              <w:rPr>
                <w:rFonts w:hint="default" w:ascii="Times New Roman" w:hAnsi="Times New Roman" w:eastAsia="宋体" w:cs="Times New Roman"/>
                <w:color w:val="auto"/>
                <w:spacing w:val="0"/>
                <w:position w:val="0"/>
                <w:sz w:val="24"/>
                <w:szCs w:val="24"/>
              </w:rPr>
              <w:t>，故本项目建设不会导致区域环境质量降低，与环境质量底线相符合。</w:t>
            </w:r>
          </w:p>
          <w:p w14:paraId="3CD422C9">
            <w:pPr>
              <w:keepNext w:val="0"/>
              <w:keepLines w:val="0"/>
              <w:pageBreakBefore w:val="0"/>
              <w:kinsoku/>
              <w:topLinePunct w:val="0"/>
              <w:autoSpaceDE/>
              <w:autoSpaceDN/>
              <w:bidi w:val="0"/>
              <w:adjustRightInd/>
              <w:snapToGrid/>
              <w:spacing w:line="480" w:lineRule="exact"/>
              <w:ind w:firstLine="480" w:firstLineChars="200"/>
              <w:rPr>
                <w:rFonts w:hint="default" w:ascii="Times New Roman" w:hAnsi="Times New Roman" w:eastAsia="宋体"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rPr>
              <w:t>②</w:t>
            </w:r>
            <w:r>
              <w:rPr>
                <w:rFonts w:hint="default" w:ascii="Times New Roman" w:hAnsi="Times New Roman" w:eastAsia="宋体" w:cs="Times New Roman"/>
                <w:bCs/>
                <w:color w:val="auto"/>
                <w:sz w:val="24"/>
                <w:szCs w:val="24"/>
                <w:highlight w:val="none"/>
                <w:lang w:val="en-US" w:eastAsia="zh-CN"/>
              </w:rPr>
              <w:t>水环境</w:t>
            </w:r>
            <w:r>
              <w:rPr>
                <w:rFonts w:hint="default" w:ascii="Times New Roman" w:hAnsi="Times New Roman" w:cs="Times New Roman"/>
                <w:bCs/>
                <w:color w:val="auto"/>
                <w:sz w:val="24"/>
                <w:szCs w:val="24"/>
                <w:highlight w:val="none"/>
                <w:lang w:val="en-US" w:eastAsia="zh-CN"/>
              </w:rPr>
              <w:t>质量底线</w:t>
            </w:r>
          </w:p>
          <w:p w14:paraId="2C0C0973">
            <w:pPr>
              <w:keepNext w:val="0"/>
              <w:keepLines w:val="0"/>
              <w:pageBreakBefore w:val="0"/>
              <w:kinsoku/>
              <w:topLinePunct w:val="0"/>
              <w:autoSpaceDE/>
              <w:autoSpaceDN/>
              <w:bidi w:val="0"/>
              <w:adjustRightInd/>
              <w:snapToGrid/>
              <w:spacing w:line="480" w:lineRule="exact"/>
              <w:ind w:firstLine="480" w:firstLineChars="200"/>
              <w:contextualSpacing/>
              <w:jc w:val="left"/>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b w:val="0"/>
                <w:bCs w:val="0"/>
                <w:color w:val="auto"/>
                <w:spacing w:val="0"/>
                <w:sz w:val="24"/>
                <w:szCs w:val="24"/>
                <w:highlight w:val="none"/>
                <w:lang w:val="en-US" w:eastAsia="zh-CN"/>
              </w:rPr>
              <w:t>本项目所在区域地表水体为穆棱河，</w:t>
            </w:r>
            <w:r>
              <w:rPr>
                <w:rFonts w:hint="default" w:ascii="Times New Roman" w:hAnsi="Times New Roman" w:cs="Times New Roman"/>
                <w:color w:val="auto"/>
                <w:sz w:val="24"/>
                <w:szCs w:val="24"/>
                <w:highlight w:val="none"/>
                <w:lang w:val="en-US" w:eastAsia="zh-CN"/>
              </w:rPr>
              <w:t>根据</w:t>
            </w:r>
            <w:r>
              <w:rPr>
                <w:rFonts w:hint="default" w:ascii="Times New Roman" w:hAnsi="Times New Roman" w:cs="Times New Roman"/>
                <w:color w:val="auto"/>
                <w:highlight w:val="none"/>
              </w:rPr>
              <w:t>《2024年黑龙江省生态环境状况公报》</w:t>
            </w:r>
            <w:r>
              <w:rPr>
                <w:rFonts w:hint="default" w:ascii="Times New Roman" w:hAnsi="Times New Roman" w:cs="Times New Roman"/>
                <w:color w:val="auto"/>
                <w:sz w:val="24"/>
                <w:szCs w:val="24"/>
                <w:highlight w:val="none"/>
                <w:lang w:val="en-US" w:eastAsia="zh-CN"/>
              </w:rPr>
              <w:t>可知，</w:t>
            </w:r>
            <w:r>
              <w:rPr>
                <w:rFonts w:hint="default" w:ascii="Times New Roman" w:hAnsi="Times New Roman" w:eastAsia="宋体" w:cs="Times New Roman"/>
                <w:b w:val="0"/>
                <w:bCs w:val="0"/>
                <w:color w:val="auto"/>
                <w:spacing w:val="0"/>
                <w:sz w:val="24"/>
                <w:szCs w:val="24"/>
                <w:highlight w:val="none"/>
                <w:lang w:val="en-US" w:eastAsia="zh-CN"/>
              </w:rPr>
              <w:t>穆棱河现状水质类别为</w:t>
            </w:r>
            <w:r>
              <w:rPr>
                <w:rFonts w:hint="default" w:ascii="Times New Roman" w:hAnsi="Times New Roman" w:eastAsia="宋体" w:cs="Times New Roman"/>
                <w:color w:val="auto"/>
                <w:sz w:val="24"/>
                <w:szCs w:val="24"/>
                <w:highlight w:val="none"/>
              </w:rPr>
              <w:t>Ⅲ类水体</w:t>
            </w:r>
            <w:r>
              <w:rPr>
                <w:rFonts w:hint="default" w:ascii="Times New Roman" w:hAnsi="Times New Roman" w:eastAsia="宋体" w:cs="Times New Roman"/>
                <w:b w:val="0"/>
                <w:bCs w:val="0"/>
                <w:color w:val="auto"/>
                <w:spacing w:val="0"/>
                <w:sz w:val="24"/>
                <w:szCs w:val="24"/>
                <w:highlight w:val="none"/>
                <w:lang w:val="en-US" w:eastAsia="zh-CN"/>
              </w:rPr>
              <w:t>，水质状况良好，符合其功能区水质要求。</w:t>
            </w:r>
            <w:r>
              <w:rPr>
                <w:rFonts w:hint="default" w:ascii="Times New Roman" w:hAnsi="Times New Roman" w:eastAsia="宋体" w:cs="Times New Roman"/>
                <w:color w:val="auto"/>
                <w:spacing w:val="0"/>
                <w:position w:val="0"/>
                <w:sz w:val="24"/>
                <w:szCs w:val="24"/>
              </w:rPr>
              <w:t>本项目在施工期会产生一定的</w:t>
            </w:r>
            <w:r>
              <w:rPr>
                <w:rFonts w:hint="default" w:ascii="Times New Roman" w:hAnsi="Times New Roman" w:cs="Times New Roman"/>
                <w:color w:val="auto"/>
                <w:spacing w:val="0"/>
                <w:position w:val="0"/>
                <w:sz w:val="24"/>
                <w:szCs w:val="24"/>
                <w:lang w:eastAsia="zh-CN"/>
              </w:rPr>
              <w:t>施工废水</w:t>
            </w:r>
            <w:r>
              <w:rPr>
                <w:rFonts w:hint="default" w:ascii="Times New Roman" w:hAnsi="Times New Roman" w:eastAsia="宋体" w:cs="Times New Roman"/>
                <w:color w:val="auto"/>
                <w:spacing w:val="0"/>
                <w:position w:val="0"/>
                <w:sz w:val="24"/>
                <w:szCs w:val="24"/>
              </w:rPr>
              <w:t>，会对项目所在区域的</w:t>
            </w:r>
            <w:r>
              <w:rPr>
                <w:rFonts w:hint="default" w:ascii="Times New Roman" w:hAnsi="Times New Roman" w:eastAsia="宋体" w:cs="Times New Roman"/>
                <w:color w:val="auto"/>
                <w:spacing w:val="0"/>
                <w:position w:val="0"/>
                <w:sz w:val="24"/>
                <w:szCs w:val="24"/>
                <w:lang w:eastAsia="zh-CN"/>
              </w:rPr>
              <w:t>地表水</w:t>
            </w:r>
            <w:r>
              <w:rPr>
                <w:rFonts w:hint="default" w:ascii="Times New Roman" w:hAnsi="Times New Roman" w:eastAsia="宋体" w:cs="Times New Roman"/>
                <w:color w:val="auto"/>
                <w:spacing w:val="0"/>
                <w:position w:val="0"/>
                <w:sz w:val="24"/>
                <w:szCs w:val="24"/>
              </w:rPr>
              <w:t>环境产生一定的影响，施工结束后影响随之消除。运行期</w:t>
            </w:r>
            <w:r>
              <w:rPr>
                <w:rFonts w:hint="default" w:ascii="Times New Roman" w:hAnsi="Times New Roman" w:cs="Times New Roman"/>
                <w:bCs/>
                <w:snapToGrid w:val="0"/>
                <w:color w:val="auto"/>
                <w:sz w:val="24"/>
                <w:szCs w:val="24"/>
                <w:lang w:val="en-US" w:eastAsia="zh-CN"/>
              </w:rPr>
              <w:t>不产生废水，故</w:t>
            </w:r>
            <w:r>
              <w:rPr>
                <w:rFonts w:hint="default" w:ascii="Times New Roman" w:hAnsi="Times New Roman" w:eastAsia="宋体" w:cs="Times New Roman"/>
                <w:color w:val="auto"/>
                <w:spacing w:val="0"/>
                <w:position w:val="0"/>
                <w:sz w:val="24"/>
                <w:szCs w:val="24"/>
              </w:rPr>
              <w:t>本项目</w:t>
            </w:r>
            <w:r>
              <w:rPr>
                <w:rFonts w:hint="default" w:ascii="Times New Roman" w:hAnsi="Times New Roman" w:eastAsia="宋体" w:cs="Times New Roman"/>
                <w:color w:val="auto"/>
                <w:spacing w:val="0"/>
                <w:position w:val="0"/>
                <w:sz w:val="24"/>
                <w:szCs w:val="24"/>
                <w:lang w:eastAsia="zh-CN"/>
              </w:rPr>
              <w:t>实施后</w:t>
            </w:r>
            <w:r>
              <w:rPr>
                <w:rFonts w:hint="default" w:ascii="Times New Roman" w:hAnsi="Times New Roman" w:eastAsia="宋体" w:cs="Times New Roman"/>
                <w:color w:val="auto"/>
                <w:spacing w:val="0"/>
                <w:position w:val="0"/>
                <w:sz w:val="24"/>
                <w:szCs w:val="24"/>
              </w:rPr>
              <w:t>不会导致区域环境质量降低，与环境质量底线相符合。</w:t>
            </w:r>
          </w:p>
          <w:p w14:paraId="39F32DC2">
            <w:pPr>
              <w:keepNext w:val="0"/>
              <w:keepLines w:val="0"/>
              <w:pageBreakBefore w:val="0"/>
              <w:kinsoku/>
              <w:topLinePunct w:val="0"/>
              <w:autoSpaceDE/>
              <w:autoSpaceDN/>
              <w:bidi w:val="0"/>
              <w:adjustRightInd/>
              <w:snapToGrid/>
              <w:spacing w:line="480" w:lineRule="exact"/>
              <w:ind w:firstLine="480" w:firstLineChars="200"/>
              <w:rPr>
                <w:rFonts w:hint="default" w:ascii="Times New Roman" w:hAnsi="Times New Roman" w:eastAsia="宋体"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rPr>
              <w:t>③</w:t>
            </w:r>
            <w:r>
              <w:rPr>
                <w:rFonts w:hint="default" w:ascii="Times New Roman" w:hAnsi="Times New Roman" w:cs="Times New Roman"/>
                <w:bCs/>
                <w:color w:val="auto"/>
                <w:sz w:val="24"/>
                <w:szCs w:val="24"/>
                <w:highlight w:val="none"/>
                <w:lang w:val="en-US" w:eastAsia="zh-CN"/>
              </w:rPr>
              <w:t>地下水环境底线、</w:t>
            </w:r>
            <w:r>
              <w:rPr>
                <w:rFonts w:hint="default" w:ascii="Times New Roman" w:hAnsi="Times New Roman" w:cs="Times New Roman"/>
                <w:color w:val="auto"/>
                <w:sz w:val="24"/>
                <w:szCs w:val="24"/>
                <w:lang w:eastAsia="zh-CN"/>
              </w:rPr>
              <w:t>土壤环境质量底线</w:t>
            </w:r>
          </w:p>
          <w:p w14:paraId="26A63D21">
            <w:pPr>
              <w:keepNext w:val="0"/>
              <w:keepLines w:val="0"/>
              <w:pageBreakBefore w:val="0"/>
              <w:kinsoku/>
              <w:topLinePunct w:val="0"/>
              <w:autoSpaceDE/>
              <w:autoSpaceDN/>
              <w:bidi w:val="0"/>
              <w:adjustRightInd/>
              <w:snapToGrid/>
              <w:spacing w:line="480" w:lineRule="exact"/>
              <w:ind w:firstLine="480" w:firstLineChars="200"/>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lang w:eastAsia="zh-CN"/>
              </w:rPr>
              <w:t>本项目的运行期、施工期采取相应环保措施后不会对地下水及土壤环境产生不利影响，不会突破区域内“土壤环境质量底线”、“地下水环境质量底线”。</w:t>
            </w:r>
          </w:p>
          <w:p w14:paraId="22E7DCE9">
            <w:pPr>
              <w:keepNext w:val="0"/>
              <w:keepLines w:val="0"/>
              <w:pageBreakBefore w:val="0"/>
              <w:kinsoku/>
              <w:topLinePunct w:val="0"/>
              <w:autoSpaceDE/>
              <w:autoSpaceDN/>
              <w:bidi w:val="0"/>
              <w:adjustRightInd/>
              <w:snapToGrid/>
              <w:spacing w:line="480" w:lineRule="exact"/>
              <w:ind w:firstLine="480" w:firstLineChars="200"/>
              <w:jc w:val="left"/>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cs="Times New Roman"/>
                <w:b w:val="0"/>
                <w:bCs/>
                <w:color w:val="auto"/>
                <w:kern w:val="2"/>
                <w:sz w:val="24"/>
                <w:szCs w:val="24"/>
                <w:highlight w:val="none"/>
                <w:lang w:val="en-US" w:eastAsia="zh-CN" w:bidi="ar-SA"/>
              </w:rPr>
              <w:t>（3）</w:t>
            </w:r>
            <w:r>
              <w:rPr>
                <w:rFonts w:hint="default" w:ascii="Times New Roman" w:hAnsi="Times New Roman" w:eastAsia="宋体" w:cs="Times New Roman"/>
                <w:b w:val="0"/>
                <w:bCs/>
                <w:color w:val="auto"/>
                <w:kern w:val="2"/>
                <w:sz w:val="24"/>
                <w:szCs w:val="24"/>
                <w:highlight w:val="none"/>
                <w:lang w:val="en-US" w:eastAsia="zh-CN" w:bidi="ar-SA"/>
              </w:rPr>
              <w:t>资源利用上线</w:t>
            </w:r>
          </w:p>
          <w:p w14:paraId="565E5BE5">
            <w:pPr>
              <w:pStyle w:val="89"/>
              <w:keepNext w:val="0"/>
              <w:keepLines w:val="0"/>
              <w:pageBreakBefore w:val="0"/>
              <w:kinsoku/>
              <w:topLinePunct w:val="0"/>
              <w:autoSpaceDE/>
              <w:autoSpaceDN/>
              <w:bidi w:val="0"/>
              <w:adjustRightInd/>
              <w:snapToGrid/>
              <w:spacing w:line="480" w:lineRule="exact"/>
              <w:ind w:firstLine="482"/>
              <w:rPr>
                <w:rFonts w:hint="default" w:ascii="Times New Roman" w:hAnsi="Times New Roman" w:eastAsia="宋体" w:cs="Times New Roman"/>
                <w:color w:val="auto"/>
              </w:rPr>
            </w:pPr>
            <w:r>
              <w:rPr>
                <w:rFonts w:hint="default" w:ascii="Times New Roman" w:hAnsi="Times New Roman" w:cs="Times New Roman"/>
                <w:bCs/>
                <w:color w:val="auto"/>
                <w:sz w:val="24"/>
                <w:szCs w:val="24"/>
                <w:highlight w:val="none"/>
              </w:rPr>
              <w:t>本</w:t>
            </w:r>
            <w:r>
              <w:rPr>
                <w:rFonts w:hint="default" w:ascii="Times New Roman" w:hAnsi="Times New Roman" w:cs="Times New Roman"/>
                <w:bCs/>
                <w:color w:val="auto"/>
                <w:sz w:val="24"/>
                <w:szCs w:val="24"/>
                <w:highlight w:val="none"/>
                <w:lang w:eastAsia="zh-CN"/>
              </w:rPr>
              <w:t>工程</w:t>
            </w:r>
            <w:r>
              <w:rPr>
                <w:rFonts w:hint="default" w:ascii="Times New Roman" w:hAnsi="Times New Roman" w:cs="Times New Roman"/>
                <w:bCs/>
                <w:color w:val="auto"/>
                <w:sz w:val="24"/>
                <w:szCs w:val="24"/>
                <w:highlight w:val="none"/>
                <w:lang w:val="en-US" w:eastAsia="zh-CN"/>
              </w:rPr>
              <w:t>为</w:t>
            </w:r>
            <w:r>
              <w:rPr>
                <w:rFonts w:hint="default" w:ascii="Times New Roman" w:hAnsi="Times New Roman" w:eastAsia="宋体" w:cs="Times New Roman"/>
                <w:b w:val="0"/>
                <w:bCs/>
                <w:color w:val="auto"/>
                <w:kern w:val="21"/>
                <w:szCs w:val="21"/>
                <w:highlight w:val="none"/>
                <w:lang w:eastAsia="zh-CN"/>
              </w:rPr>
              <w:t>国道集贤至当壁公路宝清界至兴凯镇段路面改造工程，</w:t>
            </w:r>
            <w:r>
              <w:rPr>
                <w:rFonts w:hint="default" w:ascii="Times New Roman" w:hAnsi="Times New Roman" w:cs="Times New Roman"/>
                <w:color w:val="auto"/>
                <w:spacing w:val="0"/>
                <w:position w:val="0"/>
                <w:sz w:val="24"/>
                <w:szCs w:val="24"/>
                <w:lang w:val="en-US" w:eastAsia="zh-CN"/>
              </w:rPr>
              <w:t>项目所在区域属于自然资源一般管控区。</w:t>
            </w:r>
            <w:r>
              <w:rPr>
                <w:rFonts w:hint="default" w:ascii="Times New Roman" w:hAnsi="Times New Roman" w:eastAsia="宋体" w:cs="Times New Roman"/>
                <w:color w:val="auto"/>
                <w:lang w:eastAsia="zh-CN"/>
              </w:rPr>
              <w:t>本工程</w:t>
            </w:r>
            <w:r>
              <w:rPr>
                <w:rFonts w:hint="default" w:ascii="Times New Roman" w:hAnsi="Times New Roman" w:eastAsia="宋体" w:cs="Times New Roman"/>
                <w:color w:val="auto"/>
              </w:rPr>
              <w:t>不涉及新增永久占地，工程临时占地</w:t>
            </w:r>
            <w:r>
              <w:rPr>
                <w:rFonts w:hint="default" w:ascii="Times New Roman" w:hAnsi="Times New Roman" w:cs="Times New Roman"/>
                <w:color w:val="auto"/>
                <w:lang w:val="en-US" w:eastAsia="zh-CN"/>
              </w:rPr>
              <w:t>为租赁现有</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rPr>
              <w:t>因此，本工程</w:t>
            </w:r>
            <w:r>
              <w:rPr>
                <w:rFonts w:hint="default" w:ascii="Times New Roman" w:hAnsi="Times New Roman" w:cs="Times New Roman"/>
                <w:color w:val="auto"/>
                <w:lang w:val="en-US" w:eastAsia="zh-CN"/>
              </w:rPr>
              <w:t>建设</w:t>
            </w:r>
            <w:r>
              <w:rPr>
                <w:rFonts w:hint="default" w:ascii="Times New Roman" w:hAnsi="Times New Roman" w:eastAsia="宋体" w:cs="Times New Roman"/>
                <w:color w:val="auto"/>
              </w:rPr>
              <w:t>对工程所在区域土地资源影响较小，不会超过其土地利用资源上限</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亦不会超过其水资源利用上线</w:t>
            </w:r>
            <w:r>
              <w:rPr>
                <w:rFonts w:hint="default" w:ascii="Times New Roman" w:hAnsi="Times New Roman" w:eastAsia="宋体" w:cs="Times New Roman"/>
                <w:color w:val="auto"/>
              </w:rPr>
              <w:t>。</w:t>
            </w:r>
          </w:p>
          <w:p w14:paraId="32BC8FA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val="0"/>
              <w:topLinePunct w:val="0"/>
              <w:autoSpaceDE/>
              <w:autoSpaceDN/>
              <w:bidi w:val="0"/>
              <w:adjustRightInd/>
              <w:snapToGrid/>
              <w:spacing w:before="0" w:beforeAutospacing="0" w:after="0" w:afterAutospacing="0" w:line="480" w:lineRule="exact"/>
              <w:ind w:left="0" w:right="0" w:firstLine="480" w:firstLineChars="200"/>
              <w:jc w:val="left"/>
              <w:textAlignment w:val="auto"/>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cs="Times New Roman"/>
                <w:b w:val="0"/>
                <w:bCs/>
                <w:color w:val="auto"/>
                <w:kern w:val="2"/>
                <w:sz w:val="24"/>
                <w:szCs w:val="24"/>
                <w:highlight w:val="none"/>
                <w:lang w:val="en-US" w:eastAsia="zh-CN" w:bidi="ar-SA"/>
              </w:rPr>
              <w:t>（4）</w:t>
            </w:r>
            <w:r>
              <w:rPr>
                <w:rFonts w:hint="default" w:ascii="Times New Roman" w:hAnsi="Times New Roman" w:eastAsia="宋体" w:cs="Times New Roman"/>
                <w:b w:val="0"/>
                <w:bCs/>
                <w:color w:val="auto"/>
                <w:kern w:val="2"/>
                <w:sz w:val="24"/>
                <w:szCs w:val="24"/>
                <w:highlight w:val="none"/>
                <w:lang w:val="en-US" w:eastAsia="zh-CN" w:bidi="ar-SA"/>
              </w:rPr>
              <w:t>生态环境准入清单</w:t>
            </w:r>
          </w:p>
          <w:p w14:paraId="2E449C93">
            <w:pPr>
              <w:keepNext w:val="0"/>
              <w:keepLines w:val="0"/>
              <w:pageBreakBefore w:val="0"/>
              <w:widowControl/>
              <w:kinsoku/>
              <w:topLinePunct w:val="0"/>
              <w:autoSpaceDE/>
              <w:autoSpaceDN/>
              <w:bidi w:val="0"/>
              <w:adjustRightInd/>
              <w:snapToGrid/>
              <w:spacing w:line="480" w:lineRule="exact"/>
              <w:ind w:firstLine="480" w:firstLineChars="200"/>
              <w:rPr>
                <w:rFonts w:hint="default" w:ascii="Times New Roman" w:hAnsi="Times New Roman" w:cs="Times New Roman" w:eastAsiaTheme="minorEastAsia"/>
                <w:color w:val="auto"/>
                <w:kern w:val="21"/>
                <w:sz w:val="24"/>
                <w:szCs w:val="24"/>
                <w:highlight w:val="none"/>
                <w:lang w:eastAsia="zh-CN"/>
              </w:rPr>
            </w:pPr>
            <w:r>
              <w:rPr>
                <w:rFonts w:hint="default" w:ascii="Times New Roman" w:hAnsi="Times New Roman" w:cs="Times New Roman" w:eastAsiaTheme="minorEastAsia"/>
                <w:color w:val="auto"/>
                <w:kern w:val="21"/>
                <w:sz w:val="24"/>
                <w:szCs w:val="24"/>
                <w:highlight w:val="none"/>
                <w:lang w:eastAsia="zh-CN"/>
              </w:rPr>
              <w:t>根据《黑龙江省生态环境分区管控应用技术指南环境影响评价》中相关规定：“环评文件涉及“三线一单”生态环境分区管控符合性分析采取“一图一表一说明”的表达方式”。本项目具体分析如下：</w:t>
            </w:r>
          </w:p>
          <w:p w14:paraId="0A0E6612">
            <w:pPr>
              <w:pStyle w:val="89"/>
              <w:keepNext w:val="0"/>
              <w:keepLines w:val="0"/>
              <w:pageBreakBefore w:val="0"/>
              <w:kinsoku/>
              <w:topLinePunct w:val="0"/>
              <w:autoSpaceDE/>
              <w:autoSpaceDN/>
              <w:bidi w:val="0"/>
              <w:adjustRightInd/>
              <w:snapToGrid/>
              <w:spacing w:line="480" w:lineRule="exact"/>
              <w:ind w:firstLine="482"/>
              <w:rPr>
                <w:rFonts w:hint="default" w:ascii="Times New Roman" w:hAnsi="Times New Roman" w:cs="Times New Roman"/>
                <w:color w:val="auto"/>
                <w:kern w:val="0"/>
                <w:highlight w:val="yellow"/>
                <w:lang w:eastAsia="zh-CN"/>
              </w:rPr>
            </w:pPr>
            <w:r>
              <w:rPr>
                <w:rFonts w:hint="default" w:ascii="Times New Roman" w:hAnsi="Times New Roman" w:eastAsia="宋体" w:cs="Times New Roman"/>
                <w:b w:val="0"/>
                <w:bCs/>
                <w:color w:val="auto"/>
                <w:kern w:val="2"/>
                <w:sz w:val="24"/>
                <w:szCs w:val="24"/>
                <w:highlight w:val="none"/>
                <w:lang w:val="en-US" w:eastAsia="zh-CN" w:bidi="ar-SA"/>
              </w:rPr>
              <w:t>①</w:t>
            </w:r>
            <w:r>
              <w:rPr>
                <w:rFonts w:hint="default" w:ascii="Times New Roman" w:hAnsi="Times New Roman" w:cs="Times New Roman" w:eastAsiaTheme="minorEastAsia"/>
                <w:color w:val="auto"/>
                <w:kern w:val="21"/>
                <w:sz w:val="24"/>
                <w:szCs w:val="24"/>
                <w:highlight w:val="none"/>
                <w:lang w:eastAsia="zh-CN"/>
              </w:rPr>
              <w:t>一图</w:t>
            </w:r>
          </w:p>
          <w:p w14:paraId="67279E83">
            <w:pPr>
              <w:keepNext w:val="0"/>
              <w:keepLines w:val="0"/>
              <w:pageBreakBefore w:val="0"/>
              <w:widowControl/>
              <w:kinsoku/>
              <w:topLinePunct w:val="0"/>
              <w:autoSpaceDE/>
              <w:autoSpaceDN/>
              <w:bidi w:val="0"/>
              <w:adjustRightInd/>
              <w:snapToGrid/>
              <w:spacing w:line="480" w:lineRule="exact"/>
              <w:ind w:firstLine="480" w:firstLineChars="200"/>
              <w:rPr>
                <w:rFonts w:hint="default" w:ascii="Times New Roman" w:hAnsi="Times New Roman" w:cs="Times New Roman" w:eastAsiaTheme="minorEastAsia"/>
                <w:color w:val="auto"/>
                <w:kern w:val="21"/>
                <w:sz w:val="24"/>
                <w:szCs w:val="24"/>
                <w:highlight w:val="none"/>
                <w:lang w:eastAsia="zh-CN"/>
              </w:rPr>
            </w:pPr>
            <w:r>
              <w:rPr>
                <w:rFonts w:hint="default" w:ascii="Times New Roman" w:hAnsi="Times New Roman" w:cs="Times New Roman" w:eastAsiaTheme="minorEastAsia"/>
                <w:color w:val="auto"/>
                <w:kern w:val="21"/>
                <w:sz w:val="24"/>
                <w:szCs w:val="24"/>
                <w:highlight w:val="none"/>
                <w:lang w:eastAsia="zh-CN"/>
              </w:rPr>
              <w:t>根据本项目“生态环境分区管控分析报告”，本项目与环境管控单元叠加图如下：</w:t>
            </w:r>
          </w:p>
          <w:p w14:paraId="57423D94">
            <w:pPr>
              <w:widowControl/>
              <w:spacing w:line="240" w:lineRule="auto"/>
              <w:jc w:val="center"/>
              <w:rPr>
                <w:rFonts w:hint="default" w:ascii="Times New Roman" w:hAnsi="Times New Roman" w:cs="Times New Roman" w:eastAsiaTheme="minorEastAsia"/>
                <w:color w:val="auto"/>
                <w:kern w:val="21"/>
                <w:sz w:val="24"/>
                <w:szCs w:val="24"/>
                <w:highlight w:val="none"/>
                <w:lang w:eastAsia="zh-CN"/>
              </w:rPr>
            </w:pPr>
            <w:r>
              <w:rPr>
                <w:rFonts w:hint="default" w:ascii="Times New Roman" w:hAnsi="Times New Roman" w:cs="Times New Roman" w:eastAsiaTheme="minorEastAsia"/>
                <w:color w:val="auto"/>
                <w:kern w:val="21"/>
                <w:sz w:val="24"/>
                <w:szCs w:val="24"/>
                <w:highlight w:val="none"/>
                <w:lang w:eastAsia="zh-CN"/>
              </w:rPr>
              <w:drawing>
                <wp:inline distT="0" distB="0" distL="114300" distR="114300">
                  <wp:extent cx="4013200" cy="3255645"/>
                  <wp:effectExtent l="0" t="0" r="6350" b="1905"/>
                  <wp:docPr id="59" name="图片 59" descr="QQ截图2025112516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QQ截图20251125163946"/>
                          <pic:cNvPicPr>
                            <a:picLocks noChangeAspect="1"/>
                          </pic:cNvPicPr>
                        </pic:nvPicPr>
                        <pic:blipFill>
                          <a:blip r:embed="rId11"/>
                          <a:stretch>
                            <a:fillRect/>
                          </a:stretch>
                        </pic:blipFill>
                        <pic:spPr>
                          <a:xfrm>
                            <a:off x="0" y="0"/>
                            <a:ext cx="4013200" cy="3255645"/>
                          </a:xfrm>
                          <a:prstGeom prst="rect">
                            <a:avLst/>
                          </a:prstGeom>
                        </pic:spPr>
                      </pic:pic>
                    </a:graphicData>
                  </a:graphic>
                </wp:inline>
              </w:drawing>
            </w:r>
          </w:p>
          <w:p w14:paraId="7E105024">
            <w:pPr>
              <w:pStyle w:val="55"/>
              <w:keepNext w:val="0"/>
              <w:keepLines w:val="0"/>
              <w:pageBreakBefore w:val="0"/>
              <w:widowControl w:val="0"/>
              <w:numPr>
                <w:ilvl w:val="0"/>
                <w:numId w:val="0"/>
              </w:numPr>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cs="Times New Roman"/>
                <w:color w:val="auto"/>
              </w:rPr>
              <w:t>图1-</w:t>
            </w:r>
            <w:r>
              <w:rPr>
                <w:rFonts w:hint="eastAsia" w:ascii="Times New Roman" w:hAnsi="Times New Roman" w:cs="Times New Roman"/>
                <w:color w:val="auto"/>
                <w:lang w:val="en-US" w:eastAsia="zh-CN"/>
              </w:rPr>
              <w:t>2</w:t>
            </w:r>
            <w:r>
              <w:rPr>
                <w:rFonts w:hint="default" w:ascii="Times New Roman" w:hAnsi="Times New Roman" w:cs="Times New Roman"/>
                <w:color w:val="auto"/>
              </w:rPr>
              <w:t xml:space="preserve">  本项目与环境管控单元叠加图</w:t>
            </w:r>
          </w:p>
          <w:p w14:paraId="2EE05819">
            <w:pPr>
              <w:pStyle w:val="89"/>
              <w:keepNext w:val="0"/>
              <w:keepLines w:val="0"/>
              <w:pageBreakBefore w:val="0"/>
              <w:widowControl w:val="0"/>
              <w:kinsoku/>
              <w:overflowPunct/>
              <w:topLinePunct w:val="0"/>
              <w:autoSpaceDE/>
              <w:autoSpaceDN/>
              <w:bidi w:val="0"/>
              <w:snapToGrid/>
              <w:spacing w:line="480" w:lineRule="exact"/>
              <w:ind w:firstLine="482"/>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②一表</w:t>
            </w:r>
          </w:p>
          <w:p w14:paraId="55E42B0E">
            <w:pPr>
              <w:pStyle w:val="89"/>
              <w:keepNext w:val="0"/>
              <w:keepLines w:val="0"/>
              <w:pageBreakBefore w:val="0"/>
              <w:widowControl w:val="0"/>
              <w:kinsoku/>
              <w:overflowPunct/>
              <w:topLinePunct w:val="0"/>
              <w:autoSpaceDE/>
              <w:autoSpaceDN/>
              <w:bidi w:val="0"/>
              <w:snapToGrid/>
              <w:spacing w:line="480" w:lineRule="exact"/>
              <w:ind w:firstLine="482"/>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根据本项目“生态环境分区管控分析报告”可知，本项目与环境管控单元符合性分析：</w:t>
            </w:r>
          </w:p>
          <w:p w14:paraId="65F0CA1C">
            <w:pPr>
              <w:keepNext w:val="0"/>
              <w:keepLines w:val="0"/>
              <w:pageBreakBefore w:val="0"/>
              <w:widowControl w:val="0"/>
              <w:kinsoku/>
              <w:overflowPunct/>
              <w:topLinePunct w:val="0"/>
              <w:autoSpaceDE/>
              <w:autoSpaceDN/>
              <w:bidi w:val="0"/>
              <w:adjustRightInd w:val="0"/>
              <w:snapToGrid/>
              <w:spacing w:line="480" w:lineRule="exact"/>
              <w:jc w:val="center"/>
              <w:rPr>
                <w:rFonts w:hint="default" w:ascii="Times New Roman" w:hAnsi="Times New Roman" w:cs="Times New Roman" w:eastAsiaTheme="minorEastAsia"/>
                <w:b/>
                <w:bCs/>
                <w:color w:val="auto"/>
                <w:kern w:val="0"/>
                <w:sz w:val="24"/>
                <w:szCs w:val="24"/>
              </w:rPr>
            </w:pPr>
            <w:r>
              <w:rPr>
                <w:rFonts w:hint="default" w:ascii="Times New Roman" w:hAnsi="Times New Roman" w:cs="Times New Roman" w:eastAsiaTheme="minorEastAsia"/>
                <w:b/>
                <w:bCs/>
                <w:color w:val="auto"/>
                <w:kern w:val="0"/>
                <w:sz w:val="24"/>
                <w:szCs w:val="24"/>
              </w:rPr>
              <w:t>表</w:t>
            </w:r>
            <w:r>
              <w:rPr>
                <w:rFonts w:hint="default" w:ascii="Times New Roman" w:hAnsi="Times New Roman" w:cs="Times New Roman" w:eastAsiaTheme="minorEastAsia"/>
                <w:b/>
                <w:bCs/>
                <w:color w:val="auto"/>
                <w:kern w:val="0"/>
                <w:sz w:val="24"/>
                <w:szCs w:val="24"/>
                <w:lang w:val="en-US" w:eastAsia="zh-CN"/>
              </w:rPr>
              <w:t>1-</w:t>
            </w:r>
            <w:r>
              <w:rPr>
                <w:rFonts w:hint="eastAsia" w:cs="Times New Roman" w:eastAsiaTheme="minorEastAsia"/>
                <w:b/>
                <w:bCs/>
                <w:color w:val="auto"/>
                <w:kern w:val="0"/>
                <w:sz w:val="24"/>
                <w:szCs w:val="24"/>
                <w:lang w:val="en-US" w:eastAsia="zh-CN"/>
              </w:rPr>
              <w:t xml:space="preserve">3 </w:t>
            </w:r>
            <w:r>
              <w:rPr>
                <w:rFonts w:hint="default" w:ascii="Times New Roman" w:hAnsi="Times New Roman" w:cs="Times New Roman" w:eastAsiaTheme="minorEastAsia"/>
                <w:b/>
                <w:bCs/>
                <w:color w:val="auto"/>
                <w:kern w:val="0"/>
                <w:sz w:val="24"/>
                <w:szCs w:val="24"/>
                <w:lang w:val="en-US" w:eastAsia="zh-CN"/>
              </w:rPr>
              <w:t xml:space="preserve"> </w:t>
            </w:r>
            <w:r>
              <w:rPr>
                <w:rFonts w:hint="default" w:ascii="Times New Roman" w:hAnsi="Times New Roman" w:cs="Times New Roman" w:eastAsiaTheme="minorEastAsia"/>
                <w:b/>
                <w:bCs/>
                <w:color w:val="auto"/>
                <w:kern w:val="0"/>
                <w:sz w:val="24"/>
                <w:szCs w:val="24"/>
              </w:rPr>
              <w:t>生态环境准入清单管控要求符合性分析</w:t>
            </w:r>
          </w:p>
          <w:tbl>
            <w:tblPr>
              <w:tblStyle w:val="31"/>
              <w:tblW w:w="6400"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3817"/>
              <w:gridCol w:w="1515"/>
            </w:tblGrid>
            <w:tr w14:paraId="298B84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6400" w:type="dxa"/>
                  <w:gridSpan w:val="3"/>
                  <w:tcBorders>
                    <w:tl2br w:val="nil"/>
                    <w:tr2bl w:val="nil"/>
                  </w:tcBorders>
                  <w:vAlign w:val="center"/>
                </w:tcPr>
                <w:p w14:paraId="27979D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b w:val="0"/>
                      <w:bCs w:val="0"/>
                      <w:color w:val="auto"/>
                      <w:kern w:val="0"/>
                      <w:sz w:val="21"/>
                      <w:szCs w:val="21"/>
                      <w:vertAlign w:val="baseline"/>
                    </w:rPr>
                    <w:t>生态环境准入清单</w:t>
                  </w:r>
                </w:p>
              </w:tc>
            </w:tr>
            <w:tr w14:paraId="5A983C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068" w:type="dxa"/>
                  <w:tcBorders>
                    <w:tl2br w:val="nil"/>
                    <w:tr2bl w:val="nil"/>
                  </w:tcBorders>
                  <w:shd w:val="clear" w:color="auto" w:fill="auto"/>
                  <w:vAlign w:val="center"/>
                </w:tcPr>
                <w:p w14:paraId="1AE021A0">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环境管控单元名称</w:t>
                  </w:r>
                </w:p>
              </w:tc>
              <w:tc>
                <w:tcPr>
                  <w:tcW w:w="5332" w:type="dxa"/>
                  <w:gridSpan w:val="2"/>
                  <w:tcBorders>
                    <w:tl2br w:val="nil"/>
                    <w:tr2bl w:val="nil"/>
                  </w:tcBorders>
                  <w:shd w:val="clear" w:color="auto" w:fill="auto"/>
                  <w:vAlign w:val="center"/>
                </w:tcPr>
                <w:p w14:paraId="18379940">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密山市一般生态空间</w:t>
                  </w:r>
                </w:p>
              </w:tc>
            </w:tr>
            <w:tr w14:paraId="273915F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068" w:type="dxa"/>
                  <w:tcBorders>
                    <w:tl2br w:val="nil"/>
                    <w:tr2bl w:val="nil"/>
                  </w:tcBorders>
                  <w:shd w:val="clear" w:color="auto" w:fill="auto"/>
                  <w:vAlign w:val="center"/>
                </w:tcPr>
                <w:p w14:paraId="399F96D2">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环境管控单元编码</w:t>
                  </w:r>
                </w:p>
              </w:tc>
              <w:tc>
                <w:tcPr>
                  <w:tcW w:w="5332" w:type="dxa"/>
                  <w:gridSpan w:val="2"/>
                  <w:tcBorders>
                    <w:tl2br w:val="nil"/>
                    <w:tr2bl w:val="nil"/>
                  </w:tcBorders>
                  <w:shd w:val="clear" w:color="auto" w:fill="auto"/>
                  <w:vAlign w:val="center"/>
                </w:tcPr>
                <w:p w14:paraId="5DA48FB8">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ZH23038210002</w:t>
                  </w:r>
                </w:p>
              </w:tc>
            </w:tr>
            <w:tr w14:paraId="1CEC265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1068" w:type="dxa"/>
                  <w:tcBorders>
                    <w:tl2br w:val="nil"/>
                    <w:tr2bl w:val="nil"/>
                  </w:tcBorders>
                  <w:shd w:val="clear" w:color="auto" w:fill="auto"/>
                  <w:vAlign w:val="center"/>
                </w:tcPr>
                <w:p w14:paraId="48778349">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单元类别</w:t>
                  </w:r>
                </w:p>
              </w:tc>
              <w:tc>
                <w:tcPr>
                  <w:tcW w:w="5332" w:type="dxa"/>
                  <w:gridSpan w:val="2"/>
                  <w:tcBorders>
                    <w:tl2br w:val="nil"/>
                    <w:tr2bl w:val="nil"/>
                  </w:tcBorders>
                  <w:shd w:val="clear" w:color="auto" w:fill="auto"/>
                  <w:vAlign w:val="center"/>
                </w:tcPr>
                <w:p w14:paraId="575F1EC4">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优先保护单元</w:t>
                  </w:r>
                </w:p>
              </w:tc>
            </w:tr>
            <w:tr w14:paraId="063E365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85" w:type="dxa"/>
                  <w:gridSpan w:val="2"/>
                  <w:tcBorders>
                    <w:tl2br w:val="nil"/>
                    <w:tr2bl w:val="nil"/>
                  </w:tcBorders>
                  <w:shd w:val="clear" w:color="auto" w:fill="auto"/>
                  <w:vAlign w:val="center"/>
                </w:tcPr>
                <w:p w14:paraId="4E02677B">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管控要求</w:t>
                  </w:r>
                </w:p>
              </w:tc>
              <w:tc>
                <w:tcPr>
                  <w:tcW w:w="1515" w:type="dxa"/>
                  <w:tcBorders>
                    <w:tl2br w:val="nil"/>
                    <w:tr2bl w:val="nil"/>
                  </w:tcBorders>
                  <w:shd w:val="clear" w:color="auto" w:fill="auto"/>
                  <w:vAlign w:val="center"/>
                </w:tcPr>
                <w:p w14:paraId="1637B504">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符合性分析</w:t>
                  </w:r>
                </w:p>
              </w:tc>
            </w:tr>
            <w:tr w14:paraId="4CE8528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60" w:hRule="atLeast"/>
                <w:jc w:val="center"/>
              </w:trPr>
              <w:tc>
                <w:tcPr>
                  <w:tcW w:w="1068" w:type="dxa"/>
                  <w:tcBorders>
                    <w:tl2br w:val="nil"/>
                    <w:tr2bl w:val="nil"/>
                  </w:tcBorders>
                  <w:vAlign w:val="center"/>
                </w:tcPr>
                <w:p w14:paraId="0B9320C6">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rPr>
                  </w:pPr>
                  <w:r>
                    <w:rPr>
                      <w:rFonts w:hint="default" w:ascii="Times New Roman" w:hAnsi="Times New Roman" w:eastAsia="宋体" w:cs="Times New Roman"/>
                      <w:b w:val="0"/>
                      <w:bCs w:val="0"/>
                      <w:color w:val="auto"/>
                      <w:sz w:val="21"/>
                      <w:szCs w:val="21"/>
                    </w:rPr>
                    <w:t>空间布局约束</w:t>
                  </w:r>
                </w:p>
              </w:tc>
              <w:tc>
                <w:tcPr>
                  <w:tcW w:w="3817" w:type="dxa"/>
                  <w:tcBorders>
                    <w:tl2br w:val="nil"/>
                    <w:tr2bl w:val="nil"/>
                  </w:tcBorders>
                  <w:vAlign w:val="center"/>
                </w:tcPr>
                <w:p w14:paraId="2C95E5A9">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1.区域执行本清单全省准入要求中“3.1 总体要求”。</w:t>
                  </w:r>
                </w:p>
                <w:p w14:paraId="14AF2774">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2.生物多样性维护功能重要区、水土保持功能重要区同时执行本清单全省准入要求中“3.2 生态重要功能评价区”准入要求。</w:t>
                  </w:r>
                </w:p>
                <w:p w14:paraId="5D81877C">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3.水土流失敏感区同时执行本清单全省准入要求中“3.3 生态敏感评价区”准入要求。</w:t>
                  </w:r>
                </w:p>
                <w:p w14:paraId="1D7C023E">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color w:val="auto"/>
                      <w:kern w:val="0"/>
                      <w:sz w:val="21"/>
                      <w:szCs w:val="21"/>
                      <w:vertAlign w:val="baseline"/>
                    </w:rPr>
                  </w:pPr>
                  <w:r>
                    <w:rPr>
                      <w:rFonts w:hint="default" w:ascii="Times New Roman" w:hAnsi="Times New Roman" w:eastAsia="宋体" w:cs="Times New Roman"/>
                      <w:b w:val="0"/>
                      <w:bCs w:val="0"/>
                      <w:color w:val="auto"/>
                      <w:sz w:val="21"/>
                      <w:szCs w:val="21"/>
                      <w:lang w:val="en-US" w:eastAsia="zh-CN"/>
                    </w:rPr>
                    <w:t>4.黑龙江密山马兰花省级湿地公园同时执行本清单全省准入要求中“4.6 湿地公园”准入要求。</w:t>
                  </w:r>
                </w:p>
              </w:tc>
              <w:tc>
                <w:tcPr>
                  <w:tcW w:w="1515" w:type="dxa"/>
                  <w:tcBorders>
                    <w:tl2br w:val="nil"/>
                    <w:tr2bl w:val="nil"/>
                  </w:tcBorders>
                  <w:vAlign w:val="center"/>
                </w:tcPr>
                <w:p w14:paraId="1E510515">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rPr>
                  </w:pPr>
                  <w:r>
                    <w:rPr>
                      <w:rFonts w:hint="default" w:ascii="Times New Roman" w:hAnsi="Times New Roman" w:eastAsia="宋体" w:cs="Times New Roman"/>
                      <w:b w:val="0"/>
                      <w:bCs w:val="0"/>
                      <w:color w:val="auto"/>
                      <w:kern w:val="0"/>
                      <w:sz w:val="21"/>
                      <w:szCs w:val="21"/>
                      <w:vertAlign w:val="baseline"/>
                      <w:lang w:val="en-US" w:eastAsia="zh-CN"/>
                    </w:rPr>
                    <w:t>本项目为现有公路路面改造工程，不属于开发性、生产型建设活动</w:t>
                  </w:r>
                  <w:r>
                    <w:rPr>
                      <w:rFonts w:hint="default" w:ascii="Times New Roman" w:hAnsi="Times New Roman" w:cs="Times New Roman"/>
                      <w:b w:val="0"/>
                      <w:bCs w:val="0"/>
                      <w:color w:val="auto"/>
                      <w:kern w:val="0"/>
                      <w:sz w:val="21"/>
                      <w:szCs w:val="21"/>
                      <w:vertAlign w:val="baseline"/>
                      <w:lang w:val="en-US" w:eastAsia="zh-CN"/>
                    </w:rPr>
                    <w:t>，无新增</w:t>
                  </w:r>
                  <w:r>
                    <w:rPr>
                      <w:rFonts w:hint="default" w:ascii="Times New Roman" w:hAnsi="Times New Roman" w:eastAsia="宋体" w:cs="Times New Roman"/>
                      <w:b w:val="0"/>
                      <w:bCs w:val="0"/>
                      <w:color w:val="auto"/>
                      <w:kern w:val="0"/>
                      <w:sz w:val="21"/>
                      <w:szCs w:val="21"/>
                      <w:vertAlign w:val="baseline"/>
                      <w:lang w:val="en-US" w:eastAsia="zh-CN"/>
                    </w:rPr>
                    <w:t>永久占地</w:t>
                  </w:r>
                  <w:r>
                    <w:rPr>
                      <w:rFonts w:hint="default" w:ascii="Times New Roman" w:hAnsi="Times New Roman" w:cs="Times New Roman"/>
                      <w:b w:val="0"/>
                      <w:bCs w:val="0"/>
                      <w:color w:val="auto"/>
                      <w:kern w:val="0"/>
                      <w:sz w:val="21"/>
                      <w:szCs w:val="21"/>
                      <w:vertAlign w:val="baseline"/>
                      <w:lang w:val="en-US" w:eastAsia="zh-CN"/>
                    </w:rPr>
                    <w:t>，沿线不涉及</w:t>
                  </w:r>
                  <w:r>
                    <w:rPr>
                      <w:rFonts w:hint="default" w:ascii="Times New Roman" w:hAnsi="Times New Roman" w:eastAsia="宋体" w:cs="Times New Roman"/>
                      <w:b w:val="0"/>
                      <w:bCs w:val="0"/>
                      <w:color w:val="auto"/>
                      <w:sz w:val="21"/>
                      <w:szCs w:val="21"/>
                      <w:lang w:val="en-US" w:eastAsia="zh-CN"/>
                    </w:rPr>
                    <w:t>生物多样性维护功能重要区、水土保持功能重要区</w:t>
                  </w:r>
                  <w:r>
                    <w:rPr>
                      <w:rFonts w:hint="default" w:ascii="Times New Roman" w:hAnsi="Times New Roman" w:cs="Times New Roman"/>
                      <w:b w:val="0"/>
                      <w:bCs w:val="0"/>
                      <w:color w:val="auto"/>
                      <w:sz w:val="21"/>
                      <w:szCs w:val="21"/>
                      <w:lang w:val="en-US" w:eastAsia="zh-CN"/>
                    </w:rPr>
                    <w:t>、</w:t>
                  </w:r>
                  <w:r>
                    <w:rPr>
                      <w:rFonts w:hint="default" w:ascii="Times New Roman" w:hAnsi="Times New Roman" w:eastAsia="宋体" w:cs="Times New Roman"/>
                      <w:b w:val="0"/>
                      <w:bCs w:val="0"/>
                      <w:color w:val="auto"/>
                      <w:sz w:val="21"/>
                      <w:szCs w:val="21"/>
                      <w:lang w:val="en-US" w:eastAsia="zh-CN"/>
                    </w:rPr>
                    <w:t>水土流失敏感区</w:t>
                  </w:r>
                  <w:r>
                    <w:rPr>
                      <w:rFonts w:hint="default" w:ascii="Times New Roman" w:hAnsi="Times New Roman" w:cs="Times New Roman"/>
                      <w:b w:val="0"/>
                      <w:bCs w:val="0"/>
                      <w:color w:val="auto"/>
                      <w:sz w:val="21"/>
                      <w:szCs w:val="21"/>
                      <w:lang w:val="en-US" w:eastAsia="zh-CN"/>
                    </w:rPr>
                    <w:t>、湿地公园及饮用水水源地保护区等生态敏感区</w:t>
                  </w:r>
                  <w:r>
                    <w:rPr>
                      <w:rFonts w:hint="default" w:ascii="Times New Roman" w:hAnsi="Times New Roman" w:eastAsia="宋体" w:cs="Times New Roman"/>
                      <w:b w:val="0"/>
                      <w:bCs w:val="0"/>
                      <w:color w:val="auto"/>
                      <w:kern w:val="0"/>
                      <w:sz w:val="21"/>
                      <w:szCs w:val="21"/>
                      <w:vertAlign w:val="baseline"/>
                      <w:lang w:val="en-US" w:eastAsia="zh-CN"/>
                    </w:rPr>
                    <w:t>。</w:t>
                  </w:r>
                </w:p>
              </w:tc>
            </w:tr>
            <w:tr w14:paraId="46108E5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256D630F">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环境管控单元名称</w:t>
                  </w:r>
                </w:p>
              </w:tc>
              <w:tc>
                <w:tcPr>
                  <w:tcW w:w="5332" w:type="dxa"/>
                  <w:gridSpan w:val="2"/>
                  <w:tcBorders>
                    <w:tl2br w:val="nil"/>
                    <w:tr2bl w:val="nil"/>
                  </w:tcBorders>
                  <w:vAlign w:val="center"/>
                </w:tcPr>
                <w:p w14:paraId="2D13AE0E">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2"/>
                      <w:sz w:val="21"/>
                      <w:szCs w:val="21"/>
                    </w:rPr>
                    <w:t>密山市城镇空间</w:t>
                  </w:r>
                </w:p>
              </w:tc>
            </w:tr>
            <w:tr w14:paraId="6E01C21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0EAE82E8">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环境管控单元编码</w:t>
                  </w:r>
                </w:p>
              </w:tc>
              <w:tc>
                <w:tcPr>
                  <w:tcW w:w="5332" w:type="dxa"/>
                  <w:gridSpan w:val="2"/>
                  <w:tcBorders>
                    <w:tl2br w:val="nil"/>
                    <w:tr2bl w:val="nil"/>
                  </w:tcBorders>
                  <w:vAlign w:val="center"/>
                </w:tcPr>
                <w:p w14:paraId="07F38649">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ZH23038220002</w:t>
                  </w:r>
                </w:p>
              </w:tc>
            </w:tr>
            <w:tr w14:paraId="584FF5C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105741DC">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管控单元</w:t>
                  </w:r>
                </w:p>
                <w:p w14:paraId="36799F06">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类别</w:t>
                  </w:r>
                </w:p>
              </w:tc>
              <w:tc>
                <w:tcPr>
                  <w:tcW w:w="5332" w:type="dxa"/>
                  <w:gridSpan w:val="2"/>
                  <w:tcBorders>
                    <w:tl2br w:val="nil"/>
                    <w:tr2bl w:val="nil"/>
                  </w:tcBorders>
                  <w:vAlign w:val="center"/>
                </w:tcPr>
                <w:p w14:paraId="6EFA7FD2">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2"/>
                      <w:sz w:val="21"/>
                      <w:szCs w:val="21"/>
                    </w:rPr>
                    <w:t>重点管控单元</w:t>
                  </w:r>
                </w:p>
              </w:tc>
            </w:tr>
            <w:tr w14:paraId="46CB5EB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4885" w:type="dxa"/>
                  <w:gridSpan w:val="2"/>
                  <w:tcBorders>
                    <w:tl2br w:val="nil"/>
                    <w:tr2bl w:val="nil"/>
                  </w:tcBorders>
                  <w:shd w:val="clear" w:color="auto" w:fill="auto"/>
                  <w:vAlign w:val="center"/>
                </w:tcPr>
                <w:p w14:paraId="46D233FE">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管控要求</w:t>
                  </w:r>
                </w:p>
              </w:tc>
              <w:tc>
                <w:tcPr>
                  <w:tcW w:w="1515" w:type="dxa"/>
                  <w:tcBorders>
                    <w:tl2br w:val="nil"/>
                    <w:tr2bl w:val="nil"/>
                  </w:tcBorders>
                  <w:vAlign w:val="center"/>
                </w:tcPr>
                <w:p w14:paraId="3D2B5C3D">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2"/>
                      <w:sz w:val="21"/>
                      <w:szCs w:val="21"/>
                      <w:lang w:val="en-US" w:eastAsia="zh-CN"/>
                    </w:rPr>
                  </w:pPr>
                  <w:r>
                    <w:rPr>
                      <w:rFonts w:hint="default" w:ascii="Times New Roman" w:hAnsi="Times New Roman" w:eastAsia="宋体" w:cs="Times New Roman"/>
                      <w:color w:val="auto"/>
                      <w:spacing w:val="-2"/>
                      <w:sz w:val="21"/>
                      <w:szCs w:val="21"/>
                      <w:lang w:val="en-US" w:eastAsia="zh-CN"/>
                    </w:rPr>
                    <w:t>符合性分析</w:t>
                  </w:r>
                </w:p>
              </w:tc>
            </w:tr>
            <w:tr w14:paraId="578F554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vAlign w:val="center"/>
                </w:tcPr>
                <w:p w14:paraId="69F7D9E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b/>
                      <w:bCs/>
                      <w:color w:val="auto"/>
                      <w:spacing w:val="-4"/>
                      <w:sz w:val="21"/>
                      <w:szCs w:val="21"/>
                    </w:rPr>
                    <w:t>空间布局约束</w:t>
                  </w:r>
                </w:p>
              </w:tc>
              <w:tc>
                <w:tcPr>
                  <w:tcW w:w="3817" w:type="dxa"/>
                  <w:tcBorders>
                    <w:tl2br w:val="nil"/>
                    <w:tr2bl w:val="nil"/>
                  </w:tcBorders>
                  <w:vAlign w:val="center"/>
                </w:tcPr>
                <w:p w14:paraId="53AB523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1.执行本清单（1）严禁在人口密集区新建危险化学品生产项目，城镇人口密集区危险化学</w:t>
                  </w:r>
                  <w:r>
                    <w:rPr>
                      <w:rFonts w:hint="default" w:ascii="Times New Roman" w:hAnsi="Times New Roman" w:eastAsia="宋体" w:cs="Times New Roman"/>
                      <w:color w:val="auto"/>
                      <w:sz w:val="21"/>
                      <w:szCs w:val="21"/>
                    </w:rPr>
                    <w:t>品生产企业应搬迁改造。（2）禁止在城镇居民区、文化教育科学研究</w:t>
                  </w:r>
                  <w:r>
                    <w:rPr>
                      <w:rFonts w:hint="default" w:ascii="Times New Roman" w:hAnsi="Times New Roman" w:eastAsia="宋体" w:cs="Times New Roman"/>
                      <w:color w:val="auto"/>
                      <w:spacing w:val="-1"/>
                      <w:sz w:val="21"/>
                      <w:szCs w:val="21"/>
                    </w:rPr>
                    <w:t>区等人口集中区域建</w:t>
                  </w:r>
                  <w:r>
                    <w:rPr>
                      <w:rFonts w:hint="default" w:ascii="Times New Roman" w:hAnsi="Times New Roman" w:eastAsia="宋体" w:cs="Times New Roman"/>
                      <w:color w:val="auto"/>
                      <w:sz w:val="21"/>
                      <w:szCs w:val="21"/>
                    </w:rPr>
                    <w:t>设畜禽养殖场、养殖小区。2.水环境农业污染重点管控区同时执行</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pacing w:val="-1"/>
                      <w:sz w:val="21"/>
                      <w:szCs w:val="21"/>
                    </w:rPr>
                    <w:t>1）科学划定畜禽养</w:t>
                  </w:r>
                  <w:r>
                    <w:rPr>
                      <w:rFonts w:hint="default" w:ascii="Times New Roman" w:hAnsi="Times New Roman" w:eastAsia="宋体" w:cs="Times New Roman"/>
                      <w:color w:val="auto"/>
                      <w:sz w:val="21"/>
                      <w:szCs w:val="21"/>
                    </w:rPr>
                    <w:t>殖禁养区。（2）加快农业结构调整。松嫩平原和三江平原等地下水易</w:t>
                  </w:r>
                  <w:r>
                    <w:rPr>
                      <w:rFonts w:hint="default" w:ascii="Times New Roman" w:hAnsi="Times New Roman" w:eastAsia="宋体" w:cs="Times New Roman"/>
                      <w:color w:val="auto"/>
                      <w:spacing w:val="-1"/>
                      <w:sz w:val="21"/>
                      <w:szCs w:val="21"/>
                    </w:rPr>
                    <w:t>受污染地区优先种植</w:t>
                  </w:r>
                  <w:r>
                    <w:rPr>
                      <w:rFonts w:hint="default" w:ascii="Times New Roman" w:hAnsi="Times New Roman" w:eastAsia="宋体" w:cs="Times New Roman"/>
                      <w:color w:val="auto"/>
                      <w:sz w:val="21"/>
                      <w:szCs w:val="21"/>
                    </w:rPr>
                    <w:t>需肥需药量低、环境效益突出的农作物；在西部干旱区发展谷子、高粱</w:t>
                  </w:r>
                  <w:r>
                    <w:rPr>
                      <w:rFonts w:hint="default" w:ascii="Times New Roman" w:hAnsi="Times New Roman" w:eastAsia="宋体" w:cs="Times New Roman"/>
                      <w:color w:val="auto"/>
                      <w:spacing w:val="-1"/>
                      <w:sz w:val="21"/>
                      <w:szCs w:val="21"/>
                    </w:rPr>
                    <w:t>等耐旱杂粮种植；在</w:t>
                  </w:r>
                  <w:r>
                    <w:rPr>
                      <w:rFonts w:hint="default" w:ascii="Times New Roman" w:hAnsi="Times New Roman" w:eastAsia="宋体" w:cs="Times New Roman"/>
                      <w:color w:val="auto"/>
                      <w:sz w:val="21"/>
                      <w:szCs w:val="21"/>
                    </w:rPr>
                    <w:t>北部四、五积温区开展米豆麦轮作，促进化肥需</w:t>
                  </w:r>
                  <w:r>
                    <w:rPr>
                      <w:rFonts w:hint="default" w:ascii="Times New Roman" w:hAnsi="Times New Roman" w:eastAsia="宋体" w:cs="Times New Roman"/>
                      <w:color w:val="auto"/>
                      <w:spacing w:val="-1"/>
                      <w:sz w:val="21"/>
                      <w:szCs w:val="21"/>
                    </w:rPr>
                    <w:t>求低的农作物面积恢复性增长。（3）水环</w:t>
                  </w:r>
                  <w:r>
                    <w:rPr>
                      <w:rFonts w:hint="default" w:ascii="Times New Roman" w:hAnsi="Times New Roman" w:eastAsia="宋体" w:cs="Times New Roman"/>
                      <w:color w:val="auto"/>
                      <w:sz w:val="21"/>
                      <w:szCs w:val="21"/>
                    </w:rPr>
                    <w:t>境城镇生活污染重点管控区同时执行除干旱地区外，新建城区应全面实</w:t>
                  </w:r>
                  <w:r>
                    <w:rPr>
                      <w:rFonts w:hint="default" w:ascii="Times New Roman" w:hAnsi="Times New Roman" w:eastAsia="宋体" w:cs="Times New Roman"/>
                      <w:color w:val="auto"/>
                      <w:spacing w:val="-1"/>
                      <w:sz w:val="21"/>
                      <w:szCs w:val="21"/>
                    </w:rPr>
                    <w:t>行雨污分流，鼓励对</w:t>
                  </w:r>
                  <w:r>
                    <w:rPr>
                      <w:rFonts w:hint="default" w:ascii="Times New Roman" w:hAnsi="Times New Roman" w:eastAsia="宋体" w:cs="Times New Roman"/>
                      <w:color w:val="auto"/>
                      <w:spacing w:val="-2"/>
                      <w:sz w:val="21"/>
                      <w:szCs w:val="21"/>
                    </w:rPr>
                    <w:t>初期雨水进行收集、处理和资源化利用。</w:t>
                  </w:r>
                </w:p>
              </w:tc>
              <w:tc>
                <w:tcPr>
                  <w:tcW w:w="1515" w:type="dxa"/>
                  <w:tcBorders>
                    <w:tl2br w:val="nil"/>
                    <w:tr2bl w:val="nil"/>
                  </w:tcBorders>
                  <w:vAlign w:val="center"/>
                </w:tcPr>
                <w:p w14:paraId="1B1A587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1"/>
                      <w:sz w:val="21"/>
                      <w:szCs w:val="21"/>
                      <w:lang w:val="en-US"/>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国道集贤至当壁公路宝清界至兴凯镇段路面改造工程</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cs="Times New Roman"/>
                      <w:b w:val="0"/>
                      <w:bCs/>
                      <w:color w:val="auto"/>
                      <w:kern w:val="21"/>
                      <w:sz w:val="21"/>
                      <w:szCs w:val="21"/>
                      <w:highlight w:val="none"/>
                      <w:lang w:val="en-US" w:eastAsia="zh-CN"/>
                    </w:rPr>
                    <w:t>不涉及</w:t>
                  </w:r>
                  <w:r>
                    <w:rPr>
                      <w:rFonts w:hint="default" w:ascii="Times New Roman" w:hAnsi="Times New Roman" w:cs="Times New Roman"/>
                      <w:b w:val="0"/>
                      <w:bCs/>
                      <w:color w:val="auto"/>
                      <w:kern w:val="21"/>
                      <w:sz w:val="21"/>
                      <w:szCs w:val="21"/>
                      <w:highlight w:val="none"/>
                      <w:lang w:eastAsia="zh-CN"/>
                    </w:rPr>
                    <w:t>新建危险化学品生产项目、</w:t>
                  </w:r>
                  <w:r>
                    <w:rPr>
                      <w:rFonts w:hint="default" w:ascii="Times New Roman" w:hAnsi="Times New Roman" w:eastAsia="宋体" w:cs="Times New Roman"/>
                      <w:color w:val="auto"/>
                      <w:spacing w:val="-1"/>
                      <w:sz w:val="21"/>
                      <w:szCs w:val="21"/>
                    </w:rPr>
                    <w:t>畜</w:t>
                  </w:r>
                  <w:r>
                    <w:rPr>
                      <w:rFonts w:hint="default" w:ascii="Times New Roman" w:hAnsi="Times New Roman" w:cs="Times New Roman"/>
                      <w:b w:val="0"/>
                      <w:bCs/>
                      <w:color w:val="auto"/>
                      <w:kern w:val="21"/>
                      <w:sz w:val="21"/>
                      <w:szCs w:val="21"/>
                      <w:highlight w:val="none"/>
                      <w:lang w:eastAsia="zh-CN"/>
                    </w:rPr>
                    <w:t>禽养殖场、养殖小区</w:t>
                  </w:r>
                  <w:r>
                    <w:rPr>
                      <w:rFonts w:hint="default" w:ascii="Times New Roman" w:hAnsi="Times New Roman" w:eastAsia="宋体" w:cs="Times New Roman"/>
                      <w:b w:val="0"/>
                      <w:bCs w:val="0"/>
                      <w:color w:val="auto"/>
                      <w:kern w:val="0"/>
                      <w:sz w:val="21"/>
                      <w:szCs w:val="21"/>
                      <w:vertAlign w:val="baseline"/>
                      <w:lang w:val="en-US" w:eastAsia="zh-CN"/>
                    </w:rPr>
                    <w:t>，运行期不产生废水，符合空间布局约束要求。</w:t>
                  </w:r>
                </w:p>
              </w:tc>
            </w:tr>
            <w:tr w14:paraId="25E29BC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vAlign w:val="center"/>
                </w:tcPr>
                <w:p w14:paraId="472AA58A">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b/>
                      <w:bCs/>
                      <w:color w:val="auto"/>
                      <w:spacing w:val="-4"/>
                      <w:sz w:val="21"/>
                      <w:szCs w:val="21"/>
                    </w:rPr>
                    <w:t>污染物排放管控</w:t>
                  </w:r>
                </w:p>
              </w:tc>
              <w:tc>
                <w:tcPr>
                  <w:tcW w:w="3817" w:type="dxa"/>
                  <w:tcBorders>
                    <w:tl2br w:val="nil"/>
                    <w:tr2bl w:val="nil"/>
                  </w:tcBorders>
                  <w:vAlign w:val="center"/>
                </w:tcPr>
                <w:p w14:paraId="35B0FACE">
                  <w:pPr>
                    <w:keepNext w:val="0"/>
                    <w:keepLines w:val="0"/>
                    <w:pageBreakBefore w:val="0"/>
                    <w:widowControl w:val="0"/>
                    <w:kinsoku/>
                    <w:wordWrap/>
                    <w:overflowPunct/>
                    <w:topLinePunct w:val="0"/>
                    <w:autoSpaceDE/>
                    <w:autoSpaceDN/>
                    <w:bidi w:val="0"/>
                    <w:adjustRightInd/>
                    <w:snapToGrid/>
                    <w:spacing w:before="3" w:line="240" w:lineRule="auto"/>
                    <w:ind w:left="8" w:right="18" w:firstLine="13"/>
                    <w:jc w:val="left"/>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z w:val="21"/>
                      <w:szCs w:val="21"/>
                    </w:rPr>
                    <w:t>1.执行本清单：加快65t</w:t>
                  </w: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h</w:t>
                  </w:r>
                  <w:r>
                    <w:rPr>
                      <w:rFonts w:hint="default" w:ascii="Times New Roman" w:hAnsi="Times New Roman" w:eastAsia="宋体" w:cs="Times New Roman"/>
                      <w:color w:val="auto"/>
                      <w:spacing w:val="-31"/>
                      <w:sz w:val="21"/>
                      <w:szCs w:val="21"/>
                    </w:rPr>
                    <w:t xml:space="preserve"> </w:t>
                  </w:r>
                  <w:r>
                    <w:rPr>
                      <w:rFonts w:hint="default" w:ascii="Times New Roman" w:hAnsi="Times New Roman" w:eastAsia="宋体" w:cs="Times New Roman"/>
                      <w:color w:val="auto"/>
                      <w:sz w:val="21"/>
                      <w:szCs w:val="21"/>
                    </w:rPr>
                    <w:t>以上燃煤锅炉（含电力）超低排</w:t>
                  </w:r>
                  <w:r>
                    <w:rPr>
                      <w:rFonts w:hint="default" w:ascii="Times New Roman" w:hAnsi="Times New Roman" w:eastAsia="宋体" w:cs="Times New Roman"/>
                      <w:color w:val="auto"/>
                      <w:spacing w:val="-1"/>
                      <w:sz w:val="21"/>
                      <w:szCs w:val="21"/>
                    </w:rPr>
                    <w:t>放改造。2.水环境农业污染重</w:t>
                  </w:r>
                  <w:r>
                    <w:rPr>
                      <w:rFonts w:hint="default" w:ascii="Times New Roman" w:hAnsi="Times New Roman" w:eastAsia="宋体" w:cs="Times New Roman"/>
                      <w:color w:val="auto"/>
                      <w:sz w:val="21"/>
                      <w:szCs w:val="21"/>
                    </w:rPr>
                    <w:t>点管控区同时执行 （1）支持规模化畜禽养殖场（小区）开展标准</w:t>
                  </w:r>
                  <w:r>
                    <w:rPr>
                      <w:rFonts w:hint="default" w:ascii="Times New Roman" w:hAnsi="Times New Roman" w:eastAsia="宋体" w:cs="Times New Roman"/>
                      <w:color w:val="auto"/>
                      <w:spacing w:val="-1"/>
                      <w:sz w:val="21"/>
                      <w:szCs w:val="21"/>
                    </w:rPr>
                    <w:t>化改造和建设，提高畜禽</w:t>
                  </w:r>
                  <w:r>
                    <w:rPr>
                      <w:rFonts w:hint="default" w:ascii="Times New Roman" w:hAnsi="Times New Roman" w:eastAsia="宋体" w:cs="Times New Roman"/>
                      <w:color w:val="auto"/>
                      <w:sz w:val="21"/>
                      <w:szCs w:val="21"/>
                    </w:rPr>
                    <w:t>粪污收集和处理机械化水平，实施雨污分流、粪污资源化利用，</w:t>
                  </w:r>
                  <w:r>
                    <w:rPr>
                      <w:rFonts w:hint="default" w:ascii="Times New Roman" w:hAnsi="Times New Roman" w:eastAsia="宋体" w:cs="Times New Roman"/>
                      <w:color w:val="auto"/>
                      <w:spacing w:val="-1"/>
                      <w:sz w:val="21"/>
                      <w:szCs w:val="21"/>
                    </w:rPr>
                    <w:t>控制畜禽养殖污染排放</w:t>
                  </w:r>
                  <w:r>
                    <w:rPr>
                      <w:rFonts w:hint="default" w:ascii="Times New Roman" w:hAnsi="Times New Roman" w:eastAsia="宋体" w:cs="Times New Roman"/>
                      <w:color w:val="auto"/>
                      <w:spacing w:val="-1"/>
                      <w:sz w:val="21"/>
                      <w:szCs w:val="21"/>
                      <w:lang w:eastAsia="zh-CN"/>
                    </w:rPr>
                    <w:t>。</w:t>
                  </w:r>
                  <w:r>
                    <w:rPr>
                      <w:rFonts w:hint="default" w:ascii="Times New Roman" w:hAnsi="Times New Roman" w:eastAsia="宋体" w:cs="Times New Roman"/>
                      <w:color w:val="auto"/>
                      <w:sz w:val="21"/>
                      <w:szCs w:val="21"/>
                    </w:rPr>
                    <w:t>（2）畜禽养殖户应当及时对畜禽粪便、污水进行收集</w:t>
                  </w:r>
                  <w:r>
                    <w:rPr>
                      <w:rFonts w:hint="default" w:ascii="Times New Roman" w:hAnsi="Times New Roman" w:eastAsia="宋体" w:cs="Times New Roman"/>
                      <w:color w:val="auto"/>
                      <w:spacing w:val="-1"/>
                      <w:sz w:val="21"/>
                      <w:szCs w:val="21"/>
                    </w:rPr>
                    <w:t>、贮存、清运，或者进行无害化处</w:t>
                  </w:r>
                  <w:r>
                    <w:rPr>
                      <w:rFonts w:hint="default" w:ascii="Times New Roman" w:hAnsi="Times New Roman" w:eastAsia="宋体" w:cs="Times New Roman"/>
                      <w:color w:val="auto"/>
                      <w:sz w:val="21"/>
                      <w:szCs w:val="21"/>
                    </w:rPr>
                    <w:t>理。县级人民政府应当组织对本行政区域的畜禽散养密集区畜禽</w:t>
                  </w:r>
                  <w:r>
                    <w:rPr>
                      <w:rFonts w:hint="default" w:ascii="Times New Roman" w:hAnsi="Times New Roman" w:eastAsia="宋体" w:cs="Times New Roman"/>
                      <w:color w:val="auto"/>
                      <w:spacing w:val="-1"/>
                      <w:sz w:val="21"/>
                      <w:szCs w:val="21"/>
                    </w:rPr>
                    <w:t>粪便、污水进行集中处理利</w:t>
                  </w:r>
                  <w:r>
                    <w:rPr>
                      <w:rFonts w:hint="default" w:ascii="Times New Roman" w:hAnsi="Times New Roman" w:eastAsia="宋体" w:cs="Times New Roman"/>
                      <w:color w:val="auto"/>
                      <w:sz w:val="21"/>
                      <w:szCs w:val="21"/>
                    </w:rPr>
                    <w:t>用，督促乡镇人民政府建设或者配备污染防治配套设施</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（3）</w:t>
                  </w:r>
                  <w:r>
                    <w:rPr>
                      <w:rFonts w:hint="default" w:ascii="Times New Roman" w:hAnsi="Times New Roman" w:eastAsia="宋体" w:cs="Times New Roman"/>
                      <w:color w:val="auto"/>
                      <w:spacing w:val="-1"/>
                      <w:sz w:val="21"/>
                      <w:szCs w:val="21"/>
                    </w:rPr>
                    <w:t>全面加强农业面源污染防</w:t>
                  </w:r>
                  <w:r>
                    <w:rPr>
                      <w:rFonts w:hint="default" w:ascii="Times New Roman" w:hAnsi="Times New Roman" w:eastAsia="宋体" w:cs="Times New Roman"/>
                      <w:color w:val="auto"/>
                      <w:sz w:val="21"/>
                      <w:szCs w:val="21"/>
                    </w:rPr>
                    <w:t xml:space="preserve">控，科学合理使用农业投入品，提高使用效率，减少农业内源性污染。 </w:t>
                  </w:r>
                  <w:r>
                    <w:rPr>
                      <w:rFonts w:hint="default" w:ascii="Times New Roman" w:hAnsi="Times New Roman" w:eastAsia="宋体" w:cs="Times New Roman"/>
                      <w:color w:val="auto"/>
                      <w:spacing w:val="-1"/>
                      <w:sz w:val="21"/>
                      <w:szCs w:val="21"/>
                    </w:rPr>
                    <w:t>3.水环境城镇生活</w:t>
                  </w:r>
                  <w:r>
                    <w:rPr>
                      <w:rFonts w:hint="default" w:ascii="Times New Roman" w:hAnsi="Times New Roman" w:eastAsia="宋体" w:cs="Times New Roman"/>
                      <w:color w:val="auto"/>
                      <w:sz w:val="21"/>
                      <w:szCs w:val="21"/>
                    </w:rPr>
                    <w:t>污染重点管控区同时执行</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（1）新区污水管网规划建设应当与城市</w:t>
                  </w:r>
                  <w:r>
                    <w:rPr>
                      <w:rFonts w:hint="default" w:ascii="Times New Roman" w:hAnsi="Times New Roman" w:eastAsia="宋体" w:cs="Times New Roman"/>
                      <w:color w:val="auto"/>
                      <w:spacing w:val="-1"/>
                      <w:sz w:val="21"/>
                      <w:szCs w:val="21"/>
                    </w:rPr>
                    <w:t>开发同步推进，除干旱地区外均实行雨污分流。（2）强化城中村、老旧城区和城乡结合部污水截流、收集。（3）</w:t>
                  </w:r>
                  <w:r>
                    <w:rPr>
                      <w:rFonts w:hint="default" w:ascii="Times New Roman" w:hAnsi="Times New Roman" w:eastAsia="宋体" w:cs="Times New Roman"/>
                      <w:color w:val="auto"/>
                      <w:sz w:val="21"/>
                      <w:szCs w:val="21"/>
                    </w:rPr>
                    <w:t>推进合流制排水系统雨污分流改造，难以改造的，应采取截流、调蓄</w:t>
                  </w:r>
                  <w:r>
                    <w:rPr>
                      <w:rFonts w:hint="default" w:ascii="Times New Roman" w:hAnsi="Times New Roman" w:eastAsia="宋体" w:cs="Times New Roman"/>
                      <w:color w:val="auto"/>
                      <w:spacing w:val="-1"/>
                      <w:sz w:val="21"/>
                      <w:szCs w:val="21"/>
                    </w:rPr>
                    <w:t>和治理等措施；推进现有污水处理设施配套管网建设；进一步提高城市、县城生活污水收集处理效能。（4）县级</w:t>
                  </w:r>
                  <w:r>
                    <w:rPr>
                      <w:rFonts w:hint="default" w:ascii="Times New Roman" w:hAnsi="Times New Roman" w:eastAsia="宋体" w:cs="Times New Roman"/>
                      <w:color w:val="auto"/>
                      <w:sz w:val="21"/>
                      <w:szCs w:val="21"/>
                    </w:rPr>
                    <w:t>以上人民政府应当合理确定城镇排水与污水处</w:t>
                  </w:r>
                  <w:r>
                    <w:rPr>
                      <w:rFonts w:hint="default" w:ascii="Times New Roman" w:hAnsi="Times New Roman" w:eastAsia="宋体" w:cs="Times New Roman"/>
                      <w:color w:val="auto"/>
                      <w:spacing w:val="-1"/>
                      <w:sz w:val="21"/>
                      <w:szCs w:val="21"/>
                    </w:rPr>
                    <w:t>理设施建设标准，统筹安排管网、泵站、污水</w:t>
                  </w:r>
                  <w:r>
                    <w:rPr>
                      <w:rFonts w:hint="default" w:ascii="Times New Roman" w:hAnsi="Times New Roman" w:eastAsia="宋体" w:cs="Times New Roman"/>
                      <w:color w:val="auto"/>
                      <w:sz w:val="21"/>
                      <w:szCs w:val="21"/>
                    </w:rPr>
                    <w:t>处理厂以及污泥处理处置、再生水利用、雨水调蓄和排放等排水与</w:t>
                  </w:r>
                  <w:r>
                    <w:rPr>
                      <w:rFonts w:hint="default" w:ascii="Times New Roman" w:hAnsi="Times New Roman" w:eastAsia="宋体" w:cs="Times New Roman"/>
                      <w:color w:val="auto"/>
                      <w:spacing w:val="-1"/>
                      <w:sz w:val="21"/>
                      <w:szCs w:val="21"/>
                    </w:rPr>
                    <w:t>污水处理设施建设和改造，提高城镇污水收集率和处理率。</w:t>
                  </w:r>
                </w:p>
              </w:tc>
              <w:tc>
                <w:tcPr>
                  <w:tcW w:w="1515" w:type="dxa"/>
                  <w:tcBorders>
                    <w:tl2br w:val="nil"/>
                    <w:tr2bl w:val="nil"/>
                  </w:tcBorders>
                  <w:vAlign w:val="center"/>
                </w:tcPr>
                <w:p w14:paraId="4532E844">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lang w:val="en-US" w:eastAsia="zh-CN"/>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国道集贤至当壁公路宝清界至兴凯镇段路面改造工程</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cs="Times New Roman"/>
                      <w:b w:val="0"/>
                      <w:bCs/>
                      <w:color w:val="auto"/>
                      <w:kern w:val="21"/>
                      <w:sz w:val="21"/>
                      <w:szCs w:val="21"/>
                      <w:highlight w:val="none"/>
                      <w:lang w:val="en-US" w:eastAsia="zh-CN"/>
                    </w:rPr>
                    <w:t>不涉及燃煤锅炉</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eastAsia="宋体" w:cs="Times New Roman"/>
                      <w:color w:val="auto"/>
                      <w:spacing w:val="-1"/>
                      <w:sz w:val="21"/>
                      <w:szCs w:val="21"/>
                    </w:rPr>
                    <w:t>畜</w:t>
                  </w:r>
                  <w:r>
                    <w:rPr>
                      <w:rFonts w:hint="default" w:ascii="Times New Roman" w:hAnsi="Times New Roman" w:cs="Times New Roman"/>
                      <w:b w:val="0"/>
                      <w:bCs/>
                      <w:color w:val="auto"/>
                      <w:kern w:val="21"/>
                      <w:sz w:val="21"/>
                      <w:szCs w:val="21"/>
                      <w:highlight w:val="none"/>
                      <w:lang w:eastAsia="zh-CN"/>
                    </w:rPr>
                    <w:t>禽养殖场、养殖小区</w:t>
                  </w:r>
                  <w:r>
                    <w:rPr>
                      <w:rFonts w:hint="default" w:ascii="Times New Roman" w:hAnsi="Times New Roman" w:eastAsia="宋体" w:cs="Times New Roman"/>
                      <w:b w:val="0"/>
                      <w:bCs w:val="0"/>
                      <w:color w:val="auto"/>
                      <w:kern w:val="0"/>
                      <w:sz w:val="21"/>
                      <w:szCs w:val="21"/>
                      <w:vertAlign w:val="baseline"/>
                      <w:lang w:val="en-US" w:eastAsia="zh-CN"/>
                    </w:rPr>
                    <w:t>，运行期不产生废水，符合污染物排放管控要求。</w:t>
                  </w:r>
                </w:p>
              </w:tc>
            </w:tr>
            <w:tr w14:paraId="335016C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vAlign w:val="center"/>
                </w:tcPr>
                <w:p w14:paraId="7B2C418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b/>
                      <w:bCs/>
                      <w:color w:val="auto"/>
                      <w:spacing w:val="-4"/>
                      <w:sz w:val="21"/>
                      <w:szCs w:val="21"/>
                    </w:rPr>
                    <w:t>环境风险防控</w:t>
                  </w:r>
                </w:p>
              </w:tc>
              <w:tc>
                <w:tcPr>
                  <w:tcW w:w="3817" w:type="dxa"/>
                  <w:tcBorders>
                    <w:tl2br w:val="nil"/>
                    <w:tr2bl w:val="nil"/>
                  </w:tcBorders>
                  <w:vAlign w:val="center"/>
                </w:tcPr>
                <w:p w14:paraId="0A858B2E">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化工园区与城市建成区、人员密集场所、重要设施、</w:t>
                  </w:r>
                  <w:r>
                    <w:rPr>
                      <w:rFonts w:hint="default" w:ascii="Times New Roman" w:hAnsi="Times New Roman" w:eastAsia="宋体" w:cs="Times New Roman"/>
                      <w:color w:val="auto"/>
                      <w:spacing w:val="-2"/>
                      <w:sz w:val="21"/>
                      <w:szCs w:val="21"/>
                    </w:rPr>
                    <w:t>敏感目标等应当保持规定的安全距离，</w:t>
                  </w:r>
                  <w:r>
                    <w:rPr>
                      <w:rFonts w:hint="default" w:ascii="Times New Roman" w:hAnsi="Times New Roman" w:eastAsia="宋体" w:cs="Times New Roman"/>
                      <w:color w:val="auto"/>
                      <w:sz w:val="21"/>
                      <w:szCs w:val="21"/>
                    </w:rPr>
                    <w:t>相对封闭，不应保留常住居民，非关联企业和产业要逐步搬迁或退出，</w:t>
                  </w:r>
                  <w:r>
                    <w:rPr>
                      <w:rFonts w:hint="default" w:ascii="Times New Roman" w:hAnsi="Times New Roman" w:eastAsia="宋体" w:cs="Times New Roman"/>
                      <w:color w:val="auto"/>
                      <w:spacing w:val="-1"/>
                      <w:sz w:val="21"/>
                      <w:szCs w:val="21"/>
                    </w:rPr>
                    <w:t>妥善防范化解“邻</w:t>
                  </w:r>
                  <w:r>
                    <w:rPr>
                      <w:rFonts w:hint="default" w:ascii="Times New Roman" w:hAnsi="Times New Roman" w:eastAsia="宋体" w:cs="Times New Roman"/>
                      <w:color w:val="auto"/>
                      <w:spacing w:val="-3"/>
                      <w:sz w:val="21"/>
                      <w:szCs w:val="21"/>
                    </w:rPr>
                    <w:t>避</w:t>
                  </w:r>
                  <w:r>
                    <w:rPr>
                      <w:rFonts w:hint="default" w:ascii="Times New Roman" w:hAnsi="Times New Roman" w:eastAsia="宋体" w:cs="Times New Roman"/>
                      <w:color w:val="auto"/>
                      <w:spacing w:val="-68"/>
                      <w:sz w:val="21"/>
                      <w:szCs w:val="21"/>
                    </w:rPr>
                    <w:t xml:space="preserve"> </w:t>
                  </w:r>
                  <w:r>
                    <w:rPr>
                      <w:rFonts w:hint="default" w:ascii="Times New Roman" w:hAnsi="Times New Roman" w:eastAsia="宋体" w:cs="Times New Roman"/>
                      <w:color w:val="auto"/>
                      <w:spacing w:val="-3"/>
                      <w:sz w:val="21"/>
                      <w:szCs w:val="21"/>
                    </w:rPr>
                    <w:t>”问题。严禁在松花江干流及一级支流沿岸</w:t>
                  </w:r>
                  <w:r>
                    <w:rPr>
                      <w:rFonts w:hint="default" w:ascii="Times New Roman" w:hAnsi="Times New Roman" w:eastAsia="宋体" w:cs="Times New Roman"/>
                      <w:color w:val="auto"/>
                      <w:spacing w:val="-39"/>
                      <w:sz w:val="21"/>
                      <w:szCs w:val="21"/>
                    </w:rPr>
                    <w:t xml:space="preserve"> </w:t>
                  </w:r>
                  <w:r>
                    <w:rPr>
                      <w:rFonts w:hint="default" w:ascii="Times New Roman" w:hAnsi="Times New Roman" w:eastAsia="宋体" w:cs="Times New Roman"/>
                      <w:color w:val="auto"/>
                      <w:spacing w:val="-3"/>
                      <w:sz w:val="21"/>
                      <w:szCs w:val="21"/>
                    </w:rPr>
                    <w:t>1</w:t>
                  </w:r>
                  <w:r>
                    <w:rPr>
                      <w:rFonts w:hint="default" w:ascii="Times New Roman" w:hAnsi="Times New Roman" w:eastAsia="宋体" w:cs="Times New Roman"/>
                      <w:color w:val="auto"/>
                      <w:spacing w:val="-48"/>
                      <w:sz w:val="21"/>
                      <w:szCs w:val="21"/>
                    </w:rPr>
                    <w:t xml:space="preserve"> </w:t>
                  </w:r>
                  <w:r>
                    <w:rPr>
                      <w:rFonts w:hint="default" w:ascii="Times New Roman" w:hAnsi="Times New Roman" w:eastAsia="宋体" w:cs="Times New Roman"/>
                      <w:color w:val="auto"/>
                      <w:spacing w:val="-3"/>
                      <w:sz w:val="21"/>
                      <w:szCs w:val="21"/>
                    </w:rPr>
                    <w:t>公里范围内布局化工园区。</w:t>
                  </w:r>
                </w:p>
              </w:tc>
              <w:tc>
                <w:tcPr>
                  <w:tcW w:w="1515" w:type="dxa"/>
                  <w:tcBorders>
                    <w:tl2br w:val="nil"/>
                    <w:tr2bl w:val="nil"/>
                  </w:tcBorders>
                  <w:vAlign w:val="center"/>
                </w:tcPr>
                <w:p w14:paraId="36B2481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路面改造工程</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cs="Times New Roman"/>
                      <w:b w:val="0"/>
                      <w:bCs/>
                      <w:color w:val="auto"/>
                      <w:kern w:val="21"/>
                      <w:sz w:val="21"/>
                      <w:szCs w:val="21"/>
                      <w:highlight w:val="none"/>
                      <w:lang w:val="en-US" w:eastAsia="zh-CN"/>
                    </w:rPr>
                    <w:t>不涉及化工园区</w:t>
                  </w:r>
                  <w:r>
                    <w:rPr>
                      <w:rFonts w:hint="default" w:ascii="Times New Roman" w:hAnsi="Times New Roman" w:eastAsia="宋体" w:cs="Times New Roman"/>
                      <w:b w:val="0"/>
                      <w:bCs w:val="0"/>
                      <w:color w:val="auto"/>
                      <w:kern w:val="0"/>
                      <w:sz w:val="21"/>
                      <w:szCs w:val="21"/>
                      <w:vertAlign w:val="baseline"/>
                      <w:lang w:val="en-US" w:eastAsia="zh-CN"/>
                    </w:rPr>
                    <w:t>，符合环境风险防控要求。</w:t>
                  </w:r>
                </w:p>
              </w:tc>
            </w:tr>
            <w:tr w14:paraId="6BC20A3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vAlign w:val="center"/>
                </w:tcPr>
                <w:p w14:paraId="2E74A034">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b/>
                      <w:bCs/>
                      <w:color w:val="auto"/>
                      <w:spacing w:val="-5"/>
                      <w:sz w:val="21"/>
                      <w:szCs w:val="21"/>
                    </w:rPr>
                    <w:t>资源开发效率要求</w:t>
                  </w:r>
                </w:p>
              </w:tc>
              <w:tc>
                <w:tcPr>
                  <w:tcW w:w="3817" w:type="dxa"/>
                  <w:tcBorders>
                    <w:tl2br w:val="nil"/>
                    <w:tr2bl w:val="nil"/>
                  </w:tcBorders>
                  <w:vAlign w:val="center"/>
                </w:tcPr>
                <w:p w14:paraId="391C10C6">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1.推进污水再生利用设施建设。 2.公共建筑必须采用节水器具，限期淘汰公共建筑中不符</w:t>
                  </w:r>
                  <w:r>
                    <w:rPr>
                      <w:rFonts w:hint="default" w:ascii="Times New Roman" w:hAnsi="Times New Roman" w:eastAsia="宋体" w:cs="Times New Roman"/>
                      <w:color w:val="auto"/>
                      <w:spacing w:val="-2"/>
                      <w:sz w:val="21"/>
                      <w:szCs w:val="21"/>
                    </w:rPr>
                    <w:t>合节水标准的水嘴、便器水箱等生活用水器具。</w:t>
                  </w:r>
                </w:p>
              </w:tc>
              <w:tc>
                <w:tcPr>
                  <w:tcW w:w="1515" w:type="dxa"/>
                  <w:tcBorders>
                    <w:tl2br w:val="nil"/>
                    <w:tr2bl w:val="nil"/>
                  </w:tcBorders>
                  <w:vAlign w:val="center"/>
                </w:tcPr>
                <w:p w14:paraId="60FE92D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lang w:val="en-US"/>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路面改造工程，</w:t>
                  </w:r>
                  <w:r>
                    <w:rPr>
                      <w:rFonts w:hint="default" w:ascii="Times New Roman" w:hAnsi="Times New Roman" w:eastAsia="宋体" w:cs="Times New Roman"/>
                      <w:b w:val="0"/>
                      <w:bCs/>
                      <w:color w:val="auto"/>
                      <w:kern w:val="21"/>
                      <w:sz w:val="21"/>
                      <w:szCs w:val="21"/>
                      <w:highlight w:val="none"/>
                      <w:lang w:val="en-US" w:eastAsia="zh-CN"/>
                    </w:rPr>
                    <w:t>运营期不产生废水，符合要求。</w:t>
                  </w:r>
                </w:p>
              </w:tc>
            </w:tr>
            <w:tr w14:paraId="58560B9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042146E0">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环境管控单元名称</w:t>
                  </w:r>
                </w:p>
              </w:tc>
              <w:tc>
                <w:tcPr>
                  <w:tcW w:w="5332" w:type="dxa"/>
                  <w:gridSpan w:val="2"/>
                  <w:tcBorders>
                    <w:tl2br w:val="nil"/>
                    <w:tr2bl w:val="nil"/>
                  </w:tcBorders>
                  <w:vAlign w:val="center"/>
                </w:tcPr>
                <w:p w14:paraId="2CD68F2D">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密山市水环境农业污染</w:t>
                  </w:r>
                  <w:r>
                    <w:rPr>
                      <w:rFonts w:hint="default" w:ascii="Times New Roman" w:hAnsi="Times New Roman" w:eastAsia="宋体" w:cs="Times New Roman"/>
                      <w:color w:val="auto"/>
                      <w:spacing w:val="-2"/>
                      <w:sz w:val="21"/>
                      <w:szCs w:val="21"/>
                    </w:rPr>
                    <w:t>重点管控区</w:t>
                  </w:r>
                </w:p>
              </w:tc>
            </w:tr>
            <w:tr w14:paraId="57C4125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6B9CBD88">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环境管控单元编码</w:t>
                  </w:r>
                </w:p>
              </w:tc>
              <w:tc>
                <w:tcPr>
                  <w:tcW w:w="5332" w:type="dxa"/>
                  <w:gridSpan w:val="2"/>
                  <w:tcBorders>
                    <w:tl2br w:val="nil"/>
                    <w:tr2bl w:val="nil"/>
                  </w:tcBorders>
                  <w:vAlign w:val="center"/>
                </w:tcPr>
                <w:p w14:paraId="5F2FAE83">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ZH23038220004</w:t>
                  </w:r>
                </w:p>
              </w:tc>
            </w:tr>
            <w:tr w14:paraId="2D04263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490C080A">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管控单元</w:t>
                  </w:r>
                </w:p>
                <w:p w14:paraId="76B99884">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类别</w:t>
                  </w:r>
                </w:p>
              </w:tc>
              <w:tc>
                <w:tcPr>
                  <w:tcW w:w="5332" w:type="dxa"/>
                  <w:gridSpan w:val="2"/>
                  <w:tcBorders>
                    <w:tl2br w:val="nil"/>
                    <w:tr2bl w:val="nil"/>
                  </w:tcBorders>
                  <w:vAlign w:val="center"/>
                </w:tcPr>
                <w:p w14:paraId="6B079814">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2"/>
                      <w:sz w:val="21"/>
                      <w:szCs w:val="21"/>
                    </w:rPr>
                    <w:t>重点管控单元</w:t>
                  </w:r>
                </w:p>
              </w:tc>
            </w:tr>
            <w:tr w14:paraId="066F40B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4885" w:type="dxa"/>
                  <w:gridSpan w:val="2"/>
                  <w:tcBorders>
                    <w:tl2br w:val="nil"/>
                    <w:tr2bl w:val="nil"/>
                  </w:tcBorders>
                  <w:shd w:val="clear" w:color="auto" w:fill="auto"/>
                  <w:vAlign w:val="center"/>
                </w:tcPr>
                <w:p w14:paraId="1EB3BC7E">
                  <w:pPr>
                    <w:pStyle w:val="93"/>
                    <w:keepNext w:val="0"/>
                    <w:keepLines w:val="0"/>
                    <w:pageBreakBefore w:val="0"/>
                    <w:kinsoku/>
                    <w:wordWrap/>
                    <w:overflowPunct/>
                    <w:topLinePunct w:val="0"/>
                    <w:autoSpaceDE/>
                    <w:autoSpaceDN/>
                    <w:bidi w:val="0"/>
                    <w:adjustRightInd/>
                    <w:snapToGrid/>
                    <w:spacing w:before="0" w:after="0" w:line="240" w:lineRule="auto"/>
                    <w:ind w:right="0" w:righ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管控要求</w:t>
                  </w:r>
                </w:p>
              </w:tc>
              <w:tc>
                <w:tcPr>
                  <w:tcW w:w="1515" w:type="dxa"/>
                  <w:tcBorders>
                    <w:tl2br w:val="nil"/>
                    <w:tr2bl w:val="nil"/>
                  </w:tcBorders>
                  <w:shd w:val="clear" w:color="auto" w:fill="auto"/>
                  <w:vAlign w:val="center"/>
                </w:tcPr>
                <w:p w14:paraId="6240B1F4">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2"/>
                      <w:kern w:val="2"/>
                      <w:sz w:val="21"/>
                      <w:szCs w:val="21"/>
                      <w:lang w:val="en-US" w:eastAsia="zh-CN" w:bidi="ar-SA"/>
                    </w:rPr>
                  </w:pPr>
                  <w:r>
                    <w:rPr>
                      <w:rFonts w:hint="default" w:ascii="Times New Roman" w:hAnsi="Times New Roman" w:eastAsia="宋体" w:cs="Times New Roman"/>
                      <w:color w:val="auto"/>
                      <w:spacing w:val="-2"/>
                      <w:sz w:val="21"/>
                      <w:szCs w:val="21"/>
                      <w:lang w:val="en-US" w:eastAsia="zh-CN"/>
                    </w:rPr>
                    <w:t>符合性分析</w:t>
                  </w:r>
                </w:p>
              </w:tc>
            </w:tr>
            <w:tr w14:paraId="77E9E32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3B2D4365">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lang w:val="en-US" w:eastAsia="zh-CN" w:bidi="ar-SA"/>
                    </w:rPr>
                  </w:pPr>
                  <w:r>
                    <w:rPr>
                      <w:rFonts w:hint="default" w:ascii="Times New Roman" w:hAnsi="Times New Roman" w:eastAsia="宋体" w:cs="Times New Roman"/>
                      <w:b/>
                      <w:bCs/>
                      <w:color w:val="auto"/>
                      <w:spacing w:val="-4"/>
                      <w:sz w:val="21"/>
                      <w:szCs w:val="21"/>
                    </w:rPr>
                    <w:t>空间布局约束</w:t>
                  </w:r>
                </w:p>
              </w:tc>
              <w:tc>
                <w:tcPr>
                  <w:tcW w:w="3817" w:type="dxa"/>
                  <w:tcBorders>
                    <w:tl2br w:val="nil"/>
                    <w:tr2bl w:val="nil"/>
                  </w:tcBorders>
                  <w:vAlign w:val="center"/>
                </w:tcPr>
                <w:p w14:paraId="0135BA07">
                  <w:pPr>
                    <w:spacing w:before="4" w:line="240" w:lineRule="auto"/>
                    <w:ind w:left="7" w:right="18" w:firstLine="14"/>
                    <w:jc w:val="both"/>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1.科学划定畜禽养殖禁养区。2.加快农业结构调整。松嫩平原和三江平原等地下水易受污</w:t>
                  </w:r>
                  <w:r>
                    <w:rPr>
                      <w:rFonts w:hint="default" w:ascii="Times New Roman" w:hAnsi="Times New Roman" w:eastAsia="宋体" w:cs="Times New Roman"/>
                      <w:color w:val="auto"/>
                      <w:sz w:val="21"/>
                      <w:szCs w:val="21"/>
                    </w:rPr>
                    <w:t>染地区优先种植需肥需药量低、环境效益突出的农作物；在西部干</w:t>
                  </w:r>
                  <w:r>
                    <w:rPr>
                      <w:rFonts w:hint="default" w:ascii="Times New Roman" w:hAnsi="Times New Roman" w:eastAsia="宋体" w:cs="Times New Roman"/>
                      <w:color w:val="auto"/>
                      <w:spacing w:val="-1"/>
                      <w:sz w:val="21"/>
                      <w:szCs w:val="21"/>
                    </w:rPr>
                    <w:t>旱区发展谷子、高粱等耐</w:t>
                  </w:r>
                  <w:r>
                    <w:rPr>
                      <w:rFonts w:hint="default" w:ascii="Times New Roman" w:hAnsi="Times New Roman" w:eastAsia="宋体" w:cs="Times New Roman"/>
                      <w:color w:val="auto"/>
                      <w:sz w:val="21"/>
                      <w:szCs w:val="21"/>
                    </w:rPr>
                    <w:t>旱杂粮种植；在北部四、五积温区开展米豆麦轮作，促进化肥需求</w:t>
                  </w:r>
                  <w:r>
                    <w:rPr>
                      <w:rFonts w:hint="default" w:ascii="Times New Roman" w:hAnsi="Times New Roman" w:eastAsia="宋体" w:cs="Times New Roman"/>
                      <w:color w:val="auto"/>
                      <w:spacing w:val="-1"/>
                      <w:sz w:val="21"/>
                      <w:szCs w:val="21"/>
                    </w:rPr>
                    <w:t>低的农作物面积恢复性增</w:t>
                  </w:r>
                  <w:r>
                    <w:rPr>
                      <w:rFonts w:hint="default" w:ascii="Times New Roman" w:hAnsi="Times New Roman" w:eastAsia="宋体" w:cs="Times New Roman"/>
                      <w:color w:val="auto"/>
                      <w:spacing w:val="-5"/>
                      <w:sz w:val="21"/>
                      <w:szCs w:val="21"/>
                    </w:rPr>
                    <w:t>长。</w:t>
                  </w:r>
                </w:p>
              </w:tc>
              <w:tc>
                <w:tcPr>
                  <w:tcW w:w="1515" w:type="dxa"/>
                  <w:tcBorders>
                    <w:tl2br w:val="nil"/>
                    <w:tr2bl w:val="nil"/>
                  </w:tcBorders>
                  <w:vAlign w:val="center"/>
                </w:tcPr>
                <w:p w14:paraId="69EFE503">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路面改造工程</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cs="Times New Roman"/>
                      <w:b w:val="0"/>
                      <w:bCs/>
                      <w:color w:val="auto"/>
                      <w:kern w:val="21"/>
                      <w:sz w:val="21"/>
                      <w:szCs w:val="21"/>
                      <w:highlight w:val="none"/>
                      <w:lang w:val="en-US" w:eastAsia="zh-CN"/>
                    </w:rPr>
                    <w:t>不涉及</w:t>
                  </w:r>
                  <w:r>
                    <w:rPr>
                      <w:rFonts w:hint="default" w:ascii="Times New Roman" w:hAnsi="Times New Roman" w:eastAsia="宋体" w:cs="Times New Roman"/>
                      <w:color w:val="auto"/>
                      <w:spacing w:val="-1"/>
                      <w:sz w:val="21"/>
                      <w:szCs w:val="21"/>
                    </w:rPr>
                    <w:t>畜</w:t>
                  </w:r>
                  <w:r>
                    <w:rPr>
                      <w:rFonts w:hint="default" w:ascii="Times New Roman" w:hAnsi="Times New Roman" w:cs="Times New Roman"/>
                      <w:b w:val="0"/>
                      <w:bCs/>
                      <w:color w:val="auto"/>
                      <w:kern w:val="21"/>
                      <w:sz w:val="21"/>
                      <w:szCs w:val="21"/>
                      <w:highlight w:val="none"/>
                      <w:lang w:eastAsia="zh-CN"/>
                    </w:rPr>
                    <w:t>禽养殖场、养殖小区</w:t>
                  </w:r>
                  <w:r>
                    <w:rPr>
                      <w:rFonts w:hint="default" w:ascii="Times New Roman" w:hAnsi="Times New Roman" w:eastAsia="宋体" w:cs="Times New Roman"/>
                      <w:b w:val="0"/>
                      <w:bCs w:val="0"/>
                      <w:color w:val="auto"/>
                      <w:kern w:val="0"/>
                      <w:sz w:val="21"/>
                      <w:szCs w:val="21"/>
                      <w:vertAlign w:val="baseline"/>
                      <w:lang w:val="en-US" w:eastAsia="zh-CN"/>
                    </w:rPr>
                    <w:t>，符合空间布局约束要求。</w:t>
                  </w:r>
                </w:p>
              </w:tc>
            </w:tr>
            <w:tr w14:paraId="0B3CB29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068" w:type="dxa"/>
                  <w:tcBorders>
                    <w:tl2br w:val="nil"/>
                    <w:tr2bl w:val="nil"/>
                  </w:tcBorders>
                  <w:shd w:val="clear" w:color="auto" w:fill="auto"/>
                  <w:vAlign w:val="center"/>
                </w:tcPr>
                <w:p w14:paraId="7EF3CAD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lang w:val="en-US" w:eastAsia="zh-CN" w:bidi="ar-SA"/>
                    </w:rPr>
                  </w:pPr>
                  <w:r>
                    <w:rPr>
                      <w:rFonts w:hint="default" w:ascii="Times New Roman" w:hAnsi="Times New Roman" w:eastAsia="宋体" w:cs="Times New Roman"/>
                      <w:b/>
                      <w:bCs/>
                      <w:color w:val="auto"/>
                      <w:spacing w:val="-4"/>
                      <w:sz w:val="21"/>
                      <w:szCs w:val="21"/>
                    </w:rPr>
                    <w:t>污染物排放管控</w:t>
                  </w:r>
                </w:p>
              </w:tc>
              <w:tc>
                <w:tcPr>
                  <w:tcW w:w="3817" w:type="dxa"/>
                  <w:tcBorders>
                    <w:tl2br w:val="nil"/>
                    <w:tr2bl w:val="nil"/>
                  </w:tcBorders>
                  <w:vAlign w:val="center"/>
                </w:tcPr>
                <w:p w14:paraId="3D2E72A9">
                  <w:pPr>
                    <w:spacing w:before="5" w:line="240" w:lineRule="auto"/>
                    <w:ind w:left="6" w:right="18" w:firstLine="15"/>
                    <w:jc w:val="both"/>
                    <w:rPr>
                      <w:rFonts w:hint="default" w:ascii="Times New Roman" w:hAnsi="Times New Roman" w:eastAsia="宋体" w:cs="Times New Roman"/>
                      <w:b/>
                      <w:bCs/>
                      <w:color w:val="auto"/>
                      <w:kern w:val="0"/>
                      <w:sz w:val="21"/>
                      <w:szCs w:val="21"/>
                      <w:vertAlign w:val="baseline"/>
                    </w:rPr>
                  </w:pPr>
                  <w:r>
                    <w:rPr>
                      <w:rFonts w:hint="default" w:ascii="Times New Roman" w:hAnsi="Times New Roman" w:eastAsia="宋体" w:cs="Times New Roman"/>
                      <w:color w:val="auto"/>
                      <w:spacing w:val="-1"/>
                      <w:sz w:val="21"/>
                      <w:szCs w:val="21"/>
                    </w:rPr>
                    <w:t>1.支持规模化畜禽养殖场（小区）开展标准化改造和建设，提高畜禽粪污收集和处理机械化</w:t>
                  </w:r>
                  <w:r>
                    <w:rPr>
                      <w:rFonts w:hint="default" w:ascii="Times New Roman" w:hAnsi="Times New Roman" w:eastAsia="宋体" w:cs="Times New Roman"/>
                      <w:color w:val="auto"/>
                      <w:sz w:val="21"/>
                      <w:szCs w:val="21"/>
                    </w:rPr>
                    <w:t>水平，实施雨污分流、粪污资源化利用，控制畜禽养殖污染排放。2</w:t>
                  </w:r>
                  <w:r>
                    <w:rPr>
                      <w:rFonts w:hint="default" w:ascii="Times New Roman" w:hAnsi="Times New Roman" w:eastAsia="宋体" w:cs="Times New Roman"/>
                      <w:color w:val="auto"/>
                      <w:spacing w:val="-1"/>
                      <w:sz w:val="21"/>
                      <w:szCs w:val="21"/>
                    </w:rPr>
                    <w:t>.畜禽散养密集区所在</w:t>
                  </w:r>
                  <w:r>
                    <w:rPr>
                      <w:rFonts w:hint="default" w:ascii="Times New Roman" w:hAnsi="Times New Roman" w:eastAsia="宋体" w:cs="Times New Roman"/>
                      <w:color w:val="auto"/>
                      <w:sz w:val="21"/>
                      <w:szCs w:val="21"/>
                    </w:rPr>
                    <w:t>地县级人民政府应当组织对畜禽粪便、污水进行集中处理利用，督促</w:t>
                  </w:r>
                  <w:r>
                    <w:rPr>
                      <w:rFonts w:hint="default" w:ascii="Times New Roman" w:hAnsi="Times New Roman" w:eastAsia="宋体" w:cs="Times New Roman"/>
                      <w:color w:val="auto"/>
                      <w:spacing w:val="-1"/>
                      <w:sz w:val="21"/>
                      <w:szCs w:val="21"/>
                    </w:rPr>
                    <w:t>乡镇人民政府建设或者</w:t>
                  </w:r>
                  <w:r>
                    <w:rPr>
                      <w:rFonts w:hint="default" w:ascii="Times New Roman" w:hAnsi="Times New Roman" w:eastAsia="宋体" w:cs="Times New Roman"/>
                      <w:color w:val="auto"/>
                      <w:sz w:val="21"/>
                      <w:szCs w:val="21"/>
                    </w:rPr>
                    <w:t>配备污染防治配套设施。3.全面加强农业面源污染防控，科学合理</w:t>
                  </w:r>
                  <w:r>
                    <w:rPr>
                      <w:rFonts w:hint="default" w:ascii="Times New Roman" w:hAnsi="Times New Roman" w:eastAsia="宋体" w:cs="Times New Roman"/>
                      <w:color w:val="auto"/>
                      <w:spacing w:val="-1"/>
                      <w:sz w:val="21"/>
                      <w:szCs w:val="21"/>
                    </w:rPr>
                    <w:t>使用农业投入品，提高</w:t>
                  </w:r>
                  <w:r>
                    <w:rPr>
                      <w:rFonts w:hint="default" w:ascii="Times New Roman" w:hAnsi="Times New Roman" w:eastAsia="宋体" w:cs="Times New Roman"/>
                      <w:color w:val="auto"/>
                      <w:spacing w:val="-3"/>
                      <w:sz w:val="21"/>
                      <w:szCs w:val="21"/>
                    </w:rPr>
                    <w:t>使用效率，减少农业内源性污染。</w:t>
                  </w:r>
                </w:p>
              </w:tc>
              <w:tc>
                <w:tcPr>
                  <w:tcW w:w="1515" w:type="dxa"/>
                  <w:tcBorders>
                    <w:tl2br w:val="nil"/>
                    <w:tr2bl w:val="nil"/>
                  </w:tcBorders>
                  <w:vAlign w:val="center"/>
                </w:tcPr>
                <w:p w14:paraId="2597C8F1">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kern w:val="0"/>
                      <w:sz w:val="21"/>
                      <w:szCs w:val="21"/>
                      <w:vertAlign w:val="baseline"/>
                    </w:rPr>
                  </w:pPr>
                  <w:r>
                    <w:rPr>
                      <w:rFonts w:hint="default" w:ascii="Times New Roman" w:hAnsi="Times New Roman" w:cs="Times New Roman"/>
                      <w:bCs/>
                      <w:color w:val="auto"/>
                      <w:sz w:val="21"/>
                      <w:szCs w:val="21"/>
                      <w:highlight w:val="none"/>
                    </w:rPr>
                    <w:t>本</w:t>
                  </w:r>
                  <w:r>
                    <w:rPr>
                      <w:rFonts w:hint="default" w:ascii="Times New Roman" w:hAnsi="Times New Roman" w:cs="Times New Roman"/>
                      <w:bCs/>
                      <w:color w:val="auto"/>
                      <w:sz w:val="21"/>
                      <w:szCs w:val="21"/>
                      <w:highlight w:val="none"/>
                      <w:lang w:eastAsia="zh-CN"/>
                    </w:rPr>
                    <w:t>工程</w:t>
                  </w:r>
                  <w:r>
                    <w:rPr>
                      <w:rFonts w:hint="default" w:ascii="Times New Roman" w:hAnsi="Times New Roman" w:cs="Times New Roman"/>
                      <w:bCs/>
                      <w:color w:val="auto"/>
                      <w:sz w:val="21"/>
                      <w:szCs w:val="21"/>
                      <w:highlight w:val="none"/>
                      <w:lang w:val="en-US" w:eastAsia="zh-CN"/>
                    </w:rPr>
                    <w:t>为</w:t>
                  </w:r>
                  <w:r>
                    <w:rPr>
                      <w:rFonts w:hint="default" w:ascii="Times New Roman" w:hAnsi="Times New Roman" w:eastAsia="宋体" w:cs="Times New Roman"/>
                      <w:b w:val="0"/>
                      <w:bCs/>
                      <w:color w:val="auto"/>
                      <w:kern w:val="21"/>
                      <w:sz w:val="21"/>
                      <w:szCs w:val="21"/>
                      <w:highlight w:val="none"/>
                      <w:lang w:eastAsia="zh-CN"/>
                    </w:rPr>
                    <w:t>路面改造工程</w:t>
                  </w:r>
                  <w:r>
                    <w:rPr>
                      <w:rFonts w:hint="default" w:ascii="Times New Roman" w:hAnsi="Times New Roman" w:cs="Times New Roman"/>
                      <w:b w:val="0"/>
                      <w:bCs/>
                      <w:color w:val="auto"/>
                      <w:kern w:val="21"/>
                      <w:sz w:val="21"/>
                      <w:szCs w:val="21"/>
                      <w:highlight w:val="none"/>
                      <w:lang w:eastAsia="zh-CN"/>
                    </w:rPr>
                    <w:t>，</w:t>
                  </w:r>
                  <w:r>
                    <w:rPr>
                      <w:rFonts w:hint="default" w:ascii="Times New Roman" w:hAnsi="Times New Roman" w:cs="Times New Roman"/>
                      <w:b w:val="0"/>
                      <w:bCs/>
                      <w:color w:val="auto"/>
                      <w:kern w:val="21"/>
                      <w:sz w:val="21"/>
                      <w:szCs w:val="21"/>
                      <w:highlight w:val="none"/>
                      <w:lang w:val="en-US" w:eastAsia="zh-CN"/>
                    </w:rPr>
                    <w:t>不涉及</w:t>
                  </w:r>
                  <w:r>
                    <w:rPr>
                      <w:rFonts w:hint="default" w:ascii="Times New Roman" w:hAnsi="Times New Roman" w:eastAsia="宋体" w:cs="Times New Roman"/>
                      <w:color w:val="auto"/>
                      <w:spacing w:val="-1"/>
                      <w:sz w:val="21"/>
                      <w:szCs w:val="21"/>
                    </w:rPr>
                    <w:t>畜</w:t>
                  </w:r>
                  <w:r>
                    <w:rPr>
                      <w:rFonts w:hint="default" w:ascii="Times New Roman" w:hAnsi="Times New Roman" w:cs="Times New Roman"/>
                      <w:b w:val="0"/>
                      <w:bCs/>
                      <w:color w:val="auto"/>
                      <w:kern w:val="21"/>
                      <w:sz w:val="21"/>
                      <w:szCs w:val="21"/>
                      <w:highlight w:val="none"/>
                      <w:lang w:eastAsia="zh-CN"/>
                    </w:rPr>
                    <w:t>禽养殖场、养殖小区、</w:t>
                  </w:r>
                  <w:r>
                    <w:rPr>
                      <w:rFonts w:hint="default" w:ascii="Times New Roman" w:hAnsi="Times New Roman" w:cs="Times New Roman"/>
                      <w:b w:val="0"/>
                      <w:bCs/>
                      <w:color w:val="auto"/>
                      <w:kern w:val="21"/>
                      <w:sz w:val="21"/>
                      <w:szCs w:val="21"/>
                      <w:highlight w:val="none"/>
                      <w:lang w:val="en-US" w:eastAsia="zh-CN"/>
                    </w:rPr>
                    <w:t>农业面源污染</w:t>
                  </w:r>
                  <w:r>
                    <w:rPr>
                      <w:rFonts w:hint="default" w:ascii="Times New Roman" w:hAnsi="Times New Roman" w:eastAsia="宋体" w:cs="Times New Roman"/>
                      <w:b w:val="0"/>
                      <w:bCs w:val="0"/>
                      <w:color w:val="auto"/>
                      <w:kern w:val="0"/>
                      <w:sz w:val="21"/>
                      <w:szCs w:val="21"/>
                      <w:vertAlign w:val="baseline"/>
                      <w:lang w:val="en-US" w:eastAsia="zh-CN"/>
                    </w:rPr>
                    <w:t>，符合污染物排放管控要求。</w:t>
                  </w:r>
                </w:p>
              </w:tc>
            </w:tr>
          </w:tbl>
          <w:p w14:paraId="7FD940EF">
            <w:pPr>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③一说明</w:t>
            </w:r>
          </w:p>
          <w:p w14:paraId="7486430E">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国道集贤至当壁公路宝清界至兴凯镇段路面改造工程项目位置涉及鸡西市密山市；项目占地总面积0.03平方公里。</w:t>
            </w:r>
          </w:p>
          <w:p w14:paraId="309819CD">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与生态保护红线交集面积为0.00 平方公里，占项目占地面积的0.00%。</w:t>
            </w:r>
          </w:p>
          <w:p w14:paraId="4FF2036D">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与自然保护地整合优化方案数据交集面积为0.00平方公里，占项目占地面积的0.00%。保护地涉及等类型。与自然保护地（现状管理数据）交集面积为0.00平方公里，占项目占地面积的0.00%。保护地涉及等类型。</w:t>
            </w:r>
          </w:p>
          <w:p w14:paraId="70A4DC2F">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与饮用水水源保护区交集面积为0.00平方公里，占项目占地面积的0.00%。与国家级水产种质资源保护区交集面积为0.00平方公里，占项目占地面积的0.00%。</w:t>
            </w:r>
          </w:p>
          <w:p w14:paraId="7AA1A162">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与环境管控单元优先保护单元交集面积为0.02平方公里，占项目占地面积的60.72%；与重点管控单元交集面积为0.01平方公里，占项目占地面积的39.28%；一般管控单元交集面积为 0.00平方公里，占项目占地面积的0.00%。</w:t>
            </w:r>
          </w:p>
          <w:p w14:paraId="1F90593D">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lang w:val="en-US" w:eastAsia="zh-CN" w:bidi="ar"/>
              </w:rPr>
              <w:t>与地下水环境优先保护区交集面积为0.00平方公里，占项目占地面积的0.00%；与地下水环境重点管控区交集面积为0.00平方公里，占项目占地面积的0.00%，与地下水环境一般管控区交集面积为0.03平方公里，占项目占地面积的100.0</w:t>
            </w:r>
            <w:r>
              <w:rPr>
                <w:rFonts w:hint="default" w:ascii="Times New Roman" w:hAnsi="Times New Roman" w:eastAsia="宋体" w:cs="Times New Roman"/>
                <w:color w:val="auto"/>
                <w:kern w:val="0"/>
                <w:sz w:val="24"/>
                <w:szCs w:val="24"/>
                <w:highlight w:val="none"/>
                <w:lang w:val="en-US" w:eastAsia="zh-CN" w:bidi="ar"/>
              </w:rPr>
              <w:t>0%。</w:t>
            </w:r>
          </w:p>
          <w:p w14:paraId="6D578701">
            <w:pPr>
              <w:keepNext w:val="0"/>
              <w:keepLines w:val="0"/>
              <w:pageBreakBefore w:val="0"/>
              <w:kinsoku/>
              <w:wordWrap/>
              <w:overflowPunct/>
              <w:topLinePunct w:val="0"/>
              <w:bidi w:val="0"/>
              <w:snapToGrid/>
              <w:spacing w:line="480" w:lineRule="exact"/>
              <w:ind w:firstLine="420"/>
              <w:textAlignment w:val="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kern w:val="0"/>
                <w:sz w:val="24"/>
                <w:szCs w:val="24"/>
                <w:highlight w:val="none"/>
              </w:rPr>
              <w:t>根据上表，</w:t>
            </w:r>
            <w:r>
              <w:rPr>
                <w:rFonts w:hint="default" w:ascii="Times New Roman" w:hAnsi="Times New Roman" w:cs="Times New Roman"/>
                <w:color w:val="auto"/>
                <w:sz w:val="24"/>
                <w:szCs w:val="24"/>
                <w:highlight w:val="none"/>
              </w:rPr>
              <w:t>项目建设符合</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鸡西</w:t>
            </w:r>
            <w:r>
              <w:rPr>
                <w:rFonts w:hint="default" w:ascii="Times New Roman" w:hAnsi="Times New Roman" w:cs="Times New Roman"/>
                <w:color w:val="auto"/>
                <w:highlight w:val="none"/>
              </w:rPr>
              <w:t>市人民政府关于“三线一单”生态环境分区管控的实施意见》（</w:t>
            </w:r>
            <w:r>
              <w:rPr>
                <w:rFonts w:hint="default" w:ascii="Times New Roman" w:hAnsi="Times New Roman" w:cs="Times New Roman"/>
                <w:color w:val="auto"/>
                <w:highlight w:val="none"/>
                <w:lang w:val="en-US" w:eastAsia="zh-CN"/>
              </w:rPr>
              <w:t>鸡</w:t>
            </w:r>
            <w:r>
              <w:rPr>
                <w:rFonts w:hint="default" w:ascii="Times New Roman" w:hAnsi="Times New Roman" w:cs="Times New Roman"/>
                <w:color w:val="auto"/>
                <w:highlight w:val="none"/>
              </w:rPr>
              <w:t>政</w:t>
            </w:r>
            <w:r>
              <w:rPr>
                <w:rFonts w:hint="default" w:ascii="Times New Roman" w:hAnsi="Times New Roman" w:cs="Times New Roman"/>
                <w:color w:val="auto"/>
                <w:highlight w:val="none"/>
                <w:lang w:val="en-US" w:eastAsia="zh-CN"/>
              </w:rPr>
              <w:t>发</w:t>
            </w:r>
            <w:r>
              <w:rPr>
                <w:rFonts w:hint="default" w:ascii="Times New Roman" w:hAnsi="Times New Roman" w:cs="Times New Roman"/>
                <w:color w:val="auto"/>
                <w:highlight w:val="none"/>
              </w:rPr>
              <w:t>〔2021〕</w:t>
            </w:r>
            <w:r>
              <w:rPr>
                <w:rFonts w:hint="default" w:ascii="Times New Roman" w:hAnsi="Times New Roman" w:cs="Times New Roman"/>
                <w:color w:val="auto"/>
                <w:highlight w:val="none"/>
                <w:lang w:val="en-US" w:eastAsia="zh-CN"/>
              </w:rPr>
              <w:t>7</w:t>
            </w:r>
            <w:r>
              <w:rPr>
                <w:rFonts w:hint="default" w:ascii="Times New Roman" w:hAnsi="Times New Roman" w:cs="Times New Roman"/>
                <w:color w:val="auto"/>
                <w:highlight w:val="none"/>
              </w:rPr>
              <w:t>号）</w:t>
            </w:r>
            <w:r>
              <w:rPr>
                <w:rFonts w:hint="default" w:ascii="Times New Roman" w:hAnsi="Times New Roman" w:cs="Times New Roman"/>
                <w:color w:val="auto"/>
                <w:highlight w:val="none"/>
                <w:lang w:val="en-US" w:eastAsia="zh-CN"/>
              </w:rPr>
              <w:t>和</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鸡西</w:t>
            </w:r>
            <w:r>
              <w:rPr>
                <w:rFonts w:hint="default" w:ascii="Times New Roman" w:hAnsi="Times New Roman" w:cs="Times New Roman"/>
                <w:color w:val="auto"/>
                <w:highlight w:val="none"/>
              </w:rPr>
              <w:t>市生态环境准入清单》（2023年版）</w:t>
            </w:r>
            <w:r>
              <w:rPr>
                <w:rFonts w:hint="default" w:ascii="Times New Roman" w:hAnsi="Times New Roman" w:cs="Times New Roman"/>
                <w:color w:val="auto"/>
                <w:highlight w:val="none"/>
                <w:lang w:val="en-US" w:eastAsia="zh-CN"/>
              </w:rPr>
              <w:t>要求。</w:t>
            </w:r>
          </w:p>
          <w:p w14:paraId="3C7ADB10">
            <w:pPr>
              <w:keepNext w:val="0"/>
              <w:keepLines w:val="0"/>
              <w:pageBreakBefore w:val="0"/>
              <w:kinsoku/>
              <w:wordWrap/>
              <w:overflowPunct/>
              <w:topLinePunct w:val="0"/>
              <w:bidi w:val="0"/>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3、</w:t>
            </w:r>
            <w:r>
              <w:rPr>
                <w:rFonts w:hint="default" w:ascii="Times New Roman" w:hAnsi="Times New Roman" w:cs="Times New Roman"/>
                <w:color w:val="auto"/>
              </w:rPr>
              <w:t>与《自然资源部关于规范临时用地管理的通知》符合性分析</w:t>
            </w:r>
          </w:p>
          <w:p w14:paraId="6E2C5FAF">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根据《自然资源部关于规范临时用地管理的通知》（自然资规〔2021〕2号）中“二、临时用地选址要求和使用期限”，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[2019]1号）中申请条件、土壤剥离、复垦验收等有关规定。</w:t>
            </w:r>
          </w:p>
          <w:p w14:paraId="70DBF3AA">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本项目临时占地</w:t>
            </w:r>
            <w:r>
              <w:rPr>
                <w:rFonts w:hint="default" w:ascii="Times New Roman" w:hAnsi="Times New Roman" w:cs="Times New Roman"/>
                <w:color w:val="auto"/>
                <w:lang w:val="en-US" w:eastAsia="zh-CN"/>
              </w:rPr>
              <w:t>包括施工驻地和沥青</w:t>
            </w:r>
            <w:r>
              <w:rPr>
                <w:rFonts w:hint="eastAsia" w:cs="Times New Roman"/>
                <w:color w:val="auto"/>
                <w:lang w:val="en-US" w:eastAsia="zh-CN"/>
              </w:rPr>
              <w:t>混凝土</w:t>
            </w:r>
            <w:r>
              <w:rPr>
                <w:rFonts w:hint="default" w:ascii="Times New Roman" w:hAnsi="Times New Roman" w:cs="Times New Roman"/>
                <w:color w:val="auto"/>
                <w:lang w:val="en-US" w:eastAsia="zh-CN"/>
              </w:rPr>
              <w:t>拌合站，占地类型为工业用地</w:t>
            </w:r>
            <w:r>
              <w:rPr>
                <w:rFonts w:hint="default" w:ascii="Times New Roman" w:hAnsi="Times New Roman" w:cs="Times New Roman"/>
                <w:color w:val="auto"/>
              </w:rPr>
              <w:t>，不占用基本农田和耕地，符合《自然资源部关于规范临时用地管理的通知》（自然资规[2021]2号）管理要求。</w:t>
            </w:r>
          </w:p>
          <w:p w14:paraId="42065FD8">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4、</w:t>
            </w:r>
            <w:r>
              <w:rPr>
                <w:rFonts w:hint="default" w:ascii="Times New Roman" w:hAnsi="Times New Roman" w:cs="Times New Roman"/>
                <w:color w:val="auto"/>
              </w:rPr>
              <w:t>与《黑龙江省黑土地保护利用条例》符合性分析</w:t>
            </w:r>
          </w:p>
          <w:p w14:paraId="5F2144D8">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根据《黑龙江省黑土地保护利用条例》（2024年3月1日施行）中“第四章 建设与利用”第四十四“建设项目不得占用黑土地；确需占用的，应当依法严格审批，并补充数量和质量相当的耕地。基础设施建设应当采取必要措施，避免因建设项目导致水淹耕地或者破坏黑土地生态环境”，“第四十五条 建设项目占用黑土地的，应当按照规定的标准对耕作层的土壤进行剥离。剥离的黑土应当就近用于新开垦耕地和低质耕地改良、被污染耕地的治理、高标准农田建设、土地复垦等。建设项目主体应当制定剥离黑土的再利用方案，报自然资源主管部门备案。”</w:t>
            </w:r>
          </w:p>
          <w:p w14:paraId="0876FC9E">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本项目为</w:t>
            </w:r>
            <w:r>
              <w:rPr>
                <w:rFonts w:hint="default" w:ascii="Times New Roman" w:hAnsi="Times New Roman" w:cs="Times New Roman"/>
                <w:color w:val="auto"/>
                <w:lang w:val="en-US" w:eastAsia="zh-CN"/>
              </w:rPr>
              <w:t>公路路面改造工程，不涉及新增永久占地，临时占地均为租赁现有场地，且用地类型均为工业用地，不涉及表土剥离等。</w:t>
            </w:r>
            <w:r>
              <w:rPr>
                <w:rFonts w:hint="default" w:ascii="Times New Roman" w:hAnsi="Times New Roman" w:cs="Times New Roman"/>
                <w:color w:val="auto"/>
              </w:rPr>
              <w:t>综上，本项目符合《黑龙江省黑土地保护利用条例》的要求。</w:t>
            </w:r>
          </w:p>
          <w:p w14:paraId="5918F91E">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5、</w:t>
            </w:r>
            <w:r>
              <w:rPr>
                <w:rFonts w:hint="default" w:ascii="Times New Roman" w:hAnsi="Times New Roman" w:cs="Times New Roman"/>
                <w:color w:val="auto"/>
              </w:rPr>
              <w:t>与《黑龙江省水土保持规划》（2015-2030）的符合性分析</w:t>
            </w:r>
          </w:p>
          <w:p w14:paraId="70663F75">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2016年7月18日黑龙江省人民政府印发了《关于黑龙江省水土保持规划(2015-2030年)的批复》（黑政函〔2016〕77号），项目所在地</w:t>
            </w:r>
            <w:r>
              <w:rPr>
                <w:rFonts w:hint="default" w:ascii="Times New Roman" w:hAnsi="Times New Roman" w:cs="Times New Roman"/>
                <w:color w:val="auto"/>
                <w:lang w:val="en-US" w:eastAsia="zh-CN"/>
              </w:rPr>
              <w:t>密山市</w:t>
            </w:r>
            <w:r>
              <w:rPr>
                <w:rFonts w:hint="default" w:ascii="Times New Roman" w:hAnsi="Times New Roman" w:cs="Times New Roman"/>
                <w:color w:val="auto"/>
              </w:rPr>
              <w:t>属“水土流失重点</w:t>
            </w:r>
            <w:r>
              <w:rPr>
                <w:rFonts w:hint="default" w:ascii="Times New Roman" w:hAnsi="Times New Roman" w:cs="Times New Roman"/>
                <w:color w:val="auto"/>
                <w:lang w:val="en-US" w:eastAsia="zh-CN"/>
              </w:rPr>
              <w:t>治理</w:t>
            </w:r>
            <w:r>
              <w:rPr>
                <w:rFonts w:hint="default" w:ascii="Times New Roman" w:hAnsi="Times New Roman" w:cs="Times New Roman"/>
                <w:color w:val="auto"/>
              </w:rPr>
              <w:t>区”。</w:t>
            </w:r>
          </w:p>
          <w:p w14:paraId="24247B8F">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密山</w:t>
            </w:r>
            <w:r>
              <w:rPr>
                <w:rFonts w:hint="default" w:ascii="Times New Roman" w:hAnsi="Times New Roman" w:cs="Times New Roman"/>
                <w:color w:val="auto"/>
              </w:rPr>
              <w:t>市属于《黑龙江省水土保持规划》（2015-2030年）中的“</w:t>
            </w:r>
            <w:r>
              <w:rPr>
                <w:rFonts w:hint="default" w:ascii="Times New Roman" w:hAnsi="Times New Roman" w:cs="Times New Roman"/>
                <w:color w:val="auto"/>
                <w:lang w:val="en-US" w:eastAsia="zh-CN"/>
              </w:rPr>
              <w:t>三江平原-兴凯湖生态维护农田防护区</w:t>
            </w:r>
            <w:r>
              <w:rPr>
                <w:rFonts w:hint="default" w:ascii="Times New Roman" w:hAnsi="Times New Roman" w:cs="Times New Roman"/>
                <w:color w:val="auto"/>
              </w:rPr>
              <w:t>”。该区</w:t>
            </w:r>
            <w:r>
              <w:rPr>
                <w:rFonts w:hint="default" w:ascii="Times New Roman" w:hAnsi="Times New Roman" w:cs="Times New Roman"/>
                <w:color w:val="auto"/>
                <w:lang w:val="en-US" w:eastAsia="zh-CN"/>
              </w:rPr>
              <w:t>是黑龙江水稻主产区，地势平坦，田面平整，水土流失较为轻微，属于黑龙江省的水土流失易发区。水土流失主要发生在田间排水沟、农田道路等。本区宜增加林草植被，提高林草覆盖率，结合道路改造完善农田防护林体系，强化监督执法工作，减少开发建设活动造成的新的水土流失，局部有条件的区域可小规模进行综合治理。</w:t>
            </w:r>
          </w:p>
          <w:p w14:paraId="2BF8AC1E">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本项目为</w:t>
            </w:r>
            <w:r>
              <w:rPr>
                <w:rFonts w:hint="default" w:ascii="Times New Roman" w:hAnsi="Times New Roman" w:cs="Times New Roman"/>
                <w:color w:val="auto"/>
                <w:lang w:val="en-US" w:eastAsia="zh-CN"/>
              </w:rPr>
              <w:t>公路路面改造工程，不涉及新增永久占地，临时占地均为租赁现有场地，且用地类型均为工业用地，不涉及表土剥离等，水土流失影响较小。</w:t>
            </w:r>
            <w:r>
              <w:rPr>
                <w:rFonts w:hint="default" w:ascii="Times New Roman" w:hAnsi="Times New Roman" w:cs="Times New Roman"/>
                <w:color w:val="auto"/>
              </w:rPr>
              <w:t>综上所述，本项目建设符合《黑龙江省水土保持规划》（2015-2030）的规划要求。</w:t>
            </w:r>
          </w:p>
          <w:p w14:paraId="317B9EB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6、</w:t>
            </w:r>
            <w:r>
              <w:rPr>
                <w:rFonts w:hint="default" w:ascii="Times New Roman" w:hAnsi="Times New Roman" w:cs="Times New Roman"/>
                <w:color w:val="auto"/>
                <w:sz w:val="24"/>
              </w:rPr>
              <w:t>与《关于进一步加强公路规划建设和环评工作推动绿色低碳转型发展的通知》符合性分析</w:t>
            </w:r>
          </w:p>
          <w:p w14:paraId="4C6962E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rPr>
              <w:t xml:space="preserve">根据《关于进一步加强公路规划建设和环评工作推动绿色低碳转型发展的通知》中“（十一）强化生态环境保护。公路建设项目要参照《绿色公路建设技术指南》，落实资源节约、环境保护有关要求，尽量减少占用耕地、林地和草地，加强表土资源剥离和堆存管理，施工结束后用于复耕或生态修复。……（十二）加强水环境保护及风险防范。公路建设项目要重视对饮用水水源地的保护，依法绕避饮用水水源保护区。……（十三）强化大气污染防治。公路建设项目应当采取有效防尘降尘措施，减少施工、运输、贮存过程扬尘污染，加强取弃土场、拌合站和料场等区域扬尘污染防治工作。…… （十四）加强噪声污染防治。公路建设项目要根据工程特点与环境特征，制定合理可行的噪声防治对策和措施，在可能造成噪声污染的重点路段，根据需要设置声屏障或者采取其他减少振动、降低噪声的措施，降低施工噪声和公路交通噪声影响。公路建设项目实施前，沿线声环境敏感目标现状声环境质量达标的，项目实施后要确保其满足声环境质量标准要求；……” </w:t>
            </w:r>
          </w:p>
          <w:p w14:paraId="42CE93BE">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本项目为</w:t>
            </w:r>
            <w:r>
              <w:rPr>
                <w:rFonts w:hint="default" w:ascii="Times New Roman" w:hAnsi="Times New Roman" w:cs="Times New Roman"/>
                <w:color w:val="auto"/>
                <w:lang w:val="en-US" w:eastAsia="zh-CN"/>
              </w:rPr>
              <w:t>公路路面改造工程，不涉及新增永久占地，临时占地均为租赁现有场地，且用地类型均为工业用地，不涉及表土剥离等</w:t>
            </w:r>
            <w:r>
              <w:rPr>
                <w:rFonts w:hint="default" w:ascii="Times New Roman" w:hAnsi="Times New Roman" w:cs="Times New Roman"/>
                <w:color w:val="auto"/>
              </w:rPr>
              <w:t>。</w:t>
            </w:r>
          </w:p>
          <w:p w14:paraId="632724EE">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本项目路线不涉及饮用水水源保护区。本次评价要求施工单位在施工期采取修建临时防尘挡板，洒水、遮盖，拌合站</w:t>
            </w:r>
            <w:r>
              <w:rPr>
                <w:rFonts w:hint="default" w:ascii="Times New Roman" w:hAnsi="Times New Roman" w:cs="Times New Roman"/>
                <w:color w:val="auto"/>
                <w:lang w:val="en-US" w:eastAsia="zh-CN"/>
              </w:rPr>
              <w:t>位于</w:t>
            </w:r>
            <w:r>
              <w:rPr>
                <w:rFonts w:hint="default" w:ascii="Times New Roman" w:hAnsi="Times New Roman" w:cs="Times New Roman"/>
                <w:color w:val="auto"/>
              </w:rPr>
              <w:t>居民区300m</w:t>
            </w:r>
            <w:r>
              <w:rPr>
                <w:rFonts w:hint="default" w:ascii="Times New Roman" w:hAnsi="Times New Roman" w:cs="Times New Roman"/>
                <w:color w:val="auto"/>
                <w:lang w:val="en-US" w:eastAsia="zh-CN"/>
              </w:rPr>
              <w:t>外</w:t>
            </w:r>
            <w:r>
              <w:rPr>
                <w:rFonts w:hint="default" w:ascii="Times New Roman" w:hAnsi="Times New Roman" w:cs="Times New Roman"/>
                <w:color w:val="auto"/>
              </w:rPr>
              <w:t>，</w:t>
            </w:r>
            <w:r>
              <w:rPr>
                <w:rFonts w:hint="default" w:ascii="Times New Roman" w:hAnsi="Times New Roman" w:cs="Times New Roman"/>
                <w:color w:val="auto"/>
                <w:lang w:val="en-US" w:eastAsia="zh-CN"/>
              </w:rPr>
              <w:t>沥青</w:t>
            </w:r>
            <w:r>
              <w:rPr>
                <w:rFonts w:hint="default" w:ascii="Times New Roman" w:hAnsi="Times New Roman" w:cs="Times New Roman"/>
                <w:color w:val="auto"/>
              </w:rPr>
              <w:t>拌合设备设置</w:t>
            </w:r>
            <w:r>
              <w:rPr>
                <w:rFonts w:hint="default" w:ascii="Times New Roman" w:hAnsi="Times New Roman" w:cs="Times New Roman"/>
                <w:color w:val="auto"/>
                <w:lang w:val="en-US" w:eastAsia="zh-CN"/>
              </w:rPr>
              <w:t>沥青烟净化器</w:t>
            </w:r>
            <w:r>
              <w:rPr>
                <w:rFonts w:hint="default" w:ascii="Times New Roman" w:hAnsi="Times New Roman" w:cs="Times New Roman"/>
                <w:color w:val="auto"/>
              </w:rPr>
              <w:t>等防尘措施，减少施工、运输、贮存过程扬尘污染。本次评价要求施工单位在施工期采用低噪声设备，施工机械安装减振、降噪设备，加强修保养，设置移动式隔声、防尘挡板，高度不低于3m；临时工程及大型施工设备远离声环境保护目标设置；合理制定施工计划，避免大量噪声设备同时使用；禁止夜间（22：00～次日6：00）施工作业，采取禁止鸣笛、减速慢行等噪声防治对策和措施，降低施工噪声和公路交通噪声影响，保证项目沿线敏感目标声环境达标。综上，本项目建设符合《关于进一步加强公路规划建设和环评工作推动绿色低碳转型发展的通知》要求。</w:t>
            </w:r>
          </w:p>
          <w:p w14:paraId="4E75ECE4">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7、</w:t>
            </w:r>
            <w:r>
              <w:rPr>
                <w:rFonts w:hint="default" w:ascii="Times New Roman" w:hAnsi="Times New Roman" w:cs="Times New Roman"/>
                <w:color w:val="auto"/>
              </w:rPr>
              <w:t>与《黑龙江省“十四五”公路水路交通运输发展规划》符合性分析</w:t>
            </w:r>
          </w:p>
          <w:p w14:paraId="516B6CA8">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黑龙江省“十四五”公路水路交通运输发展规划》中指出，坚持先行引领，适度超前。把交通运输作为经济社会发展的“先行官”，继续保持一定的发展速度，巩固交通运输基础性作用，突出交通运输先导性作用，提升交通运输服务性作用，努力实现交通基础设施和运输服务能力适度超前配置，在贯彻实施“一带一路”、维护国家“五大安全”、建设“六个强省”、服务乡村振兴和新型城镇化战略中发挥先行引领作用，为经济社会发展提供坚实基础和有力保障。</w:t>
            </w:r>
          </w:p>
          <w:p w14:paraId="475AD914">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本项目的建设属于</w:t>
            </w:r>
            <w:r>
              <w:rPr>
                <w:rFonts w:hint="default" w:ascii="Times New Roman" w:hAnsi="Times New Roman" w:cs="Times New Roman"/>
                <w:color w:val="auto"/>
                <w:lang w:val="en-US" w:eastAsia="zh-CN"/>
              </w:rPr>
              <w:t>国</w:t>
            </w:r>
            <w:r>
              <w:rPr>
                <w:rFonts w:hint="default" w:ascii="Times New Roman" w:hAnsi="Times New Roman" w:cs="Times New Roman"/>
                <w:color w:val="auto"/>
              </w:rPr>
              <w:t>道升级改造，能够促进区域经济发展，本项目的建设与《黑龙江省“十四五”公路水路交通运输发展规划》相符合。</w:t>
            </w:r>
          </w:p>
          <w:p w14:paraId="5504E9ED">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8、</w:t>
            </w:r>
            <w:r>
              <w:rPr>
                <w:rFonts w:hint="default" w:ascii="Times New Roman" w:hAnsi="Times New Roman" w:cs="Times New Roman"/>
                <w:color w:val="auto"/>
              </w:rPr>
              <w:t>与《</w:t>
            </w:r>
            <w:r>
              <w:rPr>
                <w:rFonts w:hint="default" w:ascii="Times New Roman" w:hAnsi="Times New Roman" w:cs="Times New Roman"/>
                <w:color w:val="auto"/>
                <w:lang w:eastAsia="zh-CN"/>
              </w:rPr>
              <w:t>“</w:t>
            </w:r>
            <w:r>
              <w:rPr>
                <w:rFonts w:hint="default" w:ascii="Times New Roman" w:hAnsi="Times New Roman" w:cs="Times New Roman"/>
                <w:color w:val="auto"/>
              </w:rPr>
              <w:t>十四五”噪声污染防治行动计划》符合性分析</w:t>
            </w:r>
          </w:p>
          <w:p w14:paraId="6BC7E4AD">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根据《</w:t>
            </w:r>
            <w:r>
              <w:rPr>
                <w:rFonts w:hint="default" w:ascii="Times New Roman" w:hAnsi="Times New Roman" w:cs="Times New Roman"/>
                <w:color w:val="auto"/>
                <w:lang w:eastAsia="zh-CN"/>
              </w:rPr>
              <w:t>“</w:t>
            </w:r>
            <w:r>
              <w:rPr>
                <w:rFonts w:hint="default" w:ascii="Times New Roman" w:hAnsi="Times New Roman" w:cs="Times New Roman"/>
                <w:color w:val="auto"/>
              </w:rPr>
              <w:t>十四五”噪声污染防治行动计划》，应细化交通基础设施选线选址要求，将噪声污染防治要求作为绿色公路、美丽公路和公路建设高质量发展的重要内容，科学选线布线，尽量避开噪声敏感建筑物集中区域。优化噪声敏感建筑物建设布局，在交通干线两侧、工业企业周边等地方建设噪声敏感建筑物，应间隔一定距离，提出相应规划设计要求。严格落实噪声污染防治要求，制定修改相关规划、建设对环境有影响的项目时，应依法开展环评，对可能产生噪声与振动的影响进行分析、预测和评估，积极采取噪声污染防治对策措施。建设项目的噪声污染防治设施应当与主体工程同时设计、同时施工、同时投产使用，督促建设单位依法开展竣工环境保护验收，加大事中事后监管力度，确保各项措施落地见效。落实管控责任，修订建设工程施工合同示范文本，明确建设单位、施工单位噪声污染防治责任和任务措施等要求，施工单位编制并落实噪声污染防治工作方案，采取有效隔声降噪设备、设施或施工工艺。加强公路和城市道路养护，加强公路和城市道路路面、桥梁的维护保养，以及公路和城市道路声屏障等既有噪声污染防治设施的检查、维护和保养，保障其经常处于良好技术状态。</w:t>
            </w:r>
          </w:p>
          <w:p w14:paraId="78F1A46F">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对现有公路路面进行改造</w:t>
            </w:r>
            <w:r>
              <w:rPr>
                <w:rFonts w:hint="default" w:ascii="Times New Roman" w:hAnsi="Times New Roman" w:cs="Times New Roman"/>
                <w:color w:val="auto"/>
              </w:rPr>
              <w:t>，</w:t>
            </w:r>
            <w:r>
              <w:rPr>
                <w:rFonts w:hint="default" w:ascii="Times New Roman" w:hAnsi="Times New Roman" w:cs="Times New Roman"/>
                <w:color w:val="auto"/>
                <w:lang w:val="en-US" w:eastAsia="zh-CN"/>
              </w:rPr>
              <w:t>不改变</w:t>
            </w:r>
            <w:r>
              <w:rPr>
                <w:rFonts w:hint="default" w:ascii="Times New Roman" w:hAnsi="Times New Roman" w:cs="Times New Roman"/>
                <w:color w:val="auto"/>
              </w:rPr>
              <w:t>路线</w:t>
            </w:r>
            <w:r>
              <w:rPr>
                <w:rFonts w:hint="default" w:ascii="Times New Roman" w:hAnsi="Times New Roman" w:cs="Times New Roman"/>
                <w:color w:val="auto"/>
                <w:lang w:val="en-US" w:eastAsia="zh-CN"/>
              </w:rPr>
              <w:t>，不新增永久占地，不</w:t>
            </w:r>
            <w:r>
              <w:rPr>
                <w:rFonts w:hint="default" w:ascii="Times New Roman" w:hAnsi="Times New Roman" w:cs="Times New Roman"/>
                <w:color w:val="auto"/>
              </w:rPr>
              <w:t>新增敏感点，符合防治行动计划交通基础设施选线选址要求。本项目为二级公路，属于交通干线。建设项目已依法开展环评，并对可能产生噪声影响进行分析、预测和评估，积极采取了噪声污染防治对策措施。已在环评中对建设项目三同时、环保验收进行了要求，提出了施工期声环境保护措施，要求采用低噪声设备，高噪声施工机械采取消声减震措施、设置移动式隔声、防尘挡板、禁止夜间（22:00-6:00）施工作业等。运营期提出了路政部门对道路尤其是超标路段采取的路面进行经常性维护，提高路面平整度，降低道路交通噪声；道路运营单位预留环保资金，定期跟踪监测道路通车后近期、中期、远期噪声情况，采取切实可行的措施减轻道路噪声对敏感目标的影响等措施。与《“十四五”噪声污染防治行动计划》的要求相符。</w:t>
            </w:r>
          </w:p>
          <w:p w14:paraId="775E96DD">
            <w:pPr>
              <w:ind w:firstLine="420"/>
              <w:rPr>
                <w:rFonts w:hint="default" w:ascii="Times New Roman" w:hAnsi="Times New Roman" w:eastAsia="宋体" w:cs="Times New Roman"/>
                <w:color w:val="auto"/>
                <w:lang w:val="en-US" w:eastAsia="zh-CN"/>
              </w:rPr>
            </w:pPr>
          </w:p>
          <w:p w14:paraId="38D946CE">
            <w:pPr>
              <w:ind w:firstLine="420"/>
              <w:rPr>
                <w:rFonts w:hint="default" w:ascii="Times New Roman" w:hAnsi="Times New Roman" w:cs="Times New Roman"/>
                <w:color w:val="auto"/>
              </w:rPr>
            </w:pPr>
          </w:p>
          <w:p w14:paraId="52B35F74">
            <w:pPr>
              <w:rPr>
                <w:rFonts w:hint="default" w:ascii="Times New Roman" w:hAnsi="Times New Roman" w:cs="Times New Roman"/>
                <w:b/>
                <w:bCs/>
                <w:color w:val="auto"/>
                <w:kern w:val="21"/>
                <w:szCs w:val="21"/>
              </w:rPr>
            </w:pPr>
          </w:p>
          <w:p w14:paraId="3AE76D86">
            <w:pPr>
              <w:rPr>
                <w:rFonts w:hint="default" w:ascii="Times New Roman" w:hAnsi="Times New Roman" w:cs="Times New Roman"/>
                <w:b/>
                <w:bCs/>
                <w:color w:val="auto"/>
                <w:kern w:val="21"/>
                <w:szCs w:val="21"/>
              </w:rPr>
            </w:pPr>
          </w:p>
          <w:p w14:paraId="144D3A43">
            <w:pPr>
              <w:rPr>
                <w:rFonts w:hint="default" w:ascii="Times New Roman" w:hAnsi="Times New Roman" w:cs="Times New Roman"/>
                <w:b/>
                <w:bCs/>
                <w:color w:val="auto"/>
                <w:kern w:val="21"/>
                <w:szCs w:val="21"/>
              </w:rPr>
            </w:pPr>
          </w:p>
        </w:tc>
      </w:tr>
    </w:tbl>
    <w:p w14:paraId="608C8B7E">
      <w:pPr>
        <w:outlineLvl w:val="0"/>
        <w:rPr>
          <w:rFonts w:hint="default" w:ascii="Times New Roman" w:hAnsi="Times New Roman" w:eastAsia="黑体" w:cs="Times New Roman"/>
          <w:color w:val="auto"/>
          <w:sz w:val="30"/>
        </w:rPr>
        <w:sectPr>
          <w:footerReference r:id="rId7" w:type="default"/>
          <w:pgSz w:w="11850" w:h="16783"/>
          <w:pgMar w:top="1440" w:right="1800" w:bottom="1440" w:left="1800" w:header="851" w:footer="1077" w:gutter="0"/>
          <w:pgBorders>
            <w:top w:val="none" w:sz="0" w:space="0"/>
            <w:left w:val="none" w:sz="0" w:space="0"/>
            <w:bottom w:val="none" w:sz="0" w:space="0"/>
            <w:right w:val="none" w:sz="0" w:space="0"/>
          </w:pgBorders>
          <w:pgNumType w:start="1"/>
          <w:cols w:space="720" w:num="1"/>
          <w:docGrid w:linePitch="312" w:charSpace="0"/>
        </w:sectPr>
      </w:pPr>
    </w:p>
    <w:p w14:paraId="48A8C3BC">
      <w:pPr>
        <w:pStyle w:val="25"/>
        <w:spacing w:before="0" w:beforeAutospacing="0" w:after="120" w:afterLines="50" w:afterAutospacing="0"/>
        <w:jc w:val="center"/>
        <w:outlineLvl w:val="0"/>
        <w:rPr>
          <w:rFonts w:hint="default" w:ascii="Times New Roman" w:hAnsi="Times New Roman" w:eastAsia="黑体" w:cs="Times New Roman"/>
          <w:snapToGrid w:val="0"/>
          <w:color w:val="auto"/>
          <w:kern w:val="21"/>
          <w:sz w:val="30"/>
          <w:szCs w:val="30"/>
        </w:rPr>
      </w:pPr>
      <w:bookmarkStart w:id="3" w:name="_Toc7258"/>
      <w:r>
        <w:rPr>
          <w:rFonts w:hint="default" w:ascii="Times New Roman" w:hAnsi="Times New Roman" w:eastAsia="黑体" w:cs="Times New Roman"/>
          <w:snapToGrid w:val="0"/>
          <w:color w:val="auto"/>
          <w:kern w:val="21"/>
          <w:sz w:val="30"/>
          <w:szCs w:val="30"/>
        </w:rPr>
        <w:t>二、建设内容</w:t>
      </w:r>
      <w:bookmarkEnd w:id="3"/>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82"/>
        <w:gridCol w:w="8084"/>
      </w:tblGrid>
      <w:tr w14:paraId="39D871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2" w:type="dxa"/>
            <w:noWrap w:val="0"/>
            <w:vAlign w:val="center"/>
          </w:tcPr>
          <w:p w14:paraId="7D243CF1">
            <w:pPr>
              <w:adjustRightInd w:val="0"/>
              <w:snapToGrid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地理位置</w:t>
            </w:r>
          </w:p>
        </w:tc>
        <w:tc>
          <w:tcPr>
            <w:tcW w:w="8084" w:type="dxa"/>
            <w:noWrap w:val="0"/>
            <w:vAlign w:val="center"/>
          </w:tcPr>
          <w:p w14:paraId="385617BC">
            <w:pPr>
              <w:pStyle w:val="76"/>
              <w:rPr>
                <w:rFonts w:hint="default" w:ascii="Times New Roman" w:hAnsi="Times New Roman" w:cs="Times New Roman"/>
                <w:color w:val="auto"/>
                <w:kern w:val="21"/>
              </w:rPr>
            </w:pPr>
            <w:r>
              <w:rPr>
                <w:rFonts w:hint="default" w:ascii="Times New Roman" w:hAnsi="Times New Roman" w:eastAsia="宋体" w:cs="Times New Roman"/>
                <w:color w:val="auto"/>
                <w:lang w:val="en-US" w:eastAsia="zh-CN"/>
              </w:rPr>
              <w:t>本项目位于鸡西</w:t>
            </w:r>
            <w:r>
              <w:rPr>
                <w:rFonts w:hint="default" w:ascii="Times New Roman" w:hAnsi="Times New Roman" w:eastAsia="宋体" w:cs="Times New Roman"/>
                <w:color w:val="auto"/>
                <w:lang w:val="zh-CN" w:eastAsia="zh-CN"/>
              </w:rPr>
              <w:t>市</w:t>
            </w:r>
            <w:r>
              <w:rPr>
                <w:rFonts w:hint="default" w:ascii="Times New Roman" w:hAnsi="Times New Roman" w:eastAsia="宋体" w:cs="Times New Roman"/>
                <w:color w:val="auto"/>
                <w:lang w:val="en-US" w:eastAsia="zh-CN"/>
              </w:rPr>
              <w:t>密山</w:t>
            </w:r>
            <w:r>
              <w:rPr>
                <w:rFonts w:hint="default" w:ascii="Times New Roman" w:hAnsi="Times New Roman" w:eastAsia="宋体" w:cs="Times New Roman"/>
                <w:color w:val="auto"/>
                <w:lang w:val="zh-CN" w:eastAsia="zh-CN"/>
              </w:rPr>
              <w:t>市境内</w:t>
            </w:r>
            <w:r>
              <w:rPr>
                <w:rFonts w:hint="default" w:ascii="Times New Roman" w:hAnsi="Times New Roman" w:eastAsia="宋体" w:cs="Times New Roman"/>
                <w:color w:val="auto"/>
                <w:lang w:val="en-US" w:eastAsia="zh-CN"/>
              </w:rPr>
              <w:t>，</w:t>
            </w:r>
            <w:r>
              <w:rPr>
                <w:rFonts w:hint="default" w:ascii="Times New Roman" w:hAnsi="Times New Roman" w:eastAsia="宋体" w:cs="Times New Roman"/>
                <w:color w:val="auto"/>
                <w:lang w:val="zh-CN" w:eastAsia="zh-CN"/>
              </w:rPr>
              <w:t>路线起于国道集当公路密山与宝清县交界处，经八五一一农场九队、八五一一农场七队、兴凯镇，止于与国道丹阿公路交叉处，全长16.101公里。</w:t>
            </w:r>
          </w:p>
        </w:tc>
      </w:tr>
      <w:tr w14:paraId="352E95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01" w:hRule="atLeast"/>
          <w:jc w:val="center"/>
        </w:trPr>
        <w:tc>
          <w:tcPr>
            <w:tcW w:w="382" w:type="dxa"/>
            <w:noWrap w:val="0"/>
            <w:vAlign w:val="center"/>
          </w:tcPr>
          <w:p w14:paraId="1725F4EC">
            <w:pPr>
              <w:adjustRightInd w:val="0"/>
              <w:snapToGrid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项目组成及规模</w:t>
            </w:r>
          </w:p>
        </w:tc>
        <w:tc>
          <w:tcPr>
            <w:tcW w:w="8084" w:type="dxa"/>
            <w:noWrap w:val="0"/>
            <w:vAlign w:val="center"/>
          </w:tcPr>
          <w:p w14:paraId="1FB62041">
            <w:pPr>
              <w:pStyle w:val="76"/>
              <w:rPr>
                <w:rFonts w:hint="default" w:ascii="Times New Roman" w:hAnsi="Times New Roman" w:cs="Times New Roman"/>
                <w:color w:val="auto"/>
              </w:rPr>
            </w:pPr>
            <w:r>
              <w:rPr>
                <w:rFonts w:hint="default" w:ascii="Times New Roman" w:hAnsi="Times New Roman" w:cs="Times New Roman"/>
                <w:color w:val="auto"/>
              </w:rPr>
              <w:t>1、项目基本情况</w:t>
            </w:r>
          </w:p>
          <w:p w14:paraId="46EC12D4">
            <w:pPr>
              <w:pStyle w:val="14"/>
              <w:spacing w:before="60" w:after="60" w:line="360" w:lineRule="auto"/>
              <w:ind w:firstLine="480" w:firstLineChars="200"/>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zh-CN" w:eastAsia="zh-CN" w:bidi="ar-SA"/>
              </w:rPr>
              <w:t>国道集贤至当壁公路宝清界至兴凯镇段路面改造工程为普通国道182条联络线中的“G501集贤—当壁”中的一部分，项目所在地为</w:t>
            </w:r>
            <w:r>
              <w:rPr>
                <w:rFonts w:hint="default" w:ascii="Times New Roman" w:hAnsi="Times New Roman" w:eastAsia="宋体" w:cs="Times New Roman"/>
                <w:color w:val="auto"/>
                <w:kern w:val="0"/>
                <w:sz w:val="24"/>
                <w:szCs w:val="24"/>
                <w:lang w:val="en-US" w:eastAsia="zh-CN" w:bidi="ar-SA"/>
              </w:rPr>
              <w:t>鸡西</w:t>
            </w:r>
            <w:r>
              <w:rPr>
                <w:rFonts w:hint="default" w:ascii="Times New Roman" w:hAnsi="Times New Roman" w:eastAsia="宋体" w:cs="Times New Roman"/>
                <w:color w:val="auto"/>
                <w:kern w:val="0"/>
                <w:sz w:val="24"/>
                <w:szCs w:val="24"/>
                <w:lang w:val="zh-CN" w:eastAsia="zh-CN" w:bidi="ar-SA"/>
              </w:rPr>
              <w:t>市</w:t>
            </w:r>
            <w:r>
              <w:rPr>
                <w:rFonts w:hint="default" w:ascii="Times New Roman" w:hAnsi="Times New Roman" w:eastAsia="宋体" w:cs="Times New Roman"/>
                <w:color w:val="auto"/>
                <w:kern w:val="0"/>
                <w:sz w:val="24"/>
                <w:szCs w:val="24"/>
                <w:lang w:val="en-US" w:eastAsia="zh-CN" w:bidi="ar-SA"/>
              </w:rPr>
              <w:t>密山</w:t>
            </w:r>
            <w:r>
              <w:rPr>
                <w:rFonts w:hint="default" w:ascii="Times New Roman" w:hAnsi="Times New Roman" w:eastAsia="宋体" w:cs="Times New Roman"/>
                <w:color w:val="auto"/>
                <w:kern w:val="0"/>
                <w:sz w:val="24"/>
                <w:szCs w:val="24"/>
                <w:lang w:val="zh-CN" w:eastAsia="zh-CN" w:bidi="ar-SA"/>
              </w:rPr>
              <w:t>市境内，</w:t>
            </w:r>
            <w:r>
              <w:rPr>
                <w:rFonts w:hint="default" w:ascii="Times New Roman" w:hAnsi="Times New Roman" w:eastAsia="宋体" w:cs="Times New Roman"/>
                <w:color w:val="auto"/>
                <w:kern w:val="0"/>
                <w:sz w:val="24"/>
                <w:szCs w:val="24"/>
                <w:lang w:val="en-US" w:eastAsia="zh-CN" w:bidi="ar-SA"/>
              </w:rPr>
              <w:t>路线全长16.101公里，本项目原有旧路为水泥混凝土路面，路线起终点均与沥青路面相接，既有水泥路面已出现不同程度的破损，行车噪音大，舒适性差，严重影响了驾乘体验。本工程以路面改造为主，技术标准维持原二级公路技术标准不变。</w:t>
            </w:r>
          </w:p>
          <w:p w14:paraId="33AB0251">
            <w:pPr>
              <w:pStyle w:val="14"/>
              <w:spacing w:before="60" w:after="60" w:line="360" w:lineRule="auto"/>
              <w:ind w:firstLine="480" w:firstLineChars="200"/>
              <w:rPr>
                <w:rFonts w:hint="default" w:ascii="Times New Roman" w:hAnsi="Times New Roman"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bidi="ar-SA"/>
              </w:rPr>
              <w:t>项目名称：</w:t>
            </w:r>
            <w:r>
              <w:rPr>
                <w:rFonts w:hint="default" w:ascii="Times New Roman" w:hAnsi="Times New Roman" w:eastAsia="宋体" w:cs="Times New Roman"/>
                <w:color w:val="auto"/>
                <w:kern w:val="0"/>
                <w:sz w:val="24"/>
                <w:szCs w:val="24"/>
                <w:lang w:val="zh-CN" w:eastAsia="zh-CN" w:bidi="ar-SA"/>
              </w:rPr>
              <w:t>国道集贤至当壁公路宝清界至兴凯镇段路面改造工程</w:t>
            </w:r>
          </w:p>
          <w:p w14:paraId="558EE818">
            <w:pPr>
              <w:ind w:firstLine="480" w:firstLineChars="200"/>
              <w:rPr>
                <w:rFonts w:hint="default" w:ascii="Times New Roman" w:hAnsi="Times New Roman" w:eastAsia="宋体" w:cs="Times New Roman"/>
                <w:color w:val="auto"/>
                <w:sz w:val="28"/>
                <w:szCs w:val="28"/>
                <w:highlight w:val="none"/>
              </w:rPr>
            </w:pPr>
            <w:r>
              <w:rPr>
                <w:rFonts w:hint="default" w:ascii="Times New Roman" w:hAnsi="Times New Roman" w:cs="Times New Roman"/>
                <w:color w:val="auto"/>
                <w:kern w:val="0"/>
                <w:sz w:val="24"/>
                <w:szCs w:val="24"/>
                <w:lang w:val="en-US" w:eastAsia="zh-CN" w:bidi="ar-SA"/>
              </w:rPr>
              <w:t>建设内容：项目</w:t>
            </w:r>
            <w:r>
              <w:rPr>
                <w:rFonts w:hint="default" w:ascii="Times New Roman" w:hAnsi="Times New Roman" w:eastAsia="宋体" w:cs="Times New Roman"/>
                <w:color w:val="auto"/>
                <w:lang w:val="zh-CN" w:eastAsia="zh-CN"/>
              </w:rPr>
              <w:t>路线起于国道集当公路密山与宝清县交界处，经八五一一农场九队、八五一一农场七队、兴凯镇，止于与国道丹阿公路交叉处。</w:t>
            </w:r>
            <w:r>
              <w:rPr>
                <w:rFonts w:hint="default" w:ascii="Times New Roman" w:hAnsi="Times New Roman" w:eastAsia="宋体" w:cs="Times New Roman"/>
                <w:color w:val="auto"/>
                <w:lang w:val="en-US" w:eastAsia="zh-CN"/>
              </w:rPr>
              <w:t>路线</w:t>
            </w:r>
            <w:r>
              <w:rPr>
                <w:rFonts w:hint="default" w:ascii="Times New Roman" w:hAnsi="Times New Roman" w:eastAsia="宋体" w:cs="Times New Roman"/>
                <w:color w:val="auto"/>
                <w:lang w:val="zh-CN" w:eastAsia="zh-CN"/>
              </w:rPr>
              <w:t>全长16.101公里，</w:t>
            </w:r>
            <w:r>
              <w:rPr>
                <w:rFonts w:hint="default" w:ascii="Times New Roman" w:hAnsi="Times New Roman" w:eastAsia="宋体" w:cs="Times New Roman"/>
                <w:color w:val="auto"/>
                <w:kern w:val="0"/>
                <w:sz w:val="24"/>
                <w:szCs w:val="24"/>
                <w:lang w:val="en-US" w:eastAsia="zh-CN" w:bidi="ar-SA"/>
              </w:rPr>
              <w:t>维持原二级公路技术标准不变，</w:t>
            </w:r>
            <w:r>
              <w:rPr>
                <w:rFonts w:hint="default" w:ascii="Times New Roman" w:hAnsi="Times New Roman" w:cs="Times New Roman"/>
                <w:color w:val="auto"/>
              </w:rPr>
              <w:t>设计速度60km/h，全路段采用沥青混凝土路面</w:t>
            </w:r>
            <w:r>
              <w:rPr>
                <w:rFonts w:hint="default" w:ascii="Times New Roman" w:hAnsi="Times New Roman" w:eastAsia="宋体" w:cs="Times New Roman"/>
                <w:color w:val="auto"/>
                <w:lang w:val="zh-CN" w:eastAsia="zh-CN"/>
              </w:rPr>
              <w:t>。</w:t>
            </w:r>
            <w:r>
              <w:rPr>
                <w:rFonts w:hint="default" w:ascii="Times New Roman" w:hAnsi="Times New Roman" w:cs="Times New Roman"/>
                <w:color w:val="auto"/>
                <w:kern w:val="0"/>
                <w:sz w:val="24"/>
                <w:szCs w:val="24"/>
                <w:lang w:val="en-US" w:eastAsia="zh-CN" w:bidi="ar-SA"/>
              </w:rPr>
              <w:t>工程</w:t>
            </w:r>
            <w:r>
              <w:rPr>
                <w:rFonts w:hint="default" w:ascii="Times New Roman" w:hAnsi="Times New Roman" w:eastAsia="宋体" w:cs="Times New Roman"/>
                <w:color w:val="auto"/>
                <w:kern w:val="0"/>
                <w:sz w:val="24"/>
                <w:szCs w:val="24"/>
                <w:lang w:val="en-US" w:eastAsia="zh-CN" w:bidi="ar-SA"/>
              </w:rPr>
              <w:t>内容包括</w:t>
            </w:r>
            <w:r>
              <w:rPr>
                <w:rFonts w:hint="default" w:ascii="Times New Roman" w:hAnsi="Times New Roman" w:cs="Times New Roman"/>
                <w:color w:val="auto"/>
                <w:kern w:val="0"/>
                <w:sz w:val="24"/>
                <w:szCs w:val="24"/>
                <w:lang w:val="en-US" w:eastAsia="zh-CN" w:bidi="ar-SA"/>
              </w:rPr>
              <w:t>沥青混凝土路面143216平方米，拆除重建涵洞9道，维修平面交叉54 处，设置标志406架、标线14904平方米、路侧护栏3150米、道口标柱108根。</w:t>
            </w:r>
          </w:p>
          <w:p w14:paraId="17D4FAF0">
            <w:pPr>
              <w:pStyle w:val="76"/>
              <w:keepNext w:val="0"/>
              <w:keepLines w:val="0"/>
              <w:pageBreakBefore w:val="0"/>
              <w:widowControl w:val="0"/>
              <w:kinsoku/>
              <w:wordWrap/>
              <w:overflowPunct/>
              <w:topLinePunct w:val="0"/>
              <w:autoSpaceDE/>
              <w:autoSpaceDN/>
              <w:bidi w:val="0"/>
              <w:adjustRightInd/>
              <w:snapToGrid w:val="0"/>
              <w:spacing w:line="360" w:lineRule="auto"/>
              <w:textAlignment w:val="auto"/>
              <w:rPr>
                <w:rFonts w:hint="default" w:ascii="Times New Roman" w:hAnsi="Times New Roman" w:cs="Times New Roman"/>
                <w:color w:val="auto"/>
              </w:rPr>
            </w:pPr>
            <w:r>
              <w:rPr>
                <w:rFonts w:hint="default" w:ascii="Times New Roman" w:hAnsi="Times New Roman" w:cs="Times New Roman"/>
                <w:color w:val="auto"/>
              </w:rPr>
              <w:t>主要建设内容及规模详见表2-1。</w:t>
            </w:r>
          </w:p>
          <w:p w14:paraId="245BA169">
            <w:pPr>
              <w:pStyle w:val="72"/>
              <w:spacing w:line="240" w:lineRule="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表2-1  主要工程内容表</w:t>
            </w:r>
          </w:p>
          <w:tbl>
            <w:tblPr>
              <w:tblStyle w:val="3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
              <w:gridCol w:w="693"/>
              <w:gridCol w:w="962"/>
              <w:gridCol w:w="1113"/>
              <w:gridCol w:w="1187"/>
              <w:gridCol w:w="1138"/>
              <w:gridCol w:w="1106"/>
              <w:gridCol w:w="1240"/>
            </w:tblGrid>
            <w:tr w14:paraId="35077C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1" w:type="pct"/>
                  <w:gridSpan w:val="2"/>
                  <w:vMerge w:val="restart"/>
                  <w:noWrap w:val="0"/>
                  <w:vAlign w:val="center"/>
                </w:tcPr>
                <w:p w14:paraId="28F5E3EB">
                  <w:pPr>
                    <w:pStyle w:val="80"/>
                    <w:rPr>
                      <w:rFonts w:hint="default" w:ascii="Times New Roman" w:hAnsi="Times New Roman" w:cs="Times New Roman"/>
                      <w:color w:val="auto"/>
                    </w:rPr>
                  </w:pPr>
                  <w:r>
                    <w:rPr>
                      <w:rFonts w:hint="default" w:ascii="Times New Roman" w:hAnsi="Times New Roman" w:cs="Times New Roman"/>
                      <w:color w:val="auto"/>
                    </w:rPr>
                    <w:t>项目</w:t>
                  </w:r>
                </w:p>
              </w:tc>
              <w:tc>
                <w:tcPr>
                  <w:tcW w:w="611" w:type="pct"/>
                  <w:vMerge w:val="restart"/>
                  <w:noWrap w:val="0"/>
                  <w:vAlign w:val="center"/>
                </w:tcPr>
                <w:p w14:paraId="362418D2">
                  <w:pPr>
                    <w:pStyle w:val="80"/>
                    <w:rPr>
                      <w:rFonts w:hint="default" w:ascii="Times New Roman" w:hAnsi="Times New Roman" w:cs="Times New Roman"/>
                      <w:color w:val="auto"/>
                    </w:rPr>
                  </w:pPr>
                  <w:r>
                    <w:rPr>
                      <w:rFonts w:hint="default" w:ascii="Times New Roman" w:hAnsi="Times New Roman" w:cs="Times New Roman"/>
                      <w:color w:val="auto"/>
                    </w:rPr>
                    <w:t>工程</w:t>
                  </w:r>
                </w:p>
                <w:p w14:paraId="7A28D515">
                  <w:pPr>
                    <w:pStyle w:val="80"/>
                    <w:rPr>
                      <w:rFonts w:hint="default" w:ascii="Times New Roman" w:hAnsi="Times New Roman" w:cs="Times New Roman"/>
                      <w:color w:val="auto"/>
                    </w:rPr>
                  </w:pPr>
                  <w:r>
                    <w:rPr>
                      <w:rFonts w:hint="default" w:ascii="Times New Roman" w:hAnsi="Times New Roman" w:cs="Times New Roman"/>
                      <w:color w:val="auto"/>
                    </w:rPr>
                    <w:t>内容</w:t>
                  </w:r>
                </w:p>
              </w:tc>
              <w:tc>
                <w:tcPr>
                  <w:tcW w:w="2888" w:type="pct"/>
                  <w:gridSpan w:val="4"/>
                  <w:noWrap w:val="0"/>
                  <w:vAlign w:val="center"/>
                </w:tcPr>
                <w:p w14:paraId="7E0BB2BF">
                  <w:pPr>
                    <w:pStyle w:val="80"/>
                    <w:rPr>
                      <w:rFonts w:hint="default" w:ascii="Times New Roman" w:hAnsi="Times New Roman" w:cs="Times New Roman"/>
                      <w:color w:val="auto"/>
                    </w:rPr>
                  </w:pPr>
                  <w:r>
                    <w:rPr>
                      <w:rFonts w:hint="default" w:ascii="Times New Roman" w:hAnsi="Times New Roman" w:cs="Times New Roman"/>
                      <w:color w:val="auto"/>
                    </w:rPr>
                    <w:t>建设规模</w:t>
                  </w:r>
                </w:p>
              </w:tc>
              <w:tc>
                <w:tcPr>
                  <w:tcW w:w="788" w:type="pct"/>
                  <w:vMerge w:val="restart"/>
                  <w:noWrap w:val="0"/>
                  <w:vAlign w:val="center"/>
                </w:tcPr>
                <w:p w14:paraId="5C76CBE2">
                  <w:pPr>
                    <w:pStyle w:val="80"/>
                    <w:rPr>
                      <w:rFonts w:hint="default" w:ascii="Times New Roman" w:hAnsi="Times New Roman" w:cs="Times New Roman"/>
                      <w:color w:val="auto"/>
                    </w:rPr>
                  </w:pPr>
                  <w:r>
                    <w:rPr>
                      <w:rFonts w:hint="default" w:ascii="Times New Roman" w:hAnsi="Times New Roman" w:cs="Times New Roman"/>
                      <w:color w:val="auto"/>
                    </w:rPr>
                    <w:t>备注</w:t>
                  </w:r>
                </w:p>
              </w:tc>
            </w:tr>
            <w:tr w14:paraId="6404EA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711" w:type="pct"/>
                  <w:gridSpan w:val="2"/>
                  <w:vMerge w:val="continue"/>
                  <w:noWrap w:val="0"/>
                  <w:vAlign w:val="center"/>
                </w:tcPr>
                <w:p w14:paraId="0629C6D0">
                  <w:pPr>
                    <w:pStyle w:val="80"/>
                    <w:rPr>
                      <w:rFonts w:hint="default" w:ascii="Times New Roman" w:hAnsi="Times New Roman" w:cs="Times New Roman"/>
                      <w:color w:val="auto"/>
                    </w:rPr>
                  </w:pPr>
                </w:p>
              </w:tc>
              <w:tc>
                <w:tcPr>
                  <w:tcW w:w="611" w:type="pct"/>
                  <w:vMerge w:val="continue"/>
                  <w:noWrap w:val="0"/>
                  <w:vAlign w:val="center"/>
                </w:tcPr>
                <w:p w14:paraId="180EE8A5">
                  <w:pPr>
                    <w:pStyle w:val="80"/>
                    <w:rPr>
                      <w:rFonts w:hint="default" w:ascii="Times New Roman" w:hAnsi="Times New Roman" w:cs="Times New Roman"/>
                      <w:color w:val="auto"/>
                    </w:rPr>
                  </w:pPr>
                </w:p>
              </w:tc>
              <w:tc>
                <w:tcPr>
                  <w:tcW w:w="1462" w:type="pct"/>
                  <w:gridSpan w:val="2"/>
                  <w:noWrap w:val="0"/>
                  <w:vAlign w:val="center"/>
                </w:tcPr>
                <w:p w14:paraId="5D288B0D">
                  <w:pPr>
                    <w:pStyle w:val="80"/>
                    <w:rPr>
                      <w:rFonts w:hint="default" w:ascii="Times New Roman" w:hAnsi="Times New Roman" w:cs="Times New Roman"/>
                      <w:color w:val="auto"/>
                    </w:rPr>
                  </w:pPr>
                  <w:r>
                    <w:rPr>
                      <w:rFonts w:hint="default" w:ascii="Times New Roman" w:hAnsi="Times New Roman" w:cs="Times New Roman"/>
                      <w:color w:val="auto"/>
                    </w:rPr>
                    <w:t>改建前</w:t>
                  </w:r>
                </w:p>
              </w:tc>
              <w:tc>
                <w:tcPr>
                  <w:tcW w:w="1426" w:type="pct"/>
                  <w:gridSpan w:val="2"/>
                  <w:noWrap w:val="0"/>
                  <w:vAlign w:val="center"/>
                </w:tcPr>
                <w:p w14:paraId="7E969C3C">
                  <w:pPr>
                    <w:pStyle w:val="80"/>
                    <w:rPr>
                      <w:rFonts w:hint="default" w:ascii="Times New Roman" w:hAnsi="Times New Roman" w:cs="Times New Roman"/>
                      <w:color w:val="auto"/>
                    </w:rPr>
                  </w:pPr>
                  <w:r>
                    <w:rPr>
                      <w:rFonts w:hint="default" w:ascii="Times New Roman" w:hAnsi="Times New Roman" w:cs="Times New Roman"/>
                      <w:color w:val="auto"/>
                    </w:rPr>
                    <w:t>改建后</w:t>
                  </w:r>
                </w:p>
              </w:tc>
              <w:tc>
                <w:tcPr>
                  <w:tcW w:w="788" w:type="pct"/>
                  <w:vMerge w:val="continue"/>
                  <w:noWrap w:val="0"/>
                  <w:vAlign w:val="center"/>
                </w:tcPr>
                <w:p w14:paraId="297E68DA">
                  <w:pPr>
                    <w:pStyle w:val="80"/>
                    <w:rPr>
                      <w:rFonts w:hint="default" w:ascii="Times New Roman" w:hAnsi="Times New Roman" w:cs="Times New Roman"/>
                      <w:color w:val="auto"/>
                    </w:rPr>
                  </w:pPr>
                </w:p>
              </w:tc>
            </w:tr>
            <w:tr w14:paraId="3BA66A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noWrap w:val="0"/>
                  <w:vAlign w:val="center"/>
                </w:tcPr>
                <w:p w14:paraId="2F6CC276">
                  <w:pPr>
                    <w:pStyle w:val="80"/>
                    <w:rPr>
                      <w:rFonts w:hint="default" w:ascii="Times New Roman" w:hAnsi="Times New Roman" w:cs="Times New Roman"/>
                      <w:color w:val="auto"/>
                    </w:rPr>
                  </w:pPr>
                  <w:r>
                    <w:rPr>
                      <w:rFonts w:hint="default" w:ascii="Times New Roman" w:hAnsi="Times New Roman" w:cs="Times New Roman"/>
                      <w:color w:val="auto"/>
                    </w:rPr>
                    <w:t>主体工程</w:t>
                  </w:r>
                </w:p>
              </w:tc>
              <w:tc>
                <w:tcPr>
                  <w:tcW w:w="440" w:type="pct"/>
                  <w:vMerge w:val="restart"/>
                  <w:noWrap w:val="0"/>
                  <w:vAlign w:val="center"/>
                </w:tcPr>
                <w:p w14:paraId="1310BBA1">
                  <w:pPr>
                    <w:pStyle w:val="80"/>
                    <w:rPr>
                      <w:rFonts w:hint="default" w:ascii="Times New Roman" w:hAnsi="Times New Roman" w:cs="Times New Roman"/>
                      <w:color w:val="auto"/>
                    </w:rPr>
                  </w:pPr>
                  <w:r>
                    <w:rPr>
                      <w:rFonts w:hint="default" w:ascii="Times New Roman" w:hAnsi="Times New Roman" w:cs="Times New Roman"/>
                      <w:color w:val="auto"/>
                    </w:rPr>
                    <w:t>路基</w:t>
                  </w:r>
                </w:p>
                <w:p w14:paraId="065D9BFD">
                  <w:pPr>
                    <w:pStyle w:val="80"/>
                    <w:rPr>
                      <w:rFonts w:hint="default" w:ascii="Times New Roman" w:hAnsi="Times New Roman" w:cs="Times New Roman"/>
                      <w:color w:val="auto"/>
                    </w:rPr>
                  </w:pPr>
                  <w:r>
                    <w:rPr>
                      <w:rFonts w:hint="default" w:ascii="Times New Roman" w:hAnsi="Times New Roman" w:cs="Times New Roman"/>
                      <w:color w:val="auto"/>
                    </w:rPr>
                    <w:t>工程</w:t>
                  </w:r>
                </w:p>
              </w:tc>
              <w:tc>
                <w:tcPr>
                  <w:tcW w:w="611" w:type="pct"/>
                  <w:noWrap w:val="0"/>
                  <w:vAlign w:val="center"/>
                </w:tcPr>
                <w:p w14:paraId="0851DAFE">
                  <w:pPr>
                    <w:pStyle w:val="8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建设</w:t>
                  </w:r>
                </w:p>
                <w:p w14:paraId="67165C87">
                  <w:pPr>
                    <w:pStyle w:val="8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长度</w:t>
                  </w:r>
                </w:p>
              </w:tc>
              <w:tc>
                <w:tcPr>
                  <w:tcW w:w="1462" w:type="pct"/>
                  <w:gridSpan w:val="2"/>
                  <w:noWrap w:val="0"/>
                  <w:vAlign w:val="center"/>
                </w:tcPr>
                <w:p w14:paraId="0CAB8831">
                  <w:pPr>
                    <w:pStyle w:val="8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zh-CN" w:eastAsia="zh-CN"/>
                    </w:rPr>
                    <w:t>16.101</w:t>
                  </w:r>
                  <w:r>
                    <w:rPr>
                      <w:rFonts w:hint="default" w:ascii="Times New Roman" w:hAnsi="Times New Roman" w:eastAsia="宋体" w:cs="Times New Roman"/>
                      <w:color w:val="auto"/>
                      <w:sz w:val="21"/>
                      <w:szCs w:val="21"/>
                    </w:rPr>
                    <w:t>km</w:t>
                  </w:r>
                </w:p>
              </w:tc>
              <w:tc>
                <w:tcPr>
                  <w:tcW w:w="1426" w:type="pct"/>
                  <w:gridSpan w:val="2"/>
                  <w:noWrap w:val="0"/>
                  <w:vAlign w:val="center"/>
                </w:tcPr>
                <w:p w14:paraId="5C88FB2C">
                  <w:pPr>
                    <w:pStyle w:val="80"/>
                    <w:rPr>
                      <w:rFonts w:hint="default" w:ascii="Times New Roman" w:hAnsi="Times New Roman" w:cs="Times New Roman"/>
                      <w:color w:val="auto"/>
                      <w:lang w:val="en-US"/>
                    </w:rPr>
                  </w:pPr>
                  <w:r>
                    <w:rPr>
                      <w:rFonts w:hint="default" w:ascii="Times New Roman" w:hAnsi="Times New Roman" w:eastAsia="宋体" w:cs="Times New Roman"/>
                      <w:color w:val="auto"/>
                      <w:lang w:val="zh-CN" w:eastAsia="zh-CN"/>
                    </w:rPr>
                    <w:t>16.101</w:t>
                  </w:r>
                  <w:r>
                    <w:rPr>
                      <w:rFonts w:hint="default" w:ascii="Times New Roman" w:hAnsi="Times New Roman" w:cs="Times New Roman"/>
                      <w:color w:val="auto"/>
                    </w:rPr>
                    <w:t>km</w:t>
                  </w:r>
                </w:p>
              </w:tc>
              <w:tc>
                <w:tcPr>
                  <w:tcW w:w="788" w:type="pct"/>
                  <w:vMerge w:val="restart"/>
                  <w:noWrap w:val="0"/>
                  <w:vAlign w:val="center"/>
                </w:tcPr>
                <w:p w14:paraId="025C0167">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lang w:val="en-US" w:eastAsia="zh-CN"/>
                    </w:rPr>
                    <w:t>不变</w:t>
                  </w:r>
                </w:p>
              </w:tc>
            </w:tr>
            <w:tr w14:paraId="10FB01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1B04271">
                  <w:pPr>
                    <w:pStyle w:val="80"/>
                    <w:rPr>
                      <w:rFonts w:hint="default" w:ascii="Times New Roman" w:hAnsi="Times New Roman" w:cs="Times New Roman"/>
                      <w:color w:val="auto"/>
                    </w:rPr>
                  </w:pPr>
                </w:p>
              </w:tc>
              <w:tc>
                <w:tcPr>
                  <w:tcW w:w="440" w:type="pct"/>
                  <w:vMerge w:val="continue"/>
                  <w:noWrap w:val="0"/>
                  <w:vAlign w:val="center"/>
                </w:tcPr>
                <w:p w14:paraId="1E711178">
                  <w:pPr>
                    <w:pStyle w:val="80"/>
                    <w:rPr>
                      <w:rFonts w:hint="default" w:ascii="Times New Roman" w:hAnsi="Times New Roman" w:cs="Times New Roman"/>
                      <w:color w:val="auto"/>
                    </w:rPr>
                  </w:pPr>
                </w:p>
              </w:tc>
              <w:tc>
                <w:tcPr>
                  <w:tcW w:w="611" w:type="pct"/>
                  <w:noWrap w:val="0"/>
                  <w:vAlign w:val="center"/>
                </w:tcPr>
                <w:p w14:paraId="1878D42F">
                  <w:pPr>
                    <w:pStyle w:val="8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起讫</w:t>
                  </w:r>
                </w:p>
                <w:p w14:paraId="19F22E4F">
                  <w:pPr>
                    <w:pStyle w:val="8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桩号</w:t>
                  </w:r>
                </w:p>
              </w:tc>
              <w:tc>
                <w:tcPr>
                  <w:tcW w:w="707" w:type="pct"/>
                  <w:noWrap w:val="0"/>
                  <w:vAlign w:val="center"/>
                </w:tcPr>
                <w:p w14:paraId="614ECE42">
                  <w:pPr>
                    <w:pStyle w:val="80"/>
                    <w:outlineLvl w:val="9"/>
                    <w:rPr>
                      <w:rFonts w:hint="default" w:ascii="Times New Roman" w:hAnsi="Times New Roman" w:eastAsia="宋体" w:cs="Times New Roman"/>
                      <w:bCs/>
                      <w:color w:val="auto"/>
                      <w:spacing w:val="-6"/>
                      <w:sz w:val="21"/>
                      <w:szCs w:val="21"/>
                    </w:rPr>
                  </w:pPr>
                  <w:r>
                    <w:rPr>
                      <w:rFonts w:hint="default" w:ascii="Times New Roman" w:hAnsi="Times New Roman" w:eastAsia="宋体" w:cs="Times New Roman"/>
                      <w:bCs/>
                      <w:color w:val="auto"/>
                      <w:spacing w:val="-6"/>
                      <w:kern w:val="0"/>
                      <w:sz w:val="21"/>
                      <w:szCs w:val="21"/>
                    </w:rPr>
                    <w:t>K186+282</w:t>
                  </w:r>
                </w:p>
              </w:tc>
              <w:tc>
                <w:tcPr>
                  <w:tcW w:w="754" w:type="pct"/>
                  <w:noWrap w:val="0"/>
                  <w:vAlign w:val="center"/>
                </w:tcPr>
                <w:p w14:paraId="2CB42673">
                  <w:pPr>
                    <w:pStyle w:val="80"/>
                    <w:outlineLvl w:val="9"/>
                    <w:rPr>
                      <w:rFonts w:hint="default" w:ascii="Times New Roman" w:hAnsi="Times New Roman" w:eastAsia="宋体" w:cs="Times New Roman"/>
                      <w:bCs/>
                      <w:color w:val="auto"/>
                      <w:spacing w:val="-6"/>
                      <w:sz w:val="21"/>
                      <w:szCs w:val="21"/>
                      <w:lang w:val="en-US" w:eastAsia="zh-CN"/>
                    </w:rPr>
                  </w:pPr>
                  <w:r>
                    <w:rPr>
                      <w:rFonts w:hint="default" w:ascii="Times New Roman" w:hAnsi="Times New Roman" w:eastAsia="宋体" w:cs="Times New Roman"/>
                      <w:bCs/>
                      <w:color w:val="auto"/>
                      <w:spacing w:val="-6"/>
                      <w:kern w:val="0"/>
                      <w:sz w:val="21"/>
                      <w:szCs w:val="21"/>
                    </w:rPr>
                    <w:t>K202+38</w:t>
                  </w:r>
                  <w:r>
                    <w:rPr>
                      <w:rFonts w:hint="default" w:ascii="Times New Roman" w:hAnsi="Times New Roman" w:eastAsia="宋体" w:cs="Times New Roman"/>
                      <w:bCs/>
                      <w:color w:val="auto"/>
                      <w:spacing w:val="-6"/>
                      <w:kern w:val="0"/>
                      <w:sz w:val="21"/>
                      <w:szCs w:val="21"/>
                      <w:lang w:val="en-US" w:eastAsia="zh-CN"/>
                    </w:rPr>
                    <w:t>3</w:t>
                  </w:r>
                </w:p>
              </w:tc>
              <w:tc>
                <w:tcPr>
                  <w:tcW w:w="723" w:type="pct"/>
                  <w:shd w:val="clear" w:color="auto" w:fill="auto"/>
                  <w:noWrap w:val="0"/>
                  <w:vAlign w:val="center"/>
                </w:tcPr>
                <w:p w14:paraId="442E0584">
                  <w:pPr>
                    <w:pStyle w:val="80"/>
                    <w:outlineLvl w:val="9"/>
                    <w:rPr>
                      <w:rFonts w:hint="default" w:ascii="Times New Roman" w:hAnsi="Times New Roman" w:eastAsia="宋体" w:cs="Times New Roman"/>
                      <w:b w:val="0"/>
                      <w:bCs/>
                      <w:snapToGrid w:val="0"/>
                      <w:color w:val="auto"/>
                      <w:spacing w:val="-6"/>
                      <w:kern w:val="2"/>
                      <w:sz w:val="21"/>
                      <w:szCs w:val="21"/>
                      <w:lang w:val="zh-CN" w:eastAsia="zh-CN" w:bidi="ar-SA"/>
                    </w:rPr>
                  </w:pPr>
                  <w:r>
                    <w:rPr>
                      <w:rFonts w:hint="default" w:ascii="Times New Roman" w:hAnsi="Times New Roman" w:eastAsia="宋体" w:cs="Times New Roman"/>
                      <w:bCs/>
                      <w:color w:val="auto"/>
                      <w:spacing w:val="-6"/>
                      <w:kern w:val="0"/>
                      <w:sz w:val="21"/>
                      <w:szCs w:val="21"/>
                    </w:rPr>
                    <w:t>K186+282</w:t>
                  </w:r>
                </w:p>
              </w:tc>
              <w:tc>
                <w:tcPr>
                  <w:tcW w:w="703" w:type="pct"/>
                  <w:shd w:val="clear" w:color="auto" w:fill="auto"/>
                  <w:noWrap w:val="0"/>
                  <w:vAlign w:val="center"/>
                </w:tcPr>
                <w:p w14:paraId="1175F578">
                  <w:pPr>
                    <w:pStyle w:val="80"/>
                    <w:outlineLvl w:val="9"/>
                    <w:rPr>
                      <w:rFonts w:hint="default" w:ascii="Times New Roman" w:hAnsi="Times New Roman" w:eastAsia="宋体" w:cs="Times New Roman"/>
                      <w:b w:val="0"/>
                      <w:bCs/>
                      <w:snapToGrid w:val="0"/>
                      <w:color w:val="auto"/>
                      <w:spacing w:val="-6"/>
                      <w:kern w:val="2"/>
                      <w:sz w:val="21"/>
                      <w:szCs w:val="21"/>
                      <w:lang w:val="zh-CN" w:eastAsia="zh-CN" w:bidi="ar-SA"/>
                    </w:rPr>
                  </w:pPr>
                  <w:r>
                    <w:rPr>
                      <w:rFonts w:hint="default" w:ascii="Times New Roman" w:hAnsi="Times New Roman" w:eastAsia="宋体" w:cs="Times New Roman"/>
                      <w:bCs/>
                      <w:color w:val="auto"/>
                      <w:spacing w:val="-6"/>
                      <w:kern w:val="0"/>
                      <w:sz w:val="21"/>
                      <w:szCs w:val="21"/>
                    </w:rPr>
                    <w:t>K202+38</w:t>
                  </w:r>
                  <w:r>
                    <w:rPr>
                      <w:rFonts w:hint="default" w:ascii="Times New Roman" w:hAnsi="Times New Roman" w:eastAsia="宋体" w:cs="Times New Roman"/>
                      <w:bCs/>
                      <w:color w:val="auto"/>
                      <w:spacing w:val="-6"/>
                      <w:kern w:val="0"/>
                      <w:sz w:val="21"/>
                      <w:szCs w:val="21"/>
                      <w:lang w:val="en-US" w:eastAsia="zh-CN"/>
                    </w:rPr>
                    <w:t>3</w:t>
                  </w:r>
                </w:p>
              </w:tc>
              <w:tc>
                <w:tcPr>
                  <w:tcW w:w="788" w:type="pct"/>
                  <w:vMerge w:val="continue"/>
                  <w:noWrap w:val="0"/>
                  <w:vAlign w:val="center"/>
                </w:tcPr>
                <w:p w14:paraId="50802E12">
                  <w:pPr>
                    <w:pStyle w:val="80"/>
                    <w:rPr>
                      <w:rFonts w:hint="default" w:ascii="Times New Roman" w:hAnsi="Times New Roman" w:cs="Times New Roman"/>
                      <w:color w:val="auto"/>
                    </w:rPr>
                  </w:pPr>
                </w:p>
              </w:tc>
            </w:tr>
            <w:tr w14:paraId="4E87C3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7BF47437">
                  <w:pPr>
                    <w:pStyle w:val="80"/>
                    <w:rPr>
                      <w:rFonts w:hint="default" w:ascii="Times New Roman" w:hAnsi="Times New Roman" w:cs="Times New Roman"/>
                      <w:color w:val="auto"/>
                    </w:rPr>
                  </w:pPr>
                </w:p>
              </w:tc>
              <w:tc>
                <w:tcPr>
                  <w:tcW w:w="440" w:type="pct"/>
                  <w:vMerge w:val="continue"/>
                  <w:noWrap w:val="0"/>
                  <w:vAlign w:val="center"/>
                </w:tcPr>
                <w:p w14:paraId="63041644">
                  <w:pPr>
                    <w:pStyle w:val="80"/>
                    <w:rPr>
                      <w:rFonts w:hint="default" w:ascii="Times New Roman" w:hAnsi="Times New Roman" w:cs="Times New Roman"/>
                      <w:color w:val="auto"/>
                    </w:rPr>
                  </w:pPr>
                </w:p>
              </w:tc>
              <w:tc>
                <w:tcPr>
                  <w:tcW w:w="611" w:type="pct"/>
                  <w:noWrap w:val="0"/>
                  <w:vAlign w:val="center"/>
                </w:tcPr>
                <w:p w14:paraId="5DE21005">
                  <w:pPr>
                    <w:pStyle w:val="80"/>
                    <w:rPr>
                      <w:rFonts w:hint="default" w:ascii="Times New Roman" w:hAnsi="Times New Roman" w:cs="Times New Roman"/>
                      <w:color w:val="auto"/>
                    </w:rPr>
                  </w:pPr>
                  <w:r>
                    <w:rPr>
                      <w:rFonts w:hint="default" w:ascii="Times New Roman" w:hAnsi="Times New Roman" w:cs="Times New Roman"/>
                      <w:color w:val="auto"/>
                    </w:rPr>
                    <w:t>路面</w:t>
                  </w:r>
                </w:p>
                <w:p w14:paraId="21A28CDC">
                  <w:pPr>
                    <w:pStyle w:val="80"/>
                    <w:rPr>
                      <w:rFonts w:hint="default" w:ascii="Times New Roman" w:hAnsi="Times New Roman" w:cs="Times New Roman"/>
                      <w:color w:val="auto"/>
                    </w:rPr>
                  </w:pPr>
                  <w:r>
                    <w:rPr>
                      <w:rFonts w:hint="default" w:ascii="Times New Roman" w:hAnsi="Times New Roman" w:cs="Times New Roman"/>
                      <w:color w:val="auto"/>
                    </w:rPr>
                    <w:t>宽度</w:t>
                  </w:r>
                </w:p>
              </w:tc>
              <w:tc>
                <w:tcPr>
                  <w:tcW w:w="707" w:type="pct"/>
                  <w:noWrap w:val="0"/>
                  <w:vAlign w:val="center"/>
                </w:tcPr>
                <w:p w14:paraId="031E5A5E">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8.5</w:t>
                  </w:r>
                  <w:r>
                    <w:rPr>
                      <w:rFonts w:hint="default" w:ascii="Times New Roman" w:hAnsi="Times New Roman" w:cs="Times New Roman"/>
                      <w:color w:val="auto"/>
                    </w:rPr>
                    <w:t>m</w:t>
                  </w:r>
                </w:p>
              </w:tc>
              <w:tc>
                <w:tcPr>
                  <w:tcW w:w="754" w:type="pct"/>
                  <w:noWrap w:val="0"/>
                  <w:vAlign w:val="center"/>
                </w:tcPr>
                <w:p w14:paraId="6EA768A6">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8.5</w:t>
                  </w:r>
                  <w:r>
                    <w:rPr>
                      <w:rFonts w:hint="default" w:ascii="Times New Roman" w:hAnsi="Times New Roman" w:cs="Times New Roman"/>
                      <w:color w:val="auto"/>
                    </w:rPr>
                    <w:t>m</w:t>
                  </w:r>
                </w:p>
              </w:tc>
              <w:tc>
                <w:tcPr>
                  <w:tcW w:w="723" w:type="pct"/>
                  <w:noWrap w:val="0"/>
                  <w:vAlign w:val="center"/>
                </w:tcPr>
                <w:p w14:paraId="43CA05A9">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8.5</w:t>
                  </w:r>
                  <w:r>
                    <w:rPr>
                      <w:rFonts w:hint="default" w:ascii="Times New Roman" w:hAnsi="Times New Roman" w:cs="Times New Roman"/>
                      <w:color w:val="auto"/>
                    </w:rPr>
                    <w:t>m</w:t>
                  </w:r>
                </w:p>
              </w:tc>
              <w:tc>
                <w:tcPr>
                  <w:tcW w:w="703" w:type="pct"/>
                  <w:noWrap w:val="0"/>
                  <w:vAlign w:val="center"/>
                </w:tcPr>
                <w:p w14:paraId="4D82FC56">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8.5</w:t>
                  </w:r>
                  <w:r>
                    <w:rPr>
                      <w:rFonts w:hint="default" w:ascii="Times New Roman" w:hAnsi="Times New Roman" w:cs="Times New Roman"/>
                      <w:color w:val="auto"/>
                    </w:rPr>
                    <w:t>m</w:t>
                  </w:r>
                </w:p>
              </w:tc>
              <w:tc>
                <w:tcPr>
                  <w:tcW w:w="788" w:type="pct"/>
                  <w:noWrap w:val="0"/>
                  <w:vAlign w:val="center"/>
                </w:tcPr>
                <w:p w14:paraId="34C50210">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不变</w:t>
                  </w:r>
                </w:p>
              </w:tc>
            </w:tr>
            <w:tr w14:paraId="2089AF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4B64B4CC">
                  <w:pPr>
                    <w:pStyle w:val="80"/>
                    <w:rPr>
                      <w:rFonts w:hint="default" w:ascii="Times New Roman" w:hAnsi="Times New Roman" w:cs="Times New Roman"/>
                      <w:color w:val="auto"/>
                    </w:rPr>
                  </w:pPr>
                </w:p>
              </w:tc>
              <w:tc>
                <w:tcPr>
                  <w:tcW w:w="440" w:type="pct"/>
                  <w:vMerge w:val="continue"/>
                  <w:noWrap w:val="0"/>
                  <w:vAlign w:val="center"/>
                </w:tcPr>
                <w:p w14:paraId="3B2A6D19">
                  <w:pPr>
                    <w:pStyle w:val="80"/>
                    <w:rPr>
                      <w:rFonts w:hint="default" w:ascii="Times New Roman" w:hAnsi="Times New Roman" w:cs="Times New Roman"/>
                      <w:color w:val="auto"/>
                    </w:rPr>
                  </w:pPr>
                </w:p>
              </w:tc>
              <w:tc>
                <w:tcPr>
                  <w:tcW w:w="611" w:type="pct"/>
                  <w:noWrap w:val="0"/>
                  <w:vAlign w:val="center"/>
                </w:tcPr>
                <w:p w14:paraId="4DF85854">
                  <w:pPr>
                    <w:pStyle w:val="80"/>
                    <w:rPr>
                      <w:rFonts w:hint="default" w:ascii="Times New Roman" w:hAnsi="Times New Roman" w:cs="Times New Roman"/>
                      <w:color w:val="auto"/>
                    </w:rPr>
                  </w:pPr>
                  <w:r>
                    <w:rPr>
                      <w:rFonts w:hint="default" w:ascii="Times New Roman" w:hAnsi="Times New Roman" w:cs="Times New Roman"/>
                      <w:color w:val="auto"/>
                    </w:rPr>
                    <w:t>路基</w:t>
                  </w:r>
                </w:p>
                <w:p w14:paraId="5FED218B">
                  <w:pPr>
                    <w:pStyle w:val="80"/>
                    <w:rPr>
                      <w:rFonts w:hint="default" w:ascii="Times New Roman" w:hAnsi="Times New Roman" w:cs="Times New Roman"/>
                      <w:color w:val="auto"/>
                    </w:rPr>
                  </w:pPr>
                  <w:r>
                    <w:rPr>
                      <w:rFonts w:hint="default" w:ascii="Times New Roman" w:hAnsi="Times New Roman" w:cs="Times New Roman"/>
                      <w:color w:val="auto"/>
                    </w:rPr>
                    <w:t>宽度</w:t>
                  </w:r>
                </w:p>
              </w:tc>
              <w:tc>
                <w:tcPr>
                  <w:tcW w:w="707" w:type="pct"/>
                  <w:noWrap w:val="0"/>
                  <w:vAlign w:val="center"/>
                </w:tcPr>
                <w:p w14:paraId="31659831">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10.5</w:t>
                  </w:r>
                  <w:r>
                    <w:rPr>
                      <w:rFonts w:hint="default" w:ascii="Times New Roman" w:hAnsi="Times New Roman" w:cs="Times New Roman"/>
                      <w:color w:val="auto"/>
                    </w:rPr>
                    <w:t>m</w:t>
                  </w:r>
                </w:p>
              </w:tc>
              <w:tc>
                <w:tcPr>
                  <w:tcW w:w="754" w:type="pct"/>
                  <w:noWrap w:val="0"/>
                  <w:vAlign w:val="center"/>
                </w:tcPr>
                <w:p w14:paraId="28BB0C21">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10.5</w:t>
                  </w:r>
                  <w:r>
                    <w:rPr>
                      <w:rFonts w:hint="default" w:ascii="Times New Roman" w:hAnsi="Times New Roman" w:cs="Times New Roman"/>
                      <w:color w:val="auto"/>
                    </w:rPr>
                    <w:t>m</w:t>
                  </w:r>
                </w:p>
              </w:tc>
              <w:tc>
                <w:tcPr>
                  <w:tcW w:w="723" w:type="pct"/>
                  <w:noWrap w:val="0"/>
                  <w:vAlign w:val="center"/>
                </w:tcPr>
                <w:p w14:paraId="63D7F62D">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10.5</w:t>
                  </w:r>
                  <w:r>
                    <w:rPr>
                      <w:rFonts w:hint="default" w:ascii="Times New Roman" w:hAnsi="Times New Roman" w:cs="Times New Roman"/>
                      <w:color w:val="auto"/>
                    </w:rPr>
                    <w:t>m</w:t>
                  </w:r>
                </w:p>
              </w:tc>
              <w:tc>
                <w:tcPr>
                  <w:tcW w:w="703" w:type="pct"/>
                  <w:noWrap w:val="0"/>
                  <w:vAlign w:val="center"/>
                </w:tcPr>
                <w:p w14:paraId="241E6A0C">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10.5</w:t>
                  </w:r>
                  <w:r>
                    <w:rPr>
                      <w:rFonts w:hint="default" w:ascii="Times New Roman" w:hAnsi="Times New Roman" w:cs="Times New Roman"/>
                      <w:color w:val="auto"/>
                    </w:rPr>
                    <w:t>m</w:t>
                  </w:r>
                </w:p>
              </w:tc>
              <w:tc>
                <w:tcPr>
                  <w:tcW w:w="788" w:type="pct"/>
                  <w:noWrap w:val="0"/>
                  <w:vAlign w:val="center"/>
                </w:tcPr>
                <w:p w14:paraId="22DDD825">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不变</w:t>
                  </w:r>
                </w:p>
              </w:tc>
            </w:tr>
            <w:tr w14:paraId="21E25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177EF12E">
                  <w:pPr>
                    <w:pStyle w:val="80"/>
                    <w:rPr>
                      <w:rFonts w:hint="default" w:ascii="Times New Roman" w:hAnsi="Times New Roman" w:cs="Times New Roman"/>
                      <w:color w:val="auto"/>
                    </w:rPr>
                  </w:pPr>
                </w:p>
              </w:tc>
              <w:tc>
                <w:tcPr>
                  <w:tcW w:w="440" w:type="pct"/>
                  <w:vMerge w:val="continue"/>
                  <w:noWrap w:val="0"/>
                  <w:vAlign w:val="center"/>
                </w:tcPr>
                <w:p w14:paraId="6265A060">
                  <w:pPr>
                    <w:pStyle w:val="80"/>
                    <w:rPr>
                      <w:rFonts w:hint="default" w:ascii="Times New Roman" w:hAnsi="Times New Roman" w:cs="Times New Roman"/>
                      <w:color w:val="auto"/>
                    </w:rPr>
                  </w:pPr>
                </w:p>
              </w:tc>
              <w:tc>
                <w:tcPr>
                  <w:tcW w:w="611" w:type="pct"/>
                  <w:noWrap w:val="0"/>
                  <w:vAlign w:val="center"/>
                </w:tcPr>
                <w:p w14:paraId="6395AAC7">
                  <w:pPr>
                    <w:pStyle w:val="80"/>
                    <w:rPr>
                      <w:rFonts w:hint="eastAsia" w:cs="Times New Roman"/>
                      <w:color w:val="auto"/>
                      <w:lang w:val="en-US" w:eastAsia="zh-CN"/>
                    </w:rPr>
                  </w:pPr>
                  <w:r>
                    <w:rPr>
                      <w:rFonts w:hint="eastAsia" w:cs="Times New Roman"/>
                      <w:color w:val="auto"/>
                      <w:lang w:val="en-US" w:eastAsia="zh-CN"/>
                    </w:rPr>
                    <w:t>红线</w:t>
                  </w:r>
                </w:p>
                <w:p w14:paraId="740B36D2">
                  <w:pPr>
                    <w:pStyle w:val="80"/>
                    <w:rPr>
                      <w:rFonts w:hint="default" w:ascii="Times New Roman" w:hAnsi="Times New Roman" w:eastAsia="宋体" w:cs="Times New Roman"/>
                      <w:color w:val="auto"/>
                      <w:lang w:val="en-US" w:eastAsia="zh-CN"/>
                    </w:rPr>
                  </w:pPr>
                  <w:r>
                    <w:rPr>
                      <w:rFonts w:hint="eastAsia" w:cs="Times New Roman"/>
                      <w:color w:val="auto"/>
                      <w:lang w:val="en-US" w:eastAsia="zh-CN"/>
                    </w:rPr>
                    <w:t>宽度</w:t>
                  </w:r>
                </w:p>
              </w:tc>
              <w:tc>
                <w:tcPr>
                  <w:tcW w:w="707" w:type="pct"/>
                  <w:noWrap w:val="0"/>
                  <w:vAlign w:val="center"/>
                </w:tcPr>
                <w:p w14:paraId="5CC1BEE9">
                  <w:pPr>
                    <w:pStyle w:val="80"/>
                    <w:rPr>
                      <w:rFonts w:hint="default" w:ascii="Times New Roman" w:hAnsi="Times New Roman" w:cs="Times New Roman"/>
                      <w:color w:val="auto"/>
                      <w:lang w:val="en-US" w:eastAsia="zh-CN"/>
                    </w:rPr>
                  </w:pPr>
                  <w:r>
                    <w:rPr>
                      <w:rFonts w:hint="eastAsia" w:cs="Times New Roman"/>
                      <w:color w:val="auto"/>
                      <w:lang w:val="en-US" w:eastAsia="zh-CN"/>
                    </w:rPr>
                    <w:t>15.5</w:t>
                  </w:r>
                  <w:r>
                    <w:rPr>
                      <w:rFonts w:hint="default" w:ascii="Times New Roman" w:hAnsi="Times New Roman" w:cs="Times New Roman"/>
                      <w:color w:val="auto"/>
                    </w:rPr>
                    <w:t>m</w:t>
                  </w:r>
                </w:p>
              </w:tc>
              <w:tc>
                <w:tcPr>
                  <w:tcW w:w="754" w:type="pct"/>
                  <w:noWrap w:val="0"/>
                  <w:vAlign w:val="center"/>
                </w:tcPr>
                <w:p w14:paraId="5AAEBC4C">
                  <w:pPr>
                    <w:pStyle w:val="80"/>
                    <w:rPr>
                      <w:rFonts w:hint="default" w:ascii="Times New Roman" w:hAnsi="Times New Roman" w:cs="Times New Roman"/>
                      <w:color w:val="auto"/>
                      <w:lang w:val="en-US" w:eastAsia="zh-CN"/>
                    </w:rPr>
                  </w:pPr>
                  <w:r>
                    <w:rPr>
                      <w:rFonts w:hint="eastAsia" w:cs="Times New Roman"/>
                      <w:color w:val="auto"/>
                      <w:lang w:val="en-US" w:eastAsia="zh-CN"/>
                    </w:rPr>
                    <w:t>15.5</w:t>
                  </w:r>
                  <w:r>
                    <w:rPr>
                      <w:rFonts w:hint="default" w:ascii="Times New Roman" w:hAnsi="Times New Roman" w:cs="Times New Roman"/>
                      <w:color w:val="auto"/>
                    </w:rPr>
                    <w:t>m</w:t>
                  </w:r>
                </w:p>
              </w:tc>
              <w:tc>
                <w:tcPr>
                  <w:tcW w:w="723" w:type="pct"/>
                  <w:noWrap w:val="0"/>
                  <w:vAlign w:val="center"/>
                </w:tcPr>
                <w:p w14:paraId="5B63BBA0">
                  <w:pPr>
                    <w:pStyle w:val="80"/>
                    <w:rPr>
                      <w:rFonts w:hint="default" w:ascii="Times New Roman" w:hAnsi="Times New Roman" w:cs="Times New Roman"/>
                      <w:color w:val="auto"/>
                      <w:lang w:val="en-US" w:eastAsia="zh-CN"/>
                    </w:rPr>
                  </w:pPr>
                  <w:r>
                    <w:rPr>
                      <w:rFonts w:hint="eastAsia" w:cs="Times New Roman"/>
                      <w:color w:val="auto"/>
                      <w:lang w:val="en-US" w:eastAsia="zh-CN"/>
                    </w:rPr>
                    <w:t>15.5</w:t>
                  </w:r>
                  <w:r>
                    <w:rPr>
                      <w:rFonts w:hint="default" w:ascii="Times New Roman" w:hAnsi="Times New Roman" w:cs="Times New Roman"/>
                      <w:color w:val="auto"/>
                    </w:rPr>
                    <w:t>m</w:t>
                  </w:r>
                </w:p>
              </w:tc>
              <w:tc>
                <w:tcPr>
                  <w:tcW w:w="703" w:type="pct"/>
                  <w:noWrap w:val="0"/>
                  <w:vAlign w:val="center"/>
                </w:tcPr>
                <w:p w14:paraId="3749AD9E">
                  <w:pPr>
                    <w:pStyle w:val="80"/>
                    <w:rPr>
                      <w:rFonts w:hint="default" w:ascii="Times New Roman" w:hAnsi="Times New Roman" w:cs="Times New Roman"/>
                      <w:color w:val="auto"/>
                      <w:lang w:val="en-US" w:eastAsia="zh-CN"/>
                    </w:rPr>
                  </w:pPr>
                  <w:r>
                    <w:rPr>
                      <w:rFonts w:hint="eastAsia" w:cs="Times New Roman"/>
                      <w:color w:val="auto"/>
                      <w:lang w:val="en-US" w:eastAsia="zh-CN"/>
                    </w:rPr>
                    <w:t>15.5</w:t>
                  </w:r>
                  <w:r>
                    <w:rPr>
                      <w:rFonts w:hint="default" w:ascii="Times New Roman" w:hAnsi="Times New Roman" w:cs="Times New Roman"/>
                      <w:color w:val="auto"/>
                    </w:rPr>
                    <w:t>m</w:t>
                  </w:r>
                </w:p>
              </w:tc>
              <w:tc>
                <w:tcPr>
                  <w:tcW w:w="788" w:type="pct"/>
                  <w:noWrap w:val="0"/>
                  <w:vAlign w:val="center"/>
                </w:tcPr>
                <w:p w14:paraId="0E12B0C3">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不变</w:t>
                  </w:r>
                </w:p>
              </w:tc>
            </w:tr>
            <w:tr w14:paraId="3CD8C1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77E38E3E">
                  <w:pPr>
                    <w:pStyle w:val="80"/>
                    <w:rPr>
                      <w:rFonts w:hint="default" w:ascii="Times New Roman" w:hAnsi="Times New Roman" w:cs="Times New Roman"/>
                      <w:color w:val="auto"/>
                    </w:rPr>
                  </w:pPr>
                </w:p>
              </w:tc>
              <w:tc>
                <w:tcPr>
                  <w:tcW w:w="440" w:type="pct"/>
                  <w:vMerge w:val="continue"/>
                  <w:noWrap w:val="0"/>
                  <w:vAlign w:val="center"/>
                </w:tcPr>
                <w:p w14:paraId="25733655">
                  <w:pPr>
                    <w:pStyle w:val="80"/>
                    <w:rPr>
                      <w:rFonts w:hint="default" w:ascii="Times New Roman" w:hAnsi="Times New Roman" w:cs="Times New Roman"/>
                      <w:color w:val="auto"/>
                    </w:rPr>
                  </w:pPr>
                </w:p>
              </w:tc>
              <w:tc>
                <w:tcPr>
                  <w:tcW w:w="611" w:type="pct"/>
                  <w:noWrap w:val="0"/>
                  <w:vAlign w:val="center"/>
                </w:tcPr>
                <w:p w14:paraId="2D204C7C">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车道</w:t>
                  </w:r>
                </w:p>
                <w:p w14:paraId="5EFE674E">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数量</w:t>
                  </w:r>
                </w:p>
              </w:tc>
              <w:tc>
                <w:tcPr>
                  <w:tcW w:w="707" w:type="pct"/>
                  <w:noWrap w:val="0"/>
                  <w:vAlign w:val="center"/>
                </w:tcPr>
                <w:p w14:paraId="76477B50">
                  <w:pPr>
                    <w:pStyle w:val="80"/>
                    <w:rPr>
                      <w:rFonts w:hint="default" w:ascii="Times New Roman" w:hAnsi="Times New Roman"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双向</w:t>
                  </w:r>
                </w:p>
                <w:p w14:paraId="2672FE2E">
                  <w:pPr>
                    <w:pStyle w:val="80"/>
                    <w:rPr>
                      <w:rFonts w:hint="default" w:ascii="Times New Roman" w:hAnsi="Times New Roman" w:eastAsia="宋体"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两车道</w:t>
                  </w:r>
                </w:p>
              </w:tc>
              <w:tc>
                <w:tcPr>
                  <w:tcW w:w="754" w:type="pct"/>
                  <w:noWrap w:val="0"/>
                  <w:vAlign w:val="center"/>
                </w:tcPr>
                <w:p w14:paraId="76C51723">
                  <w:pPr>
                    <w:pStyle w:val="80"/>
                    <w:rPr>
                      <w:rFonts w:hint="default" w:ascii="Times New Roman" w:hAnsi="Times New Roman"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双向</w:t>
                  </w:r>
                </w:p>
                <w:p w14:paraId="3AF5751F">
                  <w:pPr>
                    <w:pStyle w:val="80"/>
                    <w:rPr>
                      <w:rFonts w:hint="default" w:ascii="Times New Roman" w:hAnsi="Times New Roman" w:eastAsia="宋体"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两车道</w:t>
                  </w:r>
                </w:p>
              </w:tc>
              <w:tc>
                <w:tcPr>
                  <w:tcW w:w="723" w:type="pct"/>
                  <w:shd w:val="clear" w:color="auto" w:fill="auto"/>
                  <w:noWrap w:val="0"/>
                  <w:vAlign w:val="center"/>
                </w:tcPr>
                <w:p w14:paraId="44D9F6F7">
                  <w:pPr>
                    <w:pStyle w:val="80"/>
                    <w:rPr>
                      <w:rFonts w:hint="default" w:ascii="Times New Roman" w:hAnsi="Times New Roman"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双向</w:t>
                  </w:r>
                </w:p>
                <w:p w14:paraId="31701D98">
                  <w:pPr>
                    <w:pStyle w:val="80"/>
                    <w:rPr>
                      <w:rFonts w:hint="default" w:ascii="Times New Roman" w:hAnsi="Times New Roman" w:eastAsia="宋体" w:cs="Times New Roman"/>
                      <w:b w:val="0"/>
                      <w:bCs/>
                      <w:snapToGrid w:val="0"/>
                      <w:color w:val="auto"/>
                      <w:spacing w:val="-6"/>
                      <w:kern w:val="2"/>
                      <w:sz w:val="21"/>
                      <w:szCs w:val="21"/>
                      <w:lang w:val="en-US" w:eastAsia="zh-CN" w:bidi="ar-SA"/>
                    </w:rPr>
                  </w:pPr>
                  <w:r>
                    <w:rPr>
                      <w:rFonts w:hint="default" w:ascii="Times New Roman" w:hAnsi="Times New Roman" w:cs="Times New Roman"/>
                      <w:bCs/>
                      <w:color w:val="auto"/>
                      <w:spacing w:val="-6"/>
                      <w:sz w:val="21"/>
                      <w:lang w:val="en-US" w:eastAsia="zh-CN"/>
                    </w:rPr>
                    <w:t>两车道</w:t>
                  </w:r>
                </w:p>
              </w:tc>
              <w:tc>
                <w:tcPr>
                  <w:tcW w:w="703" w:type="pct"/>
                  <w:shd w:val="clear" w:color="auto" w:fill="auto"/>
                  <w:noWrap w:val="0"/>
                  <w:vAlign w:val="center"/>
                </w:tcPr>
                <w:p w14:paraId="151667DA">
                  <w:pPr>
                    <w:pStyle w:val="80"/>
                    <w:rPr>
                      <w:rFonts w:hint="default" w:ascii="Times New Roman" w:hAnsi="Times New Roman" w:cs="Times New Roman"/>
                      <w:bCs/>
                      <w:color w:val="auto"/>
                      <w:spacing w:val="-6"/>
                      <w:sz w:val="21"/>
                      <w:lang w:val="en-US" w:eastAsia="zh-CN"/>
                    </w:rPr>
                  </w:pPr>
                  <w:r>
                    <w:rPr>
                      <w:rFonts w:hint="default" w:ascii="Times New Roman" w:hAnsi="Times New Roman" w:cs="Times New Roman"/>
                      <w:bCs/>
                      <w:color w:val="auto"/>
                      <w:spacing w:val="-6"/>
                      <w:sz w:val="21"/>
                      <w:lang w:val="en-US" w:eastAsia="zh-CN"/>
                    </w:rPr>
                    <w:t>双向</w:t>
                  </w:r>
                </w:p>
                <w:p w14:paraId="788C16FA">
                  <w:pPr>
                    <w:pStyle w:val="80"/>
                    <w:rPr>
                      <w:rFonts w:hint="default" w:ascii="Times New Roman" w:hAnsi="Times New Roman" w:eastAsia="宋体" w:cs="Times New Roman"/>
                      <w:b w:val="0"/>
                      <w:bCs/>
                      <w:snapToGrid w:val="0"/>
                      <w:color w:val="auto"/>
                      <w:spacing w:val="-6"/>
                      <w:kern w:val="2"/>
                      <w:sz w:val="21"/>
                      <w:szCs w:val="21"/>
                      <w:lang w:val="en-US" w:eastAsia="zh-CN" w:bidi="ar-SA"/>
                    </w:rPr>
                  </w:pPr>
                  <w:r>
                    <w:rPr>
                      <w:rFonts w:hint="default" w:ascii="Times New Roman" w:hAnsi="Times New Roman" w:cs="Times New Roman"/>
                      <w:bCs/>
                      <w:color w:val="auto"/>
                      <w:spacing w:val="-6"/>
                      <w:sz w:val="21"/>
                      <w:lang w:val="en-US" w:eastAsia="zh-CN"/>
                    </w:rPr>
                    <w:t>两车道</w:t>
                  </w:r>
                </w:p>
              </w:tc>
              <w:tc>
                <w:tcPr>
                  <w:tcW w:w="788" w:type="pct"/>
                  <w:noWrap w:val="0"/>
                  <w:vAlign w:val="center"/>
                </w:tcPr>
                <w:p w14:paraId="4A19F7D6">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不变</w:t>
                  </w:r>
                </w:p>
              </w:tc>
            </w:tr>
            <w:tr w14:paraId="76DEC7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785CA361">
                  <w:pPr>
                    <w:pStyle w:val="80"/>
                    <w:rPr>
                      <w:rFonts w:hint="default" w:ascii="Times New Roman" w:hAnsi="Times New Roman" w:cs="Times New Roman"/>
                      <w:color w:val="auto"/>
                    </w:rPr>
                  </w:pPr>
                </w:p>
              </w:tc>
              <w:tc>
                <w:tcPr>
                  <w:tcW w:w="440" w:type="pct"/>
                  <w:vMerge w:val="continue"/>
                  <w:noWrap w:val="0"/>
                  <w:vAlign w:val="center"/>
                </w:tcPr>
                <w:p w14:paraId="64216268">
                  <w:pPr>
                    <w:pStyle w:val="80"/>
                    <w:rPr>
                      <w:rFonts w:hint="default" w:ascii="Times New Roman" w:hAnsi="Times New Roman" w:cs="Times New Roman"/>
                      <w:color w:val="auto"/>
                    </w:rPr>
                  </w:pPr>
                </w:p>
              </w:tc>
              <w:tc>
                <w:tcPr>
                  <w:tcW w:w="611" w:type="pct"/>
                  <w:noWrap w:val="0"/>
                  <w:vAlign w:val="center"/>
                </w:tcPr>
                <w:p w14:paraId="4FD6EF2E">
                  <w:pPr>
                    <w:pStyle w:val="80"/>
                    <w:rPr>
                      <w:rFonts w:hint="default" w:ascii="Times New Roman" w:hAnsi="Times New Roman" w:cs="Times New Roman"/>
                      <w:color w:val="auto"/>
                    </w:rPr>
                  </w:pPr>
                  <w:r>
                    <w:rPr>
                      <w:rFonts w:hint="default" w:ascii="Times New Roman" w:hAnsi="Times New Roman" w:cs="Times New Roman"/>
                      <w:color w:val="auto"/>
                    </w:rPr>
                    <w:t>公路</w:t>
                  </w:r>
                </w:p>
                <w:p w14:paraId="2D735FB5">
                  <w:pPr>
                    <w:pStyle w:val="80"/>
                    <w:rPr>
                      <w:rFonts w:hint="default" w:ascii="Times New Roman" w:hAnsi="Times New Roman" w:cs="Times New Roman"/>
                      <w:color w:val="auto"/>
                    </w:rPr>
                  </w:pPr>
                  <w:r>
                    <w:rPr>
                      <w:rFonts w:hint="default" w:ascii="Times New Roman" w:hAnsi="Times New Roman" w:cs="Times New Roman"/>
                      <w:color w:val="auto"/>
                    </w:rPr>
                    <w:t>等级</w:t>
                  </w:r>
                </w:p>
              </w:tc>
              <w:tc>
                <w:tcPr>
                  <w:tcW w:w="1462" w:type="pct"/>
                  <w:gridSpan w:val="2"/>
                  <w:noWrap w:val="0"/>
                  <w:vAlign w:val="center"/>
                </w:tcPr>
                <w:p w14:paraId="43F55E22">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二</w:t>
                  </w:r>
                  <w:r>
                    <w:rPr>
                      <w:rFonts w:hint="default" w:ascii="Times New Roman" w:hAnsi="Times New Roman" w:cs="Times New Roman"/>
                      <w:color w:val="auto"/>
                    </w:rPr>
                    <w:t>级</w:t>
                  </w:r>
                </w:p>
              </w:tc>
              <w:tc>
                <w:tcPr>
                  <w:tcW w:w="1426" w:type="pct"/>
                  <w:gridSpan w:val="2"/>
                  <w:noWrap w:val="0"/>
                  <w:vAlign w:val="center"/>
                </w:tcPr>
                <w:p w14:paraId="69440324">
                  <w:pPr>
                    <w:pStyle w:val="80"/>
                    <w:rPr>
                      <w:rFonts w:hint="default" w:ascii="Times New Roman" w:hAnsi="Times New Roman" w:cs="Times New Roman"/>
                      <w:color w:val="auto"/>
                    </w:rPr>
                  </w:pPr>
                  <w:r>
                    <w:rPr>
                      <w:rFonts w:hint="default" w:ascii="Times New Roman" w:hAnsi="Times New Roman" w:cs="Times New Roman"/>
                      <w:color w:val="auto"/>
                    </w:rPr>
                    <w:t>二级</w:t>
                  </w:r>
                </w:p>
              </w:tc>
              <w:tc>
                <w:tcPr>
                  <w:tcW w:w="788" w:type="pct"/>
                  <w:noWrap w:val="0"/>
                  <w:vAlign w:val="center"/>
                </w:tcPr>
                <w:p w14:paraId="50F55C64">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lang w:val="en-US" w:eastAsia="zh-CN"/>
                    </w:rPr>
                    <w:t>不变</w:t>
                  </w:r>
                </w:p>
              </w:tc>
            </w:tr>
            <w:tr w14:paraId="05C11C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3949808C">
                  <w:pPr>
                    <w:pStyle w:val="80"/>
                    <w:rPr>
                      <w:rFonts w:hint="default" w:ascii="Times New Roman" w:hAnsi="Times New Roman" w:cs="Times New Roman"/>
                      <w:color w:val="auto"/>
                    </w:rPr>
                  </w:pPr>
                </w:p>
              </w:tc>
              <w:tc>
                <w:tcPr>
                  <w:tcW w:w="440" w:type="pct"/>
                  <w:vMerge w:val="continue"/>
                  <w:noWrap w:val="0"/>
                  <w:vAlign w:val="center"/>
                </w:tcPr>
                <w:p w14:paraId="711FC556">
                  <w:pPr>
                    <w:pStyle w:val="80"/>
                    <w:rPr>
                      <w:rFonts w:hint="default" w:ascii="Times New Roman" w:hAnsi="Times New Roman" w:cs="Times New Roman"/>
                      <w:color w:val="auto"/>
                    </w:rPr>
                  </w:pPr>
                </w:p>
              </w:tc>
              <w:tc>
                <w:tcPr>
                  <w:tcW w:w="611" w:type="pct"/>
                  <w:noWrap w:val="0"/>
                  <w:vAlign w:val="center"/>
                </w:tcPr>
                <w:p w14:paraId="7B5F72CF">
                  <w:pPr>
                    <w:pStyle w:val="80"/>
                    <w:rPr>
                      <w:rFonts w:hint="default" w:ascii="Times New Roman" w:hAnsi="Times New Roman" w:cs="Times New Roman"/>
                      <w:color w:val="auto"/>
                    </w:rPr>
                  </w:pPr>
                  <w:r>
                    <w:rPr>
                      <w:rFonts w:hint="eastAsia" w:cs="Times New Roman"/>
                      <w:color w:val="auto"/>
                      <w:lang w:val="en-US" w:eastAsia="zh-CN"/>
                    </w:rPr>
                    <w:t>非过境段</w:t>
                  </w:r>
                  <w:r>
                    <w:rPr>
                      <w:rFonts w:hint="default" w:ascii="Times New Roman" w:hAnsi="Times New Roman" w:cs="Times New Roman"/>
                      <w:color w:val="auto"/>
                    </w:rPr>
                    <w:t>设计</w:t>
                  </w:r>
                </w:p>
                <w:p w14:paraId="51A8E707">
                  <w:pPr>
                    <w:pStyle w:val="80"/>
                    <w:rPr>
                      <w:rFonts w:hint="default" w:ascii="Times New Roman" w:hAnsi="Times New Roman" w:cs="Times New Roman"/>
                      <w:color w:val="auto"/>
                    </w:rPr>
                  </w:pPr>
                  <w:r>
                    <w:rPr>
                      <w:rFonts w:hint="default" w:ascii="Times New Roman" w:hAnsi="Times New Roman" w:cs="Times New Roman"/>
                      <w:color w:val="auto"/>
                    </w:rPr>
                    <w:t>车速</w:t>
                  </w:r>
                </w:p>
              </w:tc>
              <w:tc>
                <w:tcPr>
                  <w:tcW w:w="1462" w:type="pct"/>
                  <w:gridSpan w:val="2"/>
                  <w:noWrap w:val="0"/>
                  <w:vAlign w:val="center"/>
                </w:tcPr>
                <w:p w14:paraId="6BFB4C80">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lang w:val="en-US" w:eastAsia="zh-CN"/>
                    </w:rPr>
                    <w:t>6</w:t>
                  </w:r>
                  <w:r>
                    <w:rPr>
                      <w:rFonts w:hint="default" w:ascii="Times New Roman" w:hAnsi="Times New Roman" w:cs="Times New Roman"/>
                      <w:color w:val="auto"/>
                    </w:rPr>
                    <w:t>0km/h</w:t>
                  </w:r>
                </w:p>
              </w:tc>
              <w:tc>
                <w:tcPr>
                  <w:tcW w:w="1426" w:type="pct"/>
                  <w:gridSpan w:val="2"/>
                  <w:noWrap w:val="0"/>
                  <w:vAlign w:val="center"/>
                </w:tcPr>
                <w:p w14:paraId="7E5517AA">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6</w:t>
                  </w:r>
                  <w:r>
                    <w:rPr>
                      <w:rFonts w:hint="default" w:ascii="Times New Roman" w:hAnsi="Times New Roman" w:cs="Times New Roman"/>
                      <w:color w:val="auto"/>
                    </w:rPr>
                    <w:t>0km/h</w:t>
                  </w:r>
                </w:p>
              </w:tc>
              <w:tc>
                <w:tcPr>
                  <w:tcW w:w="788" w:type="pct"/>
                  <w:noWrap w:val="0"/>
                  <w:vAlign w:val="center"/>
                </w:tcPr>
                <w:p w14:paraId="459DA89A">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不变</w:t>
                  </w:r>
                </w:p>
              </w:tc>
            </w:tr>
            <w:tr w14:paraId="396039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498381A9">
                  <w:pPr>
                    <w:pStyle w:val="80"/>
                    <w:rPr>
                      <w:rFonts w:hint="default" w:ascii="Times New Roman" w:hAnsi="Times New Roman" w:cs="Times New Roman"/>
                      <w:color w:val="auto"/>
                    </w:rPr>
                  </w:pPr>
                </w:p>
              </w:tc>
              <w:tc>
                <w:tcPr>
                  <w:tcW w:w="440" w:type="pct"/>
                  <w:vMerge w:val="continue"/>
                  <w:noWrap w:val="0"/>
                  <w:vAlign w:val="center"/>
                </w:tcPr>
                <w:p w14:paraId="69205F94">
                  <w:pPr>
                    <w:pStyle w:val="80"/>
                    <w:rPr>
                      <w:rFonts w:hint="default" w:ascii="Times New Roman" w:hAnsi="Times New Roman" w:cs="Times New Roman"/>
                      <w:color w:val="auto"/>
                    </w:rPr>
                  </w:pPr>
                </w:p>
              </w:tc>
              <w:tc>
                <w:tcPr>
                  <w:tcW w:w="611" w:type="pct"/>
                  <w:noWrap w:val="0"/>
                  <w:vAlign w:val="center"/>
                </w:tcPr>
                <w:p w14:paraId="478D34B7">
                  <w:pPr>
                    <w:pStyle w:val="80"/>
                    <w:rPr>
                      <w:rFonts w:hint="default" w:ascii="Times New Roman" w:hAnsi="Times New Roman" w:cs="Times New Roman"/>
                      <w:color w:val="auto"/>
                    </w:rPr>
                  </w:pPr>
                  <w:r>
                    <w:rPr>
                      <w:rFonts w:hint="eastAsia" w:cs="Times New Roman"/>
                      <w:color w:val="auto"/>
                      <w:lang w:val="en-US" w:eastAsia="zh-CN"/>
                    </w:rPr>
                    <w:t>过境段</w:t>
                  </w:r>
                  <w:r>
                    <w:rPr>
                      <w:rFonts w:hint="default" w:ascii="Times New Roman" w:hAnsi="Times New Roman" w:cs="Times New Roman"/>
                      <w:color w:val="auto"/>
                    </w:rPr>
                    <w:t>设计</w:t>
                  </w:r>
                </w:p>
                <w:p w14:paraId="2AC535B9">
                  <w:pPr>
                    <w:pStyle w:val="80"/>
                    <w:rPr>
                      <w:rFonts w:hint="default" w:ascii="Times New Roman" w:hAnsi="Times New Roman" w:cs="Times New Roman"/>
                      <w:color w:val="auto"/>
                    </w:rPr>
                  </w:pPr>
                  <w:r>
                    <w:rPr>
                      <w:rFonts w:hint="default" w:ascii="Times New Roman" w:hAnsi="Times New Roman" w:cs="Times New Roman"/>
                      <w:color w:val="auto"/>
                    </w:rPr>
                    <w:t>车速</w:t>
                  </w:r>
                </w:p>
              </w:tc>
              <w:tc>
                <w:tcPr>
                  <w:tcW w:w="1462" w:type="pct"/>
                  <w:gridSpan w:val="2"/>
                  <w:noWrap w:val="0"/>
                  <w:vAlign w:val="center"/>
                </w:tcPr>
                <w:p w14:paraId="37669E21">
                  <w:pPr>
                    <w:pStyle w:val="80"/>
                    <w:rPr>
                      <w:rFonts w:hint="default" w:ascii="Times New Roman" w:hAnsi="Times New Roman" w:cs="Times New Roman"/>
                      <w:color w:val="auto"/>
                      <w:lang w:val="en-US" w:eastAsia="zh-CN"/>
                    </w:rPr>
                  </w:pPr>
                  <w:r>
                    <w:rPr>
                      <w:rFonts w:hint="eastAsia"/>
                      <w:color w:val="auto"/>
                      <w:lang w:val="en-US" w:eastAsia="zh-CN"/>
                    </w:rPr>
                    <w:t>4</w:t>
                  </w:r>
                  <w:r>
                    <w:rPr>
                      <w:color w:val="auto"/>
                    </w:rPr>
                    <w:t>0km/h</w:t>
                  </w:r>
                </w:p>
              </w:tc>
              <w:tc>
                <w:tcPr>
                  <w:tcW w:w="1426" w:type="pct"/>
                  <w:gridSpan w:val="2"/>
                  <w:noWrap w:val="0"/>
                  <w:vAlign w:val="center"/>
                </w:tcPr>
                <w:p w14:paraId="1E0DB6FC">
                  <w:pPr>
                    <w:pStyle w:val="80"/>
                    <w:rPr>
                      <w:rFonts w:hint="default" w:ascii="Times New Roman" w:hAnsi="Times New Roman" w:cs="Times New Roman"/>
                      <w:color w:val="auto"/>
                      <w:lang w:val="en-US" w:eastAsia="zh-CN"/>
                    </w:rPr>
                  </w:pPr>
                  <w:r>
                    <w:rPr>
                      <w:rFonts w:hint="eastAsia"/>
                      <w:color w:val="auto"/>
                      <w:lang w:val="en-US" w:eastAsia="zh-CN"/>
                    </w:rPr>
                    <w:t>4</w:t>
                  </w:r>
                  <w:r>
                    <w:rPr>
                      <w:color w:val="auto"/>
                    </w:rPr>
                    <w:t>0km/h</w:t>
                  </w:r>
                </w:p>
              </w:tc>
              <w:tc>
                <w:tcPr>
                  <w:tcW w:w="788" w:type="pct"/>
                  <w:noWrap w:val="0"/>
                  <w:vAlign w:val="center"/>
                </w:tcPr>
                <w:p w14:paraId="4E1313F0">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不变</w:t>
                  </w:r>
                </w:p>
              </w:tc>
            </w:tr>
            <w:tr w14:paraId="5E3BBD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B7D8F98">
                  <w:pPr>
                    <w:pStyle w:val="80"/>
                    <w:rPr>
                      <w:rFonts w:hint="default" w:ascii="Times New Roman" w:hAnsi="Times New Roman" w:cs="Times New Roman"/>
                      <w:color w:val="auto"/>
                    </w:rPr>
                  </w:pPr>
                </w:p>
              </w:tc>
              <w:tc>
                <w:tcPr>
                  <w:tcW w:w="440" w:type="pct"/>
                  <w:vMerge w:val="continue"/>
                  <w:noWrap w:val="0"/>
                  <w:vAlign w:val="center"/>
                </w:tcPr>
                <w:p w14:paraId="297F15C1">
                  <w:pPr>
                    <w:pStyle w:val="80"/>
                    <w:rPr>
                      <w:rFonts w:hint="default" w:ascii="Times New Roman" w:hAnsi="Times New Roman" w:cs="Times New Roman"/>
                      <w:color w:val="auto"/>
                    </w:rPr>
                  </w:pPr>
                </w:p>
              </w:tc>
              <w:tc>
                <w:tcPr>
                  <w:tcW w:w="611" w:type="pct"/>
                  <w:noWrap w:val="0"/>
                  <w:vAlign w:val="center"/>
                </w:tcPr>
                <w:p w14:paraId="1DD9BBCD">
                  <w:pPr>
                    <w:pStyle w:val="80"/>
                    <w:rPr>
                      <w:rFonts w:hint="default" w:ascii="Times New Roman" w:hAnsi="Times New Roman" w:cs="Times New Roman"/>
                      <w:color w:val="auto"/>
                    </w:rPr>
                  </w:pPr>
                  <w:r>
                    <w:rPr>
                      <w:rFonts w:hint="default" w:ascii="Times New Roman" w:hAnsi="Times New Roman" w:cs="Times New Roman"/>
                      <w:color w:val="auto"/>
                    </w:rPr>
                    <w:t>路面</w:t>
                  </w:r>
                </w:p>
                <w:p w14:paraId="642C9192">
                  <w:pPr>
                    <w:pStyle w:val="80"/>
                    <w:rPr>
                      <w:rFonts w:hint="default" w:ascii="Times New Roman" w:hAnsi="Times New Roman" w:cs="Times New Roman"/>
                      <w:color w:val="auto"/>
                    </w:rPr>
                  </w:pPr>
                  <w:r>
                    <w:rPr>
                      <w:rFonts w:hint="default" w:ascii="Times New Roman" w:hAnsi="Times New Roman" w:cs="Times New Roman"/>
                      <w:color w:val="auto"/>
                    </w:rPr>
                    <w:t>结构</w:t>
                  </w:r>
                </w:p>
              </w:tc>
              <w:tc>
                <w:tcPr>
                  <w:tcW w:w="1462" w:type="pct"/>
                  <w:gridSpan w:val="2"/>
                  <w:noWrap w:val="0"/>
                  <w:vAlign w:val="center"/>
                </w:tcPr>
                <w:p w14:paraId="07F31B41">
                  <w:pPr>
                    <w:pStyle w:val="80"/>
                    <w:rPr>
                      <w:rFonts w:hint="default" w:ascii="Times New Roman" w:hAnsi="Times New Roman" w:cs="Times New Roman"/>
                      <w:color w:val="auto"/>
                    </w:rPr>
                  </w:pPr>
                  <w:r>
                    <w:rPr>
                      <w:rFonts w:hint="default" w:ascii="Times New Roman" w:hAnsi="Times New Roman" w:cs="Times New Roman"/>
                      <w:color w:val="auto"/>
                    </w:rPr>
                    <w:t>水泥混凝土路面</w:t>
                  </w:r>
                </w:p>
              </w:tc>
              <w:tc>
                <w:tcPr>
                  <w:tcW w:w="1426" w:type="pct"/>
                  <w:gridSpan w:val="2"/>
                  <w:noWrap w:val="0"/>
                  <w:vAlign w:val="center"/>
                </w:tcPr>
                <w:p w14:paraId="26348BD5">
                  <w:pPr>
                    <w:pStyle w:val="80"/>
                    <w:rPr>
                      <w:rFonts w:hint="default" w:ascii="Times New Roman" w:hAnsi="Times New Roman" w:cs="Times New Roman"/>
                      <w:color w:val="auto"/>
                    </w:rPr>
                  </w:pPr>
                  <w:r>
                    <w:rPr>
                      <w:rFonts w:hint="default" w:ascii="Times New Roman" w:hAnsi="Times New Roman" w:cs="Times New Roman"/>
                      <w:color w:val="auto"/>
                    </w:rPr>
                    <w:t>沥青混凝土路面</w:t>
                  </w:r>
                </w:p>
              </w:tc>
              <w:tc>
                <w:tcPr>
                  <w:tcW w:w="788" w:type="pct"/>
                  <w:noWrap w:val="0"/>
                  <w:vAlign w:val="center"/>
                </w:tcPr>
                <w:p w14:paraId="1085F0F3">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改造路面</w:t>
                  </w:r>
                </w:p>
              </w:tc>
            </w:tr>
            <w:tr w14:paraId="46EDD6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15B7717">
                  <w:pPr>
                    <w:pStyle w:val="80"/>
                    <w:rPr>
                      <w:rFonts w:hint="default" w:ascii="Times New Roman" w:hAnsi="Times New Roman" w:cs="Times New Roman"/>
                      <w:color w:val="auto"/>
                    </w:rPr>
                  </w:pPr>
                </w:p>
              </w:tc>
              <w:tc>
                <w:tcPr>
                  <w:tcW w:w="440" w:type="pct"/>
                  <w:vMerge w:val="continue"/>
                  <w:noWrap w:val="0"/>
                  <w:vAlign w:val="center"/>
                </w:tcPr>
                <w:p w14:paraId="770F8FF8">
                  <w:pPr>
                    <w:pStyle w:val="80"/>
                    <w:rPr>
                      <w:rFonts w:hint="default" w:ascii="Times New Roman" w:hAnsi="Times New Roman" w:cs="Times New Roman"/>
                      <w:color w:val="auto"/>
                    </w:rPr>
                  </w:pPr>
                </w:p>
              </w:tc>
              <w:tc>
                <w:tcPr>
                  <w:tcW w:w="611" w:type="pct"/>
                  <w:noWrap w:val="0"/>
                  <w:vAlign w:val="center"/>
                </w:tcPr>
                <w:p w14:paraId="0F42A9BE">
                  <w:pPr>
                    <w:pStyle w:val="8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路基路面排水</w:t>
                  </w:r>
                </w:p>
              </w:tc>
              <w:tc>
                <w:tcPr>
                  <w:tcW w:w="3677" w:type="pct"/>
                  <w:gridSpan w:val="5"/>
                  <w:noWrap w:val="0"/>
                  <w:vAlign w:val="center"/>
                </w:tcPr>
                <w:p w14:paraId="19C740E2">
                  <w:pPr>
                    <w:pStyle w:val="8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路面排水由路面纵横坡将路面水排离路肩，使雨水漫流排至路基边沟，排离路基范围以外。</w:t>
                  </w:r>
                  <w:r>
                    <w:rPr>
                      <w:rFonts w:hint="default" w:ascii="Times New Roman" w:hAnsi="Times New Roman" w:cs="Times New Roman"/>
                      <w:color w:val="auto"/>
                      <w:sz w:val="21"/>
                      <w:szCs w:val="21"/>
                      <w:highlight w:val="none"/>
                      <w:lang w:val="en-US" w:eastAsia="zh-CN"/>
                    </w:rPr>
                    <w:t>路基排水依托原有道路两侧的土质边沟，</w:t>
                  </w:r>
                  <w:r>
                    <w:rPr>
                      <w:rFonts w:hint="default" w:ascii="Times New Roman" w:hAnsi="Times New Roman" w:eastAsia="宋体" w:cs="Times New Roman"/>
                      <w:color w:val="auto"/>
                      <w:spacing w:val="0"/>
                      <w:sz w:val="21"/>
                      <w:szCs w:val="21"/>
                      <w:highlight w:val="none"/>
                    </w:rPr>
                    <w:t>边沟底宽0.6m，沟高0.6m，坡比1:1</w:t>
                  </w:r>
                  <w:r>
                    <w:rPr>
                      <w:rFonts w:hint="default" w:ascii="Times New Roman" w:hAnsi="Times New Roman" w:eastAsia="宋体" w:cs="Times New Roman"/>
                      <w:color w:val="auto"/>
                      <w:spacing w:val="0"/>
                      <w:sz w:val="21"/>
                      <w:szCs w:val="21"/>
                      <w:highlight w:val="none"/>
                      <w:lang w:eastAsia="zh-CN"/>
                    </w:rPr>
                    <w:t>，</w:t>
                  </w:r>
                  <w:r>
                    <w:rPr>
                      <w:rFonts w:hint="default" w:ascii="Times New Roman" w:hAnsi="Times New Roman" w:cs="Times New Roman"/>
                      <w:color w:val="auto"/>
                      <w:sz w:val="21"/>
                      <w:szCs w:val="21"/>
                      <w:highlight w:val="none"/>
                      <w:lang w:val="en-US" w:eastAsia="zh-CN"/>
                    </w:rPr>
                    <w:t>其中兴凯镇两侧现有浆砌块石矩形盖板边沟。</w:t>
                  </w:r>
                </w:p>
              </w:tc>
            </w:tr>
            <w:tr w14:paraId="72DC23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1C8E4B64">
                  <w:pPr>
                    <w:pStyle w:val="80"/>
                    <w:rPr>
                      <w:rFonts w:hint="default" w:ascii="Times New Roman" w:hAnsi="Times New Roman" w:cs="Times New Roman"/>
                      <w:color w:val="auto"/>
                    </w:rPr>
                  </w:pPr>
                </w:p>
              </w:tc>
              <w:tc>
                <w:tcPr>
                  <w:tcW w:w="440" w:type="pct"/>
                  <w:vMerge w:val="continue"/>
                  <w:noWrap w:val="0"/>
                  <w:vAlign w:val="center"/>
                </w:tcPr>
                <w:p w14:paraId="51AAAFA0">
                  <w:pPr>
                    <w:pStyle w:val="80"/>
                    <w:rPr>
                      <w:rFonts w:hint="default" w:ascii="Times New Roman" w:hAnsi="Times New Roman" w:cs="Times New Roman"/>
                      <w:color w:val="auto"/>
                    </w:rPr>
                  </w:pPr>
                </w:p>
              </w:tc>
              <w:tc>
                <w:tcPr>
                  <w:tcW w:w="611" w:type="pct"/>
                  <w:noWrap w:val="0"/>
                  <w:vAlign w:val="center"/>
                </w:tcPr>
                <w:p w14:paraId="688E4195">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路基</w:t>
                  </w:r>
                </w:p>
                <w:p w14:paraId="167E21F8">
                  <w:pPr>
                    <w:pStyle w:val="8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防护</w:t>
                  </w:r>
                </w:p>
              </w:tc>
              <w:tc>
                <w:tcPr>
                  <w:tcW w:w="3677" w:type="pct"/>
                  <w:gridSpan w:val="5"/>
                  <w:noWrap w:val="0"/>
                  <w:vAlign w:val="center"/>
                </w:tcPr>
                <w:p w14:paraId="50F181BA">
                  <w:pPr>
                    <w:pStyle w:val="80"/>
                    <w:jc w:val="left"/>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工程依托现有路基的自然防护系统。</w:t>
                  </w:r>
                </w:p>
              </w:tc>
            </w:tr>
            <w:tr w14:paraId="0F3767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6DAA36E">
                  <w:pPr>
                    <w:pStyle w:val="80"/>
                    <w:rPr>
                      <w:rFonts w:hint="default" w:ascii="Times New Roman" w:hAnsi="Times New Roman" w:cs="Times New Roman"/>
                      <w:color w:val="auto"/>
                    </w:rPr>
                  </w:pPr>
                </w:p>
              </w:tc>
              <w:tc>
                <w:tcPr>
                  <w:tcW w:w="440" w:type="pct"/>
                  <w:noWrap w:val="0"/>
                  <w:vAlign w:val="center"/>
                </w:tcPr>
                <w:p w14:paraId="5CAC787C">
                  <w:pPr>
                    <w:pStyle w:val="80"/>
                    <w:rPr>
                      <w:rFonts w:hint="default" w:ascii="Times New Roman" w:hAnsi="Times New Roman" w:cs="Times New Roman"/>
                      <w:color w:val="auto"/>
                    </w:rPr>
                  </w:pPr>
                  <w:r>
                    <w:rPr>
                      <w:rFonts w:hint="default" w:ascii="Times New Roman" w:hAnsi="Times New Roman" w:cs="Times New Roman"/>
                      <w:color w:val="auto"/>
                    </w:rPr>
                    <w:t>涵洞工程</w:t>
                  </w:r>
                </w:p>
              </w:tc>
              <w:tc>
                <w:tcPr>
                  <w:tcW w:w="611" w:type="pct"/>
                  <w:shd w:val="clear" w:color="auto" w:fill="auto"/>
                  <w:noWrap w:val="0"/>
                  <w:vAlign w:val="center"/>
                </w:tcPr>
                <w:p w14:paraId="023E5E7B">
                  <w:pPr>
                    <w:pStyle w:val="80"/>
                    <w:rPr>
                      <w:rFonts w:hint="default" w:ascii="Times New Roman" w:hAnsi="Times New Roman" w:eastAsia="宋体" w:cs="Times New Roman"/>
                      <w:b w:val="0"/>
                      <w:bCs/>
                      <w:snapToGrid w:val="0"/>
                      <w:color w:val="auto"/>
                      <w:kern w:val="2"/>
                      <w:sz w:val="21"/>
                      <w:szCs w:val="21"/>
                      <w:lang w:val="en-US" w:eastAsia="zh-CN" w:bidi="ar-SA"/>
                    </w:rPr>
                  </w:pPr>
                  <w:r>
                    <w:rPr>
                      <w:rFonts w:hint="default" w:ascii="Times New Roman" w:hAnsi="Times New Roman" w:cs="Times New Roman"/>
                      <w:color w:val="auto"/>
                    </w:rPr>
                    <w:t>涵洞</w:t>
                  </w:r>
                </w:p>
              </w:tc>
              <w:tc>
                <w:tcPr>
                  <w:tcW w:w="2888" w:type="pct"/>
                  <w:gridSpan w:val="4"/>
                  <w:shd w:val="clear" w:color="auto" w:fill="auto"/>
                  <w:noWrap w:val="0"/>
                  <w:vAlign w:val="center"/>
                </w:tcPr>
                <w:p w14:paraId="78D38840">
                  <w:pPr>
                    <w:pStyle w:val="80"/>
                    <w:jc w:val="left"/>
                    <w:outlineLvl w:val="9"/>
                    <w:rPr>
                      <w:rFonts w:hint="default" w:ascii="Times New Roman" w:hAnsi="Times New Roman" w:eastAsia="宋体" w:cs="Times New Roman"/>
                      <w:b w:val="0"/>
                      <w:bCs/>
                      <w:snapToGrid w:val="0"/>
                      <w:color w:val="auto"/>
                      <w:kern w:val="2"/>
                      <w:sz w:val="21"/>
                      <w:szCs w:val="21"/>
                      <w:lang w:val="en-US" w:eastAsia="zh-CN" w:bidi="ar-SA"/>
                    </w:rPr>
                  </w:pPr>
                  <w:r>
                    <w:rPr>
                      <w:rFonts w:hint="default" w:ascii="Times New Roman" w:hAnsi="Times New Roman" w:eastAsia="宋体" w:cs="Times New Roman"/>
                      <w:b w:val="0"/>
                      <w:bCs/>
                      <w:color w:val="auto"/>
                      <w:lang w:val="en-US" w:eastAsia="zh-CN"/>
                    </w:rPr>
                    <w:t>拆除重建</w:t>
                  </w:r>
                  <w:r>
                    <w:rPr>
                      <w:rFonts w:hint="default" w:ascii="Times New Roman" w:hAnsi="Times New Roman" w:eastAsia="宋体" w:cs="Times New Roman"/>
                      <w:b w:val="0"/>
                      <w:bCs/>
                      <w:color w:val="auto"/>
                    </w:rPr>
                    <w:t>涵洞共计</w:t>
                  </w:r>
                  <w:r>
                    <w:rPr>
                      <w:rFonts w:hint="default" w:ascii="Times New Roman" w:hAnsi="Times New Roman" w:eastAsia="宋体" w:cs="Times New Roman"/>
                      <w:b w:val="0"/>
                      <w:bCs/>
                      <w:color w:val="auto"/>
                      <w:lang w:val="en-US" w:eastAsia="zh-CN"/>
                    </w:rPr>
                    <w:t>9</w:t>
                  </w:r>
                  <w:r>
                    <w:rPr>
                      <w:rFonts w:hint="default" w:ascii="Times New Roman" w:hAnsi="Times New Roman" w:eastAsia="宋体" w:cs="Times New Roman"/>
                      <w:b w:val="0"/>
                      <w:bCs/>
                      <w:color w:val="auto"/>
                    </w:rPr>
                    <w:t>道</w:t>
                  </w:r>
                  <w:r>
                    <w:rPr>
                      <w:rFonts w:hint="default" w:ascii="Times New Roman" w:hAnsi="Times New Roman" w:eastAsia="宋体" w:cs="Times New Roman"/>
                      <w:b w:val="0"/>
                      <w:bCs/>
                      <w:color w:val="auto"/>
                      <w:lang w:eastAsia="zh-CN"/>
                    </w:rPr>
                    <w:t>。</w:t>
                  </w:r>
                </w:p>
              </w:tc>
              <w:tc>
                <w:tcPr>
                  <w:tcW w:w="788" w:type="pct"/>
                  <w:noWrap w:val="0"/>
                  <w:vAlign w:val="center"/>
                </w:tcPr>
                <w:p w14:paraId="250B6B8B">
                  <w:pPr>
                    <w:pStyle w:val="80"/>
                    <w:outlineLvl w:val="9"/>
                    <w:rPr>
                      <w:rFonts w:hint="default" w:ascii="Times New Roman" w:hAnsi="Times New Roman" w:eastAsia="宋体" w:cs="Times New Roman"/>
                      <w:b w:val="0"/>
                      <w:bCs/>
                      <w:color w:val="auto"/>
                      <w:lang w:val="en-US" w:eastAsia="zh-CN"/>
                    </w:rPr>
                  </w:pPr>
                  <w:r>
                    <w:rPr>
                      <w:rFonts w:hint="default" w:ascii="Times New Roman" w:hAnsi="Times New Roman" w:eastAsia="宋体" w:cs="Times New Roman"/>
                      <w:b w:val="0"/>
                      <w:bCs/>
                      <w:color w:val="auto"/>
                      <w:lang w:val="en-US" w:eastAsia="zh-CN"/>
                    </w:rPr>
                    <w:t>拆除重建涵洞</w:t>
                  </w:r>
                </w:p>
              </w:tc>
            </w:tr>
            <w:tr w14:paraId="31A70D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F84ADA6">
                  <w:pPr>
                    <w:pStyle w:val="80"/>
                    <w:rPr>
                      <w:rFonts w:hint="default" w:ascii="Times New Roman" w:hAnsi="Times New Roman" w:cs="Times New Roman"/>
                      <w:color w:val="auto"/>
                    </w:rPr>
                  </w:pPr>
                </w:p>
              </w:tc>
              <w:tc>
                <w:tcPr>
                  <w:tcW w:w="440" w:type="pct"/>
                  <w:noWrap w:val="0"/>
                  <w:vAlign w:val="center"/>
                </w:tcPr>
                <w:p w14:paraId="55126F68">
                  <w:pPr>
                    <w:pStyle w:val="80"/>
                    <w:rPr>
                      <w:rFonts w:hint="default" w:ascii="Times New Roman" w:hAnsi="Times New Roman" w:cs="Times New Roman"/>
                      <w:color w:val="auto"/>
                    </w:rPr>
                  </w:pPr>
                  <w:r>
                    <w:rPr>
                      <w:rFonts w:hint="default" w:ascii="Times New Roman" w:hAnsi="Times New Roman" w:cs="Times New Roman"/>
                      <w:color w:val="auto"/>
                    </w:rPr>
                    <w:t>交叉工程</w:t>
                  </w:r>
                </w:p>
              </w:tc>
              <w:tc>
                <w:tcPr>
                  <w:tcW w:w="611" w:type="pct"/>
                  <w:noWrap w:val="0"/>
                  <w:vAlign w:val="center"/>
                </w:tcPr>
                <w:p w14:paraId="622E400C">
                  <w:pPr>
                    <w:pStyle w:val="80"/>
                    <w:rPr>
                      <w:rFonts w:hint="default" w:ascii="Times New Roman" w:hAnsi="Times New Roman" w:cs="Times New Roman"/>
                      <w:color w:val="auto"/>
                    </w:rPr>
                  </w:pPr>
                  <w:r>
                    <w:rPr>
                      <w:rFonts w:hint="default" w:ascii="Times New Roman" w:hAnsi="Times New Roman" w:cs="Times New Roman"/>
                      <w:color w:val="auto"/>
                    </w:rPr>
                    <w:t>平面</w:t>
                  </w:r>
                </w:p>
                <w:p w14:paraId="1465CCF2">
                  <w:pPr>
                    <w:pStyle w:val="80"/>
                    <w:rPr>
                      <w:rFonts w:hint="default" w:ascii="Times New Roman" w:hAnsi="Times New Roman" w:cs="Times New Roman"/>
                      <w:color w:val="auto"/>
                    </w:rPr>
                  </w:pPr>
                  <w:r>
                    <w:rPr>
                      <w:rFonts w:hint="default" w:ascii="Times New Roman" w:hAnsi="Times New Roman" w:cs="Times New Roman"/>
                      <w:color w:val="auto"/>
                    </w:rPr>
                    <w:t>交叉</w:t>
                  </w:r>
                </w:p>
              </w:tc>
              <w:tc>
                <w:tcPr>
                  <w:tcW w:w="2888" w:type="pct"/>
                  <w:gridSpan w:val="4"/>
                  <w:noWrap w:val="0"/>
                  <w:vAlign w:val="center"/>
                </w:tcPr>
                <w:p w14:paraId="108581D0">
                  <w:pPr>
                    <w:pStyle w:val="80"/>
                    <w:jc w:val="left"/>
                    <w:outlineLvl w:val="9"/>
                    <w:rPr>
                      <w:rFonts w:hint="default" w:ascii="Times New Roman" w:hAnsi="Times New Roman" w:eastAsia="宋体" w:cs="Times New Roman"/>
                      <w:b w:val="0"/>
                      <w:bCs/>
                      <w:color w:val="auto"/>
                    </w:rPr>
                  </w:pPr>
                  <w:r>
                    <w:rPr>
                      <w:rFonts w:hint="default" w:ascii="Times New Roman" w:hAnsi="Times New Roman" w:cs="Times New Roman"/>
                      <w:b w:val="0"/>
                      <w:bCs/>
                      <w:color w:val="auto"/>
                      <w:lang w:val="en-US" w:eastAsia="zh-CN"/>
                    </w:rPr>
                    <w:t>维修平面交叉54处，其中与二级公路平面交叉1处、与四级公路平面交叉2处，</w:t>
                  </w:r>
                  <w:r>
                    <w:rPr>
                      <w:rFonts w:hint="default" w:ascii="Times New Roman" w:hAnsi="Times New Roman" w:cs="Times New Roman"/>
                      <w:color w:val="auto"/>
                    </w:rPr>
                    <w:t>与机耕路交叉21处，与村内道路交叉30处。</w:t>
                  </w:r>
                </w:p>
              </w:tc>
              <w:tc>
                <w:tcPr>
                  <w:tcW w:w="788" w:type="pct"/>
                  <w:noWrap w:val="0"/>
                  <w:vAlign w:val="center"/>
                </w:tcPr>
                <w:p w14:paraId="427EAE8A">
                  <w:pPr>
                    <w:pStyle w:val="80"/>
                    <w:outlineLvl w:val="9"/>
                    <w:rPr>
                      <w:rFonts w:hint="default" w:ascii="Times New Roman" w:hAnsi="Times New Roman" w:eastAsia="宋体" w:cs="Times New Roman"/>
                      <w:b w:val="0"/>
                      <w:bCs/>
                      <w:color w:val="auto"/>
                      <w:lang w:eastAsia="zh-CN"/>
                    </w:rPr>
                  </w:pPr>
                  <w:r>
                    <w:rPr>
                      <w:rFonts w:hint="default" w:ascii="Times New Roman" w:hAnsi="Times New Roman" w:eastAsia="宋体" w:cs="Times New Roman"/>
                      <w:b w:val="0"/>
                      <w:bCs/>
                      <w:color w:val="auto"/>
                      <w:lang w:val="en-US" w:eastAsia="zh-CN"/>
                    </w:rPr>
                    <w:t>不变</w:t>
                  </w:r>
                </w:p>
              </w:tc>
            </w:tr>
            <w:tr w14:paraId="3BE1DB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0CC105B">
                  <w:pPr>
                    <w:pStyle w:val="80"/>
                    <w:rPr>
                      <w:rFonts w:hint="default" w:ascii="Times New Roman" w:hAnsi="Times New Roman" w:cs="Times New Roman"/>
                      <w:color w:val="auto"/>
                    </w:rPr>
                  </w:pPr>
                </w:p>
              </w:tc>
              <w:tc>
                <w:tcPr>
                  <w:tcW w:w="1052" w:type="pct"/>
                  <w:gridSpan w:val="2"/>
                  <w:noWrap w:val="0"/>
                  <w:vAlign w:val="center"/>
                </w:tcPr>
                <w:p w14:paraId="17D312BF">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配套工程</w:t>
                  </w:r>
                </w:p>
              </w:tc>
              <w:tc>
                <w:tcPr>
                  <w:tcW w:w="3677" w:type="pct"/>
                  <w:gridSpan w:val="5"/>
                  <w:noWrap w:val="0"/>
                  <w:vAlign w:val="center"/>
                </w:tcPr>
                <w:p w14:paraId="53429481">
                  <w:pPr>
                    <w:pStyle w:val="80"/>
                    <w:jc w:val="left"/>
                    <w:outlineLvl w:val="9"/>
                    <w:rPr>
                      <w:rFonts w:hint="default" w:ascii="Times New Roman" w:hAnsi="Times New Roman" w:eastAsia="宋体" w:cs="Times New Roman"/>
                      <w:b w:val="0"/>
                      <w:bCs/>
                      <w:color w:val="auto"/>
                      <w:lang w:val="en-US" w:eastAsia="zh-CN"/>
                    </w:rPr>
                  </w:pPr>
                  <w:r>
                    <w:rPr>
                      <w:rFonts w:hint="default" w:ascii="Times New Roman" w:hAnsi="Times New Roman" w:cs="Times New Roman"/>
                      <w:b w:val="0"/>
                      <w:bCs/>
                      <w:color w:val="auto"/>
                      <w:lang w:val="en-US" w:eastAsia="zh-CN"/>
                    </w:rPr>
                    <w:t>设置标志406架、标线14904平方米、路侧护栏3150米、道口标柱108根。</w:t>
                  </w:r>
                </w:p>
              </w:tc>
            </w:tr>
            <w:tr w14:paraId="6A8A95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noWrap w:val="0"/>
                  <w:vAlign w:val="center"/>
                </w:tcPr>
                <w:p w14:paraId="555AA625">
                  <w:pPr>
                    <w:pStyle w:val="80"/>
                    <w:rPr>
                      <w:rFonts w:hint="default" w:ascii="Times New Roman" w:hAnsi="Times New Roman" w:cs="Times New Roman"/>
                      <w:color w:val="auto"/>
                    </w:rPr>
                  </w:pPr>
                  <w:r>
                    <w:rPr>
                      <w:rFonts w:hint="default" w:ascii="Times New Roman" w:hAnsi="Times New Roman" w:cs="Times New Roman"/>
                      <w:color w:val="auto"/>
                    </w:rPr>
                    <w:t>辅助工程</w:t>
                  </w:r>
                </w:p>
              </w:tc>
              <w:tc>
                <w:tcPr>
                  <w:tcW w:w="1052" w:type="pct"/>
                  <w:gridSpan w:val="2"/>
                  <w:noWrap w:val="0"/>
                  <w:vAlign w:val="center"/>
                </w:tcPr>
                <w:p w14:paraId="2A4BEA90">
                  <w:pPr>
                    <w:pStyle w:val="80"/>
                    <w:rPr>
                      <w:rFonts w:hint="default" w:ascii="Times New Roman" w:hAnsi="Times New Roman" w:cs="Times New Roman"/>
                      <w:color w:val="auto"/>
                    </w:rPr>
                  </w:pPr>
                  <w:r>
                    <w:rPr>
                      <w:rFonts w:hint="default" w:ascii="Times New Roman" w:hAnsi="Times New Roman" w:cs="Times New Roman"/>
                      <w:color w:val="auto"/>
                    </w:rPr>
                    <w:t>永久占地</w:t>
                  </w:r>
                </w:p>
              </w:tc>
              <w:tc>
                <w:tcPr>
                  <w:tcW w:w="3677" w:type="pct"/>
                  <w:gridSpan w:val="5"/>
                  <w:noWrap w:val="0"/>
                  <w:vAlign w:val="center"/>
                </w:tcPr>
                <w:p w14:paraId="573DFCC4">
                  <w:pPr>
                    <w:pStyle w:val="80"/>
                    <w:jc w:val="left"/>
                    <w:rPr>
                      <w:rFonts w:hint="default" w:ascii="Times New Roman" w:hAnsi="Times New Roman" w:cs="Times New Roman"/>
                      <w:color w:val="auto"/>
                    </w:rPr>
                  </w:pPr>
                  <w:r>
                    <w:rPr>
                      <w:rFonts w:hint="default" w:ascii="Times New Roman" w:hAnsi="Times New Roman" w:cs="Times New Roman"/>
                      <w:color w:val="auto"/>
                    </w:rPr>
                    <w:t>本</w:t>
                  </w:r>
                  <w:r>
                    <w:rPr>
                      <w:rFonts w:hint="default" w:ascii="Times New Roman" w:hAnsi="Times New Roman" w:cs="Times New Roman"/>
                      <w:color w:val="auto"/>
                      <w:lang w:val="en-US" w:eastAsia="zh-CN"/>
                    </w:rPr>
                    <w:t>工程对现有公路路面进行改造，无新增永久</w:t>
                  </w:r>
                  <w:r>
                    <w:rPr>
                      <w:rFonts w:hint="default" w:ascii="Times New Roman" w:hAnsi="Times New Roman" w:cs="Times New Roman"/>
                      <w:color w:val="auto"/>
                    </w:rPr>
                    <w:t>占地</w:t>
                  </w:r>
                  <w:r>
                    <w:rPr>
                      <w:rFonts w:hint="eastAsia" w:cs="Times New Roman"/>
                      <w:color w:val="auto"/>
                      <w:lang w:eastAsia="zh-CN"/>
                    </w:rPr>
                    <w:t>，</w:t>
                  </w:r>
                  <w:r>
                    <w:rPr>
                      <w:rFonts w:hint="eastAsia" w:cs="Times New Roman"/>
                      <w:color w:val="auto"/>
                      <w:lang w:val="en-US" w:eastAsia="zh-CN"/>
                    </w:rPr>
                    <w:t>现有永久占地面积为218320.8192m</w:t>
                  </w:r>
                  <w:r>
                    <w:rPr>
                      <w:rFonts w:hint="eastAsia" w:cs="Times New Roman"/>
                      <w:color w:val="auto"/>
                      <w:vertAlign w:val="superscript"/>
                      <w:lang w:val="en-US" w:eastAsia="zh-CN"/>
                    </w:rPr>
                    <w:t>2</w:t>
                  </w:r>
                  <w:r>
                    <w:rPr>
                      <w:rFonts w:hint="default" w:ascii="Times New Roman" w:hAnsi="Times New Roman" w:cs="Times New Roman"/>
                      <w:color w:val="auto"/>
                    </w:rPr>
                    <w:t>。</w:t>
                  </w:r>
                </w:p>
              </w:tc>
            </w:tr>
            <w:tr w14:paraId="77A2F5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CF30817">
                  <w:pPr>
                    <w:pStyle w:val="80"/>
                    <w:rPr>
                      <w:rFonts w:hint="default" w:ascii="Times New Roman" w:hAnsi="Times New Roman" w:cs="Times New Roman"/>
                      <w:color w:val="auto"/>
                    </w:rPr>
                  </w:pPr>
                </w:p>
              </w:tc>
              <w:tc>
                <w:tcPr>
                  <w:tcW w:w="1052" w:type="pct"/>
                  <w:gridSpan w:val="2"/>
                  <w:noWrap w:val="0"/>
                  <w:vAlign w:val="center"/>
                </w:tcPr>
                <w:p w14:paraId="34F37528">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临时占地</w:t>
                  </w:r>
                </w:p>
              </w:tc>
              <w:tc>
                <w:tcPr>
                  <w:tcW w:w="3677" w:type="pct"/>
                  <w:gridSpan w:val="5"/>
                  <w:noWrap w:val="0"/>
                  <w:vAlign w:val="center"/>
                </w:tcPr>
                <w:p w14:paraId="63427A22">
                  <w:pPr>
                    <w:pStyle w:val="80"/>
                    <w:jc w:val="left"/>
                    <w:rPr>
                      <w:rFonts w:hint="default" w:ascii="Times New Roman" w:hAnsi="Times New Roman" w:eastAsia="宋体" w:cs="Times New Roman"/>
                      <w:color w:val="auto"/>
                      <w:highlight w:val="none"/>
                      <w:vertAlign w:val="baseline"/>
                      <w:lang w:val="en-US" w:eastAsia="zh-CN"/>
                    </w:rPr>
                  </w:pPr>
                  <w:r>
                    <w:rPr>
                      <w:rFonts w:hint="default" w:ascii="Times New Roman" w:hAnsi="Times New Roman" w:cs="Times New Roman"/>
                      <w:color w:val="auto"/>
                      <w:highlight w:val="none"/>
                      <w:lang w:val="en-US" w:eastAsia="zh-CN"/>
                    </w:rPr>
                    <w:t>本工程临时占地2处，分别为施工驻地和拌合站，临时占地面积共</w:t>
                  </w:r>
                  <w:r>
                    <w:rPr>
                      <w:rFonts w:hint="eastAsia" w:cs="Times New Roman"/>
                      <w:color w:val="auto"/>
                      <w:highlight w:val="none"/>
                      <w:lang w:val="en-US" w:eastAsia="zh-CN"/>
                    </w:rPr>
                    <w:t>386</w:t>
                  </w:r>
                  <w:r>
                    <w:rPr>
                      <w:rFonts w:hint="default" w:ascii="Times New Roman" w:hAnsi="Times New Roman" w:cs="Times New Roman"/>
                      <w:color w:val="auto"/>
                      <w:highlight w:val="none"/>
                      <w:lang w:val="en-US" w:eastAsia="zh-CN"/>
                    </w:rPr>
                    <w:t>00</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2</w:t>
                  </w:r>
                  <w:r>
                    <w:rPr>
                      <w:rFonts w:hint="default" w:ascii="Times New Roman" w:hAnsi="Times New Roman" w:cs="Times New Roman"/>
                      <w:color w:val="auto"/>
                      <w:highlight w:val="none"/>
                      <w:vertAlign w:val="baseline"/>
                      <w:lang w:eastAsia="zh-CN"/>
                    </w:rPr>
                    <w:t>。</w:t>
                  </w:r>
                </w:p>
              </w:tc>
            </w:tr>
            <w:tr w14:paraId="1216F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7" w:hRule="atLeast"/>
              </w:trPr>
              <w:tc>
                <w:tcPr>
                  <w:tcW w:w="270" w:type="pct"/>
                  <w:vMerge w:val="continue"/>
                  <w:noWrap w:val="0"/>
                  <w:vAlign w:val="center"/>
                </w:tcPr>
                <w:p w14:paraId="293D9BC0">
                  <w:pPr>
                    <w:pStyle w:val="80"/>
                    <w:rPr>
                      <w:rFonts w:hint="default" w:ascii="Times New Roman" w:hAnsi="Times New Roman" w:cs="Times New Roman"/>
                      <w:color w:val="auto"/>
                    </w:rPr>
                  </w:pPr>
                </w:p>
              </w:tc>
              <w:tc>
                <w:tcPr>
                  <w:tcW w:w="440" w:type="pct"/>
                  <w:vMerge w:val="restart"/>
                  <w:noWrap w:val="0"/>
                  <w:vAlign w:val="center"/>
                </w:tcPr>
                <w:p w14:paraId="5D92BCAD">
                  <w:pPr>
                    <w:pStyle w:val="80"/>
                    <w:rPr>
                      <w:rFonts w:hint="default" w:ascii="Times New Roman" w:hAnsi="Times New Roman" w:cs="Times New Roman"/>
                      <w:color w:val="auto"/>
                      <w:highlight w:val="yellow"/>
                    </w:rPr>
                  </w:pPr>
                  <w:r>
                    <w:rPr>
                      <w:rFonts w:hint="default" w:ascii="Times New Roman" w:hAnsi="Times New Roman" w:cs="Times New Roman"/>
                      <w:color w:val="auto"/>
                    </w:rPr>
                    <w:t>临时工程</w:t>
                  </w:r>
                </w:p>
              </w:tc>
              <w:tc>
                <w:tcPr>
                  <w:tcW w:w="611" w:type="pct"/>
                  <w:noWrap w:val="0"/>
                  <w:vAlign w:val="center"/>
                </w:tcPr>
                <w:p w14:paraId="6B67C610">
                  <w:pPr>
                    <w:pStyle w:val="80"/>
                    <w:rPr>
                      <w:rFonts w:hint="default" w:ascii="Times New Roman" w:hAnsi="Times New Roman" w:cs="Times New Roman"/>
                      <w:color w:val="auto"/>
                    </w:rPr>
                  </w:pPr>
                  <w:r>
                    <w:rPr>
                      <w:rFonts w:hint="default" w:ascii="Times New Roman" w:hAnsi="Times New Roman" w:cs="Times New Roman"/>
                      <w:color w:val="auto"/>
                    </w:rPr>
                    <w:t>施工</w:t>
                  </w:r>
                </w:p>
                <w:p w14:paraId="2EB6E480">
                  <w:pPr>
                    <w:pStyle w:val="80"/>
                    <w:rPr>
                      <w:rFonts w:hint="default" w:ascii="Times New Roman" w:hAnsi="Times New Roman" w:cs="Times New Roman"/>
                      <w:color w:val="auto"/>
                    </w:rPr>
                  </w:pPr>
                  <w:r>
                    <w:rPr>
                      <w:rFonts w:hint="default" w:ascii="Times New Roman" w:hAnsi="Times New Roman" w:cs="Times New Roman"/>
                      <w:color w:val="auto"/>
                    </w:rPr>
                    <w:t>驻地</w:t>
                  </w:r>
                </w:p>
              </w:tc>
              <w:tc>
                <w:tcPr>
                  <w:tcW w:w="3677" w:type="pct"/>
                  <w:gridSpan w:val="5"/>
                  <w:noWrap w:val="0"/>
                  <w:vAlign w:val="center"/>
                </w:tcPr>
                <w:p w14:paraId="6FF33D7B">
                  <w:pPr>
                    <w:pStyle w:val="80"/>
                    <w:jc w:val="left"/>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设施工驻地</w:t>
                  </w:r>
                  <w:r>
                    <w:rPr>
                      <w:rFonts w:hint="default" w:ascii="Times New Roman" w:hAnsi="Times New Roman" w:cs="Times New Roman"/>
                      <w:color w:val="auto"/>
                    </w:rPr>
                    <w:t>1处，位于</w:t>
                  </w:r>
                  <w:r>
                    <w:rPr>
                      <w:rFonts w:hint="default" w:ascii="Times New Roman" w:hAnsi="Times New Roman" w:cs="Times New Roman"/>
                      <w:color w:val="auto"/>
                      <w:lang w:val="en-US" w:eastAsia="zh-CN"/>
                    </w:rPr>
                    <w:t>项目终点西南侧约26.7km处</w:t>
                  </w:r>
                  <w:r>
                    <w:rPr>
                      <w:rFonts w:hint="default" w:ascii="Times New Roman" w:hAnsi="Times New Roman" w:cs="Times New Roman"/>
                      <w:color w:val="auto"/>
                    </w:rPr>
                    <w:t>，占地面积</w:t>
                  </w:r>
                  <w:r>
                    <w:rPr>
                      <w:rFonts w:hint="default" w:ascii="Times New Roman" w:hAnsi="Times New Roman" w:cs="Times New Roman"/>
                      <w:color w:val="auto"/>
                      <w:lang w:val="en-US" w:eastAsia="zh-CN"/>
                    </w:rPr>
                    <w:t>约2600</w:t>
                  </w:r>
                  <w:r>
                    <w:rPr>
                      <w:rFonts w:hint="default" w:ascii="Times New Roman" w:hAnsi="Times New Roman" w:cs="Times New Roman"/>
                      <w:color w:val="auto"/>
                    </w:rPr>
                    <w:t>m</w:t>
                  </w:r>
                  <w:r>
                    <w:rPr>
                      <w:rFonts w:hint="default" w:ascii="Times New Roman" w:hAnsi="Times New Roman" w:cs="Times New Roman"/>
                      <w:color w:val="auto"/>
                      <w:vertAlign w:val="superscript"/>
                    </w:rPr>
                    <w:t>2</w:t>
                  </w:r>
                  <w:r>
                    <w:rPr>
                      <w:rFonts w:hint="default" w:ascii="Times New Roman" w:hAnsi="Times New Roman" w:cs="Times New Roman"/>
                      <w:color w:val="auto"/>
                      <w:kern w:val="0"/>
                      <w:lang w:bidi="ar"/>
                    </w:rPr>
                    <w:t>，</w:t>
                  </w:r>
                  <w:r>
                    <w:rPr>
                      <w:rFonts w:hint="default" w:ascii="Times New Roman" w:hAnsi="Times New Roman" w:cs="Times New Roman"/>
                      <w:color w:val="auto"/>
                    </w:rPr>
                    <w:t>租赁现有闲置场地，</w:t>
                  </w:r>
                  <w:r>
                    <w:rPr>
                      <w:rFonts w:hint="default" w:ascii="Times New Roman" w:hAnsi="Times New Roman" w:cs="Times New Roman"/>
                      <w:color w:val="auto"/>
                      <w:kern w:val="0"/>
                      <w:lang w:val="en-US" w:eastAsia="zh-CN" w:bidi="ar"/>
                    </w:rPr>
                    <w:t>用地类型</w:t>
                  </w:r>
                  <w:r>
                    <w:rPr>
                      <w:rFonts w:hint="default" w:ascii="Times New Roman" w:hAnsi="Times New Roman" w:cs="Times New Roman"/>
                      <w:color w:val="auto"/>
                    </w:rPr>
                    <w:t>为工业用地。</w:t>
                  </w:r>
                  <w:r>
                    <w:rPr>
                      <w:rFonts w:hint="default" w:ascii="Times New Roman" w:hAnsi="Times New Roman" w:cs="Times New Roman"/>
                      <w:color w:val="auto"/>
                      <w:lang w:val="en-US" w:eastAsia="zh-CN"/>
                    </w:rPr>
                    <w:t>施工生活区人数为40人，不设食堂，有住宿。</w:t>
                  </w:r>
                </w:p>
              </w:tc>
            </w:tr>
            <w:tr w14:paraId="028EC7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67" w:hRule="atLeast"/>
              </w:trPr>
              <w:tc>
                <w:tcPr>
                  <w:tcW w:w="270" w:type="pct"/>
                  <w:vMerge w:val="continue"/>
                  <w:noWrap w:val="0"/>
                  <w:vAlign w:val="center"/>
                </w:tcPr>
                <w:p w14:paraId="73FE12E0">
                  <w:pPr>
                    <w:pStyle w:val="80"/>
                    <w:rPr>
                      <w:rFonts w:hint="default" w:ascii="Times New Roman" w:hAnsi="Times New Roman" w:cs="Times New Roman"/>
                      <w:color w:val="auto"/>
                    </w:rPr>
                  </w:pPr>
                </w:p>
              </w:tc>
              <w:tc>
                <w:tcPr>
                  <w:tcW w:w="440" w:type="pct"/>
                  <w:vMerge w:val="continue"/>
                  <w:noWrap w:val="0"/>
                  <w:vAlign w:val="center"/>
                </w:tcPr>
                <w:p w14:paraId="468EAD8A">
                  <w:pPr>
                    <w:pStyle w:val="80"/>
                    <w:rPr>
                      <w:rFonts w:hint="default" w:ascii="Times New Roman" w:hAnsi="Times New Roman" w:cs="Times New Roman"/>
                      <w:color w:val="auto"/>
                    </w:rPr>
                  </w:pPr>
                </w:p>
              </w:tc>
              <w:tc>
                <w:tcPr>
                  <w:tcW w:w="611" w:type="pct"/>
                  <w:noWrap w:val="0"/>
                  <w:vAlign w:val="center"/>
                </w:tcPr>
                <w:p w14:paraId="35B159A5">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沥青</w:t>
                  </w:r>
                  <w:r>
                    <w:rPr>
                      <w:rFonts w:hint="eastAsia" w:cs="Times New Roman"/>
                      <w:color w:val="auto"/>
                      <w:lang w:val="en-US" w:eastAsia="zh-CN"/>
                    </w:rPr>
                    <w:t>混凝土</w:t>
                  </w:r>
                  <w:r>
                    <w:rPr>
                      <w:rFonts w:hint="default" w:ascii="Times New Roman" w:hAnsi="Times New Roman" w:cs="Times New Roman"/>
                      <w:color w:val="auto"/>
                    </w:rPr>
                    <w:t>拌合站</w:t>
                  </w:r>
                </w:p>
              </w:tc>
              <w:tc>
                <w:tcPr>
                  <w:tcW w:w="3677" w:type="pct"/>
                  <w:gridSpan w:val="5"/>
                  <w:noWrap w:val="0"/>
                  <w:vAlign w:val="center"/>
                </w:tcPr>
                <w:p w14:paraId="22669E1E">
                  <w:pPr>
                    <w:pStyle w:val="80"/>
                    <w:jc w:val="left"/>
                    <w:rPr>
                      <w:rFonts w:hint="default" w:ascii="Times New Roman" w:hAnsi="Times New Roman" w:cs="Times New Roman"/>
                      <w:color w:val="auto"/>
                    </w:rPr>
                  </w:pPr>
                  <w:r>
                    <w:rPr>
                      <w:rFonts w:hint="default" w:ascii="Times New Roman" w:hAnsi="Times New Roman" w:cs="Times New Roman"/>
                      <w:color w:val="auto"/>
                      <w:lang w:val="en-US" w:eastAsia="zh-CN"/>
                    </w:rPr>
                    <w:t>设</w:t>
                  </w:r>
                  <w:r>
                    <w:rPr>
                      <w:rFonts w:hint="eastAsia" w:cs="Times New Roman"/>
                      <w:color w:val="auto"/>
                      <w:lang w:val="en-US" w:eastAsia="zh-CN"/>
                    </w:rPr>
                    <w:t>沥青混凝土拌合站</w:t>
                  </w:r>
                  <w:r>
                    <w:rPr>
                      <w:rFonts w:hint="default" w:ascii="Times New Roman" w:hAnsi="Times New Roman" w:cs="Times New Roman"/>
                      <w:color w:val="auto"/>
                    </w:rPr>
                    <w:t>1处，位于</w:t>
                  </w:r>
                  <w:r>
                    <w:rPr>
                      <w:rFonts w:hint="default" w:ascii="Times New Roman" w:hAnsi="Times New Roman" w:cs="Times New Roman"/>
                      <w:color w:val="auto"/>
                      <w:lang w:val="en-US" w:eastAsia="zh-CN"/>
                    </w:rPr>
                    <w:t>归仁村西南方向350m</w:t>
                  </w:r>
                  <w:r>
                    <w:rPr>
                      <w:rFonts w:hint="default" w:ascii="Times New Roman" w:hAnsi="Times New Roman" w:cs="Times New Roman"/>
                      <w:color w:val="auto"/>
                    </w:rPr>
                    <w:t>，占地面积</w:t>
                  </w:r>
                  <w:r>
                    <w:rPr>
                      <w:rFonts w:hint="default" w:ascii="Times New Roman" w:hAnsi="Times New Roman" w:cs="Times New Roman"/>
                      <w:color w:val="auto"/>
                      <w:lang w:val="en-US" w:eastAsia="zh-CN"/>
                    </w:rPr>
                    <w:t>约</w:t>
                  </w:r>
                  <w:r>
                    <w:rPr>
                      <w:rFonts w:hint="eastAsia" w:cs="Times New Roman"/>
                      <w:color w:val="auto"/>
                      <w:lang w:val="en-US" w:eastAsia="zh-CN"/>
                    </w:rPr>
                    <w:t>36</w:t>
                  </w:r>
                  <w:r>
                    <w:rPr>
                      <w:rFonts w:hint="default" w:ascii="Times New Roman" w:hAnsi="Times New Roman" w:cs="Times New Roman"/>
                      <w:color w:val="auto"/>
                    </w:rPr>
                    <w:t>000m</w:t>
                  </w:r>
                  <w:r>
                    <w:rPr>
                      <w:rFonts w:hint="default" w:ascii="Times New Roman" w:hAnsi="Times New Roman" w:cs="Times New Roman"/>
                      <w:color w:val="auto"/>
                      <w:vertAlign w:val="superscript"/>
                    </w:rPr>
                    <w:t>2</w:t>
                  </w:r>
                  <w:r>
                    <w:rPr>
                      <w:rFonts w:hint="default" w:ascii="Times New Roman" w:hAnsi="Times New Roman" w:cs="Times New Roman"/>
                      <w:color w:val="auto"/>
                      <w:kern w:val="0"/>
                      <w:lang w:bidi="ar"/>
                    </w:rPr>
                    <w:t>，</w:t>
                  </w:r>
                  <w:r>
                    <w:rPr>
                      <w:rFonts w:hint="default" w:ascii="Times New Roman" w:hAnsi="Times New Roman" w:cs="Times New Roman"/>
                      <w:color w:val="auto"/>
                      <w:kern w:val="0"/>
                      <w:lang w:val="en-US" w:eastAsia="zh-CN" w:bidi="ar"/>
                    </w:rPr>
                    <w:t>规模为</w:t>
                  </w:r>
                  <w:r>
                    <w:rPr>
                      <w:rFonts w:hint="default" w:ascii="Times New Roman" w:hAnsi="Times New Roman" w:cs="Times New Roman"/>
                      <w:color w:val="auto"/>
                      <w:kern w:val="0"/>
                      <w:lang w:bidi="ar"/>
                    </w:rPr>
                    <w:t>日产</w:t>
                  </w:r>
                  <w:r>
                    <w:rPr>
                      <w:rFonts w:hint="default" w:ascii="Times New Roman" w:hAnsi="Times New Roman" w:cs="Times New Roman"/>
                      <w:color w:val="auto"/>
                      <w:kern w:val="0"/>
                      <w:lang w:val="en-US" w:eastAsia="zh-CN" w:bidi="ar"/>
                    </w:rPr>
                    <w:t>沥青混凝土</w:t>
                  </w:r>
                  <w:r>
                    <w:rPr>
                      <w:rFonts w:hint="default" w:ascii="Times New Roman" w:hAnsi="Times New Roman" w:cs="Times New Roman"/>
                      <w:color w:val="auto"/>
                      <w:kern w:val="0"/>
                      <w:lang w:bidi="ar"/>
                    </w:rPr>
                    <w:t>2500t</w:t>
                  </w:r>
                  <w:r>
                    <w:rPr>
                      <w:rFonts w:hint="default" w:ascii="Times New Roman" w:hAnsi="Times New Roman" w:cs="Times New Roman"/>
                      <w:color w:val="auto"/>
                      <w:kern w:val="0"/>
                      <w:lang w:eastAsia="zh-CN" w:bidi="ar"/>
                    </w:rPr>
                    <w:t>，</w:t>
                  </w:r>
                  <w:r>
                    <w:rPr>
                      <w:rFonts w:hint="default" w:ascii="Times New Roman" w:hAnsi="Times New Roman" w:cs="Times New Roman"/>
                      <w:color w:val="auto"/>
                      <w:kern w:val="0"/>
                      <w:lang w:val="en-US" w:eastAsia="zh-CN" w:bidi="ar"/>
                    </w:rPr>
                    <w:t>用地类型</w:t>
                  </w:r>
                  <w:r>
                    <w:rPr>
                      <w:rFonts w:hint="default" w:ascii="Times New Roman" w:hAnsi="Times New Roman" w:cs="Times New Roman"/>
                      <w:color w:val="auto"/>
                      <w:kern w:val="0"/>
                      <w:lang w:bidi="ar"/>
                    </w:rPr>
                    <w:t>为</w:t>
                  </w:r>
                  <w:r>
                    <w:rPr>
                      <w:rFonts w:hint="default" w:ascii="Times New Roman" w:hAnsi="Times New Roman" w:cs="Times New Roman"/>
                      <w:color w:val="auto"/>
                      <w:kern w:val="0"/>
                      <w:lang w:val="en-US" w:eastAsia="zh-CN" w:bidi="ar"/>
                    </w:rPr>
                    <w:t>工业用地</w:t>
                  </w:r>
                  <w:r>
                    <w:rPr>
                      <w:rFonts w:hint="default" w:ascii="Times New Roman" w:hAnsi="Times New Roman" w:cs="Times New Roman"/>
                      <w:color w:val="auto"/>
                      <w:kern w:val="0"/>
                      <w:lang w:bidi="ar"/>
                    </w:rPr>
                    <w:t>，300m范围内无居民居住区。</w:t>
                  </w:r>
                </w:p>
              </w:tc>
            </w:tr>
            <w:tr w14:paraId="6A05C2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4292E8D7">
                  <w:pPr>
                    <w:pStyle w:val="80"/>
                    <w:rPr>
                      <w:rFonts w:hint="default" w:ascii="Times New Roman" w:hAnsi="Times New Roman" w:cs="Times New Roman"/>
                      <w:color w:val="auto"/>
                    </w:rPr>
                  </w:pPr>
                </w:p>
              </w:tc>
              <w:tc>
                <w:tcPr>
                  <w:tcW w:w="440" w:type="pct"/>
                  <w:vMerge w:val="continue"/>
                  <w:noWrap w:val="0"/>
                  <w:vAlign w:val="center"/>
                </w:tcPr>
                <w:p w14:paraId="1A738164">
                  <w:pPr>
                    <w:pStyle w:val="80"/>
                    <w:rPr>
                      <w:rFonts w:hint="default" w:ascii="Times New Roman" w:hAnsi="Times New Roman" w:cs="Times New Roman"/>
                      <w:color w:val="auto"/>
                    </w:rPr>
                  </w:pPr>
                </w:p>
              </w:tc>
              <w:tc>
                <w:tcPr>
                  <w:tcW w:w="611" w:type="pct"/>
                  <w:noWrap w:val="0"/>
                  <w:vAlign w:val="center"/>
                </w:tcPr>
                <w:p w14:paraId="343E3A9F">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rPr>
                    <w:t>基层拌合站</w:t>
                  </w:r>
                </w:p>
              </w:tc>
              <w:tc>
                <w:tcPr>
                  <w:tcW w:w="3677" w:type="pct"/>
                  <w:gridSpan w:val="5"/>
                  <w:noWrap w:val="0"/>
                  <w:vAlign w:val="center"/>
                </w:tcPr>
                <w:p w14:paraId="6FB1D2C2">
                  <w:pPr>
                    <w:pStyle w:val="80"/>
                    <w:jc w:val="left"/>
                    <w:rPr>
                      <w:rFonts w:hint="default" w:ascii="Times New Roman" w:hAnsi="Times New Roman" w:cs="Times New Roman"/>
                      <w:color w:val="auto"/>
                    </w:rPr>
                  </w:pPr>
                  <w:r>
                    <w:rPr>
                      <w:rFonts w:hint="default" w:ascii="Times New Roman" w:hAnsi="Times New Roman" w:cs="Times New Roman"/>
                      <w:color w:val="auto"/>
                      <w:lang w:val="en-US" w:eastAsia="zh-CN"/>
                    </w:rPr>
                    <w:t>本项目商品混凝土外购，不设基层拌合站</w:t>
                  </w:r>
                  <w:r>
                    <w:rPr>
                      <w:rFonts w:hint="default" w:ascii="Times New Roman" w:hAnsi="Times New Roman" w:cs="Times New Roman"/>
                      <w:color w:val="auto"/>
                      <w:kern w:val="0"/>
                      <w:lang w:bidi="ar"/>
                    </w:rPr>
                    <w:t>。</w:t>
                  </w:r>
                </w:p>
              </w:tc>
            </w:tr>
            <w:tr w14:paraId="2143DA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BADFBC0">
                  <w:pPr>
                    <w:pStyle w:val="80"/>
                    <w:rPr>
                      <w:rFonts w:hint="default" w:ascii="Times New Roman" w:hAnsi="Times New Roman" w:cs="Times New Roman"/>
                      <w:color w:val="auto"/>
                    </w:rPr>
                  </w:pPr>
                </w:p>
              </w:tc>
              <w:tc>
                <w:tcPr>
                  <w:tcW w:w="440" w:type="pct"/>
                  <w:vMerge w:val="continue"/>
                  <w:noWrap w:val="0"/>
                  <w:vAlign w:val="center"/>
                </w:tcPr>
                <w:p w14:paraId="08C7AD98">
                  <w:pPr>
                    <w:pStyle w:val="80"/>
                    <w:rPr>
                      <w:rFonts w:hint="default" w:ascii="Times New Roman" w:hAnsi="Times New Roman" w:cs="Times New Roman"/>
                      <w:color w:val="auto"/>
                    </w:rPr>
                  </w:pPr>
                </w:p>
              </w:tc>
              <w:tc>
                <w:tcPr>
                  <w:tcW w:w="611" w:type="pct"/>
                  <w:noWrap w:val="0"/>
                  <w:vAlign w:val="center"/>
                </w:tcPr>
                <w:p w14:paraId="63FEB057">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取、</w:t>
                  </w:r>
                  <w:r>
                    <w:rPr>
                      <w:rFonts w:hint="default" w:ascii="Times New Roman" w:hAnsi="Times New Roman" w:cs="Times New Roman"/>
                      <w:color w:val="auto"/>
                    </w:rPr>
                    <w:t>弃土场</w:t>
                  </w:r>
                </w:p>
              </w:tc>
              <w:tc>
                <w:tcPr>
                  <w:tcW w:w="3677" w:type="pct"/>
                  <w:gridSpan w:val="5"/>
                  <w:noWrap w:val="0"/>
                  <w:vAlign w:val="center"/>
                </w:tcPr>
                <w:p w14:paraId="242573E6">
                  <w:pPr>
                    <w:pStyle w:val="80"/>
                    <w:jc w:val="left"/>
                    <w:rPr>
                      <w:rFonts w:hint="default" w:ascii="Times New Roman" w:hAnsi="Times New Roman" w:eastAsia="宋体" w:cs="Times New Roman"/>
                      <w:color w:val="auto"/>
                      <w:lang w:val="en-US" w:eastAsia="zh-CN"/>
                    </w:rPr>
                  </w:pPr>
                  <w:r>
                    <w:rPr>
                      <w:rFonts w:hint="default" w:ascii="Times New Roman" w:hAnsi="Times New Roman" w:cs="Times New Roman"/>
                      <w:color w:val="auto"/>
                    </w:rPr>
                    <w:t>本项目</w:t>
                  </w:r>
                  <w:r>
                    <w:rPr>
                      <w:rFonts w:hint="eastAsia"/>
                      <w:color w:val="auto"/>
                      <w:lang w:val="en-US" w:eastAsia="zh-CN"/>
                    </w:rPr>
                    <w:t>为路面改造工程，不涉及土石方工程。</w:t>
                  </w:r>
                  <w:r>
                    <w:rPr>
                      <w:rFonts w:hint="default" w:ascii="Times New Roman" w:hAnsi="Times New Roman" w:cs="Times New Roman"/>
                      <w:color w:val="auto"/>
                      <w:lang w:val="en-US" w:eastAsia="zh-CN"/>
                    </w:rPr>
                    <w:t>取土外购</w:t>
                  </w:r>
                  <w:r>
                    <w:rPr>
                      <w:rFonts w:hint="eastAsia" w:ascii="Times New Roman" w:hAnsi="Times New Roman" w:cs="Times New Roman"/>
                      <w:color w:val="auto"/>
                      <w:lang w:val="en-US" w:eastAsia="zh-CN"/>
                    </w:rPr>
                    <w:t>商业料场，不涉及挖方，不设取土场</w:t>
                  </w:r>
                  <w:r>
                    <w:rPr>
                      <w:rFonts w:hint="default" w:ascii="Times New Roman" w:hAnsi="Times New Roman" w:cs="Times New Roman"/>
                      <w:color w:val="auto"/>
                      <w:lang w:val="en-US" w:eastAsia="zh-CN"/>
                    </w:rPr>
                    <w:t>。项目无弃土产生，不设弃土场。</w:t>
                  </w:r>
                </w:p>
              </w:tc>
            </w:tr>
            <w:tr w14:paraId="10F9C7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0C4B66FE">
                  <w:pPr>
                    <w:pStyle w:val="80"/>
                    <w:rPr>
                      <w:rFonts w:hint="default" w:ascii="Times New Roman" w:hAnsi="Times New Roman" w:cs="Times New Roman"/>
                      <w:color w:val="auto"/>
                    </w:rPr>
                  </w:pPr>
                </w:p>
              </w:tc>
              <w:tc>
                <w:tcPr>
                  <w:tcW w:w="440" w:type="pct"/>
                  <w:vMerge w:val="continue"/>
                  <w:noWrap w:val="0"/>
                  <w:vAlign w:val="center"/>
                </w:tcPr>
                <w:p w14:paraId="0AAFFB82">
                  <w:pPr>
                    <w:pStyle w:val="80"/>
                    <w:rPr>
                      <w:rFonts w:hint="default" w:ascii="Times New Roman" w:hAnsi="Times New Roman" w:cs="Times New Roman"/>
                      <w:color w:val="auto"/>
                    </w:rPr>
                  </w:pPr>
                </w:p>
              </w:tc>
              <w:tc>
                <w:tcPr>
                  <w:tcW w:w="611" w:type="pct"/>
                  <w:shd w:val="clear" w:color="auto" w:fill="auto"/>
                  <w:noWrap w:val="0"/>
                  <w:vAlign w:val="center"/>
                </w:tcPr>
                <w:p w14:paraId="330E4602">
                  <w:pPr>
                    <w:pStyle w:val="80"/>
                    <w:rPr>
                      <w:color w:val="auto"/>
                      <w:highlight w:val="none"/>
                    </w:rPr>
                  </w:pPr>
                  <w:r>
                    <w:rPr>
                      <w:color w:val="auto"/>
                      <w:highlight w:val="none"/>
                    </w:rPr>
                    <w:t>施工</w:t>
                  </w:r>
                </w:p>
                <w:p w14:paraId="6ABFFF21">
                  <w:pPr>
                    <w:pStyle w:val="80"/>
                    <w:rPr>
                      <w:rFonts w:hint="default" w:ascii="Times New Roman" w:hAnsi="Times New Roman" w:eastAsia="宋体" w:cs="Times New Roman"/>
                      <w:b w:val="0"/>
                      <w:bCs/>
                      <w:snapToGrid w:val="0"/>
                      <w:color w:val="auto"/>
                      <w:kern w:val="2"/>
                      <w:sz w:val="21"/>
                      <w:szCs w:val="21"/>
                      <w:highlight w:val="none"/>
                      <w:lang w:val="en-US" w:eastAsia="zh-CN" w:bidi="ar-SA"/>
                    </w:rPr>
                  </w:pPr>
                  <w:r>
                    <w:rPr>
                      <w:color w:val="auto"/>
                      <w:highlight w:val="none"/>
                    </w:rPr>
                    <w:t>便道</w:t>
                  </w:r>
                </w:p>
              </w:tc>
              <w:tc>
                <w:tcPr>
                  <w:tcW w:w="3677" w:type="pct"/>
                  <w:gridSpan w:val="5"/>
                  <w:shd w:val="clear" w:color="auto" w:fill="auto"/>
                  <w:noWrap w:val="0"/>
                  <w:vAlign w:val="center"/>
                </w:tcPr>
                <w:p w14:paraId="14908410">
                  <w:pPr>
                    <w:pStyle w:val="80"/>
                    <w:jc w:val="left"/>
                    <w:rPr>
                      <w:rFonts w:hint="default" w:ascii="Times New Roman" w:hAnsi="Times New Roman" w:eastAsia="宋体" w:cs="Times New Roman"/>
                      <w:b w:val="0"/>
                      <w:bCs/>
                      <w:snapToGrid w:val="0"/>
                      <w:color w:val="auto"/>
                      <w:kern w:val="2"/>
                      <w:sz w:val="21"/>
                      <w:szCs w:val="21"/>
                      <w:highlight w:val="none"/>
                      <w:lang w:val="en-US" w:eastAsia="zh-CN" w:bidi="ar-SA"/>
                    </w:rPr>
                  </w:pPr>
                  <w:r>
                    <w:rPr>
                      <w:color w:val="auto"/>
                      <w:highlight w:val="none"/>
                    </w:rPr>
                    <w:t>本项目</w:t>
                  </w:r>
                  <w:r>
                    <w:rPr>
                      <w:rFonts w:hint="eastAsia"/>
                      <w:color w:val="auto"/>
                      <w:highlight w:val="none"/>
                      <w:lang w:val="en-US" w:eastAsia="zh-CN"/>
                    </w:rPr>
                    <w:t>未设置施工便道</w:t>
                  </w:r>
                  <w:r>
                    <w:rPr>
                      <w:color w:val="auto"/>
                      <w:highlight w:val="none"/>
                    </w:rPr>
                    <w:t>。</w:t>
                  </w:r>
                </w:p>
              </w:tc>
            </w:tr>
            <w:tr w14:paraId="0776FC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276C1AB">
                  <w:pPr>
                    <w:pStyle w:val="80"/>
                    <w:rPr>
                      <w:rFonts w:hint="default" w:ascii="Times New Roman" w:hAnsi="Times New Roman" w:cs="Times New Roman"/>
                      <w:color w:val="auto"/>
                    </w:rPr>
                  </w:pPr>
                </w:p>
              </w:tc>
              <w:tc>
                <w:tcPr>
                  <w:tcW w:w="440" w:type="pct"/>
                  <w:vMerge w:val="continue"/>
                  <w:noWrap w:val="0"/>
                  <w:vAlign w:val="center"/>
                </w:tcPr>
                <w:p w14:paraId="0A64125E">
                  <w:pPr>
                    <w:pStyle w:val="80"/>
                    <w:rPr>
                      <w:rFonts w:hint="default" w:ascii="Times New Roman" w:hAnsi="Times New Roman" w:cs="Times New Roman"/>
                      <w:color w:val="auto"/>
                    </w:rPr>
                  </w:pPr>
                </w:p>
              </w:tc>
              <w:tc>
                <w:tcPr>
                  <w:tcW w:w="611" w:type="pct"/>
                  <w:shd w:val="clear" w:color="auto" w:fill="auto"/>
                  <w:noWrap w:val="0"/>
                  <w:vAlign w:val="center"/>
                </w:tcPr>
                <w:p w14:paraId="25809637">
                  <w:pPr>
                    <w:pStyle w:val="80"/>
                    <w:rPr>
                      <w:rFonts w:hint="eastAsia"/>
                      <w:color w:val="auto"/>
                      <w:highlight w:val="none"/>
                    </w:rPr>
                  </w:pPr>
                  <w:r>
                    <w:rPr>
                      <w:rFonts w:hint="eastAsia"/>
                      <w:color w:val="auto"/>
                      <w:highlight w:val="none"/>
                    </w:rPr>
                    <w:t>保通</w:t>
                  </w:r>
                </w:p>
                <w:p w14:paraId="6C47FB23">
                  <w:pPr>
                    <w:pStyle w:val="80"/>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eastAsia"/>
                      <w:color w:val="auto"/>
                      <w:highlight w:val="none"/>
                    </w:rPr>
                    <w:t>方案</w:t>
                  </w:r>
                </w:p>
              </w:tc>
              <w:tc>
                <w:tcPr>
                  <w:tcW w:w="3677" w:type="pct"/>
                  <w:gridSpan w:val="5"/>
                  <w:shd w:val="clear" w:color="auto" w:fill="auto"/>
                  <w:noWrap w:val="0"/>
                  <w:vAlign w:val="center"/>
                </w:tcPr>
                <w:p w14:paraId="648E8704">
                  <w:pPr>
                    <w:spacing w:line="240" w:lineRule="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b w:val="0"/>
                      <w:bCs/>
                      <w:snapToGrid w:val="0"/>
                      <w:color w:val="auto"/>
                      <w:kern w:val="2"/>
                      <w:sz w:val="21"/>
                      <w:szCs w:val="21"/>
                      <w:highlight w:val="none"/>
                      <w:lang w:val="en-US" w:eastAsia="zh-CN" w:bidi="ar-SA"/>
                    </w:rPr>
                    <w:t>采用分段封闭施工方案，社会车辆可通过</w:t>
                  </w:r>
                  <w:r>
                    <w:rPr>
                      <w:rFonts w:hint="default" w:ascii="Times New Roman" w:hAnsi="Times New Roman" w:eastAsia="宋体" w:cs="Times New Roman"/>
                      <w:b w:val="0"/>
                      <w:bCs/>
                      <w:snapToGrid w:val="0"/>
                      <w:color w:val="auto"/>
                      <w:kern w:val="2"/>
                      <w:sz w:val="21"/>
                      <w:szCs w:val="21"/>
                      <w:highlight w:val="none"/>
                      <w:lang w:val="en-US" w:eastAsia="zh-CN" w:bidi="ar-SA"/>
                    </w:rPr>
                    <w:t>路线东侧</w:t>
                  </w:r>
                  <w:r>
                    <w:rPr>
                      <w:rFonts w:hint="eastAsia" w:ascii="Times New Roman" w:hAnsi="Times New Roman" w:eastAsia="宋体" w:cs="Times New Roman"/>
                      <w:b w:val="0"/>
                      <w:bCs/>
                      <w:snapToGrid w:val="0"/>
                      <w:color w:val="auto"/>
                      <w:kern w:val="2"/>
                      <w:sz w:val="21"/>
                      <w:szCs w:val="21"/>
                      <w:highlight w:val="none"/>
                      <w:lang w:val="en-US" w:eastAsia="zh-CN" w:bidi="ar-SA"/>
                    </w:rPr>
                    <w:t>的</w:t>
                  </w:r>
                  <w:r>
                    <w:rPr>
                      <w:rFonts w:hint="default" w:ascii="Times New Roman" w:hAnsi="Times New Roman" w:eastAsia="宋体" w:cs="Times New Roman"/>
                      <w:b w:val="0"/>
                      <w:bCs/>
                      <w:snapToGrid w:val="0"/>
                      <w:color w:val="auto"/>
                      <w:kern w:val="2"/>
                      <w:sz w:val="21"/>
                      <w:szCs w:val="21"/>
                      <w:highlight w:val="none"/>
                      <w:lang w:val="en-US" w:eastAsia="zh-CN" w:bidi="ar-SA"/>
                    </w:rPr>
                    <w:t>一条伴行乡路</w:t>
                  </w:r>
                  <w:r>
                    <w:rPr>
                      <w:rFonts w:hint="eastAsia" w:ascii="Times New Roman" w:hAnsi="Times New Roman" w:eastAsia="宋体" w:cs="Times New Roman"/>
                      <w:b w:val="0"/>
                      <w:bCs/>
                      <w:snapToGrid w:val="0"/>
                      <w:color w:val="auto"/>
                      <w:kern w:val="2"/>
                      <w:sz w:val="21"/>
                      <w:szCs w:val="21"/>
                      <w:highlight w:val="none"/>
                      <w:lang w:val="en-US" w:eastAsia="zh-CN" w:bidi="ar-SA"/>
                    </w:rPr>
                    <w:t>绕行的方案，以保证过境车辆的通行；沿线居民可利用当地村道、乡道绕行。对居民难以完全绕行路段，采用临时半幅交通导行的施工方案。</w:t>
                  </w:r>
                </w:p>
              </w:tc>
            </w:tr>
            <w:tr w14:paraId="11C640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22" w:type="pct"/>
                  <w:gridSpan w:val="3"/>
                  <w:noWrap w:val="0"/>
                  <w:vAlign w:val="center"/>
                </w:tcPr>
                <w:p w14:paraId="5CD4E7F9">
                  <w:pPr>
                    <w:pStyle w:val="80"/>
                    <w:rPr>
                      <w:rFonts w:hint="eastAsia"/>
                      <w:color w:val="auto"/>
                      <w:sz w:val="21"/>
                      <w:szCs w:val="21"/>
                      <w:highlight w:val="none"/>
                    </w:rPr>
                  </w:pPr>
                  <w:r>
                    <w:rPr>
                      <w:color w:val="auto"/>
                      <w:sz w:val="21"/>
                      <w:szCs w:val="21"/>
                    </w:rPr>
                    <w:t>施工方式及时序</w:t>
                  </w:r>
                </w:p>
              </w:tc>
              <w:tc>
                <w:tcPr>
                  <w:tcW w:w="3677" w:type="pct"/>
                  <w:gridSpan w:val="5"/>
                  <w:shd w:val="clear" w:color="auto" w:fill="auto"/>
                  <w:noWrap w:val="0"/>
                  <w:vAlign w:val="center"/>
                </w:tcPr>
                <w:p w14:paraId="4F3DC400">
                  <w:pPr>
                    <w:spacing w:line="240" w:lineRule="auto"/>
                    <w:rPr>
                      <w:rFonts w:hint="eastAsia" w:ascii="Times New Roman" w:hAnsi="Times New Roman" w:eastAsia="宋体" w:cs="Times New Roman"/>
                      <w:b w:val="0"/>
                      <w:bCs/>
                      <w:snapToGrid w:val="0"/>
                      <w:color w:val="auto"/>
                      <w:kern w:val="2"/>
                      <w:sz w:val="21"/>
                      <w:szCs w:val="21"/>
                      <w:highlight w:val="none"/>
                      <w:lang w:val="en-US" w:eastAsia="zh-CN" w:bidi="ar-SA"/>
                    </w:rPr>
                  </w:pPr>
                  <w:r>
                    <w:rPr>
                      <w:color w:val="auto"/>
                      <w:sz w:val="21"/>
                      <w:szCs w:val="21"/>
                    </w:rPr>
                    <w:t>施工方式：施工期间采用</w:t>
                  </w:r>
                  <w:r>
                    <w:rPr>
                      <w:rFonts w:hint="eastAsia"/>
                      <w:color w:val="auto"/>
                      <w:sz w:val="21"/>
                      <w:szCs w:val="21"/>
                    </w:rPr>
                    <w:t>分段</w:t>
                  </w:r>
                  <w:r>
                    <w:rPr>
                      <w:color w:val="auto"/>
                      <w:sz w:val="21"/>
                      <w:szCs w:val="21"/>
                    </w:rPr>
                    <w:t>封闭施工。施工时序：202</w:t>
                  </w:r>
                  <w:r>
                    <w:rPr>
                      <w:rFonts w:hint="eastAsia"/>
                      <w:color w:val="auto"/>
                      <w:sz w:val="21"/>
                      <w:szCs w:val="21"/>
                      <w:lang w:val="en-US" w:eastAsia="zh-CN"/>
                    </w:rPr>
                    <w:t>6</w:t>
                  </w:r>
                  <w:r>
                    <w:rPr>
                      <w:color w:val="auto"/>
                      <w:sz w:val="21"/>
                      <w:szCs w:val="21"/>
                    </w:rPr>
                    <w:t>年</w:t>
                  </w:r>
                  <w:r>
                    <w:rPr>
                      <w:rFonts w:hint="eastAsia"/>
                      <w:color w:val="auto"/>
                      <w:sz w:val="21"/>
                      <w:szCs w:val="21"/>
                      <w:lang w:val="en-US" w:eastAsia="zh-CN"/>
                    </w:rPr>
                    <w:t>4</w:t>
                  </w:r>
                  <w:r>
                    <w:rPr>
                      <w:color w:val="auto"/>
                      <w:sz w:val="21"/>
                      <w:szCs w:val="21"/>
                    </w:rPr>
                    <w:t>月开工，202</w:t>
                  </w:r>
                  <w:r>
                    <w:rPr>
                      <w:rFonts w:hint="eastAsia"/>
                      <w:color w:val="auto"/>
                      <w:sz w:val="21"/>
                      <w:szCs w:val="21"/>
                      <w:lang w:val="en-US" w:eastAsia="zh-CN"/>
                    </w:rPr>
                    <w:t>6</w:t>
                  </w:r>
                  <w:r>
                    <w:rPr>
                      <w:color w:val="auto"/>
                      <w:sz w:val="21"/>
                      <w:szCs w:val="21"/>
                    </w:rPr>
                    <w:t>年</w:t>
                  </w:r>
                  <w:r>
                    <w:rPr>
                      <w:rFonts w:hint="eastAsia"/>
                      <w:color w:val="auto"/>
                      <w:sz w:val="21"/>
                      <w:szCs w:val="21"/>
                      <w:lang w:val="en-US" w:eastAsia="zh-CN"/>
                    </w:rPr>
                    <w:t>6</w:t>
                  </w:r>
                  <w:r>
                    <w:rPr>
                      <w:color w:val="auto"/>
                      <w:sz w:val="21"/>
                      <w:szCs w:val="21"/>
                    </w:rPr>
                    <w:t>月竣工，路面先基层、后面层施工。</w:t>
                  </w:r>
                </w:p>
              </w:tc>
            </w:tr>
            <w:tr w14:paraId="722311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270" w:type="pct"/>
                  <w:vMerge w:val="restart"/>
                  <w:noWrap w:val="0"/>
                  <w:vAlign w:val="center"/>
                </w:tcPr>
                <w:p w14:paraId="4DBA1DE0">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公用工程</w:t>
                  </w:r>
                </w:p>
              </w:tc>
              <w:tc>
                <w:tcPr>
                  <w:tcW w:w="1052" w:type="pct"/>
                  <w:gridSpan w:val="2"/>
                  <w:shd w:val="clear" w:color="auto" w:fill="auto"/>
                  <w:noWrap w:val="0"/>
                  <w:vAlign w:val="center"/>
                </w:tcPr>
                <w:p w14:paraId="601EB81B">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给水</w:t>
                  </w:r>
                </w:p>
              </w:tc>
              <w:tc>
                <w:tcPr>
                  <w:tcW w:w="3677" w:type="pct"/>
                  <w:gridSpan w:val="5"/>
                  <w:shd w:val="clear" w:color="auto" w:fill="auto"/>
                  <w:noWrap w:val="0"/>
                  <w:vAlign w:val="center"/>
                </w:tcPr>
                <w:p w14:paraId="704468DE">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外购</w:t>
                  </w:r>
                </w:p>
              </w:tc>
            </w:tr>
            <w:tr w14:paraId="2E2E6B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657FFA89">
                  <w:pPr>
                    <w:pStyle w:val="80"/>
                    <w:rPr>
                      <w:rFonts w:hint="default" w:ascii="Times New Roman" w:hAnsi="Times New Roman" w:cs="Times New Roman"/>
                      <w:color w:val="auto"/>
                    </w:rPr>
                  </w:pPr>
                </w:p>
              </w:tc>
              <w:tc>
                <w:tcPr>
                  <w:tcW w:w="1052" w:type="pct"/>
                  <w:gridSpan w:val="2"/>
                  <w:shd w:val="clear" w:color="auto" w:fill="auto"/>
                  <w:noWrap w:val="0"/>
                  <w:vAlign w:val="center"/>
                </w:tcPr>
                <w:p w14:paraId="518B9985">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排水</w:t>
                  </w:r>
                </w:p>
              </w:tc>
              <w:tc>
                <w:tcPr>
                  <w:tcW w:w="3677" w:type="pct"/>
                  <w:gridSpan w:val="5"/>
                  <w:shd w:val="clear" w:color="auto" w:fill="auto"/>
                  <w:noWrap w:val="0"/>
                  <w:vAlign w:val="center"/>
                </w:tcPr>
                <w:p w14:paraId="1B2396CB">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snapToGrid w:val="0"/>
                      <w:color w:val="auto"/>
                      <w:szCs w:val="21"/>
                    </w:rPr>
                    <w:t>路面排水由路面纵横坡将路面水排离路肩，使雨水漫流排至路基边沟，出水口与路基两侧现有的沟渠衔接</w:t>
                  </w:r>
                  <w:r>
                    <w:rPr>
                      <w:rFonts w:hint="default" w:ascii="Times New Roman" w:hAnsi="Times New Roman" w:cs="Times New Roman"/>
                      <w:snapToGrid w:val="0"/>
                      <w:color w:val="auto"/>
                      <w:szCs w:val="21"/>
                      <w:lang w:eastAsia="zh-CN"/>
                    </w:rPr>
                    <w:t>。</w:t>
                  </w:r>
                </w:p>
              </w:tc>
            </w:tr>
            <w:tr w14:paraId="1CD78C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2A3D12CF">
                  <w:pPr>
                    <w:pStyle w:val="80"/>
                    <w:rPr>
                      <w:rFonts w:hint="default" w:ascii="Times New Roman" w:hAnsi="Times New Roman" w:cs="Times New Roman"/>
                      <w:color w:val="auto"/>
                    </w:rPr>
                  </w:pPr>
                </w:p>
              </w:tc>
              <w:tc>
                <w:tcPr>
                  <w:tcW w:w="1052" w:type="pct"/>
                  <w:gridSpan w:val="2"/>
                  <w:shd w:val="clear" w:color="auto" w:fill="auto"/>
                  <w:noWrap w:val="0"/>
                  <w:vAlign w:val="center"/>
                </w:tcPr>
                <w:p w14:paraId="1BC283BD">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供热</w:t>
                  </w:r>
                </w:p>
              </w:tc>
              <w:tc>
                <w:tcPr>
                  <w:tcW w:w="3677" w:type="pct"/>
                  <w:gridSpan w:val="5"/>
                  <w:shd w:val="clear" w:color="auto" w:fill="auto"/>
                  <w:noWrap w:val="0"/>
                  <w:vAlign w:val="center"/>
                </w:tcPr>
                <w:p w14:paraId="3FB3FF18">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不涉及供热</w:t>
                  </w:r>
                  <w:r>
                    <w:rPr>
                      <w:rFonts w:hint="default" w:ascii="Times New Roman" w:hAnsi="Times New Roman" w:cs="Times New Roman"/>
                      <w:color w:val="auto"/>
                      <w:lang w:eastAsia="zh-CN"/>
                    </w:rPr>
                    <w:t>。</w:t>
                  </w:r>
                </w:p>
              </w:tc>
            </w:tr>
            <w:tr w14:paraId="232057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A5EDF49">
                  <w:pPr>
                    <w:pStyle w:val="80"/>
                    <w:rPr>
                      <w:rFonts w:hint="default" w:ascii="Times New Roman" w:hAnsi="Times New Roman" w:cs="Times New Roman"/>
                      <w:color w:val="auto"/>
                    </w:rPr>
                  </w:pPr>
                </w:p>
              </w:tc>
              <w:tc>
                <w:tcPr>
                  <w:tcW w:w="1052" w:type="pct"/>
                  <w:gridSpan w:val="2"/>
                  <w:shd w:val="clear" w:color="auto" w:fill="auto"/>
                  <w:noWrap w:val="0"/>
                  <w:vAlign w:val="center"/>
                </w:tcPr>
                <w:p w14:paraId="286E64FB">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供电</w:t>
                  </w:r>
                </w:p>
              </w:tc>
              <w:tc>
                <w:tcPr>
                  <w:tcW w:w="3677" w:type="pct"/>
                  <w:gridSpan w:val="5"/>
                  <w:shd w:val="clear" w:color="auto" w:fill="auto"/>
                  <w:noWrap w:val="0"/>
                  <w:vAlign w:val="center"/>
                </w:tcPr>
                <w:p w14:paraId="5250AFB4">
                  <w:pPr>
                    <w:pStyle w:val="93"/>
                    <w:spacing w:before="0" w:after="0"/>
                    <w:ind w:right="0" w:rightChars="0" w:firstLine="0" w:firstLineChars="0"/>
                    <w:rPr>
                      <w:rFonts w:hint="default" w:ascii="Times New Roman" w:hAnsi="Times New Roman" w:eastAsia="宋体" w:cs="Times New Roman"/>
                      <w:color w:val="auto"/>
                      <w:kern w:val="0"/>
                      <w:sz w:val="21"/>
                      <w:szCs w:val="18"/>
                      <w:lang w:val="en-US" w:eastAsia="zh-CN" w:bidi="ar-SA"/>
                    </w:rPr>
                  </w:pPr>
                  <w:r>
                    <w:rPr>
                      <w:rFonts w:hint="default" w:ascii="Times New Roman" w:hAnsi="Times New Roman" w:cs="Times New Roman"/>
                      <w:color w:val="auto"/>
                    </w:rPr>
                    <w:t>用电沿线各城镇、乡村均可接线供电</w:t>
                  </w:r>
                  <w:r>
                    <w:rPr>
                      <w:rFonts w:hint="default" w:ascii="Times New Roman" w:hAnsi="Times New Roman" w:cs="Times New Roman"/>
                      <w:color w:val="auto"/>
                      <w:lang w:eastAsia="zh-CN"/>
                    </w:rPr>
                    <w:t>。</w:t>
                  </w:r>
                </w:p>
              </w:tc>
            </w:tr>
            <w:tr w14:paraId="33760E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3" w:hRule="atLeast"/>
              </w:trPr>
              <w:tc>
                <w:tcPr>
                  <w:tcW w:w="270" w:type="pct"/>
                  <w:vMerge w:val="restart"/>
                  <w:noWrap w:val="0"/>
                  <w:vAlign w:val="center"/>
                </w:tcPr>
                <w:p w14:paraId="52D90664">
                  <w:pPr>
                    <w:pStyle w:val="80"/>
                    <w:rPr>
                      <w:rFonts w:hint="default" w:ascii="Times New Roman" w:hAnsi="Times New Roman" w:cs="Times New Roman"/>
                      <w:color w:val="auto"/>
                    </w:rPr>
                  </w:pPr>
                  <w:r>
                    <w:rPr>
                      <w:rFonts w:hint="default" w:ascii="Times New Roman" w:hAnsi="Times New Roman" w:cs="Times New Roman"/>
                      <w:color w:val="auto"/>
                    </w:rPr>
                    <w:t>环保工程</w:t>
                  </w:r>
                </w:p>
              </w:tc>
              <w:tc>
                <w:tcPr>
                  <w:tcW w:w="440" w:type="pct"/>
                  <w:vMerge w:val="restart"/>
                  <w:noWrap w:val="0"/>
                  <w:vAlign w:val="center"/>
                </w:tcPr>
                <w:p w14:paraId="0EE9B883">
                  <w:pPr>
                    <w:pStyle w:val="80"/>
                    <w:rPr>
                      <w:rFonts w:hint="default" w:ascii="Times New Roman" w:hAnsi="Times New Roman" w:cs="Times New Roman"/>
                      <w:color w:val="auto"/>
                    </w:rPr>
                  </w:pPr>
                  <w:r>
                    <w:rPr>
                      <w:rFonts w:hint="default" w:ascii="Times New Roman" w:hAnsi="Times New Roman" w:cs="Times New Roman"/>
                      <w:color w:val="auto"/>
                    </w:rPr>
                    <w:t>废气</w:t>
                  </w:r>
                </w:p>
              </w:tc>
              <w:tc>
                <w:tcPr>
                  <w:tcW w:w="611" w:type="pct"/>
                  <w:noWrap w:val="0"/>
                  <w:vAlign w:val="center"/>
                </w:tcPr>
                <w:p w14:paraId="75382BA6">
                  <w:pPr>
                    <w:pStyle w:val="80"/>
                    <w:rPr>
                      <w:rFonts w:hint="default" w:ascii="Times New Roman" w:hAnsi="Times New Roman" w:cs="Times New Roman"/>
                      <w:color w:val="auto"/>
                    </w:rPr>
                  </w:pPr>
                  <w:r>
                    <w:rPr>
                      <w:rFonts w:hint="default" w:ascii="Times New Roman" w:hAnsi="Times New Roman" w:cs="Times New Roman"/>
                      <w:color w:val="auto"/>
                    </w:rPr>
                    <w:t>施工期</w:t>
                  </w:r>
                </w:p>
              </w:tc>
              <w:tc>
                <w:tcPr>
                  <w:tcW w:w="3677" w:type="pct"/>
                  <w:gridSpan w:val="5"/>
                  <w:noWrap w:val="0"/>
                  <w:vAlign w:val="center"/>
                </w:tcPr>
                <w:p w14:paraId="32F99053">
                  <w:pPr>
                    <w:spacing w:line="240" w:lineRule="auto"/>
                    <w:rPr>
                      <w:rFonts w:hint="default" w:ascii="Times New Roman" w:hAnsi="Times New Roman" w:cs="Times New Roman"/>
                      <w:color w:val="auto"/>
                    </w:rPr>
                  </w:pPr>
                  <w:r>
                    <w:rPr>
                      <w:color w:val="auto"/>
                      <w:sz w:val="21"/>
                      <w:szCs w:val="21"/>
                    </w:rPr>
                    <w:t>拌合站满足《公路环境保护设计规范》（JTGB 04-2010）中距离要求。</w:t>
                  </w:r>
                  <w:r>
                    <w:rPr>
                      <w:bCs/>
                      <w:color w:val="auto"/>
                      <w:sz w:val="21"/>
                      <w:szCs w:val="21"/>
                    </w:rPr>
                    <w:t>施工拌合站沥青烟通过采用先进沥青混凝土搅和设备、密闭设备等措施，并配备沥青烟净化器。</w:t>
                  </w:r>
                  <w:r>
                    <w:rPr>
                      <w:rFonts w:hint="eastAsia"/>
                      <w:bCs/>
                      <w:color w:val="auto"/>
                      <w:sz w:val="21"/>
                      <w:szCs w:val="21"/>
                      <w:lang w:val="en-US" w:eastAsia="zh-CN"/>
                    </w:rPr>
                    <w:t>导热油炉产生的烟气采用布袋除尘器处理，经18m排气筒排放。</w:t>
                  </w:r>
                  <w:r>
                    <w:rPr>
                      <w:bCs/>
                      <w:color w:val="auto"/>
                      <w:sz w:val="21"/>
                      <w:szCs w:val="21"/>
                    </w:rPr>
                    <w:t>途经敏感点路段设置隔声、隔尘挡板，高度3m</w:t>
                  </w:r>
                  <w:r>
                    <w:rPr>
                      <w:rFonts w:hint="eastAsia"/>
                      <w:bCs/>
                      <w:color w:val="auto"/>
                      <w:sz w:val="21"/>
                      <w:szCs w:val="21"/>
                    </w:rPr>
                    <w:t>，</w:t>
                  </w:r>
                  <w:r>
                    <w:rPr>
                      <w:bCs/>
                      <w:color w:val="auto"/>
                      <w:sz w:val="21"/>
                      <w:szCs w:val="21"/>
                    </w:rPr>
                    <w:t>并严禁在挡墙外堆放施工材料、建筑垃圾和渣土。施工避开大风季节，施工中产生的物料堆应当采取遮盖、洒水等措施防止扬尘产生。对施工场地、运输道路表面采取硬化措施，或采取洒水等方法处理。施工产生的建筑垃圾、渣土应当及时清运或采取其他有效防尘措施。运输建筑垃圾、渣土等易产生扬尘的施工车辆，应加盖斗篷，密封运送；材料运输严禁超载，并盖篷布。</w:t>
                  </w:r>
                  <w:r>
                    <w:rPr>
                      <w:color w:val="auto"/>
                      <w:sz w:val="21"/>
                      <w:szCs w:val="21"/>
                    </w:rPr>
                    <w:t>加强施工期环境管理，强化施工人员的环保意识</w:t>
                  </w:r>
                  <w:r>
                    <w:rPr>
                      <w:rFonts w:hint="default" w:ascii="Times New Roman" w:hAnsi="Times New Roman" w:cs="Times New Roman"/>
                      <w:bCs/>
                      <w:color w:val="auto"/>
                      <w:sz w:val="21"/>
                      <w:szCs w:val="21"/>
                      <w:lang w:val="en-US" w:eastAsia="zh-CN"/>
                    </w:rPr>
                    <w:t>。</w:t>
                  </w:r>
                </w:p>
              </w:tc>
            </w:tr>
            <w:tr w14:paraId="7AE08C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31CED398">
                  <w:pPr>
                    <w:pStyle w:val="80"/>
                    <w:rPr>
                      <w:rFonts w:hint="default" w:ascii="Times New Roman" w:hAnsi="Times New Roman" w:cs="Times New Roman"/>
                      <w:color w:val="auto"/>
                    </w:rPr>
                  </w:pPr>
                </w:p>
              </w:tc>
              <w:tc>
                <w:tcPr>
                  <w:tcW w:w="440" w:type="pct"/>
                  <w:vMerge w:val="continue"/>
                  <w:noWrap w:val="0"/>
                  <w:vAlign w:val="center"/>
                </w:tcPr>
                <w:p w14:paraId="12593116">
                  <w:pPr>
                    <w:pStyle w:val="80"/>
                    <w:rPr>
                      <w:rFonts w:hint="default" w:ascii="Times New Roman" w:hAnsi="Times New Roman" w:cs="Times New Roman"/>
                      <w:color w:val="auto"/>
                    </w:rPr>
                  </w:pPr>
                </w:p>
              </w:tc>
              <w:tc>
                <w:tcPr>
                  <w:tcW w:w="611" w:type="pct"/>
                  <w:noWrap w:val="0"/>
                  <w:vAlign w:val="center"/>
                </w:tcPr>
                <w:p w14:paraId="6D30FF70">
                  <w:pPr>
                    <w:pStyle w:val="80"/>
                    <w:rPr>
                      <w:rFonts w:hint="default" w:ascii="Times New Roman" w:hAnsi="Times New Roman" w:cs="Times New Roman"/>
                      <w:color w:val="auto"/>
                    </w:rPr>
                  </w:pPr>
                  <w:r>
                    <w:rPr>
                      <w:rFonts w:hint="default" w:ascii="Times New Roman" w:hAnsi="Times New Roman" w:cs="Times New Roman"/>
                      <w:color w:val="auto"/>
                    </w:rPr>
                    <w:t>运营期</w:t>
                  </w:r>
                </w:p>
              </w:tc>
              <w:tc>
                <w:tcPr>
                  <w:tcW w:w="3677" w:type="pct"/>
                  <w:gridSpan w:val="5"/>
                  <w:noWrap w:val="0"/>
                  <w:vAlign w:val="center"/>
                </w:tcPr>
                <w:p w14:paraId="6A8C286F">
                  <w:pPr>
                    <w:pStyle w:val="76"/>
                    <w:spacing w:line="240" w:lineRule="auto"/>
                    <w:rPr>
                      <w:rFonts w:hint="default" w:ascii="Times New Roman" w:hAnsi="Times New Roman" w:cs="Times New Roman"/>
                      <w:color w:val="auto"/>
                    </w:rPr>
                  </w:pPr>
                  <w:r>
                    <w:rPr>
                      <w:rFonts w:hint="default" w:ascii="Times New Roman" w:hAnsi="Times New Roman" w:cs="Times New Roman"/>
                      <w:color w:val="auto"/>
                      <w:sz w:val="21"/>
                      <w:szCs w:val="21"/>
                    </w:rPr>
                    <w:t>加强公路管理及路面养护，保持公路良好运营状态。</w:t>
                  </w:r>
                </w:p>
              </w:tc>
            </w:tr>
            <w:tr w14:paraId="69F71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70" w:type="pct"/>
                  <w:vMerge w:val="continue"/>
                  <w:noWrap w:val="0"/>
                  <w:vAlign w:val="center"/>
                </w:tcPr>
                <w:p w14:paraId="788E6FA6">
                  <w:pPr>
                    <w:pStyle w:val="80"/>
                    <w:rPr>
                      <w:rFonts w:hint="default" w:ascii="Times New Roman" w:hAnsi="Times New Roman" w:cs="Times New Roman"/>
                      <w:color w:val="auto"/>
                    </w:rPr>
                  </w:pPr>
                </w:p>
              </w:tc>
              <w:tc>
                <w:tcPr>
                  <w:tcW w:w="440" w:type="pct"/>
                  <w:vMerge w:val="restart"/>
                  <w:noWrap w:val="0"/>
                  <w:vAlign w:val="center"/>
                </w:tcPr>
                <w:p w14:paraId="5D070A5A">
                  <w:pPr>
                    <w:pStyle w:val="80"/>
                    <w:rPr>
                      <w:rFonts w:hint="default" w:ascii="Times New Roman" w:hAnsi="Times New Roman" w:cs="Times New Roman"/>
                      <w:color w:val="auto"/>
                    </w:rPr>
                  </w:pPr>
                  <w:r>
                    <w:rPr>
                      <w:rFonts w:hint="default" w:ascii="Times New Roman" w:hAnsi="Times New Roman" w:cs="Times New Roman"/>
                      <w:color w:val="auto"/>
                    </w:rPr>
                    <w:t>废水</w:t>
                  </w:r>
                </w:p>
              </w:tc>
              <w:tc>
                <w:tcPr>
                  <w:tcW w:w="611" w:type="pct"/>
                  <w:noWrap w:val="0"/>
                  <w:vAlign w:val="center"/>
                </w:tcPr>
                <w:p w14:paraId="2BF678DC">
                  <w:pPr>
                    <w:pStyle w:val="80"/>
                    <w:rPr>
                      <w:rFonts w:hint="default" w:ascii="Times New Roman" w:hAnsi="Times New Roman" w:cs="Times New Roman"/>
                      <w:color w:val="auto"/>
                    </w:rPr>
                  </w:pPr>
                  <w:r>
                    <w:rPr>
                      <w:rFonts w:hint="default" w:ascii="Times New Roman" w:hAnsi="Times New Roman" w:cs="Times New Roman"/>
                      <w:color w:val="auto"/>
                    </w:rPr>
                    <w:t>施工期</w:t>
                  </w:r>
                </w:p>
              </w:tc>
              <w:tc>
                <w:tcPr>
                  <w:tcW w:w="3677" w:type="pct"/>
                  <w:gridSpan w:val="5"/>
                  <w:noWrap w:val="0"/>
                  <w:vAlign w:val="center"/>
                </w:tcPr>
                <w:p w14:paraId="2790C2C2">
                  <w:pPr>
                    <w:pStyle w:val="80"/>
                    <w:jc w:val="left"/>
                    <w:rPr>
                      <w:rFonts w:hint="default" w:ascii="Times New Roman" w:hAnsi="Times New Roman" w:cs="Times New Roman"/>
                      <w:color w:val="auto"/>
                    </w:rPr>
                  </w:pPr>
                  <w:r>
                    <w:rPr>
                      <w:rFonts w:hint="default" w:ascii="Times New Roman" w:hAnsi="Times New Roman" w:cs="Times New Roman"/>
                      <w:color w:val="auto"/>
                    </w:rPr>
                    <w:t>施工废水经沉淀池处理后回用；生活污水排入防渗旱厕，定期清掏，</w:t>
                  </w:r>
                  <w:r>
                    <w:rPr>
                      <w:rFonts w:hint="default" w:ascii="Times New Roman" w:hAnsi="Times New Roman" w:cs="Times New Roman"/>
                      <w:color w:val="auto"/>
                      <w:lang w:val="en-US" w:eastAsia="zh-CN"/>
                    </w:rPr>
                    <w:t>外运</w:t>
                  </w:r>
                  <w:r>
                    <w:rPr>
                      <w:rFonts w:hint="default" w:ascii="Times New Roman" w:hAnsi="Times New Roman" w:cs="Times New Roman"/>
                      <w:color w:val="auto"/>
                    </w:rPr>
                    <w:t>堆肥</w:t>
                  </w:r>
                  <w:r>
                    <w:rPr>
                      <w:rFonts w:hint="default" w:ascii="Times New Roman" w:hAnsi="Times New Roman" w:cs="Times New Roman"/>
                      <w:color w:val="auto"/>
                      <w:lang w:val="en-US" w:eastAsia="zh-CN"/>
                    </w:rPr>
                    <w:t>处理</w:t>
                  </w:r>
                  <w:r>
                    <w:rPr>
                      <w:rFonts w:hint="default" w:ascii="Times New Roman" w:hAnsi="Times New Roman" w:cs="Times New Roman"/>
                      <w:color w:val="auto"/>
                    </w:rPr>
                    <w:t>。</w:t>
                  </w:r>
                </w:p>
              </w:tc>
            </w:tr>
            <w:tr w14:paraId="34F121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270" w:type="pct"/>
                  <w:vMerge w:val="continue"/>
                  <w:noWrap w:val="0"/>
                  <w:vAlign w:val="center"/>
                </w:tcPr>
                <w:p w14:paraId="37F15F10">
                  <w:pPr>
                    <w:pStyle w:val="80"/>
                    <w:rPr>
                      <w:rFonts w:hint="default" w:ascii="Times New Roman" w:hAnsi="Times New Roman" w:cs="Times New Roman"/>
                      <w:color w:val="auto"/>
                    </w:rPr>
                  </w:pPr>
                </w:p>
              </w:tc>
              <w:tc>
                <w:tcPr>
                  <w:tcW w:w="440" w:type="pct"/>
                  <w:vMerge w:val="continue"/>
                  <w:noWrap w:val="0"/>
                  <w:vAlign w:val="center"/>
                </w:tcPr>
                <w:p w14:paraId="5E171674">
                  <w:pPr>
                    <w:pStyle w:val="80"/>
                    <w:rPr>
                      <w:rFonts w:hint="default" w:ascii="Times New Roman" w:hAnsi="Times New Roman" w:cs="Times New Roman"/>
                      <w:color w:val="auto"/>
                    </w:rPr>
                  </w:pPr>
                </w:p>
              </w:tc>
              <w:tc>
                <w:tcPr>
                  <w:tcW w:w="611" w:type="pct"/>
                  <w:noWrap w:val="0"/>
                  <w:vAlign w:val="center"/>
                </w:tcPr>
                <w:p w14:paraId="0E15DE9B">
                  <w:pPr>
                    <w:pStyle w:val="80"/>
                    <w:rPr>
                      <w:rFonts w:hint="default" w:ascii="Times New Roman" w:hAnsi="Times New Roman" w:cs="Times New Roman"/>
                      <w:color w:val="auto"/>
                    </w:rPr>
                  </w:pPr>
                  <w:r>
                    <w:rPr>
                      <w:rFonts w:hint="default" w:ascii="Times New Roman" w:hAnsi="Times New Roman" w:cs="Times New Roman"/>
                      <w:color w:val="auto"/>
                    </w:rPr>
                    <w:t>运营期</w:t>
                  </w:r>
                </w:p>
              </w:tc>
              <w:tc>
                <w:tcPr>
                  <w:tcW w:w="3677" w:type="pct"/>
                  <w:gridSpan w:val="5"/>
                  <w:noWrap w:val="0"/>
                  <w:vAlign w:val="center"/>
                </w:tcPr>
                <w:p w14:paraId="0EDFEE1E">
                  <w:pPr>
                    <w:pStyle w:val="80"/>
                    <w:jc w:val="left"/>
                    <w:rPr>
                      <w:rFonts w:hint="default" w:ascii="Times New Roman" w:hAnsi="Times New Roman" w:cs="Times New Roman"/>
                      <w:color w:val="auto"/>
                    </w:rPr>
                  </w:pPr>
                  <w:r>
                    <w:rPr>
                      <w:rFonts w:hint="default" w:ascii="Times New Roman" w:hAnsi="Times New Roman" w:cs="Times New Roman"/>
                      <w:snapToGrid w:val="0"/>
                      <w:color w:val="auto"/>
                      <w:szCs w:val="21"/>
                    </w:rPr>
                    <w:t>路面排水由路面纵横坡将路面水排离路肩，使雨水漫流排至路基边沟，出水口与路基两侧现有的沟渠衔接</w:t>
                  </w:r>
                  <w:r>
                    <w:rPr>
                      <w:rFonts w:hint="default" w:ascii="Times New Roman" w:hAnsi="Times New Roman" w:cs="Times New Roman"/>
                      <w:color w:val="auto"/>
                    </w:rPr>
                    <w:t>。</w:t>
                  </w:r>
                </w:p>
              </w:tc>
            </w:tr>
            <w:tr w14:paraId="50F5F1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7" w:hRule="atLeast"/>
              </w:trPr>
              <w:tc>
                <w:tcPr>
                  <w:tcW w:w="270" w:type="pct"/>
                  <w:vMerge w:val="continue"/>
                  <w:noWrap w:val="0"/>
                  <w:vAlign w:val="center"/>
                </w:tcPr>
                <w:p w14:paraId="73BDF211">
                  <w:pPr>
                    <w:pStyle w:val="80"/>
                    <w:rPr>
                      <w:rFonts w:hint="default" w:ascii="Times New Roman" w:hAnsi="Times New Roman" w:cs="Times New Roman"/>
                      <w:color w:val="auto"/>
                    </w:rPr>
                  </w:pPr>
                </w:p>
              </w:tc>
              <w:tc>
                <w:tcPr>
                  <w:tcW w:w="440" w:type="pct"/>
                  <w:vMerge w:val="restart"/>
                  <w:noWrap w:val="0"/>
                  <w:vAlign w:val="center"/>
                </w:tcPr>
                <w:p w14:paraId="61085306">
                  <w:pPr>
                    <w:pStyle w:val="80"/>
                    <w:rPr>
                      <w:rFonts w:hint="default" w:ascii="Times New Roman" w:hAnsi="Times New Roman" w:cs="Times New Roman"/>
                      <w:color w:val="auto"/>
                    </w:rPr>
                  </w:pPr>
                  <w:r>
                    <w:rPr>
                      <w:rFonts w:hint="default" w:ascii="Times New Roman" w:hAnsi="Times New Roman" w:cs="Times New Roman"/>
                      <w:color w:val="auto"/>
                    </w:rPr>
                    <w:t>固废</w:t>
                  </w:r>
                </w:p>
              </w:tc>
              <w:tc>
                <w:tcPr>
                  <w:tcW w:w="611" w:type="pct"/>
                  <w:noWrap w:val="0"/>
                  <w:vAlign w:val="center"/>
                </w:tcPr>
                <w:p w14:paraId="3AE7A361">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施工期</w:t>
                  </w:r>
                </w:p>
              </w:tc>
              <w:tc>
                <w:tcPr>
                  <w:tcW w:w="3677" w:type="pct"/>
                  <w:gridSpan w:val="5"/>
                  <w:noWrap w:val="0"/>
                  <w:vAlign w:val="center"/>
                </w:tcPr>
                <w:p w14:paraId="0AA32A20">
                  <w:pPr>
                    <w:pStyle w:val="80"/>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生活垃圾集中收集，运送至环卫部门指定地点；</w:t>
                  </w:r>
                  <w:r>
                    <w:rPr>
                      <w:color w:val="auto"/>
                      <w:highlight w:val="none"/>
                    </w:rPr>
                    <w:t>施工期拆除</w:t>
                  </w:r>
                  <w:r>
                    <w:rPr>
                      <w:rFonts w:hint="eastAsia"/>
                      <w:color w:val="auto"/>
                      <w:highlight w:val="none"/>
                      <w:lang w:val="en-US" w:eastAsia="zh-CN"/>
                    </w:rPr>
                    <w:t>路面产生废弃</w:t>
                  </w:r>
                  <w:r>
                    <w:rPr>
                      <w:color w:val="auto"/>
                      <w:highlight w:val="none"/>
                    </w:rPr>
                    <w:t>路面</w:t>
                  </w:r>
                  <w:r>
                    <w:rPr>
                      <w:rFonts w:hint="eastAsia"/>
                      <w:color w:val="auto"/>
                      <w:highlight w:val="none"/>
                      <w:lang w:val="en-US" w:eastAsia="zh-CN"/>
                    </w:rPr>
                    <w:t>约17465.7t，废弃路面</w:t>
                  </w:r>
                  <w:r>
                    <w:rPr>
                      <w:color w:val="auto"/>
                      <w:highlight w:val="none"/>
                    </w:rPr>
                    <w:t>破碎后</w:t>
                  </w:r>
                  <w:r>
                    <w:rPr>
                      <w:rFonts w:hint="eastAsia"/>
                      <w:color w:val="auto"/>
                      <w:highlight w:val="none"/>
                      <w:lang w:val="en-US" w:eastAsia="zh-CN"/>
                    </w:rPr>
                    <w:t>部分</w:t>
                  </w:r>
                  <w:r>
                    <w:rPr>
                      <w:color w:val="auto"/>
                      <w:highlight w:val="none"/>
                    </w:rPr>
                    <w:t>用于路基的垫层，</w:t>
                  </w:r>
                  <w:r>
                    <w:rPr>
                      <w:rFonts w:hint="eastAsia"/>
                      <w:color w:val="auto"/>
                      <w:highlight w:val="none"/>
                      <w:lang w:val="en-US" w:eastAsia="zh-CN"/>
                    </w:rPr>
                    <w:t>部分运输至柳毛乡混凝土拌合站进行利用</w:t>
                  </w:r>
                  <w:r>
                    <w:rPr>
                      <w:rFonts w:hint="default" w:ascii="Times New Roman" w:hAnsi="Times New Roman" w:cs="Times New Roman"/>
                      <w:color w:val="auto"/>
                      <w:highlight w:val="none"/>
                      <w:lang w:eastAsia="zh-CN"/>
                    </w:rPr>
                    <w:t>。</w:t>
                  </w:r>
                </w:p>
              </w:tc>
            </w:tr>
            <w:tr w14:paraId="2CD9BF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7" w:hRule="atLeast"/>
              </w:trPr>
              <w:tc>
                <w:tcPr>
                  <w:tcW w:w="270" w:type="pct"/>
                  <w:vMerge w:val="continue"/>
                  <w:noWrap w:val="0"/>
                  <w:vAlign w:val="center"/>
                </w:tcPr>
                <w:p w14:paraId="6D9660EE">
                  <w:pPr>
                    <w:pStyle w:val="80"/>
                    <w:rPr>
                      <w:rFonts w:hint="default" w:ascii="Times New Roman" w:hAnsi="Times New Roman" w:cs="Times New Roman"/>
                      <w:color w:val="auto"/>
                    </w:rPr>
                  </w:pPr>
                </w:p>
              </w:tc>
              <w:tc>
                <w:tcPr>
                  <w:tcW w:w="440" w:type="pct"/>
                  <w:vMerge w:val="continue"/>
                  <w:noWrap w:val="0"/>
                  <w:vAlign w:val="center"/>
                </w:tcPr>
                <w:p w14:paraId="4C1CD37A">
                  <w:pPr>
                    <w:pStyle w:val="80"/>
                    <w:rPr>
                      <w:rFonts w:hint="default" w:ascii="Times New Roman" w:hAnsi="Times New Roman" w:cs="Times New Roman"/>
                      <w:color w:val="auto"/>
                    </w:rPr>
                  </w:pPr>
                </w:p>
              </w:tc>
              <w:tc>
                <w:tcPr>
                  <w:tcW w:w="611" w:type="pct"/>
                  <w:noWrap w:val="0"/>
                  <w:vAlign w:val="center"/>
                </w:tcPr>
                <w:p w14:paraId="6AF40D0A">
                  <w:pPr>
                    <w:pStyle w:val="80"/>
                    <w:rPr>
                      <w:rFonts w:hint="default" w:ascii="Times New Roman" w:hAnsi="Times New Roman" w:cs="Times New Roman"/>
                      <w:color w:val="auto"/>
                    </w:rPr>
                  </w:pPr>
                  <w:r>
                    <w:rPr>
                      <w:rFonts w:hint="default" w:ascii="Times New Roman" w:hAnsi="Times New Roman" w:cs="Times New Roman"/>
                      <w:color w:val="auto"/>
                    </w:rPr>
                    <w:t>运营期</w:t>
                  </w:r>
                </w:p>
              </w:tc>
              <w:tc>
                <w:tcPr>
                  <w:tcW w:w="3677" w:type="pct"/>
                  <w:gridSpan w:val="5"/>
                  <w:noWrap w:val="0"/>
                  <w:vAlign w:val="center"/>
                </w:tcPr>
                <w:p w14:paraId="6D7DEC97">
                  <w:pPr>
                    <w:pStyle w:val="80"/>
                    <w:jc w:val="left"/>
                    <w:rPr>
                      <w:rFonts w:hint="default" w:ascii="Times New Roman" w:hAnsi="Times New Roman" w:cs="Times New Roman"/>
                      <w:color w:val="auto"/>
                    </w:rPr>
                  </w:pPr>
                  <w:r>
                    <w:rPr>
                      <w:rFonts w:hint="default" w:ascii="Times New Roman" w:hAnsi="Times New Roman" w:cs="Times New Roman"/>
                      <w:color w:val="auto"/>
                    </w:rPr>
                    <w:t>加强道路日常清洁及维护，运输车辆撒落的运载物、发生交通事故的车辆装载的货物、客车乘客丢弃的物品等固体废物，交由市政部门统一清运。</w:t>
                  </w:r>
                </w:p>
              </w:tc>
            </w:tr>
            <w:tr w14:paraId="5756F1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D9EC8A9">
                  <w:pPr>
                    <w:pStyle w:val="80"/>
                    <w:rPr>
                      <w:rFonts w:hint="default" w:ascii="Times New Roman" w:hAnsi="Times New Roman" w:cs="Times New Roman"/>
                      <w:color w:val="auto"/>
                    </w:rPr>
                  </w:pPr>
                </w:p>
              </w:tc>
              <w:tc>
                <w:tcPr>
                  <w:tcW w:w="440" w:type="pct"/>
                  <w:vMerge w:val="restart"/>
                  <w:noWrap w:val="0"/>
                  <w:vAlign w:val="center"/>
                </w:tcPr>
                <w:p w14:paraId="6E32775D">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噪声</w:t>
                  </w:r>
                </w:p>
              </w:tc>
              <w:tc>
                <w:tcPr>
                  <w:tcW w:w="611" w:type="pct"/>
                  <w:noWrap w:val="0"/>
                  <w:vAlign w:val="center"/>
                </w:tcPr>
                <w:p w14:paraId="7A698B4F">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施工期</w:t>
                  </w:r>
                </w:p>
              </w:tc>
              <w:tc>
                <w:tcPr>
                  <w:tcW w:w="3677" w:type="pct"/>
                  <w:gridSpan w:val="5"/>
                  <w:noWrap w:val="0"/>
                  <w:vAlign w:val="center"/>
                </w:tcPr>
                <w:p w14:paraId="0C2A6277">
                  <w:pPr>
                    <w:pStyle w:val="93"/>
                    <w:spacing w:before="0" w:after="0"/>
                    <w:ind w:right="0" w:rightChars="0" w:firstLine="0" w:firstLineChars="0"/>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采用低噪声设备，施工机械安装减振、降噪设备，加强维修保养；施工期合理布局，临时工程及大型施工设备远离声环境保护目标设置；合理制定施工计划，避免大量噪声设备同时使用；禁止夜间（22：00～次日 6：00）施工作业；合理疏导进入施工区的车辆，采取禁止鸣笛、减速慢行等措施，减少运输交通噪声扰民。</w:t>
                  </w:r>
                </w:p>
              </w:tc>
            </w:tr>
            <w:tr w14:paraId="220831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5F6A4184">
                  <w:pPr>
                    <w:pStyle w:val="80"/>
                    <w:rPr>
                      <w:rFonts w:hint="default" w:ascii="Times New Roman" w:hAnsi="Times New Roman" w:cs="Times New Roman"/>
                      <w:color w:val="auto"/>
                    </w:rPr>
                  </w:pPr>
                </w:p>
              </w:tc>
              <w:tc>
                <w:tcPr>
                  <w:tcW w:w="440" w:type="pct"/>
                  <w:vMerge w:val="continue"/>
                  <w:noWrap w:val="0"/>
                  <w:vAlign w:val="center"/>
                </w:tcPr>
                <w:p w14:paraId="6C16207A">
                  <w:pPr>
                    <w:pStyle w:val="80"/>
                    <w:rPr>
                      <w:rFonts w:hint="default" w:ascii="Times New Roman" w:hAnsi="Times New Roman" w:cs="Times New Roman"/>
                      <w:color w:val="auto"/>
                    </w:rPr>
                  </w:pPr>
                </w:p>
              </w:tc>
              <w:tc>
                <w:tcPr>
                  <w:tcW w:w="611" w:type="pct"/>
                  <w:noWrap w:val="0"/>
                  <w:vAlign w:val="center"/>
                </w:tcPr>
                <w:p w14:paraId="4486963E">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运营期</w:t>
                  </w:r>
                </w:p>
              </w:tc>
              <w:tc>
                <w:tcPr>
                  <w:tcW w:w="3677" w:type="pct"/>
                  <w:gridSpan w:val="5"/>
                  <w:noWrap w:val="0"/>
                  <w:vAlign w:val="center"/>
                </w:tcPr>
                <w:p w14:paraId="05592401">
                  <w:pPr>
                    <w:pStyle w:val="93"/>
                    <w:spacing w:before="0" w:after="0"/>
                    <w:ind w:right="0" w:rightChars="0" w:firstLine="0" w:firstLineChars="0"/>
                    <w:jc w:val="left"/>
                    <w:rPr>
                      <w:rFonts w:hint="default" w:ascii="Times New Roman" w:hAnsi="Times New Roman" w:cs="Times New Roman"/>
                      <w:color w:val="auto"/>
                      <w:highlight w:val="none"/>
                    </w:rPr>
                  </w:pPr>
                  <w:r>
                    <w:rPr>
                      <w:rFonts w:hint="default" w:ascii="Times New Roman" w:hAnsi="Times New Roman" w:cs="Times New Roman"/>
                      <w:color w:val="auto"/>
                      <w:szCs w:val="21"/>
                      <w:highlight w:val="none"/>
                    </w:rPr>
                    <w:t>加强运营期噪声防治管理措施，减少运营期间对沿线产生噪声影响。加强对地面交通噪声的监测，并预留环保投资，使本项目沿线敏感保护目标室内环境噪声均符合敏感点室内昼夜噪声值满足《建筑环境通用规范》（GB 55016-2021）相应规定。</w:t>
                  </w:r>
                </w:p>
              </w:tc>
            </w:tr>
            <w:tr w14:paraId="7E8B3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270" w:type="pct"/>
                  <w:vMerge w:val="continue"/>
                  <w:noWrap w:val="0"/>
                  <w:vAlign w:val="center"/>
                </w:tcPr>
                <w:p w14:paraId="3C681E6B">
                  <w:pPr>
                    <w:pStyle w:val="80"/>
                    <w:rPr>
                      <w:rFonts w:hint="default" w:ascii="Times New Roman" w:hAnsi="Times New Roman" w:cs="Times New Roman"/>
                      <w:color w:val="auto"/>
                    </w:rPr>
                  </w:pPr>
                </w:p>
              </w:tc>
              <w:tc>
                <w:tcPr>
                  <w:tcW w:w="1052" w:type="pct"/>
                  <w:gridSpan w:val="2"/>
                  <w:noWrap w:val="0"/>
                  <w:vAlign w:val="center"/>
                </w:tcPr>
                <w:p w14:paraId="72F6BE65">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rPr>
                    <w:t>风险</w:t>
                  </w:r>
                </w:p>
              </w:tc>
              <w:tc>
                <w:tcPr>
                  <w:tcW w:w="3677" w:type="pct"/>
                  <w:gridSpan w:val="5"/>
                  <w:noWrap w:val="0"/>
                  <w:vAlign w:val="center"/>
                </w:tcPr>
                <w:p w14:paraId="2DF861E7">
                  <w:pPr>
                    <w:pStyle w:val="8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公路路侧设置半刚性波形梁防撞护栏，长度</w:t>
                  </w:r>
                  <w:r>
                    <w:rPr>
                      <w:rFonts w:hint="default" w:ascii="Times New Roman" w:hAnsi="Times New Roman" w:cs="Times New Roman"/>
                      <w:b w:val="0"/>
                      <w:bCs/>
                      <w:color w:val="auto"/>
                      <w:lang w:val="en-US" w:eastAsia="zh-CN"/>
                    </w:rPr>
                    <w:t>3150米。</w:t>
                  </w:r>
                </w:p>
              </w:tc>
            </w:tr>
            <w:tr w14:paraId="4940FA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noWrap w:val="0"/>
                  <w:vAlign w:val="center"/>
                </w:tcPr>
                <w:p w14:paraId="7C86C1DF">
                  <w:pPr>
                    <w:pStyle w:val="80"/>
                    <w:rPr>
                      <w:rFonts w:hint="default" w:ascii="Times New Roman" w:hAnsi="Times New Roman" w:cs="Times New Roman"/>
                      <w:color w:val="auto"/>
                    </w:rPr>
                  </w:pPr>
                </w:p>
              </w:tc>
              <w:tc>
                <w:tcPr>
                  <w:tcW w:w="440" w:type="pct"/>
                  <w:vMerge w:val="restart"/>
                  <w:noWrap w:val="0"/>
                  <w:vAlign w:val="center"/>
                </w:tcPr>
                <w:p w14:paraId="5F186A36">
                  <w:pPr>
                    <w:pStyle w:val="80"/>
                    <w:rPr>
                      <w:rFonts w:hint="default" w:ascii="Times New Roman" w:hAnsi="Times New Roman" w:cs="Times New Roman"/>
                      <w:color w:val="auto"/>
                    </w:rPr>
                  </w:pPr>
                  <w:r>
                    <w:rPr>
                      <w:rFonts w:hint="default" w:ascii="Times New Roman" w:hAnsi="Times New Roman" w:cs="Times New Roman"/>
                      <w:color w:val="auto"/>
                    </w:rPr>
                    <w:t>生态</w:t>
                  </w:r>
                </w:p>
              </w:tc>
              <w:tc>
                <w:tcPr>
                  <w:tcW w:w="611" w:type="pct"/>
                  <w:noWrap w:val="0"/>
                  <w:vAlign w:val="center"/>
                </w:tcPr>
                <w:p w14:paraId="09A081A3">
                  <w:pPr>
                    <w:pStyle w:val="80"/>
                    <w:rPr>
                      <w:rFonts w:hint="default" w:ascii="Times New Roman" w:hAnsi="Times New Roman" w:cs="Times New Roman"/>
                      <w:color w:val="auto"/>
                    </w:rPr>
                  </w:pPr>
                  <w:r>
                    <w:rPr>
                      <w:rFonts w:hint="default" w:ascii="Times New Roman" w:hAnsi="Times New Roman" w:cs="Times New Roman"/>
                      <w:color w:val="auto"/>
                    </w:rPr>
                    <w:t>工程</w:t>
                  </w:r>
                </w:p>
                <w:p w14:paraId="5B017CA0">
                  <w:pPr>
                    <w:pStyle w:val="80"/>
                    <w:rPr>
                      <w:rFonts w:hint="default" w:ascii="Times New Roman" w:hAnsi="Times New Roman" w:cs="Times New Roman"/>
                      <w:color w:val="auto"/>
                    </w:rPr>
                  </w:pPr>
                  <w:r>
                    <w:rPr>
                      <w:rFonts w:hint="default" w:ascii="Times New Roman" w:hAnsi="Times New Roman" w:cs="Times New Roman"/>
                      <w:color w:val="auto"/>
                    </w:rPr>
                    <w:t>绿化</w:t>
                  </w:r>
                </w:p>
              </w:tc>
              <w:tc>
                <w:tcPr>
                  <w:tcW w:w="3677" w:type="pct"/>
                  <w:gridSpan w:val="5"/>
                  <w:noWrap w:val="0"/>
                  <w:vAlign w:val="center"/>
                </w:tcPr>
                <w:p w14:paraId="621C4D31">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公路两侧以乔灌结合进行绿化</w:t>
                  </w:r>
                  <w:r>
                    <w:rPr>
                      <w:rFonts w:hint="default" w:ascii="Times New Roman" w:hAnsi="Times New Roman" w:cs="Times New Roman"/>
                      <w:color w:val="auto"/>
                    </w:rPr>
                    <w:t>。</w:t>
                  </w:r>
                </w:p>
              </w:tc>
            </w:tr>
            <w:tr w14:paraId="6BDE8F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270" w:type="pct"/>
                  <w:vMerge w:val="continue"/>
                  <w:noWrap w:val="0"/>
                  <w:vAlign w:val="center"/>
                </w:tcPr>
                <w:p w14:paraId="09FE0031">
                  <w:pPr>
                    <w:pStyle w:val="80"/>
                    <w:rPr>
                      <w:rFonts w:hint="default" w:ascii="Times New Roman" w:hAnsi="Times New Roman" w:cs="Times New Roman"/>
                      <w:color w:val="auto"/>
                    </w:rPr>
                  </w:pPr>
                </w:p>
              </w:tc>
              <w:tc>
                <w:tcPr>
                  <w:tcW w:w="440" w:type="pct"/>
                  <w:vMerge w:val="continue"/>
                  <w:noWrap w:val="0"/>
                  <w:vAlign w:val="center"/>
                </w:tcPr>
                <w:p w14:paraId="3CE8B53A">
                  <w:pPr>
                    <w:pStyle w:val="80"/>
                    <w:rPr>
                      <w:rFonts w:hint="default" w:ascii="Times New Roman" w:hAnsi="Times New Roman" w:cs="Times New Roman"/>
                      <w:color w:val="auto"/>
                    </w:rPr>
                  </w:pPr>
                </w:p>
              </w:tc>
              <w:tc>
                <w:tcPr>
                  <w:tcW w:w="611" w:type="pct"/>
                  <w:noWrap w:val="0"/>
                  <w:vAlign w:val="center"/>
                </w:tcPr>
                <w:p w14:paraId="4093DF99">
                  <w:pPr>
                    <w:pStyle w:val="80"/>
                    <w:rPr>
                      <w:rFonts w:hint="default" w:ascii="Times New Roman" w:hAnsi="Times New Roman" w:cs="Times New Roman"/>
                      <w:color w:val="auto"/>
                    </w:rPr>
                  </w:pPr>
                  <w:r>
                    <w:rPr>
                      <w:rFonts w:hint="default" w:ascii="Times New Roman" w:hAnsi="Times New Roman" w:cs="Times New Roman"/>
                      <w:color w:val="auto"/>
                    </w:rPr>
                    <w:t>临时占地恢复</w:t>
                  </w:r>
                </w:p>
              </w:tc>
              <w:tc>
                <w:tcPr>
                  <w:tcW w:w="3677" w:type="pct"/>
                  <w:gridSpan w:val="5"/>
                  <w:noWrap w:val="0"/>
                  <w:vAlign w:val="center"/>
                </w:tcPr>
                <w:p w14:paraId="187A55CF">
                  <w:pPr>
                    <w:pStyle w:val="80"/>
                    <w:rPr>
                      <w:rFonts w:hint="default" w:ascii="Times New Roman" w:hAnsi="Times New Roman" w:cs="Times New Roman"/>
                      <w:color w:val="auto"/>
                    </w:rPr>
                  </w:pPr>
                  <w:r>
                    <w:rPr>
                      <w:rFonts w:hint="default" w:ascii="Times New Roman" w:hAnsi="Times New Roman" w:cs="Times New Roman"/>
                      <w:color w:val="auto"/>
                      <w:lang w:val="en-US" w:eastAsia="zh-CN"/>
                    </w:rPr>
                    <w:t>施工生产生活区和</w:t>
                  </w:r>
                  <w:r>
                    <w:rPr>
                      <w:rFonts w:hint="eastAsia" w:cs="Times New Roman"/>
                      <w:color w:val="auto"/>
                      <w:lang w:val="en-US" w:eastAsia="zh-CN"/>
                    </w:rPr>
                    <w:t>沥青混凝土拌合站</w:t>
                  </w:r>
                  <w:r>
                    <w:rPr>
                      <w:rFonts w:hint="default" w:ascii="Times New Roman" w:hAnsi="Times New Roman" w:cs="Times New Roman"/>
                      <w:color w:val="auto"/>
                      <w:lang w:val="en-US" w:eastAsia="zh-CN"/>
                    </w:rPr>
                    <w:t>均为租赁现有工业用地，不涉及拆除恢复</w:t>
                  </w:r>
                  <w:r>
                    <w:rPr>
                      <w:rFonts w:hint="default" w:ascii="Times New Roman" w:hAnsi="Times New Roman" w:cs="Times New Roman"/>
                      <w:color w:val="auto"/>
                    </w:rPr>
                    <w:t>。</w:t>
                  </w:r>
                </w:p>
              </w:tc>
            </w:tr>
          </w:tbl>
          <w:p w14:paraId="2E51CFD5">
            <w:pPr>
              <w:pStyle w:val="76"/>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2、主要技术标准</w:t>
            </w:r>
          </w:p>
          <w:p w14:paraId="11B05071">
            <w:pPr>
              <w:pStyle w:val="76"/>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w:t>
            </w:r>
            <w:r>
              <w:rPr>
                <w:rFonts w:hint="default" w:ascii="Times New Roman" w:hAnsi="Times New Roman" w:eastAsia="宋体" w:cs="Times New Roman"/>
                <w:color w:val="auto"/>
                <w:lang w:val="en-US" w:eastAsia="zh-CN"/>
              </w:rPr>
              <w:t>项目</w:t>
            </w:r>
            <w:r>
              <w:rPr>
                <w:rFonts w:hint="default" w:ascii="Times New Roman" w:hAnsi="Times New Roman" w:eastAsia="宋体" w:cs="Times New Roman"/>
                <w:color w:val="auto"/>
              </w:rPr>
              <w:t>主要技术标准一览表详见表2-2。</w:t>
            </w:r>
          </w:p>
          <w:p w14:paraId="07807896">
            <w:pPr>
              <w:pStyle w:val="72"/>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表2-2  主要技术标准一览表</w:t>
            </w:r>
          </w:p>
          <w:tbl>
            <w:tblPr>
              <w:tblStyle w:val="30"/>
              <w:tblW w:w="0" w:type="auto"/>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245"/>
              <w:gridCol w:w="3298"/>
              <w:gridCol w:w="762"/>
              <w:gridCol w:w="2373"/>
            </w:tblGrid>
            <w:tr w14:paraId="43ABD6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404DCA93">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序号</w:t>
                  </w:r>
                </w:p>
              </w:tc>
              <w:tc>
                <w:tcPr>
                  <w:tcW w:w="3298" w:type="dxa"/>
                  <w:tcBorders>
                    <w:tl2br w:val="nil"/>
                    <w:tr2bl w:val="nil"/>
                  </w:tcBorders>
                  <w:noWrap w:val="0"/>
                  <w:vAlign w:val="center"/>
                </w:tcPr>
                <w:p w14:paraId="5B51F60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指标</w:t>
                  </w:r>
                </w:p>
              </w:tc>
              <w:tc>
                <w:tcPr>
                  <w:tcW w:w="762" w:type="dxa"/>
                  <w:tcBorders>
                    <w:tl2br w:val="nil"/>
                    <w:tr2bl w:val="nil"/>
                  </w:tcBorders>
                  <w:noWrap w:val="0"/>
                  <w:vAlign w:val="center"/>
                </w:tcPr>
                <w:p w14:paraId="605F1B0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单位</w:t>
                  </w:r>
                </w:p>
              </w:tc>
              <w:tc>
                <w:tcPr>
                  <w:tcW w:w="2373" w:type="dxa"/>
                  <w:tcBorders>
                    <w:tl2br w:val="nil"/>
                    <w:tr2bl w:val="nil"/>
                  </w:tcBorders>
                  <w:noWrap w:val="0"/>
                  <w:vAlign w:val="center"/>
                </w:tcPr>
                <w:p w14:paraId="4776F3E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技术标准</w:t>
                  </w:r>
                </w:p>
              </w:tc>
            </w:tr>
            <w:tr w14:paraId="5D585A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2EB970A6">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1</w:t>
                  </w:r>
                </w:p>
              </w:tc>
              <w:tc>
                <w:tcPr>
                  <w:tcW w:w="3298" w:type="dxa"/>
                  <w:tcBorders>
                    <w:tl2br w:val="nil"/>
                    <w:tr2bl w:val="nil"/>
                  </w:tcBorders>
                  <w:noWrap w:val="0"/>
                  <w:vAlign w:val="center"/>
                </w:tcPr>
                <w:p w14:paraId="3179265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公路等级</w:t>
                  </w:r>
                </w:p>
              </w:tc>
              <w:tc>
                <w:tcPr>
                  <w:tcW w:w="762" w:type="dxa"/>
                  <w:tcBorders>
                    <w:tl2br w:val="nil"/>
                    <w:tr2bl w:val="nil"/>
                  </w:tcBorders>
                  <w:noWrap w:val="0"/>
                  <w:vAlign w:val="center"/>
                </w:tcPr>
                <w:p w14:paraId="56864665">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default" w:ascii="Times New Roman" w:hAnsi="Times New Roman" w:eastAsia="宋体" w:cs="Times New Roman"/>
                      <w:color w:val="auto"/>
                      <w:kern w:val="21"/>
                      <w:sz w:val="21"/>
                      <w:szCs w:val="21"/>
                      <w:lang w:val="en-US" w:eastAsia="zh-CN"/>
                    </w:rPr>
                    <w:t>/</w:t>
                  </w:r>
                </w:p>
              </w:tc>
              <w:tc>
                <w:tcPr>
                  <w:tcW w:w="2373" w:type="dxa"/>
                  <w:tcBorders>
                    <w:tl2br w:val="nil"/>
                    <w:tr2bl w:val="nil"/>
                  </w:tcBorders>
                  <w:noWrap w:val="0"/>
                  <w:vAlign w:val="center"/>
                </w:tcPr>
                <w:p w14:paraId="7EB92FB8">
                  <w:pPr>
                    <w:pStyle w:val="80"/>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二级</w:t>
                  </w:r>
                  <w:r>
                    <w:rPr>
                      <w:rFonts w:hint="default" w:ascii="Times New Roman" w:hAnsi="Times New Roman" w:eastAsia="宋体" w:cs="Times New Roman"/>
                      <w:color w:val="auto"/>
                      <w:sz w:val="21"/>
                      <w:szCs w:val="21"/>
                      <w:lang w:val="en-US" w:eastAsia="zh-CN"/>
                    </w:rPr>
                    <w:t>公路</w:t>
                  </w:r>
                </w:p>
              </w:tc>
            </w:tr>
            <w:tr w14:paraId="384B37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4F5A93F9">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2</w:t>
                  </w:r>
                </w:p>
              </w:tc>
              <w:tc>
                <w:tcPr>
                  <w:tcW w:w="3298" w:type="dxa"/>
                  <w:tcBorders>
                    <w:tl2br w:val="nil"/>
                    <w:tr2bl w:val="nil"/>
                  </w:tcBorders>
                  <w:noWrap w:val="0"/>
                  <w:vAlign w:val="center"/>
                </w:tcPr>
                <w:p w14:paraId="56DC95C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路线长度</w:t>
                  </w:r>
                </w:p>
              </w:tc>
              <w:tc>
                <w:tcPr>
                  <w:tcW w:w="762" w:type="dxa"/>
                  <w:tcBorders>
                    <w:tl2br w:val="nil"/>
                    <w:tr2bl w:val="nil"/>
                  </w:tcBorders>
                  <w:noWrap w:val="0"/>
                  <w:vAlign w:val="center"/>
                </w:tcPr>
                <w:p w14:paraId="42C3D722">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km</w:t>
                  </w:r>
                </w:p>
              </w:tc>
              <w:tc>
                <w:tcPr>
                  <w:tcW w:w="2373" w:type="dxa"/>
                  <w:tcBorders>
                    <w:tl2br w:val="nil"/>
                    <w:tr2bl w:val="nil"/>
                  </w:tcBorders>
                  <w:noWrap w:val="0"/>
                  <w:vAlign w:val="center"/>
                </w:tcPr>
                <w:p w14:paraId="70DB90BB">
                  <w:pPr>
                    <w:pStyle w:val="80"/>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zh-CN" w:eastAsia="zh-CN"/>
                    </w:rPr>
                    <w:t>16.101</w:t>
                  </w:r>
                </w:p>
              </w:tc>
            </w:tr>
            <w:tr w14:paraId="1B8DF13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70D9361D">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3</w:t>
                  </w:r>
                </w:p>
              </w:tc>
              <w:tc>
                <w:tcPr>
                  <w:tcW w:w="3298" w:type="dxa"/>
                  <w:tcBorders>
                    <w:tl2br w:val="nil"/>
                    <w:tr2bl w:val="nil"/>
                  </w:tcBorders>
                  <w:noWrap w:val="0"/>
                  <w:vAlign w:val="center"/>
                </w:tcPr>
                <w:p w14:paraId="2A5AA229">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设计速度</w:t>
                  </w:r>
                </w:p>
              </w:tc>
              <w:tc>
                <w:tcPr>
                  <w:tcW w:w="762" w:type="dxa"/>
                  <w:tcBorders>
                    <w:tl2br w:val="nil"/>
                    <w:tr2bl w:val="nil"/>
                  </w:tcBorders>
                  <w:noWrap w:val="0"/>
                  <w:vAlign w:val="center"/>
                </w:tcPr>
                <w:p w14:paraId="171690F2">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km/h</w:t>
                  </w:r>
                </w:p>
              </w:tc>
              <w:tc>
                <w:tcPr>
                  <w:tcW w:w="2373" w:type="dxa"/>
                  <w:tcBorders>
                    <w:tl2br w:val="nil"/>
                    <w:tr2bl w:val="nil"/>
                  </w:tcBorders>
                  <w:noWrap w:val="0"/>
                  <w:vAlign w:val="center"/>
                </w:tcPr>
                <w:p w14:paraId="3E89A4F4">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60</w:t>
                  </w:r>
                </w:p>
              </w:tc>
            </w:tr>
            <w:tr w14:paraId="38CC70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1A69D52B">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4</w:t>
                  </w:r>
                </w:p>
              </w:tc>
              <w:tc>
                <w:tcPr>
                  <w:tcW w:w="3298" w:type="dxa"/>
                  <w:tcBorders>
                    <w:tl2br w:val="nil"/>
                    <w:tr2bl w:val="nil"/>
                  </w:tcBorders>
                  <w:noWrap w:val="0"/>
                  <w:vAlign w:val="center"/>
                </w:tcPr>
                <w:p w14:paraId="5245DEC8">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路基宽度</w:t>
                  </w:r>
                </w:p>
              </w:tc>
              <w:tc>
                <w:tcPr>
                  <w:tcW w:w="762" w:type="dxa"/>
                  <w:tcBorders>
                    <w:tl2br w:val="nil"/>
                    <w:tr2bl w:val="nil"/>
                  </w:tcBorders>
                  <w:noWrap w:val="0"/>
                  <w:vAlign w:val="center"/>
                </w:tcPr>
                <w:p w14:paraId="7E47106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4D5D8561">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default" w:ascii="Times New Roman" w:hAnsi="Times New Roman" w:eastAsia="宋体" w:cs="Times New Roman"/>
                      <w:color w:val="auto"/>
                      <w:kern w:val="21"/>
                      <w:sz w:val="21"/>
                      <w:szCs w:val="21"/>
                      <w:lang w:val="en-US" w:eastAsia="zh-CN"/>
                    </w:rPr>
                    <w:t>10.5</w:t>
                  </w:r>
                </w:p>
              </w:tc>
            </w:tr>
            <w:tr w14:paraId="5509A3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77594094">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5</w:t>
                  </w:r>
                </w:p>
              </w:tc>
              <w:tc>
                <w:tcPr>
                  <w:tcW w:w="3298" w:type="dxa"/>
                  <w:tcBorders>
                    <w:tl2br w:val="nil"/>
                    <w:tr2bl w:val="nil"/>
                  </w:tcBorders>
                  <w:noWrap w:val="0"/>
                  <w:vAlign w:val="center"/>
                </w:tcPr>
                <w:p w14:paraId="13F1C95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车道宽度</w:t>
                  </w:r>
                </w:p>
              </w:tc>
              <w:tc>
                <w:tcPr>
                  <w:tcW w:w="762" w:type="dxa"/>
                  <w:tcBorders>
                    <w:tl2br w:val="nil"/>
                    <w:tr2bl w:val="nil"/>
                  </w:tcBorders>
                  <w:noWrap w:val="0"/>
                  <w:vAlign w:val="center"/>
                </w:tcPr>
                <w:p w14:paraId="22E3CF87">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37748031">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eastAsia="zh-CN"/>
                    </w:rPr>
                  </w:pPr>
                  <w:r>
                    <w:rPr>
                      <w:rFonts w:hint="default" w:ascii="Times New Roman" w:hAnsi="Times New Roman" w:eastAsia="宋体" w:cs="Times New Roman"/>
                      <w:color w:val="auto"/>
                      <w:kern w:val="21"/>
                      <w:sz w:val="21"/>
                      <w:szCs w:val="21"/>
                    </w:rPr>
                    <w:t>2×3.</w:t>
                  </w:r>
                  <w:r>
                    <w:rPr>
                      <w:rFonts w:hint="default" w:ascii="Times New Roman" w:hAnsi="Times New Roman" w:eastAsia="宋体" w:cs="Times New Roman"/>
                      <w:color w:val="auto"/>
                      <w:kern w:val="21"/>
                      <w:sz w:val="21"/>
                      <w:szCs w:val="21"/>
                      <w:lang w:val="en-US" w:eastAsia="zh-CN"/>
                    </w:rPr>
                    <w:t>5</w:t>
                  </w:r>
                </w:p>
              </w:tc>
            </w:tr>
            <w:tr w14:paraId="6D4960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6CE4225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6</w:t>
                  </w:r>
                </w:p>
              </w:tc>
              <w:tc>
                <w:tcPr>
                  <w:tcW w:w="3298" w:type="dxa"/>
                  <w:tcBorders>
                    <w:tl2br w:val="nil"/>
                    <w:tr2bl w:val="nil"/>
                  </w:tcBorders>
                  <w:noWrap w:val="0"/>
                  <w:vAlign w:val="center"/>
                </w:tcPr>
                <w:p w14:paraId="0A9BB402">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土路肩宽度</w:t>
                  </w:r>
                </w:p>
              </w:tc>
              <w:tc>
                <w:tcPr>
                  <w:tcW w:w="762" w:type="dxa"/>
                  <w:tcBorders>
                    <w:tl2br w:val="nil"/>
                    <w:tr2bl w:val="nil"/>
                  </w:tcBorders>
                  <w:noWrap w:val="0"/>
                  <w:vAlign w:val="center"/>
                </w:tcPr>
                <w:p w14:paraId="1C1D7F5E">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246F2BE6">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default" w:ascii="Times New Roman" w:hAnsi="Times New Roman" w:eastAsia="宋体" w:cs="Times New Roman"/>
                      <w:color w:val="auto"/>
                      <w:kern w:val="21"/>
                      <w:sz w:val="21"/>
                      <w:szCs w:val="21"/>
                    </w:rPr>
                    <w:t>2×</w:t>
                  </w:r>
                  <w:r>
                    <w:rPr>
                      <w:rFonts w:hint="default" w:ascii="Times New Roman" w:hAnsi="Times New Roman" w:eastAsia="宋体" w:cs="Times New Roman"/>
                      <w:color w:val="auto"/>
                      <w:kern w:val="21"/>
                      <w:sz w:val="21"/>
                      <w:szCs w:val="21"/>
                      <w:lang w:val="en-US" w:eastAsia="zh-CN"/>
                    </w:rPr>
                    <w:t>1.0</w:t>
                  </w:r>
                </w:p>
              </w:tc>
            </w:tr>
            <w:tr w14:paraId="0D0F23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noWrap w:val="0"/>
                  <w:vAlign w:val="center"/>
                </w:tcPr>
                <w:p w14:paraId="1BF16A44">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7</w:t>
                  </w:r>
                </w:p>
              </w:tc>
              <w:tc>
                <w:tcPr>
                  <w:tcW w:w="3298" w:type="dxa"/>
                  <w:tcBorders>
                    <w:tl2br w:val="nil"/>
                    <w:tr2bl w:val="nil"/>
                  </w:tcBorders>
                  <w:noWrap w:val="0"/>
                  <w:vAlign w:val="center"/>
                </w:tcPr>
                <w:p w14:paraId="7147B94B">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硬路肩宽度</w:t>
                  </w:r>
                </w:p>
              </w:tc>
              <w:tc>
                <w:tcPr>
                  <w:tcW w:w="762" w:type="dxa"/>
                  <w:tcBorders>
                    <w:tl2br w:val="nil"/>
                    <w:tr2bl w:val="nil"/>
                  </w:tcBorders>
                  <w:noWrap w:val="0"/>
                  <w:vAlign w:val="center"/>
                </w:tcPr>
                <w:p w14:paraId="7E8AECD4">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702F8CF2">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default" w:ascii="Times New Roman" w:hAnsi="Times New Roman" w:eastAsia="宋体" w:cs="Times New Roman"/>
                      <w:color w:val="auto"/>
                      <w:kern w:val="21"/>
                      <w:sz w:val="21"/>
                      <w:szCs w:val="21"/>
                    </w:rPr>
                    <w:t>2×</w:t>
                  </w:r>
                  <w:r>
                    <w:rPr>
                      <w:rFonts w:hint="default" w:ascii="Times New Roman" w:hAnsi="Times New Roman" w:eastAsia="宋体" w:cs="Times New Roman"/>
                      <w:color w:val="auto"/>
                      <w:kern w:val="21"/>
                      <w:sz w:val="21"/>
                      <w:szCs w:val="21"/>
                      <w:lang w:val="en-US" w:eastAsia="zh-CN"/>
                    </w:rPr>
                    <w:t>0.75</w:t>
                  </w:r>
                </w:p>
              </w:tc>
            </w:tr>
            <w:tr w14:paraId="049CE2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5EFEB5F0">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8</w:t>
                  </w:r>
                </w:p>
              </w:tc>
              <w:tc>
                <w:tcPr>
                  <w:tcW w:w="3298" w:type="dxa"/>
                  <w:tcBorders>
                    <w:tl2br w:val="nil"/>
                    <w:tr2bl w:val="nil"/>
                  </w:tcBorders>
                  <w:noWrap w:val="0"/>
                  <w:vAlign w:val="center"/>
                </w:tcPr>
                <w:p w14:paraId="1FD440C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color w:val="auto"/>
                      <w:kern w:val="21"/>
                      <w:sz w:val="21"/>
                      <w:szCs w:val="21"/>
                      <w:lang w:val="en-US" w:eastAsia="zh-CN"/>
                    </w:rPr>
                  </w:pPr>
                  <w:r>
                    <w:rPr>
                      <w:rFonts w:hint="eastAsia" w:cs="Times New Roman"/>
                      <w:color w:val="auto"/>
                      <w:kern w:val="21"/>
                      <w:sz w:val="21"/>
                      <w:szCs w:val="21"/>
                      <w:lang w:val="en-US" w:eastAsia="zh-CN"/>
                    </w:rPr>
                    <w:t>红线宽度</w:t>
                  </w:r>
                </w:p>
              </w:tc>
              <w:tc>
                <w:tcPr>
                  <w:tcW w:w="762" w:type="dxa"/>
                  <w:tcBorders>
                    <w:tl2br w:val="nil"/>
                    <w:tr2bl w:val="nil"/>
                  </w:tcBorders>
                  <w:noWrap w:val="0"/>
                  <w:vAlign w:val="center"/>
                </w:tcPr>
                <w:p w14:paraId="117264EF">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1A84CF65">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eastAsia" w:cs="Times New Roman"/>
                      <w:color w:val="auto"/>
                      <w:kern w:val="21"/>
                      <w:sz w:val="21"/>
                      <w:szCs w:val="21"/>
                      <w:lang w:val="en-US" w:eastAsia="zh-CN"/>
                    </w:rPr>
                    <w:t>15.5</w:t>
                  </w:r>
                </w:p>
              </w:tc>
            </w:tr>
            <w:tr w14:paraId="1B306E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23B7C2FB">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lang w:val="en-US" w:eastAsia="zh-CN"/>
                    </w:rPr>
                    <w:t>9</w:t>
                  </w:r>
                </w:p>
              </w:tc>
              <w:tc>
                <w:tcPr>
                  <w:tcW w:w="3298" w:type="dxa"/>
                  <w:tcBorders>
                    <w:tl2br w:val="nil"/>
                    <w:tr2bl w:val="nil"/>
                  </w:tcBorders>
                  <w:noWrap w:val="0"/>
                  <w:vAlign w:val="center"/>
                </w:tcPr>
                <w:p w14:paraId="4CD3DB3A">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圆曲线最小半径一般值</w:t>
                  </w:r>
                </w:p>
              </w:tc>
              <w:tc>
                <w:tcPr>
                  <w:tcW w:w="762" w:type="dxa"/>
                  <w:tcBorders>
                    <w:tl2br w:val="nil"/>
                    <w:tr2bl w:val="nil"/>
                  </w:tcBorders>
                  <w:noWrap w:val="0"/>
                  <w:vAlign w:val="center"/>
                </w:tcPr>
                <w:p w14:paraId="127F51B3">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rPr>
                  </w:pPr>
                  <w:r>
                    <w:rPr>
                      <w:rFonts w:hint="default" w:ascii="Times New Roman" w:hAnsi="Times New Roman" w:eastAsia="宋体" w:cs="Times New Roman"/>
                      <w:color w:val="auto"/>
                      <w:kern w:val="21"/>
                      <w:sz w:val="21"/>
                      <w:szCs w:val="21"/>
                    </w:rPr>
                    <w:t>m</w:t>
                  </w:r>
                </w:p>
              </w:tc>
              <w:tc>
                <w:tcPr>
                  <w:tcW w:w="2373" w:type="dxa"/>
                  <w:tcBorders>
                    <w:tl2br w:val="nil"/>
                    <w:tr2bl w:val="nil"/>
                  </w:tcBorders>
                  <w:noWrap w:val="0"/>
                  <w:vAlign w:val="center"/>
                </w:tcPr>
                <w:p w14:paraId="71BAE998">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rPr>
                  </w:pPr>
                  <w:r>
                    <w:rPr>
                      <w:rFonts w:hint="default" w:ascii="Times New Roman" w:hAnsi="Times New Roman" w:eastAsia="宋体" w:cs="Times New Roman"/>
                      <w:color w:val="auto"/>
                      <w:sz w:val="21"/>
                      <w:szCs w:val="21"/>
                    </w:rPr>
                    <w:t>213.70</w:t>
                  </w:r>
                </w:p>
              </w:tc>
            </w:tr>
            <w:tr w14:paraId="0FD98B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79769D3B">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1</w:t>
                  </w:r>
                  <w:r>
                    <w:rPr>
                      <w:rFonts w:hint="default" w:ascii="Times New Roman" w:hAnsi="Times New Roman" w:eastAsia="宋体" w:cs="Times New Roman"/>
                      <w:color w:val="auto"/>
                      <w:kern w:val="21"/>
                      <w:sz w:val="21"/>
                      <w:szCs w:val="21"/>
                      <w:lang w:val="en-US" w:eastAsia="zh-CN"/>
                    </w:rPr>
                    <w:t>0</w:t>
                  </w:r>
                </w:p>
              </w:tc>
              <w:tc>
                <w:tcPr>
                  <w:tcW w:w="3298" w:type="dxa"/>
                  <w:tcBorders>
                    <w:tl2br w:val="nil"/>
                    <w:tr2bl w:val="nil"/>
                  </w:tcBorders>
                  <w:shd w:val="clear" w:color="auto" w:fill="auto"/>
                  <w:noWrap w:val="0"/>
                  <w:vAlign w:val="center"/>
                </w:tcPr>
                <w:p w14:paraId="2B1EBC41">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圆曲线最小半径（极限值）</w:t>
                  </w:r>
                </w:p>
              </w:tc>
              <w:tc>
                <w:tcPr>
                  <w:tcW w:w="762" w:type="dxa"/>
                  <w:tcBorders>
                    <w:tl2br w:val="nil"/>
                    <w:tr2bl w:val="nil"/>
                  </w:tcBorders>
                  <w:shd w:val="clear" w:color="auto" w:fill="auto"/>
                  <w:noWrap w:val="0"/>
                  <w:vAlign w:val="center"/>
                </w:tcPr>
                <w:p w14:paraId="37469714">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m</w:t>
                  </w:r>
                </w:p>
              </w:tc>
              <w:tc>
                <w:tcPr>
                  <w:tcW w:w="2373" w:type="dxa"/>
                  <w:tcBorders>
                    <w:tl2br w:val="nil"/>
                    <w:tr2bl w:val="nil"/>
                  </w:tcBorders>
                  <w:noWrap w:val="0"/>
                  <w:vAlign w:val="center"/>
                </w:tcPr>
                <w:p w14:paraId="2D4A39FF">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123.83</w:t>
                  </w:r>
                </w:p>
              </w:tc>
            </w:tr>
            <w:tr w14:paraId="50116B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7FE03780">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1</w:t>
                  </w:r>
                  <w:r>
                    <w:rPr>
                      <w:rFonts w:hint="default" w:ascii="Times New Roman" w:hAnsi="Times New Roman" w:eastAsia="宋体" w:cs="Times New Roman"/>
                      <w:color w:val="auto"/>
                      <w:kern w:val="21"/>
                      <w:sz w:val="21"/>
                      <w:szCs w:val="21"/>
                      <w:lang w:val="en-US" w:eastAsia="zh-CN"/>
                    </w:rPr>
                    <w:t>1</w:t>
                  </w:r>
                </w:p>
              </w:tc>
              <w:tc>
                <w:tcPr>
                  <w:tcW w:w="3298" w:type="dxa"/>
                  <w:tcBorders>
                    <w:tl2br w:val="nil"/>
                    <w:tr2bl w:val="nil"/>
                  </w:tcBorders>
                  <w:shd w:val="clear" w:color="auto" w:fill="auto"/>
                  <w:noWrap w:val="0"/>
                  <w:vAlign w:val="center"/>
                </w:tcPr>
                <w:p w14:paraId="361CEFA9">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最大纵坡</w:t>
                  </w:r>
                </w:p>
              </w:tc>
              <w:tc>
                <w:tcPr>
                  <w:tcW w:w="762" w:type="dxa"/>
                  <w:tcBorders>
                    <w:tl2br w:val="nil"/>
                    <w:tr2bl w:val="nil"/>
                  </w:tcBorders>
                  <w:shd w:val="clear" w:color="auto" w:fill="auto"/>
                  <w:noWrap w:val="0"/>
                  <w:vAlign w:val="center"/>
                </w:tcPr>
                <w:p w14:paraId="0DF3AD98">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2373" w:type="dxa"/>
                  <w:tcBorders>
                    <w:tl2br w:val="nil"/>
                    <w:tr2bl w:val="nil"/>
                  </w:tcBorders>
                  <w:shd w:val="clear" w:color="auto" w:fill="auto"/>
                  <w:noWrap w:val="0"/>
                  <w:vAlign w:val="center"/>
                </w:tcPr>
                <w:p w14:paraId="6229FEEE">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5.496</w:t>
                  </w:r>
                </w:p>
              </w:tc>
            </w:tr>
            <w:tr w14:paraId="746203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244A7662">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1</w:t>
                  </w:r>
                  <w:r>
                    <w:rPr>
                      <w:rFonts w:hint="default" w:ascii="Times New Roman" w:hAnsi="Times New Roman" w:eastAsia="宋体" w:cs="Times New Roman"/>
                      <w:color w:val="auto"/>
                      <w:kern w:val="21"/>
                      <w:sz w:val="21"/>
                      <w:szCs w:val="21"/>
                      <w:lang w:val="en-US" w:eastAsia="zh-CN"/>
                    </w:rPr>
                    <w:t>2</w:t>
                  </w:r>
                </w:p>
              </w:tc>
              <w:tc>
                <w:tcPr>
                  <w:tcW w:w="3298" w:type="dxa"/>
                  <w:tcBorders>
                    <w:tl2br w:val="nil"/>
                    <w:tr2bl w:val="nil"/>
                  </w:tcBorders>
                  <w:shd w:val="clear" w:color="auto" w:fill="auto"/>
                  <w:noWrap w:val="0"/>
                  <w:vAlign w:val="center"/>
                </w:tcPr>
                <w:p w14:paraId="1192B6A9">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凸形竖曲线最小半径</w:t>
                  </w:r>
                </w:p>
              </w:tc>
              <w:tc>
                <w:tcPr>
                  <w:tcW w:w="762" w:type="dxa"/>
                  <w:tcBorders>
                    <w:tl2br w:val="nil"/>
                    <w:tr2bl w:val="nil"/>
                  </w:tcBorders>
                  <w:shd w:val="clear" w:color="auto" w:fill="auto"/>
                  <w:noWrap w:val="0"/>
                  <w:vAlign w:val="center"/>
                </w:tcPr>
                <w:p w14:paraId="75197293">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m</w:t>
                  </w:r>
                </w:p>
              </w:tc>
              <w:tc>
                <w:tcPr>
                  <w:tcW w:w="2373" w:type="dxa"/>
                  <w:tcBorders>
                    <w:tl2br w:val="nil"/>
                    <w:tr2bl w:val="nil"/>
                  </w:tcBorders>
                  <w:shd w:val="clear" w:color="auto" w:fill="auto"/>
                  <w:noWrap w:val="0"/>
                  <w:vAlign w:val="center"/>
                </w:tcPr>
                <w:p w14:paraId="3B4DABE4">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2200</w:t>
                  </w:r>
                </w:p>
              </w:tc>
            </w:tr>
            <w:tr w14:paraId="4E59E3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130E1F31">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1</w:t>
                  </w:r>
                  <w:r>
                    <w:rPr>
                      <w:rFonts w:hint="default" w:ascii="Times New Roman" w:hAnsi="Times New Roman" w:eastAsia="宋体" w:cs="Times New Roman"/>
                      <w:color w:val="auto"/>
                      <w:kern w:val="21"/>
                      <w:sz w:val="21"/>
                      <w:szCs w:val="21"/>
                      <w:lang w:val="en-US" w:eastAsia="zh-CN"/>
                    </w:rPr>
                    <w:t>3</w:t>
                  </w:r>
                </w:p>
              </w:tc>
              <w:tc>
                <w:tcPr>
                  <w:tcW w:w="3298" w:type="dxa"/>
                  <w:tcBorders>
                    <w:tl2br w:val="nil"/>
                    <w:tr2bl w:val="nil"/>
                  </w:tcBorders>
                  <w:shd w:val="clear" w:color="auto" w:fill="auto"/>
                  <w:noWrap w:val="0"/>
                  <w:vAlign w:val="center"/>
                </w:tcPr>
                <w:p w14:paraId="1CC0CDE0">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凹形竖曲线最小半径</w:t>
                  </w:r>
                </w:p>
              </w:tc>
              <w:tc>
                <w:tcPr>
                  <w:tcW w:w="762" w:type="dxa"/>
                  <w:tcBorders>
                    <w:tl2br w:val="nil"/>
                    <w:tr2bl w:val="nil"/>
                  </w:tcBorders>
                  <w:shd w:val="clear" w:color="auto" w:fill="auto"/>
                  <w:noWrap w:val="0"/>
                  <w:vAlign w:val="center"/>
                </w:tcPr>
                <w:p w14:paraId="3E27BE91">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m</w:t>
                  </w:r>
                </w:p>
              </w:tc>
              <w:tc>
                <w:tcPr>
                  <w:tcW w:w="2373" w:type="dxa"/>
                  <w:tcBorders>
                    <w:tl2br w:val="nil"/>
                    <w:tr2bl w:val="nil"/>
                  </w:tcBorders>
                  <w:shd w:val="clear" w:color="auto" w:fill="auto"/>
                  <w:noWrap w:val="0"/>
                  <w:vAlign w:val="center"/>
                </w:tcPr>
                <w:p w14:paraId="7056DC27">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3400</w:t>
                  </w:r>
                </w:p>
              </w:tc>
            </w:tr>
            <w:tr w14:paraId="1987AF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62DD5A26">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rPr>
                    <w:t>1</w:t>
                  </w:r>
                  <w:r>
                    <w:rPr>
                      <w:rFonts w:hint="default" w:ascii="Times New Roman" w:hAnsi="Times New Roman" w:eastAsia="宋体" w:cs="Times New Roman"/>
                      <w:color w:val="auto"/>
                      <w:kern w:val="21"/>
                      <w:sz w:val="21"/>
                      <w:szCs w:val="21"/>
                      <w:lang w:val="en-US" w:eastAsia="zh-CN"/>
                    </w:rPr>
                    <w:t>4</w:t>
                  </w:r>
                </w:p>
              </w:tc>
              <w:tc>
                <w:tcPr>
                  <w:tcW w:w="3298" w:type="dxa"/>
                  <w:tcBorders>
                    <w:tl2br w:val="nil"/>
                    <w:tr2bl w:val="nil"/>
                  </w:tcBorders>
                  <w:shd w:val="clear" w:color="auto" w:fill="auto"/>
                  <w:noWrap w:val="0"/>
                  <w:vAlign w:val="center"/>
                </w:tcPr>
                <w:p w14:paraId="64194459">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最小坡长</w:t>
                  </w:r>
                </w:p>
              </w:tc>
              <w:tc>
                <w:tcPr>
                  <w:tcW w:w="762" w:type="dxa"/>
                  <w:tcBorders>
                    <w:tl2br w:val="nil"/>
                    <w:tr2bl w:val="nil"/>
                  </w:tcBorders>
                  <w:shd w:val="clear" w:color="auto" w:fill="auto"/>
                  <w:noWrap w:val="0"/>
                  <w:vAlign w:val="center"/>
                </w:tcPr>
                <w:p w14:paraId="30517C1B">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m</w:t>
                  </w:r>
                </w:p>
              </w:tc>
              <w:tc>
                <w:tcPr>
                  <w:tcW w:w="2373" w:type="dxa"/>
                  <w:tcBorders>
                    <w:tl2br w:val="nil"/>
                    <w:tr2bl w:val="nil"/>
                  </w:tcBorders>
                  <w:shd w:val="clear" w:color="auto" w:fill="auto"/>
                  <w:noWrap w:val="0"/>
                  <w:vAlign w:val="center"/>
                </w:tcPr>
                <w:p w14:paraId="6099248C">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100.015（起点坡长）</w:t>
                  </w:r>
                </w:p>
              </w:tc>
            </w:tr>
            <w:tr w14:paraId="046C58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29E3450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lang w:val="en-US" w:eastAsia="zh-CN"/>
                    </w:rPr>
                    <w:t>15</w:t>
                  </w:r>
                </w:p>
              </w:tc>
              <w:tc>
                <w:tcPr>
                  <w:tcW w:w="3298" w:type="dxa"/>
                  <w:tcBorders>
                    <w:tl2br w:val="nil"/>
                    <w:tr2bl w:val="nil"/>
                  </w:tcBorders>
                  <w:shd w:val="clear" w:color="auto" w:fill="auto"/>
                  <w:noWrap w:val="0"/>
                  <w:vAlign w:val="center"/>
                </w:tcPr>
                <w:p w14:paraId="2F53B0E7">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停车视距</w:t>
                  </w:r>
                </w:p>
              </w:tc>
              <w:tc>
                <w:tcPr>
                  <w:tcW w:w="762" w:type="dxa"/>
                  <w:tcBorders>
                    <w:tl2br w:val="nil"/>
                    <w:tr2bl w:val="nil"/>
                  </w:tcBorders>
                  <w:shd w:val="clear" w:color="auto" w:fill="auto"/>
                  <w:noWrap w:val="0"/>
                  <w:vAlign w:val="center"/>
                </w:tcPr>
                <w:p w14:paraId="54E74C52">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m</w:t>
                  </w:r>
                </w:p>
              </w:tc>
              <w:tc>
                <w:tcPr>
                  <w:tcW w:w="2373" w:type="dxa"/>
                  <w:tcBorders>
                    <w:tl2br w:val="nil"/>
                    <w:tr2bl w:val="nil"/>
                  </w:tcBorders>
                  <w:shd w:val="clear" w:color="auto" w:fill="auto"/>
                  <w:noWrap w:val="0"/>
                  <w:vAlign w:val="center"/>
                </w:tcPr>
                <w:p w14:paraId="1ADE575C">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75</w:t>
                  </w:r>
                </w:p>
              </w:tc>
            </w:tr>
            <w:tr w14:paraId="79CF44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245" w:type="dxa"/>
                  <w:tcBorders>
                    <w:tl2br w:val="nil"/>
                    <w:tr2bl w:val="nil"/>
                  </w:tcBorders>
                  <w:shd w:val="clear" w:color="auto" w:fill="auto"/>
                  <w:noWrap w:val="0"/>
                  <w:vAlign w:val="center"/>
                </w:tcPr>
                <w:p w14:paraId="45D6F3F1">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eastAsia="宋体" w:cs="Times New Roman"/>
                      <w:color w:val="auto"/>
                      <w:kern w:val="21"/>
                      <w:sz w:val="21"/>
                      <w:szCs w:val="21"/>
                      <w:lang w:val="en-US" w:eastAsia="zh-CN"/>
                    </w:rPr>
                    <w:t>1</w:t>
                  </w:r>
                  <w:r>
                    <w:rPr>
                      <w:rFonts w:hint="eastAsia" w:cs="Times New Roman"/>
                      <w:color w:val="auto"/>
                      <w:kern w:val="21"/>
                      <w:sz w:val="21"/>
                      <w:szCs w:val="21"/>
                      <w:lang w:val="en-US" w:eastAsia="zh-CN"/>
                    </w:rPr>
                    <w:t>6</w:t>
                  </w:r>
                </w:p>
              </w:tc>
              <w:tc>
                <w:tcPr>
                  <w:tcW w:w="3298" w:type="dxa"/>
                  <w:tcBorders>
                    <w:tl2br w:val="nil"/>
                    <w:tr2bl w:val="nil"/>
                  </w:tcBorders>
                  <w:shd w:val="clear" w:color="auto" w:fill="auto"/>
                  <w:noWrap w:val="0"/>
                  <w:vAlign w:val="center"/>
                </w:tcPr>
                <w:p w14:paraId="348C2698">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汽车设计荷载</w:t>
                  </w:r>
                </w:p>
              </w:tc>
              <w:tc>
                <w:tcPr>
                  <w:tcW w:w="762" w:type="dxa"/>
                  <w:tcBorders>
                    <w:tl2br w:val="nil"/>
                    <w:tr2bl w:val="nil"/>
                  </w:tcBorders>
                  <w:shd w:val="clear" w:color="auto" w:fill="auto"/>
                  <w:noWrap w:val="0"/>
                  <w:vAlign w:val="center"/>
                </w:tcPr>
                <w:p w14:paraId="6C777414">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级</w:t>
                  </w:r>
                </w:p>
              </w:tc>
              <w:tc>
                <w:tcPr>
                  <w:tcW w:w="2373" w:type="dxa"/>
                  <w:tcBorders>
                    <w:tl2br w:val="nil"/>
                    <w:tr2bl w:val="nil"/>
                  </w:tcBorders>
                  <w:shd w:val="clear" w:color="auto" w:fill="auto"/>
                  <w:noWrap w:val="0"/>
                  <w:vAlign w:val="center"/>
                </w:tcPr>
                <w:p w14:paraId="75F05B9F">
                  <w:pPr>
                    <w:keepNext w:val="0"/>
                    <w:keepLines w:val="0"/>
                    <w:pageBreakBefore w:val="0"/>
                    <w:widowControl w:val="0"/>
                    <w:kinsoku/>
                    <w:wordWrap/>
                    <w:overflowPunct/>
                    <w:topLinePunct w:val="0"/>
                    <w:autoSpaceDE/>
                    <w:autoSpaceDN/>
                    <w:bidi w:val="0"/>
                    <w:snapToGrid/>
                    <w:spacing w:line="240" w:lineRule="auto"/>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公路-Ⅱ级</w:t>
                  </w:r>
                </w:p>
              </w:tc>
            </w:tr>
          </w:tbl>
          <w:p w14:paraId="3256D8AF">
            <w:pPr>
              <w:pStyle w:val="76"/>
              <w:rPr>
                <w:rFonts w:hint="default" w:ascii="Times New Roman" w:hAnsi="Times New Roman" w:cs="Times New Roman"/>
                <w:color w:val="auto"/>
              </w:rPr>
            </w:pPr>
            <w:r>
              <w:rPr>
                <w:rFonts w:hint="default" w:ascii="Times New Roman" w:hAnsi="Times New Roman" w:cs="Times New Roman"/>
                <w:color w:val="auto"/>
              </w:rPr>
              <w:t>3、交通量预测</w:t>
            </w:r>
          </w:p>
          <w:p w14:paraId="4B751232">
            <w:pPr>
              <w:pStyle w:val="76"/>
              <w:rPr>
                <w:rFonts w:hint="default" w:ascii="Times New Roman" w:hAnsi="Times New Roman" w:cs="Times New Roman"/>
                <w:color w:val="auto"/>
              </w:rPr>
            </w:pPr>
            <w:r>
              <w:rPr>
                <w:rFonts w:hint="default" w:ascii="Times New Roman" w:hAnsi="Times New Roman" w:cs="Times New Roman"/>
                <w:color w:val="auto"/>
              </w:rPr>
              <w:t>本项目</w:t>
            </w:r>
            <w:r>
              <w:rPr>
                <w:rFonts w:hint="eastAsia" w:cs="Times New Roman"/>
                <w:color w:val="auto"/>
                <w:lang w:val="en-US" w:eastAsia="zh-CN"/>
              </w:rPr>
              <w:t>拟</w:t>
            </w:r>
            <w:r>
              <w:rPr>
                <w:rFonts w:hint="default" w:ascii="Times New Roman" w:hAnsi="Times New Roman" w:cs="Times New Roman"/>
                <w:color w:val="auto"/>
                <w:lang w:val="en-US" w:eastAsia="zh-CN"/>
              </w:rPr>
              <w:t>于</w:t>
            </w:r>
            <w:r>
              <w:rPr>
                <w:rFonts w:hint="default" w:ascii="Times New Roman" w:hAnsi="Times New Roman" w:cs="Times New Roman"/>
                <w:color w:val="auto"/>
              </w:rPr>
              <w:t>202</w:t>
            </w:r>
            <w:r>
              <w:rPr>
                <w:rFonts w:hint="eastAsia" w:cs="Times New Roman"/>
                <w:color w:val="auto"/>
                <w:lang w:val="en-US" w:eastAsia="zh-CN"/>
              </w:rPr>
              <w:t>6</w:t>
            </w:r>
            <w:r>
              <w:rPr>
                <w:rFonts w:hint="default" w:ascii="Times New Roman" w:hAnsi="Times New Roman" w:cs="Times New Roman"/>
                <w:color w:val="auto"/>
              </w:rPr>
              <w:t>年</w:t>
            </w:r>
            <w:r>
              <w:rPr>
                <w:rFonts w:hint="eastAsia" w:cs="Times New Roman"/>
                <w:color w:val="auto"/>
                <w:lang w:val="en-US" w:eastAsia="zh-CN"/>
              </w:rPr>
              <w:t>7</w:t>
            </w:r>
            <w:r>
              <w:rPr>
                <w:rFonts w:hint="default" w:ascii="Times New Roman" w:hAnsi="Times New Roman" w:cs="Times New Roman"/>
                <w:color w:val="auto"/>
              </w:rPr>
              <w:t>月竣工</w:t>
            </w:r>
            <w:r>
              <w:rPr>
                <w:rFonts w:hint="eastAsia" w:cs="Times New Roman"/>
                <w:color w:val="auto"/>
                <w:lang w:val="en-US" w:eastAsia="zh-CN"/>
              </w:rPr>
              <w:t>通车</w:t>
            </w:r>
            <w:r>
              <w:rPr>
                <w:rFonts w:hint="default" w:ascii="Times New Roman" w:hAnsi="Times New Roman" w:cs="Times New Roman"/>
                <w:color w:val="auto"/>
              </w:rPr>
              <w:t>，交通量采用</w:t>
            </w:r>
            <w:r>
              <w:rPr>
                <w:rFonts w:hint="default" w:ascii="Times New Roman" w:hAnsi="Times New Roman" w:cs="Times New Roman"/>
                <w:color w:val="auto"/>
                <w:lang w:val="en-US" w:eastAsia="zh-CN"/>
              </w:rPr>
              <w:t>工程初步设计</w:t>
            </w:r>
            <w:r>
              <w:rPr>
                <w:rFonts w:hint="default" w:ascii="Times New Roman" w:hAnsi="Times New Roman" w:cs="Times New Roman"/>
                <w:color w:val="auto"/>
              </w:rPr>
              <w:t>报告中提供的车流量，根据《公路工程技术标准》（JTG B01-2014），折算系数为小客车1.0、中型车1.5、普通大型车2.5及特大型车4.0。</w:t>
            </w:r>
            <w:r>
              <w:rPr>
                <w:rFonts w:hint="eastAsia"/>
                <w:color w:val="auto"/>
                <w:lang w:val="en-US" w:eastAsia="zh-CN"/>
              </w:rPr>
              <w:t>道路近期、中期和远期预测车型比相同，</w:t>
            </w:r>
            <w:r>
              <w:rPr>
                <w:rFonts w:hint="default" w:ascii="Times New Roman" w:hAnsi="Times New Roman" w:cs="Times New Roman"/>
                <w:color w:val="auto"/>
              </w:rPr>
              <w:t>昼间车流量按</w:t>
            </w:r>
            <w:r>
              <w:rPr>
                <w:rFonts w:hint="eastAsia" w:cs="Times New Roman"/>
                <w:color w:val="auto"/>
                <w:lang w:val="en-US" w:eastAsia="zh-CN"/>
              </w:rPr>
              <w:t>9</w:t>
            </w:r>
            <w:r>
              <w:rPr>
                <w:rFonts w:hint="default" w:ascii="Times New Roman" w:hAnsi="Times New Roman" w:cs="Times New Roman"/>
                <w:color w:val="auto"/>
              </w:rPr>
              <w:t>0%计算。</w:t>
            </w:r>
            <w:r>
              <w:rPr>
                <w:rFonts w:hint="default" w:ascii="Times New Roman" w:hAnsi="Times New Roman" w:cs="Times New Roman"/>
                <w:color w:val="auto"/>
                <w:lang w:val="en-US" w:eastAsia="zh-CN"/>
              </w:rPr>
              <w:t>初步设计</w:t>
            </w:r>
            <w:r>
              <w:rPr>
                <w:rFonts w:hint="default" w:ascii="Times New Roman" w:hAnsi="Times New Roman" w:cs="Times New Roman"/>
                <w:color w:val="auto"/>
              </w:rPr>
              <w:t>报告给出的运营期第一年为202</w:t>
            </w:r>
            <w:r>
              <w:rPr>
                <w:rFonts w:hint="default" w:ascii="Times New Roman" w:hAnsi="Times New Roman" w:cs="Times New Roman"/>
                <w:color w:val="auto"/>
                <w:lang w:val="en-US" w:eastAsia="zh-CN"/>
              </w:rPr>
              <w:t>6</w:t>
            </w:r>
            <w:r>
              <w:rPr>
                <w:rFonts w:hint="default" w:ascii="Times New Roman" w:hAnsi="Times New Roman" w:cs="Times New Roman"/>
                <w:color w:val="auto"/>
              </w:rPr>
              <w:t>年，故本项目运营期以202</w:t>
            </w:r>
            <w:r>
              <w:rPr>
                <w:rFonts w:hint="default" w:ascii="Times New Roman" w:hAnsi="Times New Roman" w:cs="Times New Roman"/>
                <w:color w:val="auto"/>
                <w:lang w:val="en-US" w:eastAsia="zh-CN"/>
              </w:rPr>
              <w:t>6</w:t>
            </w:r>
            <w:r>
              <w:rPr>
                <w:rFonts w:hint="default" w:ascii="Times New Roman" w:hAnsi="Times New Roman" w:cs="Times New Roman"/>
                <w:color w:val="auto"/>
              </w:rPr>
              <w:t>年、20</w:t>
            </w:r>
            <w:r>
              <w:rPr>
                <w:rFonts w:hint="default" w:ascii="Times New Roman" w:hAnsi="Times New Roman" w:cs="Times New Roman"/>
                <w:color w:val="auto"/>
                <w:lang w:val="en-US" w:eastAsia="zh-CN"/>
              </w:rPr>
              <w:t>32</w:t>
            </w:r>
            <w:r>
              <w:rPr>
                <w:rFonts w:hint="default" w:ascii="Times New Roman" w:hAnsi="Times New Roman" w:cs="Times New Roman"/>
                <w:color w:val="auto"/>
              </w:rPr>
              <w:t>年、20</w:t>
            </w:r>
            <w:r>
              <w:rPr>
                <w:rFonts w:hint="default" w:ascii="Times New Roman" w:hAnsi="Times New Roman" w:cs="Times New Roman"/>
                <w:color w:val="auto"/>
                <w:lang w:val="en-US" w:eastAsia="zh-CN"/>
              </w:rPr>
              <w:t>40</w:t>
            </w:r>
            <w:r>
              <w:rPr>
                <w:rFonts w:hint="default" w:ascii="Times New Roman" w:hAnsi="Times New Roman" w:cs="Times New Roman"/>
                <w:color w:val="auto"/>
              </w:rPr>
              <w:t>年3个年度分别代表运营近期、中期和远期。</w:t>
            </w:r>
          </w:p>
          <w:p w14:paraId="08DD8BC2">
            <w:pPr>
              <w:pStyle w:val="72"/>
              <w:rPr>
                <w:rFonts w:hint="default" w:ascii="Times New Roman" w:hAnsi="Times New Roman" w:cs="Times New Roman"/>
                <w:color w:val="auto"/>
                <w:highlight w:val="none"/>
              </w:rPr>
            </w:pPr>
            <w:r>
              <w:rPr>
                <w:rFonts w:hint="default" w:ascii="Times New Roman" w:hAnsi="Times New Roman" w:cs="Times New Roman" w:eastAsiaTheme="minorEastAsia"/>
                <w:b/>
                <w:bCs/>
                <w:color w:val="auto"/>
                <w:highlight w:val="none"/>
              </w:rPr>
              <w:t>表2-3  各征年总交通量预测结果   单位：pcu/d</w:t>
            </w:r>
          </w:p>
          <w:tbl>
            <w:tblPr>
              <w:tblStyle w:val="30"/>
              <w:tblW w:w="499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37"/>
              <w:gridCol w:w="1256"/>
              <w:gridCol w:w="1303"/>
              <w:gridCol w:w="961"/>
            </w:tblGrid>
            <w:tr w14:paraId="23EC92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1" w:hRule="atLeast"/>
                <w:jc w:val="center"/>
              </w:trPr>
              <w:tc>
                <w:tcPr>
                  <w:tcW w:w="2760" w:type="pct"/>
                  <w:noWrap w:val="0"/>
                  <w:vAlign w:val="center"/>
                </w:tcPr>
                <w:p w14:paraId="7123DFFF">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路段/交通量</w:t>
                  </w:r>
                </w:p>
              </w:tc>
              <w:tc>
                <w:tcPr>
                  <w:tcW w:w="799" w:type="pct"/>
                  <w:noWrap w:val="0"/>
                  <w:vAlign w:val="center"/>
                </w:tcPr>
                <w:p w14:paraId="3C8A63C5">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202</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年</w:t>
                  </w:r>
                </w:p>
              </w:tc>
              <w:tc>
                <w:tcPr>
                  <w:tcW w:w="829" w:type="pct"/>
                  <w:noWrap w:val="0"/>
                  <w:vAlign w:val="center"/>
                </w:tcPr>
                <w:p w14:paraId="603E1CCA">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203</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rPr>
                    <w:t>年</w:t>
                  </w:r>
                </w:p>
              </w:tc>
              <w:tc>
                <w:tcPr>
                  <w:tcW w:w="611" w:type="pct"/>
                  <w:noWrap w:val="0"/>
                  <w:vAlign w:val="center"/>
                </w:tcPr>
                <w:p w14:paraId="560E30FB">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w:t>
                  </w:r>
                  <w:r>
                    <w:rPr>
                      <w:rFonts w:hint="default" w:ascii="Times New Roman" w:hAnsi="Times New Roman" w:cs="Times New Roman"/>
                      <w:color w:val="auto"/>
                      <w:highlight w:val="none"/>
                      <w:lang w:val="en-US" w:eastAsia="zh-CN"/>
                    </w:rPr>
                    <w:t>40</w:t>
                  </w:r>
                  <w:r>
                    <w:rPr>
                      <w:rFonts w:hint="default" w:ascii="Times New Roman" w:hAnsi="Times New Roman" w:cs="Times New Roman"/>
                      <w:color w:val="auto"/>
                      <w:highlight w:val="none"/>
                    </w:rPr>
                    <w:t>年</w:t>
                  </w:r>
                </w:p>
              </w:tc>
            </w:tr>
            <w:tr w14:paraId="0E68F9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2760" w:type="pct"/>
                  <w:noWrap w:val="0"/>
                  <w:vAlign w:val="center"/>
                </w:tcPr>
                <w:p w14:paraId="493675E7">
                  <w:pPr>
                    <w:pStyle w:val="80"/>
                    <w:rPr>
                      <w:rFonts w:hint="default" w:ascii="Times New Roman" w:hAnsi="Times New Roman" w:cs="Times New Roman"/>
                      <w:color w:val="auto"/>
                      <w:kern w:val="0"/>
                      <w:highlight w:val="none"/>
                    </w:rPr>
                  </w:pPr>
                  <w:r>
                    <w:rPr>
                      <w:rFonts w:hint="default" w:ascii="Times New Roman" w:hAnsi="Times New Roman" w:cs="Times New Roman"/>
                      <w:color w:val="auto"/>
                      <w:kern w:val="0"/>
                      <w:highlight w:val="none"/>
                      <w:lang w:val="zh-CN" w:eastAsia="zh-CN"/>
                    </w:rPr>
                    <w:t>国道集贤至当壁公路宝清界至兴凯镇段</w:t>
                  </w:r>
                </w:p>
              </w:tc>
              <w:tc>
                <w:tcPr>
                  <w:tcW w:w="799" w:type="pct"/>
                  <w:noWrap w:val="0"/>
                  <w:vAlign w:val="center"/>
                </w:tcPr>
                <w:p w14:paraId="55DDE4A9">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2427</w:t>
                  </w:r>
                </w:p>
              </w:tc>
              <w:tc>
                <w:tcPr>
                  <w:tcW w:w="829" w:type="pct"/>
                  <w:noWrap w:val="0"/>
                  <w:vAlign w:val="center"/>
                </w:tcPr>
                <w:p w14:paraId="5A14EB11">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3621</w:t>
                  </w:r>
                </w:p>
              </w:tc>
              <w:tc>
                <w:tcPr>
                  <w:tcW w:w="611" w:type="pct"/>
                  <w:noWrap w:val="0"/>
                  <w:vAlign w:val="center"/>
                </w:tcPr>
                <w:p w14:paraId="116D3DB7">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5086</w:t>
                  </w:r>
                </w:p>
              </w:tc>
            </w:tr>
          </w:tbl>
          <w:p w14:paraId="1A213EE6">
            <w:pPr>
              <w:pStyle w:val="72"/>
              <w:rPr>
                <w:rFonts w:hint="default" w:ascii="Times New Roman" w:hAnsi="Times New Roman" w:cs="Times New Roman" w:eastAsiaTheme="minorEastAsia"/>
                <w:b/>
                <w:bCs/>
                <w:color w:val="auto"/>
                <w:highlight w:val="none"/>
              </w:rPr>
            </w:pPr>
          </w:p>
          <w:p w14:paraId="2D43EB43">
            <w:pPr>
              <w:pStyle w:val="72"/>
              <w:rPr>
                <w:rFonts w:hint="default" w:ascii="Times New Roman" w:hAnsi="Times New Roman" w:cs="Times New Roman" w:eastAsiaTheme="minorEastAsia"/>
                <w:b/>
                <w:bCs/>
                <w:color w:val="auto"/>
                <w:highlight w:val="none"/>
              </w:rPr>
            </w:pPr>
          </w:p>
          <w:p w14:paraId="3898F9B2">
            <w:pPr>
              <w:pStyle w:val="72"/>
              <w:rPr>
                <w:rFonts w:hint="default" w:ascii="Times New Roman" w:hAnsi="Times New Roman" w:cs="Times New Roman" w:eastAsiaTheme="minorEastAsia"/>
                <w:b/>
                <w:bCs/>
                <w:color w:val="auto"/>
                <w:highlight w:val="none"/>
              </w:rPr>
            </w:pPr>
          </w:p>
          <w:p w14:paraId="53ED685B">
            <w:pPr>
              <w:pStyle w:val="72"/>
              <w:rPr>
                <w:rFonts w:hint="default" w:ascii="Times New Roman" w:hAnsi="Times New Roman" w:cs="Times New Roman" w:eastAsiaTheme="minorEastAsia"/>
                <w:b/>
                <w:bCs/>
                <w:color w:val="auto"/>
                <w:highlight w:val="none"/>
              </w:rPr>
            </w:pPr>
            <w:r>
              <w:rPr>
                <w:rFonts w:hint="default" w:ascii="Times New Roman" w:hAnsi="Times New Roman" w:cs="Times New Roman" w:eastAsiaTheme="minorEastAsia"/>
                <w:b/>
                <w:bCs/>
                <w:color w:val="auto"/>
                <w:highlight w:val="none"/>
              </w:rPr>
              <w:t>表2-4  预测车型比</w:t>
            </w:r>
          </w:p>
          <w:tbl>
            <w:tblPr>
              <w:tblStyle w:val="30"/>
              <w:tblW w:w="4993" w:type="pct"/>
              <w:tblInd w:w="0" w:type="dxa"/>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512"/>
              <w:gridCol w:w="1548"/>
              <w:gridCol w:w="1599"/>
              <w:gridCol w:w="1599"/>
              <w:gridCol w:w="1599"/>
            </w:tblGrid>
            <w:tr w14:paraId="5EDE47C9">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80" w:hRule="atLeast"/>
              </w:trPr>
              <w:tc>
                <w:tcPr>
                  <w:tcW w:w="962" w:type="pct"/>
                  <w:tcBorders>
                    <w:top w:val="single" w:color="auto" w:sz="12" w:space="0"/>
                    <w:bottom w:val="single" w:color="auto" w:sz="4" w:space="0"/>
                    <w:right w:val="single" w:color="auto" w:sz="4" w:space="0"/>
                    <w:tl2br w:val="single" w:color="000000" w:sz="4" w:space="0"/>
                  </w:tcBorders>
                  <w:noWrap w:val="0"/>
                  <w:vAlign w:val="center"/>
                </w:tcPr>
                <w:p w14:paraId="5E013D96">
                  <w:pPr>
                    <w:spacing w:line="240" w:lineRule="auto"/>
                    <w:jc w:val="right"/>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车型</w:t>
                  </w:r>
                </w:p>
                <w:p w14:paraId="3277E503">
                  <w:pPr>
                    <w:spacing w:line="240" w:lineRule="auto"/>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比例</w:t>
                  </w:r>
                </w:p>
              </w:tc>
              <w:tc>
                <w:tcPr>
                  <w:tcW w:w="985" w:type="pct"/>
                  <w:tcBorders>
                    <w:top w:val="single" w:color="auto" w:sz="12" w:space="0"/>
                    <w:left w:val="single" w:color="auto" w:sz="4" w:space="0"/>
                    <w:bottom w:val="single" w:color="auto" w:sz="4" w:space="0"/>
                    <w:right w:val="single" w:color="auto" w:sz="4" w:space="0"/>
                  </w:tcBorders>
                  <w:noWrap w:val="0"/>
                  <w:vAlign w:val="center"/>
                </w:tcPr>
                <w:p w14:paraId="77604B89">
                  <w:pPr>
                    <w:spacing w:line="240" w:lineRule="auto"/>
                    <w:jc w:val="center"/>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大型车</w:t>
                  </w:r>
                </w:p>
              </w:tc>
              <w:tc>
                <w:tcPr>
                  <w:tcW w:w="1017" w:type="pct"/>
                  <w:tcBorders>
                    <w:top w:val="single" w:color="auto" w:sz="12" w:space="0"/>
                    <w:left w:val="single" w:color="auto" w:sz="4" w:space="0"/>
                    <w:bottom w:val="single" w:color="auto" w:sz="4" w:space="0"/>
                    <w:right w:val="single" w:color="auto" w:sz="4" w:space="0"/>
                  </w:tcBorders>
                  <w:noWrap w:val="0"/>
                  <w:vAlign w:val="center"/>
                </w:tcPr>
                <w:p w14:paraId="0914E197">
                  <w:pPr>
                    <w:spacing w:line="240" w:lineRule="auto"/>
                    <w:jc w:val="center"/>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中型车</w:t>
                  </w:r>
                </w:p>
              </w:tc>
              <w:tc>
                <w:tcPr>
                  <w:tcW w:w="1017" w:type="pct"/>
                  <w:tcBorders>
                    <w:top w:val="single" w:color="auto" w:sz="12" w:space="0"/>
                    <w:left w:val="single" w:color="auto" w:sz="4" w:space="0"/>
                    <w:bottom w:val="single" w:color="auto" w:sz="4" w:space="0"/>
                    <w:right w:val="single" w:color="auto" w:sz="4" w:space="0"/>
                  </w:tcBorders>
                  <w:noWrap w:val="0"/>
                  <w:vAlign w:val="center"/>
                </w:tcPr>
                <w:p w14:paraId="3687B03B">
                  <w:pPr>
                    <w:spacing w:line="240" w:lineRule="auto"/>
                    <w:jc w:val="center"/>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小型车</w:t>
                  </w:r>
                </w:p>
              </w:tc>
              <w:tc>
                <w:tcPr>
                  <w:tcW w:w="1017" w:type="pct"/>
                  <w:tcBorders>
                    <w:top w:val="single" w:color="auto" w:sz="12" w:space="0"/>
                    <w:left w:val="single" w:color="auto" w:sz="4" w:space="0"/>
                    <w:bottom w:val="single" w:color="auto" w:sz="4" w:space="0"/>
                  </w:tcBorders>
                  <w:noWrap w:val="0"/>
                  <w:vAlign w:val="center"/>
                </w:tcPr>
                <w:p w14:paraId="5AE203E9">
                  <w:pPr>
                    <w:spacing w:line="240" w:lineRule="auto"/>
                    <w:jc w:val="center"/>
                    <w:rPr>
                      <w:rFonts w:hint="default" w:ascii="Times New Roman" w:hAnsi="Times New Roman" w:cs="Times New Roman"/>
                      <w:snapToGrid w:val="0"/>
                      <w:color w:val="auto"/>
                      <w:sz w:val="21"/>
                      <w:szCs w:val="21"/>
                      <w:highlight w:val="none"/>
                    </w:rPr>
                  </w:pPr>
                  <w:r>
                    <w:rPr>
                      <w:rFonts w:hint="default" w:ascii="Times New Roman" w:hAnsi="Times New Roman" w:cs="Times New Roman"/>
                      <w:snapToGrid w:val="0"/>
                      <w:color w:val="auto"/>
                      <w:sz w:val="21"/>
                      <w:szCs w:val="21"/>
                      <w:highlight w:val="none"/>
                    </w:rPr>
                    <w:t>合计</w:t>
                  </w:r>
                </w:p>
              </w:tc>
            </w:tr>
            <w:tr w14:paraId="38A8685C">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45" w:hRule="atLeast"/>
              </w:trPr>
              <w:tc>
                <w:tcPr>
                  <w:tcW w:w="962" w:type="pct"/>
                  <w:tcBorders>
                    <w:top w:val="single" w:color="auto" w:sz="4" w:space="0"/>
                    <w:bottom w:val="single" w:color="auto" w:sz="4" w:space="0"/>
                    <w:right w:val="single" w:color="auto" w:sz="4" w:space="0"/>
                  </w:tcBorders>
                  <w:noWrap w:val="0"/>
                  <w:vAlign w:val="center"/>
                </w:tcPr>
                <w:p w14:paraId="16B54859">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202</w:t>
                  </w:r>
                  <w:r>
                    <w:rPr>
                      <w:rFonts w:hint="default" w:ascii="Times New Roman" w:hAnsi="Times New Roman" w:cs="Times New Roman"/>
                      <w:color w:val="auto"/>
                      <w:sz w:val="21"/>
                      <w:szCs w:val="21"/>
                      <w:highlight w:val="none"/>
                      <w:lang w:val="en-US" w:eastAsia="zh-CN"/>
                    </w:rPr>
                    <w:t>6</w:t>
                  </w:r>
                  <w:r>
                    <w:rPr>
                      <w:rFonts w:hint="default" w:ascii="Times New Roman" w:hAnsi="Times New Roman" w:cs="Times New Roman"/>
                      <w:color w:val="auto"/>
                      <w:sz w:val="21"/>
                      <w:szCs w:val="21"/>
                      <w:highlight w:val="none"/>
                    </w:rPr>
                    <w:t>年</w:t>
                  </w:r>
                </w:p>
              </w:tc>
              <w:tc>
                <w:tcPr>
                  <w:tcW w:w="985" w:type="pct"/>
                  <w:tcBorders>
                    <w:top w:val="single" w:color="auto" w:sz="4" w:space="0"/>
                    <w:left w:val="single" w:color="auto" w:sz="4" w:space="0"/>
                    <w:bottom w:val="single" w:color="auto" w:sz="4" w:space="0"/>
                    <w:right w:val="single" w:color="auto" w:sz="4" w:space="0"/>
                  </w:tcBorders>
                  <w:noWrap w:val="0"/>
                  <w:vAlign w:val="center"/>
                </w:tcPr>
                <w:p w14:paraId="0F5753CD">
                  <w:pPr>
                    <w:pStyle w:val="80"/>
                    <w:rPr>
                      <w:rFonts w:hint="default" w:ascii="Times New Roman" w:hAnsi="Times New Roman" w:cs="Times New Roman"/>
                      <w:color w:val="auto"/>
                      <w:kern w:val="0"/>
                      <w:highlight w:val="none"/>
                    </w:rPr>
                  </w:pPr>
                  <w:r>
                    <w:rPr>
                      <w:rFonts w:hint="default" w:ascii="Times New Roman" w:hAnsi="Times New Roman" w:cs="Times New Roman"/>
                      <w:color w:val="auto"/>
                      <w:highlight w:val="none"/>
                      <w:lang w:val="en-US" w:eastAsia="zh-CN"/>
                    </w:rPr>
                    <w:t>12.38</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79E23614">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4.27</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6ED737B6">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83.35</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4" w:space="0"/>
                  </w:tcBorders>
                  <w:noWrap w:val="0"/>
                  <w:vAlign w:val="center"/>
                </w:tcPr>
                <w:p w14:paraId="4BB8BA03">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100%</w:t>
                  </w:r>
                </w:p>
              </w:tc>
            </w:tr>
            <w:tr w14:paraId="6DCC8303">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45" w:hRule="atLeast"/>
              </w:trPr>
              <w:tc>
                <w:tcPr>
                  <w:tcW w:w="962" w:type="pct"/>
                  <w:tcBorders>
                    <w:top w:val="single" w:color="auto" w:sz="4" w:space="0"/>
                    <w:bottom w:val="single" w:color="auto" w:sz="4" w:space="0"/>
                    <w:right w:val="single" w:color="auto" w:sz="4" w:space="0"/>
                  </w:tcBorders>
                  <w:noWrap w:val="0"/>
                  <w:vAlign w:val="center"/>
                </w:tcPr>
                <w:p w14:paraId="18E413A1">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203</w:t>
                  </w:r>
                  <w:r>
                    <w:rPr>
                      <w:rFonts w:hint="default"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rPr>
                    <w:t>年</w:t>
                  </w:r>
                </w:p>
              </w:tc>
              <w:tc>
                <w:tcPr>
                  <w:tcW w:w="985" w:type="pct"/>
                  <w:tcBorders>
                    <w:top w:val="single" w:color="auto" w:sz="4" w:space="0"/>
                    <w:left w:val="single" w:color="auto" w:sz="4" w:space="0"/>
                    <w:bottom w:val="single" w:color="auto" w:sz="4" w:space="0"/>
                    <w:right w:val="single" w:color="auto" w:sz="4" w:space="0"/>
                  </w:tcBorders>
                  <w:noWrap w:val="0"/>
                  <w:vAlign w:val="center"/>
                </w:tcPr>
                <w:p w14:paraId="737DECC7">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12.38</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17E13B5B">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4.27</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150D5F1B">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83.35</w:t>
                  </w:r>
                  <w:r>
                    <w:rPr>
                      <w:rFonts w:hint="default" w:ascii="Times New Roman" w:hAnsi="Times New Roman" w:cs="Times New Roman"/>
                      <w:color w:val="auto"/>
                      <w:sz w:val="21"/>
                      <w:szCs w:val="21"/>
                      <w:highlight w:val="none"/>
                    </w:rPr>
                    <w:t>%</w:t>
                  </w:r>
                </w:p>
              </w:tc>
              <w:tc>
                <w:tcPr>
                  <w:tcW w:w="1017" w:type="pct"/>
                  <w:tcBorders>
                    <w:top w:val="single" w:color="auto" w:sz="4" w:space="0"/>
                    <w:left w:val="single" w:color="auto" w:sz="4" w:space="0"/>
                    <w:bottom w:val="single" w:color="auto" w:sz="4" w:space="0"/>
                  </w:tcBorders>
                  <w:noWrap w:val="0"/>
                  <w:vAlign w:val="center"/>
                </w:tcPr>
                <w:p w14:paraId="0CA3E325">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100%</w:t>
                  </w:r>
                </w:p>
              </w:tc>
            </w:tr>
            <w:tr w14:paraId="7BA8BA6E">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78" w:hRule="atLeast"/>
              </w:trPr>
              <w:tc>
                <w:tcPr>
                  <w:tcW w:w="962" w:type="pct"/>
                  <w:tcBorders>
                    <w:top w:val="single" w:color="auto" w:sz="4" w:space="0"/>
                    <w:bottom w:val="single" w:color="auto" w:sz="12" w:space="0"/>
                    <w:right w:val="single" w:color="auto" w:sz="4" w:space="0"/>
                  </w:tcBorders>
                  <w:noWrap w:val="0"/>
                  <w:vAlign w:val="center"/>
                </w:tcPr>
                <w:p w14:paraId="18403185">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w:t>
                  </w:r>
                  <w:r>
                    <w:rPr>
                      <w:rFonts w:hint="default" w:ascii="Times New Roman" w:hAnsi="Times New Roman" w:cs="Times New Roman"/>
                      <w:color w:val="auto"/>
                      <w:sz w:val="21"/>
                      <w:szCs w:val="21"/>
                      <w:highlight w:val="none"/>
                      <w:lang w:val="en-US" w:eastAsia="zh-CN"/>
                    </w:rPr>
                    <w:t>40</w:t>
                  </w:r>
                  <w:r>
                    <w:rPr>
                      <w:rFonts w:hint="default" w:ascii="Times New Roman" w:hAnsi="Times New Roman" w:cs="Times New Roman"/>
                      <w:color w:val="auto"/>
                      <w:sz w:val="21"/>
                      <w:szCs w:val="21"/>
                      <w:highlight w:val="none"/>
                    </w:rPr>
                    <w:t>年</w:t>
                  </w:r>
                </w:p>
              </w:tc>
              <w:tc>
                <w:tcPr>
                  <w:tcW w:w="985" w:type="pct"/>
                  <w:tcBorders>
                    <w:top w:val="single" w:color="auto" w:sz="4" w:space="0"/>
                    <w:left w:val="single" w:color="auto" w:sz="4" w:space="0"/>
                    <w:bottom w:val="single" w:color="auto" w:sz="12" w:space="0"/>
                    <w:right w:val="single" w:color="auto" w:sz="4" w:space="0"/>
                  </w:tcBorders>
                  <w:noWrap w:val="0"/>
                  <w:vAlign w:val="center"/>
                </w:tcPr>
                <w:p w14:paraId="67428E88">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12.38</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12" w:space="0"/>
                    <w:right w:val="single" w:color="auto" w:sz="4" w:space="0"/>
                  </w:tcBorders>
                  <w:noWrap w:val="0"/>
                  <w:vAlign w:val="center"/>
                </w:tcPr>
                <w:p w14:paraId="4F11BC48">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4.27</w:t>
                  </w:r>
                  <w:r>
                    <w:rPr>
                      <w:rFonts w:hint="default" w:ascii="Times New Roman" w:hAnsi="Times New Roman" w:cs="Times New Roman"/>
                      <w:color w:val="auto"/>
                      <w:highlight w:val="none"/>
                    </w:rPr>
                    <w:t>%</w:t>
                  </w:r>
                </w:p>
              </w:tc>
              <w:tc>
                <w:tcPr>
                  <w:tcW w:w="1017" w:type="pct"/>
                  <w:tcBorders>
                    <w:top w:val="single" w:color="auto" w:sz="4" w:space="0"/>
                    <w:left w:val="single" w:color="auto" w:sz="4" w:space="0"/>
                    <w:bottom w:val="single" w:color="auto" w:sz="12" w:space="0"/>
                    <w:right w:val="single" w:color="auto" w:sz="4" w:space="0"/>
                  </w:tcBorders>
                  <w:noWrap w:val="0"/>
                  <w:vAlign w:val="center"/>
                </w:tcPr>
                <w:p w14:paraId="3C218C52">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83.35</w:t>
                  </w:r>
                  <w:r>
                    <w:rPr>
                      <w:rFonts w:hint="default" w:ascii="Times New Roman" w:hAnsi="Times New Roman" w:cs="Times New Roman"/>
                      <w:color w:val="auto"/>
                      <w:sz w:val="21"/>
                      <w:szCs w:val="21"/>
                      <w:highlight w:val="none"/>
                    </w:rPr>
                    <w:t>%</w:t>
                  </w:r>
                </w:p>
              </w:tc>
              <w:tc>
                <w:tcPr>
                  <w:tcW w:w="1017" w:type="pct"/>
                  <w:tcBorders>
                    <w:top w:val="single" w:color="auto" w:sz="4" w:space="0"/>
                    <w:left w:val="single" w:color="auto" w:sz="4" w:space="0"/>
                    <w:bottom w:val="single" w:color="auto" w:sz="12" w:space="0"/>
                  </w:tcBorders>
                  <w:noWrap w:val="0"/>
                  <w:vAlign w:val="center"/>
                </w:tcPr>
                <w:p w14:paraId="513E3FB9">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100%</w:t>
                  </w:r>
                </w:p>
              </w:tc>
            </w:tr>
          </w:tbl>
          <w:p w14:paraId="5630368F">
            <w:pPr>
              <w:pStyle w:val="72"/>
              <w:rPr>
                <w:rFonts w:hint="default" w:ascii="Times New Roman" w:hAnsi="Times New Roman" w:cs="Times New Roman" w:eastAsiaTheme="minorEastAsia"/>
                <w:b/>
                <w:bCs/>
                <w:color w:val="auto"/>
                <w:highlight w:val="none"/>
              </w:rPr>
            </w:pPr>
            <w:r>
              <w:rPr>
                <w:rFonts w:hint="default" w:ascii="Times New Roman" w:hAnsi="Times New Roman" w:cs="Times New Roman" w:eastAsiaTheme="minorEastAsia"/>
                <w:b/>
                <w:bCs/>
                <w:color w:val="auto"/>
                <w:highlight w:val="none"/>
              </w:rPr>
              <w:t>表2-5 预测车流量昼夜比</w:t>
            </w:r>
          </w:p>
          <w:tbl>
            <w:tblPr>
              <w:tblStyle w:val="30"/>
              <w:tblW w:w="4994" w:type="pct"/>
              <w:tblInd w:w="0" w:type="dxa"/>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6171"/>
              <w:gridCol w:w="844"/>
              <w:gridCol w:w="844"/>
            </w:tblGrid>
            <w:tr w14:paraId="33A15171">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3926" w:type="pct"/>
                  <w:tcBorders>
                    <w:top w:val="single" w:color="auto" w:sz="12" w:space="0"/>
                    <w:bottom w:val="single" w:color="000000" w:sz="4" w:space="0"/>
                    <w:right w:val="single" w:color="auto" w:sz="4" w:space="0"/>
                    <w:tl2br w:val="single" w:color="auto" w:sz="12" w:space="0"/>
                  </w:tcBorders>
                  <w:noWrap w:val="0"/>
                  <w:vAlign w:val="center"/>
                </w:tcPr>
                <w:p w14:paraId="3D5CCD77">
                  <w:pPr>
                    <w:pStyle w:val="80"/>
                    <w:jc w:val="right"/>
                    <w:rPr>
                      <w:rFonts w:hint="default" w:ascii="Times New Roman" w:hAnsi="Times New Roman" w:cs="Times New Roman"/>
                      <w:color w:val="auto"/>
                      <w:highlight w:val="none"/>
                    </w:rPr>
                  </w:pPr>
                  <w:r>
                    <w:rPr>
                      <w:rFonts w:hint="default" w:ascii="Times New Roman" w:hAnsi="Times New Roman" w:cs="Times New Roman"/>
                      <w:color w:val="auto"/>
                      <w:highlight w:val="none"/>
                    </w:rPr>
                    <w:t>昼夜比</w:t>
                  </w:r>
                </w:p>
                <w:p w14:paraId="37B9E4C2">
                  <w:pPr>
                    <w:pStyle w:val="80"/>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路段名称</w:t>
                  </w:r>
                </w:p>
              </w:tc>
              <w:tc>
                <w:tcPr>
                  <w:tcW w:w="536" w:type="pct"/>
                  <w:noWrap w:val="0"/>
                  <w:vAlign w:val="center"/>
                </w:tcPr>
                <w:p w14:paraId="2A0CEC80">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昼间</w:t>
                  </w:r>
                </w:p>
              </w:tc>
              <w:tc>
                <w:tcPr>
                  <w:tcW w:w="536" w:type="pct"/>
                  <w:noWrap w:val="0"/>
                  <w:vAlign w:val="center"/>
                </w:tcPr>
                <w:p w14:paraId="0F1A2E5C">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夜间</w:t>
                  </w:r>
                </w:p>
              </w:tc>
            </w:tr>
            <w:tr w14:paraId="17C5D3CA">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3926" w:type="pct"/>
                  <w:tcBorders>
                    <w:top w:val="single" w:color="000000" w:sz="4" w:space="0"/>
                    <w:right w:val="single" w:color="auto" w:sz="4" w:space="0"/>
                  </w:tcBorders>
                  <w:noWrap w:val="0"/>
                  <w:vAlign w:val="center"/>
                </w:tcPr>
                <w:p w14:paraId="015CDAC7">
                  <w:pPr>
                    <w:pStyle w:val="80"/>
                    <w:rPr>
                      <w:rFonts w:hint="default" w:ascii="Times New Roman" w:hAnsi="Times New Roman" w:cs="Times New Roman"/>
                      <w:color w:val="auto"/>
                      <w:kern w:val="0"/>
                      <w:highlight w:val="none"/>
                    </w:rPr>
                  </w:pPr>
                  <w:r>
                    <w:rPr>
                      <w:rFonts w:hint="default" w:ascii="Times New Roman" w:hAnsi="Times New Roman" w:cs="Times New Roman"/>
                      <w:color w:val="auto"/>
                      <w:kern w:val="0"/>
                      <w:highlight w:val="none"/>
                      <w:lang w:val="zh-CN" w:eastAsia="zh-CN"/>
                    </w:rPr>
                    <w:t>国道集贤至当壁公路宝清界至兴凯镇段</w:t>
                  </w:r>
                </w:p>
              </w:tc>
              <w:tc>
                <w:tcPr>
                  <w:tcW w:w="536" w:type="pct"/>
                  <w:noWrap w:val="0"/>
                  <w:vAlign w:val="center"/>
                </w:tcPr>
                <w:p w14:paraId="46151CCB">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9</w:t>
                  </w:r>
                  <w:r>
                    <w:rPr>
                      <w:rFonts w:hint="default" w:ascii="Times New Roman" w:hAnsi="Times New Roman" w:cs="Times New Roman"/>
                      <w:color w:val="auto"/>
                      <w:highlight w:val="none"/>
                    </w:rPr>
                    <w:t>0%</w:t>
                  </w:r>
                </w:p>
              </w:tc>
              <w:tc>
                <w:tcPr>
                  <w:tcW w:w="536" w:type="pct"/>
                  <w:noWrap w:val="0"/>
                  <w:vAlign w:val="center"/>
                </w:tcPr>
                <w:p w14:paraId="6CC497E7">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0%</w:t>
                  </w:r>
                </w:p>
              </w:tc>
            </w:tr>
          </w:tbl>
          <w:p w14:paraId="1F1CE0D7">
            <w:pPr>
              <w:pStyle w:val="72"/>
              <w:rPr>
                <w:rFonts w:hint="default" w:ascii="Times New Roman" w:hAnsi="Times New Roman" w:cs="Times New Roman" w:eastAsiaTheme="minorEastAsia"/>
                <w:b/>
                <w:bCs/>
                <w:color w:val="auto"/>
                <w:highlight w:val="none"/>
              </w:rPr>
            </w:pPr>
            <w:r>
              <w:rPr>
                <w:rFonts w:hint="default" w:ascii="Times New Roman" w:hAnsi="Times New Roman" w:cs="Times New Roman" w:eastAsiaTheme="minorEastAsia"/>
                <w:b/>
                <w:bCs/>
                <w:color w:val="auto"/>
                <w:highlight w:val="none"/>
              </w:rPr>
              <w:t>表2-6  各征年总交通量预测结果（自然车流量）</w:t>
            </w:r>
          </w:p>
          <w:tbl>
            <w:tblPr>
              <w:tblStyle w:val="30"/>
              <w:tblW w:w="497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2268"/>
              <w:gridCol w:w="1137"/>
              <w:gridCol w:w="1627"/>
              <w:gridCol w:w="1402"/>
              <w:gridCol w:w="1402"/>
            </w:tblGrid>
            <w:tr w14:paraId="4DFBCF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66" w:hRule="exact"/>
                <w:jc w:val="center"/>
              </w:trPr>
              <w:tc>
                <w:tcPr>
                  <w:tcW w:w="1447" w:type="pct"/>
                  <w:noWrap w:val="0"/>
                  <w:vAlign w:val="center"/>
                </w:tcPr>
                <w:p w14:paraId="0FFCAF84">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路段名称</w:t>
                  </w:r>
                </w:p>
              </w:tc>
              <w:tc>
                <w:tcPr>
                  <w:tcW w:w="725" w:type="pct"/>
                  <w:noWrap w:val="0"/>
                  <w:vAlign w:val="center"/>
                </w:tcPr>
                <w:p w14:paraId="04554F93">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年段</w:t>
                  </w:r>
                </w:p>
              </w:tc>
              <w:tc>
                <w:tcPr>
                  <w:tcW w:w="1038" w:type="pct"/>
                  <w:noWrap w:val="0"/>
                  <w:vAlign w:val="center"/>
                </w:tcPr>
                <w:p w14:paraId="6AF75FBD">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交通量（辆/d）</w:t>
                  </w:r>
                </w:p>
              </w:tc>
              <w:tc>
                <w:tcPr>
                  <w:tcW w:w="894" w:type="pct"/>
                  <w:noWrap w:val="0"/>
                  <w:vAlign w:val="center"/>
                </w:tcPr>
                <w:p w14:paraId="7448210F">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昼间（辆/h）</w:t>
                  </w:r>
                </w:p>
              </w:tc>
              <w:tc>
                <w:tcPr>
                  <w:tcW w:w="894" w:type="pct"/>
                  <w:noWrap w:val="0"/>
                  <w:vAlign w:val="center"/>
                </w:tcPr>
                <w:p w14:paraId="7B0D9CC1">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夜间（辆/h）</w:t>
                  </w:r>
                </w:p>
              </w:tc>
            </w:tr>
            <w:tr w14:paraId="2ED19A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66" w:hRule="exact"/>
                <w:jc w:val="center"/>
              </w:trPr>
              <w:tc>
                <w:tcPr>
                  <w:tcW w:w="1447" w:type="pct"/>
                  <w:vMerge w:val="restart"/>
                  <w:noWrap w:val="0"/>
                  <w:vAlign w:val="center"/>
                </w:tcPr>
                <w:p w14:paraId="7905591E">
                  <w:pPr>
                    <w:pStyle w:val="80"/>
                    <w:rPr>
                      <w:rFonts w:hint="default" w:ascii="Times New Roman" w:hAnsi="Times New Roman" w:cs="Times New Roman"/>
                      <w:color w:val="auto"/>
                      <w:highlight w:val="none"/>
                    </w:rPr>
                  </w:pPr>
                  <w:r>
                    <w:rPr>
                      <w:rFonts w:hint="default" w:ascii="Times New Roman" w:hAnsi="Times New Roman" w:cs="Times New Roman"/>
                      <w:color w:val="auto"/>
                      <w:kern w:val="0"/>
                      <w:highlight w:val="none"/>
                      <w:lang w:val="zh-CN" w:eastAsia="zh-CN"/>
                    </w:rPr>
                    <w:t>国道集贤至当壁公路宝清界至兴凯镇段</w:t>
                  </w:r>
                </w:p>
              </w:tc>
              <w:tc>
                <w:tcPr>
                  <w:tcW w:w="725" w:type="pct"/>
                  <w:noWrap w:val="0"/>
                  <w:vAlign w:val="center"/>
                </w:tcPr>
                <w:p w14:paraId="7693A787">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202</w:t>
                  </w:r>
                  <w:r>
                    <w:rPr>
                      <w:rFonts w:hint="default" w:ascii="Times New Roman" w:hAnsi="Times New Roman" w:cs="Times New Roman"/>
                      <w:color w:val="auto"/>
                      <w:sz w:val="21"/>
                      <w:szCs w:val="21"/>
                      <w:highlight w:val="none"/>
                      <w:lang w:val="en-US" w:eastAsia="zh-CN"/>
                    </w:rPr>
                    <w:t>6</w:t>
                  </w:r>
                  <w:r>
                    <w:rPr>
                      <w:rFonts w:hint="default" w:ascii="Times New Roman" w:hAnsi="Times New Roman" w:cs="Times New Roman"/>
                      <w:color w:val="auto"/>
                      <w:sz w:val="21"/>
                      <w:szCs w:val="21"/>
                      <w:highlight w:val="none"/>
                    </w:rPr>
                    <w:t>年</w:t>
                  </w:r>
                </w:p>
              </w:tc>
              <w:tc>
                <w:tcPr>
                  <w:tcW w:w="1038" w:type="pct"/>
                  <w:noWrap w:val="0"/>
                  <w:vAlign w:val="center"/>
                </w:tcPr>
                <w:p w14:paraId="1033A3DC">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2011</w:t>
                  </w:r>
                </w:p>
              </w:tc>
              <w:tc>
                <w:tcPr>
                  <w:tcW w:w="894" w:type="pct"/>
                  <w:noWrap w:val="0"/>
                  <w:vAlign w:val="center"/>
                </w:tcPr>
                <w:p w14:paraId="61773496">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113</w:t>
                  </w:r>
                </w:p>
              </w:tc>
              <w:tc>
                <w:tcPr>
                  <w:tcW w:w="894" w:type="pct"/>
                  <w:noWrap w:val="0"/>
                  <w:vAlign w:val="center"/>
                </w:tcPr>
                <w:p w14:paraId="3CD68526">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25</w:t>
                  </w:r>
                </w:p>
              </w:tc>
            </w:tr>
            <w:tr w14:paraId="1EDBDC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66" w:hRule="exact"/>
                <w:jc w:val="center"/>
              </w:trPr>
              <w:tc>
                <w:tcPr>
                  <w:tcW w:w="1447" w:type="pct"/>
                  <w:vMerge w:val="continue"/>
                  <w:noWrap w:val="0"/>
                  <w:vAlign w:val="center"/>
                </w:tcPr>
                <w:p w14:paraId="4CB47F1D">
                  <w:pPr>
                    <w:pStyle w:val="80"/>
                    <w:rPr>
                      <w:rFonts w:hint="default" w:ascii="Times New Roman" w:hAnsi="Times New Roman" w:cs="Times New Roman"/>
                      <w:color w:val="auto"/>
                      <w:highlight w:val="none"/>
                    </w:rPr>
                  </w:pPr>
                </w:p>
              </w:tc>
              <w:tc>
                <w:tcPr>
                  <w:tcW w:w="725" w:type="pct"/>
                  <w:noWrap w:val="0"/>
                  <w:vAlign w:val="center"/>
                </w:tcPr>
                <w:p w14:paraId="73AE73F3">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203</w:t>
                  </w:r>
                  <w:r>
                    <w:rPr>
                      <w:rFonts w:hint="default"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rPr>
                    <w:t>年</w:t>
                  </w:r>
                </w:p>
              </w:tc>
              <w:tc>
                <w:tcPr>
                  <w:tcW w:w="1038" w:type="pct"/>
                  <w:noWrap w:val="0"/>
                  <w:vAlign w:val="center"/>
                </w:tcPr>
                <w:p w14:paraId="2CCC2537">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3000</w:t>
                  </w:r>
                </w:p>
              </w:tc>
              <w:tc>
                <w:tcPr>
                  <w:tcW w:w="894" w:type="pct"/>
                  <w:noWrap w:val="0"/>
                  <w:vAlign w:val="center"/>
                </w:tcPr>
                <w:p w14:paraId="6CAFF680">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169</w:t>
                  </w:r>
                </w:p>
              </w:tc>
              <w:tc>
                <w:tcPr>
                  <w:tcW w:w="894" w:type="pct"/>
                  <w:noWrap w:val="0"/>
                  <w:vAlign w:val="center"/>
                </w:tcPr>
                <w:p w14:paraId="608DE602">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37</w:t>
                  </w:r>
                </w:p>
              </w:tc>
            </w:tr>
            <w:tr w14:paraId="2C0BC4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02" w:hRule="exact"/>
                <w:jc w:val="center"/>
              </w:trPr>
              <w:tc>
                <w:tcPr>
                  <w:tcW w:w="1447" w:type="pct"/>
                  <w:vMerge w:val="continue"/>
                  <w:noWrap w:val="0"/>
                  <w:vAlign w:val="center"/>
                </w:tcPr>
                <w:p w14:paraId="28805027">
                  <w:pPr>
                    <w:pStyle w:val="80"/>
                    <w:rPr>
                      <w:rFonts w:hint="default" w:ascii="Times New Roman" w:hAnsi="Times New Roman" w:cs="Times New Roman"/>
                      <w:color w:val="auto"/>
                      <w:highlight w:val="none"/>
                    </w:rPr>
                  </w:pPr>
                </w:p>
              </w:tc>
              <w:tc>
                <w:tcPr>
                  <w:tcW w:w="725" w:type="pct"/>
                  <w:noWrap w:val="0"/>
                  <w:vAlign w:val="center"/>
                </w:tcPr>
                <w:p w14:paraId="30781FA5">
                  <w:pPr>
                    <w:spacing w:line="240" w:lineRule="auto"/>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w:t>
                  </w:r>
                  <w:r>
                    <w:rPr>
                      <w:rFonts w:hint="default" w:ascii="Times New Roman" w:hAnsi="Times New Roman" w:cs="Times New Roman"/>
                      <w:color w:val="auto"/>
                      <w:sz w:val="21"/>
                      <w:szCs w:val="21"/>
                      <w:highlight w:val="none"/>
                      <w:lang w:val="en-US" w:eastAsia="zh-CN"/>
                    </w:rPr>
                    <w:t>40</w:t>
                  </w:r>
                  <w:r>
                    <w:rPr>
                      <w:rFonts w:hint="default" w:ascii="Times New Roman" w:hAnsi="Times New Roman" w:cs="Times New Roman"/>
                      <w:color w:val="auto"/>
                      <w:sz w:val="21"/>
                      <w:szCs w:val="21"/>
                      <w:highlight w:val="none"/>
                    </w:rPr>
                    <w:t>年</w:t>
                  </w:r>
                </w:p>
              </w:tc>
              <w:tc>
                <w:tcPr>
                  <w:tcW w:w="1038" w:type="pct"/>
                  <w:noWrap w:val="0"/>
                  <w:vAlign w:val="center"/>
                </w:tcPr>
                <w:p w14:paraId="4F0D39E8">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4214</w:t>
                  </w:r>
                </w:p>
              </w:tc>
              <w:tc>
                <w:tcPr>
                  <w:tcW w:w="894" w:type="pct"/>
                  <w:noWrap w:val="0"/>
                  <w:vAlign w:val="center"/>
                </w:tcPr>
                <w:p w14:paraId="7382BEF5">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237</w:t>
                  </w:r>
                </w:p>
              </w:tc>
              <w:tc>
                <w:tcPr>
                  <w:tcW w:w="894" w:type="pct"/>
                  <w:noWrap w:val="0"/>
                  <w:vAlign w:val="center"/>
                </w:tcPr>
                <w:p w14:paraId="548F348C">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53</w:t>
                  </w:r>
                </w:p>
              </w:tc>
            </w:tr>
          </w:tbl>
          <w:p w14:paraId="53DAC479">
            <w:pPr>
              <w:pStyle w:val="72"/>
              <w:rPr>
                <w:rFonts w:hint="default" w:ascii="Times New Roman" w:hAnsi="Times New Roman" w:cs="Times New Roman" w:eastAsiaTheme="minorEastAsia"/>
                <w:b/>
                <w:bCs/>
                <w:color w:val="auto"/>
                <w:highlight w:val="none"/>
              </w:rPr>
            </w:pPr>
            <w:r>
              <w:rPr>
                <w:rFonts w:hint="default" w:ascii="Times New Roman" w:hAnsi="Times New Roman" w:cs="Times New Roman" w:eastAsiaTheme="minorEastAsia"/>
                <w:b/>
                <w:bCs/>
                <w:color w:val="auto"/>
                <w:highlight w:val="none"/>
              </w:rPr>
              <w:t>表2-7  折算特征年各车型交通量预测结果  单位：辆/h</w:t>
            </w:r>
          </w:p>
          <w:tbl>
            <w:tblPr>
              <w:tblStyle w:val="30"/>
              <w:tblW w:w="498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2021"/>
              <w:gridCol w:w="1066"/>
              <w:gridCol w:w="792"/>
              <w:gridCol w:w="797"/>
              <w:gridCol w:w="795"/>
              <w:gridCol w:w="798"/>
              <w:gridCol w:w="795"/>
              <w:gridCol w:w="774"/>
            </w:tblGrid>
            <w:tr w14:paraId="1593C4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29" w:hRule="exact"/>
                <w:jc w:val="center"/>
              </w:trPr>
              <w:tc>
                <w:tcPr>
                  <w:tcW w:w="1969" w:type="pct"/>
                  <w:gridSpan w:val="2"/>
                  <w:vMerge w:val="restart"/>
                  <w:tcBorders>
                    <w:top w:val="single" w:color="000000" w:sz="12" w:space="0"/>
                    <w:bottom w:val="single" w:color="000000" w:sz="4" w:space="0"/>
                    <w:right w:val="single" w:color="000000" w:sz="4" w:space="0"/>
                    <w:tl2br w:val="single" w:color="auto" w:sz="4" w:space="0"/>
                  </w:tcBorders>
                  <w:noWrap w:val="0"/>
                  <w:vAlign w:val="center"/>
                </w:tcPr>
                <w:p w14:paraId="19D719C5">
                  <w:pPr>
                    <w:pStyle w:val="80"/>
                    <w:ind w:left="480" w:firstLine="400"/>
                    <w:jc w:val="right"/>
                    <w:rPr>
                      <w:rFonts w:hint="default" w:ascii="Times New Roman" w:hAnsi="Times New Roman" w:cs="Times New Roman"/>
                      <w:color w:val="auto"/>
                      <w:highlight w:val="none"/>
                    </w:rPr>
                  </w:pPr>
                  <w:r>
                    <w:rPr>
                      <w:rFonts w:hint="default" w:ascii="Times New Roman" w:hAnsi="Times New Roman" w:cs="Times New Roman"/>
                      <w:color w:val="auto"/>
                      <w:highlight w:val="none"/>
                    </w:rPr>
                    <w:t>预测年</w:t>
                  </w:r>
                </w:p>
                <w:p w14:paraId="5E1566E4">
                  <w:pPr>
                    <w:pStyle w:val="80"/>
                    <w:tabs>
                      <w:tab w:val="left" w:pos="1259"/>
                      <w:tab w:val="center" w:pos="2015"/>
                    </w:tabs>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车型</w:t>
                  </w:r>
                </w:p>
              </w:tc>
              <w:tc>
                <w:tcPr>
                  <w:tcW w:w="1013" w:type="pct"/>
                  <w:gridSpan w:val="2"/>
                  <w:tcBorders>
                    <w:top w:val="single" w:color="000000" w:sz="12" w:space="0"/>
                    <w:left w:val="single" w:color="000000" w:sz="4" w:space="0"/>
                    <w:bottom w:val="single" w:color="000000" w:sz="4" w:space="0"/>
                    <w:right w:val="single" w:color="000000" w:sz="4" w:space="0"/>
                  </w:tcBorders>
                  <w:noWrap w:val="0"/>
                  <w:vAlign w:val="center"/>
                </w:tcPr>
                <w:p w14:paraId="56281497">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202</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年</w:t>
                  </w:r>
                </w:p>
              </w:tc>
              <w:tc>
                <w:tcPr>
                  <w:tcW w:w="1016" w:type="pct"/>
                  <w:gridSpan w:val="2"/>
                  <w:tcBorders>
                    <w:top w:val="single" w:color="000000" w:sz="12" w:space="0"/>
                    <w:left w:val="single" w:color="000000" w:sz="4" w:space="0"/>
                    <w:bottom w:val="single" w:color="000000" w:sz="4" w:space="0"/>
                    <w:right w:val="single" w:color="000000" w:sz="4" w:space="0"/>
                  </w:tcBorders>
                  <w:noWrap w:val="0"/>
                  <w:vAlign w:val="center"/>
                </w:tcPr>
                <w:p w14:paraId="09EDC09A">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203</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rPr>
                    <w:t>年</w:t>
                  </w:r>
                </w:p>
              </w:tc>
              <w:tc>
                <w:tcPr>
                  <w:tcW w:w="1000" w:type="pct"/>
                  <w:gridSpan w:val="2"/>
                  <w:tcBorders>
                    <w:top w:val="single" w:color="000000" w:sz="12" w:space="0"/>
                    <w:left w:val="single" w:color="000000" w:sz="4" w:space="0"/>
                    <w:bottom w:val="single" w:color="000000" w:sz="4" w:space="0"/>
                    <w:right w:val="nil"/>
                  </w:tcBorders>
                  <w:noWrap w:val="0"/>
                  <w:vAlign w:val="center"/>
                </w:tcPr>
                <w:p w14:paraId="4E3408B6">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20</w:t>
                  </w:r>
                  <w:r>
                    <w:rPr>
                      <w:rFonts w:hint="default" w:ascii="Times New Roman" w:hAnsi="Times New Roman" w:cs="Times New Roman"/>
                      <w:color w:val="auto"/>
                      <w:highlight w:val="none"/>
                      <w:lang w:val="en-US" w:eastAsia="zh-CN"/>
                    </w:rPr>
                    <w:t>40</w:t>
                  </w:r>
                  <w:r>
                    <w:rPr>
                      <w:rFonts w:hint="default" w:ascii="Times New Roman" w:hAnsi="Times New Roman" w:cs="Times New Roman"/>
                      <w:color w:val="auto"/>
                      <w:highlight w:val="none"/>
                    </w:rPr>
                    <w:t>年</w:t>
                  </w:r>
                </w:p>
              </w:tc>
            </w:tr>
            <w:tr w14:paraId="36DCA7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29" w:hRule="exact"/>
                <w:jc w:val="center"/>
              </w:trPr>
              <w:tc>
                <w:tcPr>
                  <w:tcW w:w="1969" w:type="pct"/>
                  <w:gridSpan w:val="2"/>
                  <w:vMerge w:val="continue"/>
                  <w:tcBorders>
                    <w:top w:val="single" w:color="000000" w:sz="4" w:space="0"/>
                    <w:bottom w:val="single" w:color="000000" w:sz="4" w:space="0"/>
                    <w:right w:val="single" w:color="000000" w:sz="4" w:space="0"/>
                  </w:tcBorders>
                  <w:noWrap w:val="0"/>
                  <w:vAlign w:val="center"/>
                </w:tcPr>
                <w:p w14:paraId="19478231">
                  <w:pPr>
                    <w:pStyle w:val="80"/>
                    <w:rPr>
                      <w:rFonts w:hint="default" w:ascii="Times New Roman" w:hAnsi="Times New Roman" w:cs="Times New Roman"/>
                      <w:color w:val="auto"/>
                      <w:highlight w:val="none"/>
                    </w:rPr>
                  </w:pPr>
                </w:p>
              </w:tc>
              <w:tc>
                <w:tcPr>
                  <w:tcW w:w="505" w:type="pct"/>
                  <w:tcBorders>
                    <w:top w:val="single" w:color="000000" w:sz="4" w:space="0"/>
                    <w:left w:val="single" w:color="000000" w:sz="4" w:space="0"/>
                    <w:bottom w:val="single" w:color="000000" w:sz="4" w:space="0"/>
                    <w:right w:val="single" w:color="000000" w:sz="4" w:space="0"/>
                  </w:tcBorders>
                  <w:noWrap w:val="0"/>
                  <w:vAlign w:val="center"/>
                </w:tcPr>
                <w:p w14:paraId="2FD83164">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昼间</w:t>
                  </w:r>
                </w:p>
              </w:tc>
              <w:tc>
                <w:tcPr>
                  <w:tcW w:w="508" w:type="pct"/>
                  <w:tcBorders>
                    <w:top w:val="single" w:color="000000" w:sz="4" w:space="0"/>
                    <w:left w:val="single" w:color="000000" w:sz="4" w:space="0"/>
                    <w:bottom w:val="single" w:color="000000" w:sz="4" w:space="0"/>
                    <w:right w:val="single" w:color="000000" w:sz="4" w:space="0"/>
                  </w:tcBorders>
                  <w:noWrap w:val="0"/>
                  <w:vAlign w:val="center"/>
                </w:tcPr>
                <w:p w14:paraId="576B1447">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夜间</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62BADE7F">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昼间</w:t>
                  </w:r>
                </w:p>
              </w:tc>
              <w:tc>
                <w:tcPr>
                  <w:tcW w:w="509" w:type="pct"/>
                  <w:tcBorders>
                    <w:top w:val="single" w:color="000000" w:sz="4" w:space="0"/>
                    <w:left w:val="single" w:color="000000" w:sz="4" w:space="0"/>
                    <w:bottom w:val="single" w:color="000000" w:sz="4" w:space="0"/>
                    <w:right w:val="single" w:color="000000" w:sz="4" w:space="0"/>
                  </w:tcBorders>
                  <w:noWrap w:val="0"/>
                  <w:vAlign w:val="center"/>
                </w:tcPr>
                <w:p w14:paraId="54F00E1F">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夜间</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0344613D">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昼间</w:t>
                  </w:r>
                </w:p>
              </w:tc>
              <w:tc>
                <w:tcPr>
                  <w:tcW w:w="493" w:type="pct"/>
                  <w:tcBorders>
                    <w:top w:val="single" w:color="000000" w:sz="4" w:space="0"/>
                    <w:left w:val="single" w:color="000000" w:sz="4" w:space="0"/>
                    <w:bottom w:val="single" w:color="000000" w:sz="4" w:space="0"/>
                    <w:right w:val="nil"/>
                  </w:tcBorders>
                  <w:noWrap w:val="0"/>
                  <w:vAlign w:val="center"/>
                </w:tcPr>
                <w:p w14:paraId="7031EF6E">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夜间</w:t>
                  </w:r>
                </w:p>
              </w:tc>
            </w:tr>
            <w:tr w14:paraId="011475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29" w:hRule="exact"/>
                <w:jc w:val="center"/>
              </w:trPr>
              <w:tc>
                <w:tcPr>
                  <w:tcW w:w="1289" w:type="pct"/>
                  <w:vMerge w:val="restart"/>
                  <w:tcBorders>
                    <w:top w:val="single" w:color="000000" w:sz="4" w:space="0"/>
                    <w:bottom w:val="single" w:color="000000" w:sz="4" w:space="0"/>
                    <w:right w:val="single" w:color="000000" w:sz="4" w:space="0"/>
                  </w:tcBorders>
                  <w:noWrap w:val="0"/>
                  <w:vAlign w:val="center"/>
                </w:tcPr>
                <w:p w14:paraId="699CF03C">
                  <w:pPr>
                    <w:pStyle w:val="80"/>
                    <w:rPr>
                      <w:rFonts w:hint="default" w:ascii="Times New Roman" w:hAnsi="Times New Roman" w:cs="Times New Roman"/>
                      <w:color w:val="auto"/>
                      <w:highlight w:val="none"/>
                    </w:rPr>
                  </w:pPr>
                  <w:r>
                    <w:rPr>
                      <w:rFonts w:hint="default" w:ascii="Times New Roman" w:hAnsi="Times New Roman" w:cs="Times New Roman"/>
                      <w:color w:val="auto"/>
                      <w:kern w:val="0"/>
                      <w:highlight w:val="none"/>
                      <w:lang w:val="zh-CN" w:eastAsia="zh-CN"/>
                    </w:rPr>
                    <w:t>国道集贤至当壁公路宝清界至兴凯镇段</w:t>
                  </w: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49D3BA54">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小型车</w:t>
                  </w:r>
                </w:p>
              </w:tc>
              <w:tc>
                <w:tcPr>
                  <w:tcW w:w="505" w:type="pct"/>
                  <w:tcBorders>
                    <w:top w:val="single" w:color="000000" w:sz="4" w:space="0"/>
                    <w:left w:val="single" w:color="000000" w:sz="4" w:space="0"/>
                    <w:bottom w:val="single" w:color="000000" w:sz="4" w:space="0"/>
                    <w:right w:val="single" w:color="000000" w:sz="4" w:space="0"/>
                  </w:tcBorders>
                  <w:noWrap w:val="0"/>
                  <w:vAlign w:val="center"/>
                </w:tcPr>
                <w:p w14:paraId="6B6F46C5">
                  <w:pPr>
                    <w:pStyle w:val="80"/>
                    <w:rPr>
                      <w:rFonts w:hint="default" w:ascii="Times New Roman" w:hAnsi="Times New Roman" w:eastAsia="宋体" w:cs="Times New Roman"/>
                      <w:color w:val="auto"/>
                      <w:kern w:val="0"/>
                      <w:highlight w:val="none"/>
                      <w:lang w:val="en-US" w:eastAsia="zh-CN"/>
                    </w:rPr>
                  </w:pPr>
                  <w:r>
                    <w:rPr>
                      <w:rFonts w:hint="default" w:ascii="Times New Roman" w:hAnsi="Times New Roman" w:cs="Times New Roman"/>
                      <w:color w:val="auto"/>
                      <w:kern w:val="0"/>
                      <w:highlight w:val="none"/>
                      <w:lang w:val="en-US" w:eastAsia="zh-CN"/>
                    </w:rPr>
                    <w:t>94</w:t>
                  </w:r>
                </w:p>
              </w:tc>
              <w:tc>
                <w:tcPr>
                  <w:tcW w:w="508" w:type="pct"/>
                  <w:tcBorders>
                    <w:top w:val="single" w:color="000000" w:sz="4" w:space="0"/>
                    <w:left w:val="nil"/>
                    <w:bottom w:val="single" w:color="000000" w:sz="4" w:space="0"/>
                    <w:right w:val="single" w:color="000000" w:sz="4" w:space="0"/>
                  </w:tcBorders>
                  <w:noWrap w:val="0"/>
                  <w:vAlign w:val="center"/>
                </w:tcPr>
                <w:p w14:paraId="41ADE4CB">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21</w:t>
                  </w:r>
                </w:p>
              </w:tc>
              <w:tc>
                <w:tcPr>
                  <w:tcW w:w="507" w:type="pct"/>
                  <w:tcBorders>
                    <w:top w:val="single" w:color="000000" w:sz="4" w:space="0"/>
                    <w:left w:val="nil"/>
                    <w:bottom w:val="single" w:color="000000" w:sz="4" w:space="0"/>
                    <w:right w:val="single" w:color="000000" w:sz="4" w:space="0"/>
                  </w:tcBorders>
                  <w:noWrap w:val="0"/>
                  <w:vAlign w:val="center"/>
                </w:tcPr>
                <w:p w14:paraId="65B8F482">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141</w:t>
                  </w:r>
                </w:p>
              </w:tc>
              <w:tc>
                <w:tcPr>
                  <w:tcW w:w="509" w:type="pct"/>
                  <w:tcBorders>
                    <w:top w:val="single" w:color="000000" w:sz="4" w:space="0"/>
                    <w:left w:val="nil"/>
                    <w:bottom w:val="single" w:color="000000" w:sz="4" w:space="0"/>
                    <w:right w:val="single" w:color="000000" w:sz="4" w:space="0"/>
                  </w:tcBorders>
                  <w:noWrap w:val="0"/>
                  <w:vAlign w:val="center"/>
                </w:tcPr>
                <w:p w14:paraId="02C99F9B">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31</w:t>
                  </w:r>
                </w:p>
              </w:tc>
              <w:tc>
                <w:tcPr>
                  <w:tcW w:w="507" w:type="pct"/>
                  <w:tcBorders>
                    <w:top w:val="single" w:color="000000" w:sz="4" w:space="0"/>
                    <w:left w:val="nil"/>
                    <w:bottom w:val="single" w:color="000000" w:sz="4" w:space="0"/>
                    <w:right w:val="single" w:color="000000" w:sz="4" w:space="0"/>
                  </w:tcBorders>
                  <w:noWrap w:val="0"/>
                  <w:vAlign w:val="center"/>
                </w:tcPr>
                <w:p w14:paraId="37E1317B">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198</w:t>
                  </w:r>
                </w:p>
              </w:tc>
              <w:tc>
                <w:tcPr>
                  <w:tcW w:w="493" w:type="pct"/>
                  <w:tcBorders>
                    <w:top w:val="single" w:color="000000" w:sz="4" w:space="0"/>
                    <w:left w:val="nil"/>
                    <w:bottom w:val="single" w:color="000000" w:sz="4" w:space="0"/>
                    <w:right w:val="nil"/>
                  </w:tcBorders>
                  <w:noWrap w:val="0"/>
                  <w:vAlign w:val="center"/>
                </w:tcPr>
                <w:p w14:paraId="7CB61A03">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44</w:t>
                  </w:r>
                </w:p>
              </w:tc>
            </w:tr>
            <w:tr w14:paraId="0C2A18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29" w:hRule="exact"/>
                <w:jc w:val="center"/>
              </w:trPr>
              <w:tc>
                <w:tcPr>
                  <w:tcW w:w="1289" w:type="pct"/>
                  <w:vMerge w:val="continue"/>
                  <w:tcBorders>
                    <w:top w:val="single" w:color="000000" w:sz="4" w:space="0"/>
                    <w:bottom w:val="single" w:color="000000" w:sz="4" w:space="0"/>
                    <w:right w:val="single" w:color="000000" w:sz="4" w:space="0"/>
                  </w:tcBorders>
                  <w:noWrap w:val="0"/>
                  <w:vAlign w:val="center"/>
                </w:tcPr>
                <w:p w14:paraId="6DC0E47B">
                  <w:pPr>
                    <w:pStyle w:val="80"/>
                    <w:rPr>
                      <w:rFonts w:hint="default" w:ascii="Times New Roman" w:hAnsi="Times New Roman" w:cs="Times New Roman"/>
                      <w:color w:val="auto"/>
                      <w:kern w:val="0"/>
                      <w:highlight w:val="none"/>
                    </w:rPr>
                  </w:pP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5C6AC8B0">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中型车</w:t>
                  </w:r>
                </w:p>
              </w:tc>
              <w:tc>
                <w:tcPr>
                  <w:tcW w:w="505" w:type="pct"/>
                  <w:tcBorders>
                    <w:top w:val="single" w:color="000000" w:sz="4" w:space="0"/>
                    <w:left w:val="single" w:color="000000" w:sz="4" w:space="0"/>
                    <w:bottom w:val="single" w:color="000000" w:sz="4" w:space="0"/>
                    <w:right w:val="single" w:color="000000" w:sz="4" w:space="0"/>
                  </w:tcBorders>
                  <w:noWrap w:val="0"/>
                  <w:vAlign w:val="center"/>
                </w:tcPr>
                <w:p w14:paraId="14A1D0E0">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5</w:t>
                  </w:r>
                </w:p>
              </w:tc>
              <w:tc>
                <w:tcPr>
                  <w:tcW w:w="508" w:type="pct"/>
                  <w:tcBorders>
                    <w:top w:val="single" w:color="000000" w:sz="4" w:space="0"/>
                    <w:left w:val="nil"/>
                    <w:bottom w:val="single" w:color="000000" w:sz="4" w:space="0"/>
                    <w:right w:val="single" w:color="000000" w:sz="4" w:space="0"/>
                  </w:tcBorders>
                  <w:noWrap w:val="0"/>
                  <w:vAlign w:val="center"/>
                </w:tcPr>
                <w:p w14:paraId="01BA77AD">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w:t>
                  </w:r>
                </w:p>
              </w:tc>
              <w:tc>
                <w:tcPr>
                  <w:tcW w:w="507" w:type="pct"/>
                  <w:tcBorders>
                    <w:top w:val="single" w:color="000000" w:sz="4" w:space="0"/>
                    <w:left w:val="nil"/>
                    <w:bottom w:val="single" w:color="000000" w:sz="4" w:space="0"/>
                    <w:right w:val="single" w:color="000000" w:sz="4" w:space="0"/>
                  </w:tcBorders>
                  <w:noWrap w:val="0"/>
                  <w:vAlign w:val="center"/>
                </w:tcPr>
                <w:p w14:paraId="0AF40EB1">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7</w:t>
                  </w:r>
                </w:p>
              </w:tc>
              <w:tc>
                <w:tcPr>
                  <w:tcW w:w="509" w:type="pct"/>
                  <w:tcBorders>
                    <w:top w:val="single" w:color="000000" w:sz="4" w:space="0"/>
                    <w:left w:val="nil"/>
                    <w:bottom w:val="single" w:color="000000" w:sz="4" w:space="0"/>
                    <w:right w:val="single" w:color="000000" w:sz="4" w:space="0"/>
                  </w:tcBorders>
                  <w:noWrap w:val="0"/>
                  <w:vAlign w:val="center"/>
                </w:tcPr>
                <w:p w14:paraId="2C086DD1">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w:t>
                  </w:r>
                </w:p>
              </w:tc>
              <w:tc>
                <w:tcPr>
                  <w:tcW w:w="507" w:type="pct"/>
                  <w:tcBorders>
                    <w:top w:val="single" w:color="000000" w:sz="4" w:space="0"/>
                    <w:left w:val="nil"/>
                    <w:bottom w:val="single" w:color="000000" w:sz="4" w:space="0"/>
                    <w:right w:val="single" w:color="000000" w:sz="4" w:space="0"/>
                  </w:tcBorders>
                  <w:noWrap w:val="0"/>
                  <w:vAlign w:val="center"/>
                </w:tcPr>
                <w:p w14:paraId="5853CB29">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10</w:t>
                  </w:r>
                </w:p>
              </w:tc>
              <w:tc>
                <w:tcPr>
                  <w:tcW w:w="493" w:type="pct"/>
                  <w:tcBorders>
                    <w:top w:val="single" w:color="000000" w:sz="4" w:space="0"/>
                    <w:left w:val="nil"/>
                    <w:bottom w:val="single" w:color="000000" w:sz="4" w:space="0"/>
                    <w:right w:val="nil"/>
                  </w:tcBorders>
                  <w:noWrap w:val="0"/>
                  <w:vAlign w:val="center"/>
                </w:tcPr>
                <w:p w14:paraId="5C5347BF">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w:t>
                  </w:r>
                </w:p>
              </w:tc>
            </w:tr>
            <w:tr w14:paraId="5F1E9A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40" w:hRule="exact"/>
                <w:jc w:val="center"/>
              </w:trPr>
              <w:tc>
                <w:tcPr>
                  <w:tcW w:w="1289" w:type="pct"/>
                  <w:vMerge w:val="continue"/>
                  <w:tcBorders>
                    <w:top w:val="single" w:color="000000" w:sz="4" w:space="0"/>
                    <w:bottom w:val="single" w:color="000000" w:sz="4" w:space="0"/>
                    <w:right w:val="single" w:color="000000" w:sz="4" w:space="0"/>
                  </w:tcBorders>
                  <w:noWrap w:val="0"/>
                  <w:vAlign w:val="center"/>
                </w:tcPr>
                <w:p w14:paraId="006B0A5B">
                  <w:pPr>
                    <w:pStyle w:val="80"/>
                    <w:rPr>
                      <w:rFonts w:hint="default" w:ascii="Times New Roman" w:hAnsi="Times New Roman" w:cs="Times New Roman"/>
                      <w:color w:val="auto"/>
                      <w:kern w:val="0"/>
                      <w:highlight w:val="none"/>
                    </w:rPr>
                  </w:pP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04C18402">
                  <w:pPr>
                    <w:pStyle w:val="80"/>
                    <w:rPr>
                      <w:rFonts w:hint="default" w:ascii="Times New Roman" w:hAnsi="Times New Roman" w:cs="Times New Roman"/>
                      <w:color w:val="auto"/>
                      <w:highlight w:val="none"/>
                    </w:rPr>
                  </w:pPr>
                  <w:r>
                    <w:rPr>
                      <w:rFonts w:hint="default" w:ascii="Times New Roman" w:hAnsi="Times New Roman" w:cs="Times New Roman"/>
                      <w:color w:val="auto"/>
                      <w:highlight w:val="none"/>
                    </w:rPr>
                    <w:t>大型车</w:t>
                  </w:r>
                </w:p>
              </w:tc>
              <w:tc>
                <w:tcPr>
                  <w:tcW w:w="505" w:type="pct"/>
                  <w:tcBorders>
                    <w:top w:val="single" w:color="000000" w:sz="4" w:space="0"/>
                    <w:left w:val="single" w:color="000000" w:sz="4" w:space="0"/>
                    <w:bottom w:val="single" w:color="000000" w:sz="4" w:space="0"/>
                    <w:right w:val="single" w:color="000000" w:sz="4" w:space="0"/>
                  </w:tcBorders>
                  <w:noWrap w:val="0"/>
                  <w:vAlign w:val="center"/>
                </w:tcPr>
                <w:p w14:paraId="47807C0C">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14</w:t>
                  </w:r>
                </w:p>
              </w:tc>
              <w:tc>
                <w:tcPr>
                  <w:tcW w:w="508" w:type="pct"/>
                  <w:tcBorders>
                    <w:top w:val="single" w:color="000000" w:sz="4" w:space="0"/>
                    <w:left w:val="nil"/>
                    <w:bottom w:val="single" w:color="000000" w:sz="4" w:space="0"/>
                    <w:right w:val="single" w:color="000000" w:sz="4" w:space="0"/>
                  </w:tcBorders>
                  <w:noWrap w:val="0"/>
                  <w:vAlign w:val="center"/>
                </w:tcPr>
                <w:p w14:paraId="3F0C5FBF">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3</w:t>
                  </w:r>
                </w:p>
              </w:tc>
              <w:tc>
                <w:tcPr>
                  <w:tcW w:w="507" w:type="pct"/>
                  <w:tcBorders>
                    <w:top w:val="single" w:color="000000" w:sz="4" w:space="0"/>
                    <w:left w:val="nil"/>
                    <w:bottom w:val="single" w:color="000000" w:sz="4" w:space="0"/>
                    <w:right w:val="single" w:color="000000" w:sz="4" w:space="0"/>
                  </w:tcBorders>
                  <w:noWrap w:val="0"/>
                  <w:vAlign w:val="center"/>
                </w:tcPr>
                <w:p w14:paraId="233582D2">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21</w:t>
                  </w:r>
                </w:p>
              </w:tc>
              <w:tc>
                <w:tcPr>
                  <w:tcW w:w="509" w:type="pct"/>
                  <w:tcBorders>
                    <w:top w:val="single" w:color="000000" w:sz="4" w:space="0"/>
                    <w:left w:val="nil"/>
                    <w:bottom w:val="single" w:color="000000" w:sz="4" w:space="0"/>
                    <w:right w:val="single" w:color="000000" w:sz="4" w:space="0"/>
                  </w:tcBorders>
                  <w:noWrap w:val="0"/>
                  <w:vAlign w:val="center"/>
                </w:tcPr>
                <w:p w14:paraId="3B25FBA2">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5</w:t>
                  </w:r>
                </w:p>
              </w:tc>
              <w:tc>
                <w:tcPr>
                  <w:tcW w:w="507" w:type="pct"/>
                  <w:tcBorders>
                    <w:top w:val="single" w:color="000000" w:sz="4" w:space="0"/>
                    <w:left w:val="nil"/>
                    <w:bottom w:val="single" w:color="000000" w:sz="4" w:space="0"/>
                    <w:right w:val="single" w:color="000000" w:sz="4" w:space="0"/>
                  </w:tcBorders>
                  <w:noWrap w:val="0"/>
                  <w:vAlign w:val="center"/>
                </w:tcPr>
                <w:p w14:paraId="3E0CD0A5">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29</w:t>
                  </w:r>
                </w:p>
              </w:tc>
              <w:tc>
                <w:tcPr>
                  <w:tcW w:w="493" w:type="pct"/>
                  <w:tcBorders>
                    <w:top w:val="single" w:color="000000" w:sz="4" w:space="0"/>
                    <w:left w:val="nil"/>
                    <w:bottom w:val="single" w:color="000000" w:sz="4" w:space="0"/>
                    <w:right w:val="nil"/>
                  </w:tcBorders>
                  <w:noWrap w:val="0"/>
                  <w:vAlign w:val="center"/>
                </w:tcPr>
                <w:p w14:paraId="06951B6A">
                  <w:pPr>
                    <w:pStyle w:val="8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7</w:t>
                  </w:r>
                </w:p>
              </w:tc>
            </w:tr>
          </w:tbl>
          <w:p w14:paraId="3A1B9DC0">
            <w:pPr>
              <w:pStyle w:val="76"/>
              <w:rPr>
                <w:rFonts w:hint="default" w:ascii="Times New Roman" w:hAnsi="Times New Roman" w:cs="Times New Roman"/>
                <w:color w:val="auto"/>
              </w:rPr>
            </w:pPr>
            <w:r>
              <w:rPr>
                <w:rFonts w:hint="default" w:ascii="Times New Roman" w:hAnsi="Times New Roman" w:cs="Times New Roman"/>
                <w:color w:val="auto"/>
                <w:szCs w:val="21"/>
              </w:rPr>
              <w:t>4、</w:t>
            </w:r>
            <w:r>
              <w:rPr>
                <w:rFonts w:hint="default" w:ascii="Times New Roman" w:hAnsi="Times New Roman" w:cs="Times New Roman"/>
                <w:color w:val="auto"/>
              </w:rPr>
              <w:t>路基工程</w:t>
            </w:r>
          </w:p>
          <w:p w14:paraId="0DEA78D1">
            <w:pPr>
              <w:pStyle w:val="76"/>
              <w:rPr>
                <w:rFonts w:hint="default" w:ascii="Times New Roman" w:hAnsi="Times New Roman" w:cs="Times New Roman"/>
                <w:color w:val="auto"/>
                <w:szCs w:val="20"/>
              </w:rPr>
            </w:pPr>
            <w:r>
              <w:rPr>
                <w:rFonts w:hint="default" w:ascii="Times New Roman" w:hAnsi="Times New Roman" w:cs="Times New Roman"/>
                <w:color w:val="auto"/>
                <w:szCs w:val="20"/>
              </w:rPr>
              <w:t>本项目采用《公路工程技术标准》(JTG B01-2014)的规定：采用设计速度60km/h的二级公路横断面，具体路基标准横断面布设如下。</w:t>
            </w:r>
          </w:p>
          <w:p w14:paraId="42A0CD33">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（1）路基横断面</w:t>
            </w:r>
          </w:p>
          <w:p w14:paraId="7CA198B0">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snapToGrid w:val="0"/>
                <w:color w:val="auto"/>
                <w:highlight w:val="none"/>
              </w:rPr>
              <w:t>本项目</w:t>
            </w:r>
            <w:r>
              <w:rPr>
                <w:rFonts w:hint="default" w:ascii="Times New Roman" w:hAnsi="Times New Roman" w:cs="Times New Roman"/>
                <w:snapToGrid w:val="0"/>
                <w:color w:val="auto"/>
                <w:kern w:val="16"/>
                <w:sz w:val="24"/>
                <w:szCs w:val="24"/>
                <w:highlight w:val="none"/>
                <w:lang w:val="zh-CN"/>
              </w:rPr>
              <w:t>选用路基</w:t>
            </w:r>
            <w:r>
              <w:rPr>
                <w:rFonts w:hint="default" w:ascii="Times New Roman" w:hAnsi="Times New Roman" w:cs="Times New Roman"/>
                <w:snapToGrid w:val="0"/>
                <w:color w:val="auto"/>
                <w:kern w:val="16"/>
                <w:sz w:val="24"/>
                <w:szCs w:val="24"/>
                <w:highlight w:val="none"/>
              </w:rPr>
              <w:t>宽</w:t>
            </w:r>
            <w:r>
              <w:rPr>
                <w:rFonts w:hint="default" w:ascii="Times New Roman" w:hAnsi="Times New Roman" w:cs="Times New Roman"/>
                <w:snapToGrid w:val="0"/>
                <w:color w:val="auto"/>
                <w:kern w:val="16"/>
                <w:sz w:val="24"/>
                <w:szCs w:val="24"/>
                <w:highlight w:val="none"/>
                <w:lang w:val="zh-CN"/>
              </w:rPr>
              <w:t>10.5米，路面宽8.5米的二级公路断面形式，具体布置为：行车道宽2×3.5米，硬路肩宽2×0.75米，土路肩宽2×1.0米。</w:t>
            </w:r>
            <w:r>
              <w:rPr>
                <w:rFonts w:hint="default" w:ascii="Times New Roman" w:hAnsi="Times New Roman" w:cs="Times New Roman"/>
                <w:snapToGrid w:val="0"/>
                <w:color w:val="auto"/>
                <w:spacing w:val="-4"/>
                <w:kern w:val="16"/>
                <w:sz w:val="24"/>
                <w:szCs w:val="24"/>
                <w:highlight w:val="none"/>
                <w:lang w:val="zh-CN"/>
              </w:rPr>
              <w:t>路拱横坡：不设超高路段的行车道和硬路肩采用向外</w:t>
            </w:r>
            <w:r>
              <w:rPr>
                <w:rFonts w:hint="default" w:ascii="Times New Roman" w:hAnsi="Times New Roman" w:cs="Times New Roman"/>
                <w:snapToGrid w:val="0"/>
                <w:color w:val="auto"/>
                <w:spacing w:val="-4"/>
                <w:kern w:val="16"/>
                <w:sz w:val="24"/>
                <w:szCs w:val="24"/>
                <w:highlight w:val="none"/>
              </w:rPr>
              <w:t>1.5</w:t>
            </w:r>
            <w:r>
              <w:rPr>
                <w:rFonts w:hint="default" w:ascii="Times New Roman" w:hAnsi="Times New Roman" w:cs="Times New Roman"/>
                <w:snapToGrid w:val="0"/>
                <w:color w:val="auto"/>
                <w:spacing w:val="-4"/>
                <w:kern w:val="16"/>
                <w:sz w:val="24"/>
                <w:szCs w:val="24"/>
                <w:highlight w:val="none"/>
                <w:lang w:val="zh-CN"/>
              </w:rPr>
              <w:t>%的横坡，土路肩采用向外3%的横坡。</w:t>
            </w:r>
            <w:r>
              <w:rPr>
                <w:rFonts w:hint="eastAsia" w:cs="Times New Roman"/>
                <w:color w:val="auto"/>
                <w:kern w:val="0"/>
                <w:sz w:val="24"/>
                <w:szCs w:val="24"/>
                <w:lang w:val="en-US" w:eastAsia="zh-CN" w:bidi="ar-SA"/>
              </w:rPr>
              <w:t>边坡和水沟宽度为2.5m。道路边界线宽度为15.5m。</w:t>
            </w:r>
          </w:p>
          <w:p w14:paraId="7E8BA443">
            <w:pPr>
              <w:pStyle w:val="8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drawing>
                <wp:inline distT="0" distB="0" distL="114300" distR="114300">
                  <wp:extent cx="4874895" cy="2393950"/>
                  <wp:effectExtent l="0" t="0" r="0" b="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2"/>
                          <a:srcRect l="2341"/>
                          <a:stretch>
                            <a:fillRect/>
                          </a:stretch>
                        </pic:blipFill>
                        <pic:spPr>
                          <a:xfrm>
                            <a:off x="0" y="0"/>
                            <a:ext cx="4874895" cy="2393950"/>
                          </a:xfrm>
                          <a:prstGeom prst="rect">
                            <a:avLst/>
                          </a:prstGeom>
                        </pic:spPr>
                      </pic:pic>
                    </a:graphicData>
                  </a:graphic>
                </wp:inline>
              </w:drawing>
            </w:r>
          </w:p>
          <w:p w14:paraId="1CE0AB9B">
            <w:pPr>
              <w:pStyle w:val="72"/>
              <w:spacing w:line="240" w:lineRule="auto"/>
              <w:rPr>
                <w:rFonts w:hint="default" w:ascii="Times New Roman" w:hAnsi="Times New Roman" w:eastAsia="宋体" w:cs="Times New Roman"/>
                <w:b/>
                <w:bCs/>
                <w:snapToGrid w:val="0"/>
                <w:color w:val="auto"/>
                <w:kern w:val="16"/>
                <w:sz w:val="24"/>
                <w:szCs w:val="24"/>
                <w:highlight w:val="none"/>
                <w:lang w:val="zh-CN" w:eastAsia="zh-CN" w:bidi="ar-SA"/>
              </w:rPr>
            </w:pPr>
            <w:r>
              <w:rPr>
                <w:rFonts w:hint="default" w:ascii="Times New Roman" w:hAnsi="Times New Roman" w:eastAsia="宋体" w:cs="Times New Roman"/>
                <w:b/>
                <w:bCs/>
                <w:snapToGrid w:val="0"/>
                <w:color w:val="auto"/>
                <w:kern w:val="16"/>
                <w:sz w:val="24"/>
                <w:szCs w:val="24"/>
                <w:highlight w:val="none"/>
                <w:lang w:val="zh-CN" w:eastAsia="zh-CN" w:bidi="ar-SA"/>
              </w:rPr>
              <w:t xml:space="preserve">图2-1 </w:t>
            </w:r>
            <w:r>
              <w:rPr>
                <w:rFonts w:hint="default" w:ascii="Times New Roman" w:hAnsi="Times New Roman" w:eastAsia="宋体" w:cs="Times New Roman"/>
                <w:b/>
                <w:bCs/>
                <w:snapToGrid w:val="0"/>
                <w:color w:val="auto"/>
                <w:kern w:val="16"/>
                <w:sz w:val="24"/>
                <w:szCs w:val="24"/>
                <w:highlight w:val="none"/>
                <w:lang w:val="en-US" w:eastAsia="zh-CN" w:bidi="ar-SA"/>
              </w:rPr>
              <w:t xml:space="preserve"> </w:t>
            </w:r>
            <w:r>
              <w:rPr>
                <w:rFonts w:hint="default" w:ascii="Times New Roman" w:hAnsi="Times New Roman" w:eastAsia="宋体" w:cs="Times New Roman"/>
                <w:b/>
                <w:bCs/>
                <w:snapToGrid w:val="0"/>
                <w:color w:val="auto"/>
                <w:kern w:val="16"/>
                <w:sz w:val="24"/>
                <w:szCs w:val="24"/>
                <w:highlight w:val="none"/>
                <w:lang w:val="zh-CN" w:eastAsia="zh-CN" w:bidi="ar-SA"/>
              </w:rPr>
              <w:t>路基横断面图</w:t>
            </w:r>
          </w:p>
          <w:p w14:paraId="36D34932">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cs="Times New Roman"/>
                <w:color w:val="auto"/>
              </w:rPr>
              <w:t>（2）旧路利用方案</w:t>
            </w:r>
          </w:p>
          <w:p w14:paraId="52751EE7">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通过对路基、路面技术状况评价，路面状况指数为中，路基均状况良好，适于加铺沥青层使旧路恢复其使用功能，根据现场调查和检测资料揭示：</w:t>
            </w:r>
          </w:p>
          <w:p w14:paraId="1E6C2A3C">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路面每公里代表弯沉值平均为</w:t>
            </w:r>
            <w:r>
              <w:rPr>
                <w:rFonts w:hint="default" w:ascii="Times New Roman" w:hAnsi="Times New Roman" w:cs="Times New Roman"/>
                <w:color w:val="auto"/>
                <w:kern w:val="0"/>
                <w:sz w:val="24"/>
                <w:szCs w:val="24"/>
                <w:lang w:val="en-US" w:eastAsia="zh-CN" w:bidi="ar-SA"/>
              </w:rPr>
              <w:t>18.83</w:t>
            </w:r>
            <w:r>
              <w:rPr>
                <w:rFonts w:hint="default" w:ascii="Times New Roman" w:hAnsi="Times New Roman" w:eastAsia="宋体" w:cs="Times New Roman"/>
                <w:color w:val="auto"/>
                <w:kern w:val="0"/>
                <w:sz w:val="24"/>
                <w:szCs w:val="24"/>
                <w:lang w:val="en-US" w:eastAsia="zh-CN" w:bidi="ar-SA"/>
              </w:rPr>
              <w:t>（0.01mm），路面结构强度高；板底脱空长度不大，脱空值均小于1mm，无明显脱空；接缝传荷能力保持在中等以上，错台量均为优良，路面行驶指数多为中级以上；虽然个别路段路面DBL断板率值偏高，但整体断板率仍处于中级以上水平，路面破损指数PCI维持在中等级别，旧路面层抗弯拉强度未见衰减，基层整体性较好，芯样均能取出。</w:t>
            </w:r>
          </w:p>
          <w:p w14:paraId="5D6BAC74">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故总体设计方案考虑采用对旧路面板共振碎石化后加铺沥青层处理。</w:t>
            </w:r>
          </w:p>
          <w:p w14:paraId="24E1C561">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3</w:t>
            </w:r>
            <w:r>
              <w:rPr>
                <w:rFonts w:hint="default" w:ascii="Times New Roman" w:hAnsi="Times New Roman" w:cs="Times New Roman"/>
                <w:color w:val="auto"/>
              </w:rPr>
              <w:t>）路基边坡坡率</w:t>
            </w:r>
          </w:p>
          <w:p w14:paraId="72CBAA46">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本项目均为填方路段，原有路基填料主要为碎石土、风化砂填方路基高度一般小于6m</w:t>
            </w:r>
            <w:r>
              <w:rPr>
                <w:rFonts w:hint="default" w:ascii="Times New Roman" w:hAnsi="Times New Roman" w:cs="Times New Roman"/>
                <w:color w:val="auto"/>
                <w:kern w:val="0"/>
                <w:sz w:val="24"/>
                <w:szCs w:val="24"/>
                <w:lang w:val="en-US" w:eastAsia="zh-CN" w:bidi="ar-SA"/>
              </w:rPr>
              <w:t>，平均填高为0.3m至3.5m，</w:t>
            </w:r>
            <w:r>
              <w:rPr>
                <w:rFonts w:hint="default" w:ascii="Times New Roman" w:hAnsi="Times New Roman" w:eastAsia="宋体" w:cs="Times New Roman"/>
                <w:color w:val="auto"/>
                <w:kern w:val="0"/>
                <w:sz w:val="24"/>
                <w:szCs w:val="24"/>
                <w:lang w:val="en-US" w:eastAsia="zh-CN" w:bidi="ar-SA"/>
              </w:rPr>
              <w:t>边坡采用直线式，坡率采用1:1.5。本次改造设计维持原有设计不变。路面加高后需进行路肩培土，培土坡率采用1:1与既有边坡相接。</w:t>
            </w:r>
          </w:p>
          <w:p w14:paraId="4D26B8B2">
            <w:pPr>
              <w:pStyle w:val="76"/>
              <w:keepNext w:val="0"/>
              <w:keepLines w:val="0"/>
              <w:pageBreakBefore w:val="0"/>
              <w:widowControl w:val="0"/>
              <w:kinsoku/>
              <w:wordWrap/>
              <w:overflowPunct/>
              <w:topLinePunct w:val="0"/>
              <w:autoSpaceDE/>
              <w:autoSpaceDN/>
              <w:bidi w:val="0"/>
              <w:snapToGrid/>
              <w:spacing w:line="46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w:t>
            </w:r>
            <w:r>
              <w:rPr>
                <w:rFonts w:hint="default" w:ascii="Times New Roman" w:hAnsi="Times New Roman" w:cs="Times New Roman"/>
                <w:color w:val="auto"/>
                <w:kern w:val="0"/>
                <w:sz w:val="24"/>
                <w:szCs w:val="24"/>
                <w:lang w:val="en-US" w:eastAsia="zh-CN" w:bidi="ar-SA"/>
              </w:rPr>
              <w:t>4</w:t>
            </w:r>
            <w:r>
              <w:rPr>
                <w:rFonts w:hint="default" w:ascii="Times New Roman" w:hAnsi="Times New Roman" w:eastAsia="宋体" w:cs="Times New Roman"/>
                <w:color w:val="auto"/>
                <w:kern w:val="0"/>
                <w:sz w:val="24"/>
                <w:szCs w:val="24"/>
                <w:lang w:val="en-US" w:eastAsia="zh-CN" w:bidi="ar-SA"/>
              </w:rPr>
              <w:t>）桥涵路基</w:t>
            </w:r>
          </w:p>
          <w:p w14:paraId="147DE6F5">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桥涵台背填料，应选用内摩擦角值较大的透水性材料（砂砾）填筑。旧路存在既有涵洞拆除新建情况，需拆除旧涵两侧路面结构，挖除路基土方，按新建涵洞两侧底宽3m，纵向1:2 预留台阶控制开挖边界，待涵洞施工完成后回填砂砾。</w:t>
            </w:r>
          </w:p>
          <w:p w14:paraId="72EF602E">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5</w:t>
            </w:r>
            <w:r>
              <w:rPr>
                <w:rFonts w:hint="default" w:ascii="Times New Roman" w:hAnsi="Times New Roman" w:cs="Times New Roman"/>
                <w:color w:val="auto"/>
              </w:rPr>
              <w:t>）路基压实标准</w:t>
            </w:r>
          </w:p>
          <w:p w14:paraId="2C25E97A">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本项目路基填料按《公路路基设计规范》（JTGD30-2015）中细粒土的填筑要求执行，分层填筑路基、采用重型机械碾压密实。一般路基填料的压实度标准为重型压实标准，采用重型机械分层碾压密实。路基基底、土路肩填土压实度≥90%；桥台锥坡、台后填土压实度≥96%。</w:t>
            </w:r>
          </w:p>
          <w:p w14:paraId="7BF6FF6A">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路堤填料不得使用淤泥、沼泽土、有机土、含草皮土、生活垃圾、树根和腐殖质土。液限大于50、塑性指数大于26的土，以及含水量超过规定的土，不得直接作为路基填料。</w:t>
            </w:r>
          </w:p>
          <w:p w14:paraId="5D093075">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w:t>
            </w:r>
            <w:r>
              <w:rPr>
                <w:rFonts w:hint="default" w:ascii="Times New Roman" w:hAnsi="Times New Roman" w:cs="Times New Roman"/>
                <w:color w:val="auto"/>
                <w:kern w:val="0"/>
                <w:sz w:val="24"/>
                <w:szCs w:val="24"/>
                <w:lang w:val="en-US" w:eastAsia="zh-CN" w:bidi="ar-SA"/>
              </w:rPr>
              <w:t>6</w:t>
            </w:r>
            <w:r>
              <w:rPr>
                <w:rFonts w:hint="default" w:ascii="Times New Roman" w:hAnsi="Times New Roman" w:eastAsia="宋体" w:cs="Times New Roman"/>
                <w:color w:val="auto"/>
                <w:kern w:val="0"/>
                <w:sz w:val="24"/>
                <w:szCs w:val="24"/>
                <w:lang w:val="en-US" w:eastAsia="zh-CN" w:bidi="ar-SA"/>
              </w:rPr>
              <w:t>）路基排水设计</w:t>
            </w:r>
          </w:p>
          <w:p w14:paraId="63D4DA52">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旧路排水系统完善，可以满足排水需求。</w:t>
            </w:r>
          </w:p>
          <w:p w14:paraId="5B965C33">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乡镇过境段既有矩形边沟、盖板边沟存在勾缝掉落、片石松散、盖板破碎现象，本次排水设计对边沟进行翻砌。对一般路段局部土质边沟冲刷严重的路段进行圬工加固，并根据现场实际情况设置边沟尺寸。对超高调整段曲线内侧土路肩设置水泥混凝土路肩加固块。</w:t>
            </w:r>
          </w:p>
          <w:p w14:paraId="16A839E5">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w:t>
            </w:r>
            <w:r>
              <w:rPr>
                <w:rFonts w:hint="default" w:ascii="Times New Roman" w:hAnsi="Times New Roman" w:cs="Times New Roman"/>
                <w:color w:val="auto"/>
                <w:kern w:val="0"/>
                <w:sz w:val="24"/>
                <w:szCs w:val="24"/>
                <w:lang w:val="en-US" w:eastAsia="zh-CN" w:bidi="ar-SA"/>
              </w:rPr>
              <w:t>7</w:t>
            </w:r>
            <w:r>
              <w:rPr>
                <w:rFonts w:hint="default" w:ascii="Times New Roman" w:hAnsi="Times New Roman" w:eastAsia="宋体" w:cs="Times New Roman"/>
                <w:color w:val="auto"/>
                <w:kern w:val="0"/>
                <w:sz w:val="24"/>
                <w:szCs w:val="24"/>
                <w:lang w:val="en-US" w:eastAsia="zh-CN" w:bidi="ar-SA"/>
              </w:rPr>
              <w:t>）路基防护</w:t>
            </w:r>
          </w:p>
          <w:p w14:paraId="39B26898">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本项目地处平原区，周围阡陌交通，环境优美。路基防护设计贯彻“稳定、美观、生态协调”的原则。旧路边坡防护以植草为主，边坡防护效果较好，无需进行设计。超高调整段曲线内侧路基平均填高1~2m，填高较低，既有植草防护效果较好，不进行设计。拆除新建涵洞均位于原有沟渠处，两侧路基为零填路基，无需设置防护设施。</w:t>
            </w:r>
          </w:p>
          <w:p w14:paraId="0C60315B">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5、路面工程</w:t>
            </w:r>
          </w:p>
          <w:p w14:paraId="0F9FA2C5">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根据旧路检测结论，旧路接缝传荷能力处于中级以上水平，断板率整体处于中级以上级水平，结合水泥混凝土路面设计规范相关规定，考虑沥青混凝土加铺方案。</w:t>
            </w:r>
          </w:p>
          <w:p w14:paraId="22147240">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（1）一般段：旧路水泥混凝土路面更换重度破碎板，共振碎石化处理，其上重新铺筑沥青混凝土路面结构，具体路面结构如下：</w:t>
            </w:r>
          </w:p>
          <w:p w14:paraId="402B7571">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5cmAC-16中粒式改性沥青混凝土</w:t>
            </w:r>
          </w:p>
          <w:p w14:paraId="60081F5F">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8cmATB-25粗粒式沥青碎石</w:t>
            </w:r>
          </w:p>
          <w:p w14:paraId="5A336143">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原有水泥混凝土病害处理后共振碎石化用于基层</w:t>
            </w:r>
          </w:p>
          <w:p w14:paraId="4803E9B6">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cs="Times New Roman"/>
                <w:snapToGrid w:val="0"/>
                <w:color w:val="auto"/>
                <w:kern w:val="0"/>
                <w:sz w:val="24"/>
              </w:rPr>
            </w:pPr>
            <w:r>
              <w:rPr>
                <w:rFonts w:hint="default" w:ascii="Times New Roman" w:hAnsi="Times New Roman" w:eastAsia="宋体" w:cs="Times New Roman"/>
                <w:color w:val="auto"/>
                <w:kern w:val="0"/>
                <w:sz w:val="24"/>
                <w:szCs w:val="24"/>
                <w:lang w:val="en-US" w:eastAsia="zh-CN" w:bidi="ar-SA"/>
              </w:rPr>
              <w:t>（2）</w:t>
            </w:r>
            <w:r>
              <w:rPr>
                <w:rFonts w:hint="default" w:ascii="Times New Roman" w:hAnsi="Times New Roman" w:cs="Times New Roman"/>
                <w:snapToGrid w:val="0"/>
                <w:color w:val="auto"/>
                <w:kern w:val="0"/>
                <w:sz w:val="24"/>
              </w:rPr>
              <w:t>村屯路段：</w:t>
            </w:r>
          </w:p>
          <w:p w14:paraId="3D146F56">
            <w:pPr>
              <w:pStyle w:val="94"/>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b w:val="0"/>
                <w:color w:val="auto"/>
                <w:sz w:val="24"/>
                <w:szCs w:val="21"/>
              </w:rPr>
            </w:pPr>
            <w:r>
              <w:rPr>
                <w:rFonts w:hint="default" w:ascii="Times New Roman" w:hAnsi="Times New Roman" w:eastAsia="宋体" w:cs="Times New Roman"/>
                <w:b w:val="0"/>
                <w:color w:val="auto"/>
                <w:sz w:val="24"/>
                <w:szCs w:val="21"/>
              </w:rPr>
              <w:t>两侧距离居民住房较近，共振碎石化处理对两侧住房有影响，过境段采用直接加铺方式。</w:t>
            </w:r>
          </w:p>
          <w:p w14:paraId="6EED4F7B">
            <w:pPr>
              <w:pStyle w:val="94"/>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b w:val="0"/>
                <w:color w:val="auto"/>
                <w:sz w:val="24"/>
                <w:szCs w:val="21"/>
              </w:rPr>
            </w:pPr>
            <w:r>
              <w:rPr>
                <w:rFonts w:hint="default" w:ascii="Times New Roman" w:hAnsi="Times New Roman" w:eastAsia="宋体" w:cs="Times New Roman"/>
                <w:b w:val="0"/>
                <w:color w:val="auto"/>
                <w:sz w:val="24"/>
                <w:szCs w:val="21"/>
              </w:rPr>
              <w:t>旧路水泥混凝土路面病害处理后拉毛，其上重新铺筑沥青混凝土路面结构，具体路面结构如下：</w:t>
            </w:r>
          </w:p>
          <w:p w14:paraId="367C57BD">
            <w:pPr>
              <w:pStyle w:val="94"/>
              <w:keepNext w:val="0"/>
              <w:keepLines w:val="0"/>
              <w:pageBreakBefore w:val="0"/>
              <w:widowControl w:val="0"/>
              <w:kinsoku/>
              <w:wordWrap/>
              <w:overflowPunct/>
              <w:topLinePunct w:val="0"/>
              <w:autoSpaceDE/>
              <w:autoSpaceDN/>
              <w:bidi w:val="0"/>
              <w:snapToGrid/>
              <w:spacing w:line="460" w:lineRule="exact"/>
              <w:ind w:firstLine="403"/>
              <w:textAlignment w:val="auto"/>
              <w:rPr>
                <w:rFonts w:hint="default" w:ascii="Times New Roman" w:hAnsi="Times New Roman" w:eastAsia="宋体" w:cs="Times New Roman"/>
                <w:b w:val="0"/>
                <w:color w:val="auto"/>
                <w:sz w:val="24"/>
                <w:szCs w:val="21"/>
              </w:rPr>
            </w:pPr>
            <w:r>
              <w:rPr>
                <w:rFonts w:hint="default" w:ascii="Times New Roman" w:hAnsi="Times New Roman" w:eastAsia="宋体" w:cs="Times New Roman"/>
                <w:b w:val="0"/>
                <w:color w:val="auto"/>
                <w:sz w:val="24"/>
                <w:szCs w:val="21"/>
              </w:rPr>
              <w:t>5cmAC-16中粒式改性沥青混凝土</w:t>
            </w:r>
          </w:p>
          <w:p w14:paraId="709E9656">
            <w:pPr>
              <w:pStyle w:val="94"/>
              <w:keepNext w:val="0"/>
              <w:keepLines w:val="0"/>
              <w:pageBreakBefore w:val="0"/>
              <w:widowControl w:val="0"/>
              <w:kinsoku/>
              <w:wordWrap/>
              <w:overflowPunct/>
              <w:topLinePunct w:val="0"/>
              <w:autoSpaceDE/>
              <w:autoSpaceDN/>
              <w:bidi w:val="0"/>
              <w:snapToGrid/>
              <w:spacing w:line="460" w:lineRule="exact"/>
              <w:ind w:firstLine="403"/>
              <w:textAlignment w:val="auto"/>
              <w:rPr>
                <w:rFonts w:hint="default" w:ascii="Times New Roman" w:hAnsi="Times New Roman" w:eastAsia="宋体" w:cs="Times New Roman"/>
                <w:b w:val="0"/>
                <w:color w:val="auto"/>
                <w:sz w:val="24"/>
                <w:szCs w:val="21"/>
              </w:rPr>
            </w:pPr>
            <w:r>
              <w:rPr>
                <w:rFonts w:hint="default" w:ascii="Times New Roman" w:hAnsi="Times New Roman" w:eastAsia="宋体" w:cs="Times New Roman"/>
                <w:b w:val="0"/>
                <w:color w:val="auto"/>
                <w:sz w:val="24"/>
                <w:szCs w:val="21"/>
              </w:rPr>
              <w:t>6cmAC-20中粒式沥青混凝土</w:t>
            </w:r>
          </w:p>
          <w:p w14:paraId="7058BB06">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b w:val="0"/>
                <w:color w:val="auto"/>
                <w:sz w:val="24"/>
                <w:szCs w:val="21"/>
              </w:rPr>
              <w:t>原有水泥混凝土病害处理后拉毛用于基层。</w:t>
            </w:r>
          </w:p>
          <w:p w14:paraId="60FE5645">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cs="Times New Roman"/>
                <w:snapToGrid w:val="0"/>
                <w:color w:val="auto"/>
                <w:kern w:val="0"/>
                <w:sz w:val="24"/>
              </w:rPr>
            </w:pPr>
            <w:r>
              <w:rPr>
                <w:rFonts w:hint="default" w:ascii="Times New Roman" w:hAnsi="Times New Roman" w:eastAsia="宋体" w:cs="Times New Roman"/>
                <w:color w:val="auto"/>
                <w:kern w:val="0"/>
                <w:sz w:val="24"/>
                <w:szCs w:val="24"/>
                <w:lang w:val="en-US" w:eastAsia="zh-CN" w:bidi="ar-SA"/>
              </w:rPr>
              <w:t>（3）</w:t>
            </w:r>
            <w:r>
              <w:rPr>
                <w:rFonts w:hint="default" w:ascii="Times New Roman" w:hAnsi="Times New Roman" w:cs="Times New Roman"/>
                <w:snapToGrid w:val="0"/>
                <w:color w:val="auto"/>
                <w:kern w:val="0"/>
                <w:sz w:val="24"/>
              </w:rPr>
              <w:t>拆除新建（涵洞顶）路段：</w:t>
            </w:r>
          </w:p>
          <w:p w14:paraId="17D354B9">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5cmAC-16中粒式改性沥青混凝土</w:t>
            </w:r>
          </w:p>
          <w:p w14:paraId="629889B3">
            <w:pPr>
              <w:keepNext w:val="0"/>
              <w:keepLines w:val="0"/>
              <w:pageBreakBefore w:val="0"/>
              <w:widowControl w:val="0"/>
              <w:kinsoku/>
              <w:wordWrap/>
              <w:overflowPunct/>
              <w:topLinePunct w:val="0"/>
              <w:autoSpaceDE/>
              <w:autoSpaceDN/>
              <w:bidi w:val="0"/>
              <w:snapToGrid/>
              <w:spacing w:line="460" w:lineRule="exact"/>
              <w:ind w:firstLine="470" w:firstLineChars="196"/>
              <w:textAlignment w:val="auto"/>
              <w:rPr>
                <w:rFonts w:hint="default" w:ascii="Times New Roman" w:hAnsi="Times New Roman" w:cs="Times New Roman"/>
                <w:color w:val="auto"/>
                <w:sz w:val="24"/>
              </w:rPr>
            </w:pPr>
            <w:r>
              <w:rPr>
                <w:rFonts w:hint="default" w:ascii="Times New Roman" w:hAnsi="Times New Roman" w:cs="Times New Roman"/>
                <w:color w:val="auto"/>
                <w:sz w:val="24"/>
              </w:rPr>
              <w:t>8cmATB-25粗粒式沥青碎石</w:t>
            </w:r>
          </w:p>
          <w:p w14:paraId="3D6A72A4">
            <w:pPr>
              <w:keepNext w:val="0"/>
              <w:keepLines w:val="0"/>
              <w:pageBreakBefore w:val="0"/>
              <w:widowControl w:val="0"/>
              <w:kinsoku/>
              <w:wordWrap/>
              <w:overflowPunct/>
              <w:topLinePunct w:val="0"/>
              <w:autoSpaceDE/>
              <w:autoSpaceDN/>
              <w:bidi w:val="0"/>
              <w:snapToGrid/>
              <w:spacing w:line="460" w:lineRule="exact"/>
              <w:ind w:firstLine="470" w:firstLineChars="196"/>
              <w:textAlignment w:val="auto"/>
              <w:rPr>
                <w:rFonts w:hint="default" w:ascii="Times New Roman" w:hAnsi="Times New Roman" w:cs="Times New Roman"/>
                <w:color w:val="auto"/>
                <w:sz w:val="24"/>
              </w:rPr>
            </w:pPr>
            <w:r>
              <w:rPr>
                <w:rFonts w:hint="default" w:ascii="Times New Roman" w:hAnsi="Times New Roman" w:cs="Times New Roman"/>
                <w:color w:val="auto"/>
                <w:sz w:val="24"/>
              </w:rPr>
              <w:t>24cm水泥混凝土基层</w:t>
            </w:r>
          </w:p>
          <w:p w14:paraId="3F4DF693">
            <w:pPr>
              <w:keepNext w:val="0"/>
              <w:keepLines w:val="0"/>
              <w:pageBreakBefore w:val="0"/>
              <w:widowControl w:val="0"/>
              <w:kinsoku/>
              <w:wordWrap/>
              <w:overflowPunct/>
              <w:topLinePunct w:val="0"/>
              <w:autoSpaceDE/>
              <w:autoSpaceDN/>
              <w:bidi w:val="0"/>
              <w:snapToGrid/>
              <w:spacing w:line="460" w:lineRule="exact"/>
              <w:ind w:firstLine="480" w:firstLineChars="200"/>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sz w:val="24"/>
              </w:rPr>
              <w:t>36cm4%水泥稳定碎石底基层</w:t>
            </w:r>
          </w:p>
          <w:p w14:paraId="1AC79F89">
            <w:pPr>
              <w:pStyle w:val="76"/>
              <w:keepNext w:val="0"/>
              <w:keepLines w:val="0"/>
              <w:pageBreakBefore w:val="0"/>
              <w:widowControl w:val="0"/>
              <w:kinsoku/>
              <w:wordWrap/>
              <w:overflowPunct/>
              <w:topLinePunct w:val="0"/>
              <w:autoSpaceDE/>
              <w:autoSpaceDN/>
              <w:bidi w:val="0"/>
              <w:snapToGrid/>
              <w:spacing w:line="460" w:lineRule="exact"/>
              <w:rPr>
                <w:rFonts w:hint="default" w:ascii="Times New Roman" w:hAnsi="Times New Roman" w:eastAsia="宋体" w:cs="Times New Roman"/>
                <w:color w:val="auto"/>
                <w:kern w:val="21"/>
                <w:lang w:val="en-US" w:eastAsia="zh-CN"/>
              </w:rPr>
            </w:pPr>
            <w:r>
              <w:rPr>
                <w:rFonts w:hint="default" w:ascii="Times New Roman" w:hAnsi="Times New Roman" w:cs="Times New Roman"/>
                <w:color w:val="auto"/>
                <w:lang w:val="en-US" w:eastAsia="zh-CN"/>
              </w:rPr>
              <w:t>6、</w:t>
            </w:r>
            <w:r>
              <w:rPr>
                <w:rFonts w:hint="default" w:ascii="Times New Roman" w:hAnsi="Times New Roman" w:cs="Times New Roman"/>
                <w:color w:val="auto"/>
              </w:rPr>
              <w:t>涵洞</w:t>
            </w:r>
            <w:r>
              <w:rPr>
                <w:rFonts w:hint="default" w:ascii="Times New Roman" w:hAnsi="Times New Roman" w:cs="Times New Roman"/>
                <w:color w:val="auto"/>
                <w:lang w:val="en-US" w:eastAsia="zh-CN"/>
              </w:rPr>
              <w:t>工程</w:t>
            </w:r>
          </w:p>
          <w:p w14:paraId="7A358548">
            <w:pPr>
              <w:pStyle w:val="38"/>
              <w:keepNext w:val="0"/>
              <w:keepLines w:val="0"/>
              <w:pageBreakBefore w:val="0"/>
              <w:widowControl w:val="0"/>
              <w:kinsoku/>
              <w:wordWrap/>
              <w:overflowPunct/>
              <w:topLinePunct w:val="0"/>
              <w:autoSpaceDE/>
              <w:autoSpaceDN/>
              <w:bidi w:val="0"/>
              <w:snapToGrid/>
              <w:spacing w:line="460" w:lineRule="exact"/>
              <w:rPr>
                <w:rFonts w:hint="default" w:ascii="Times New Roman" w:hAnsi="Times New Roman" w:cs="Times New Roman"/>
                <w:color w:val="auto"/>
                <w:szCs w:val="24"/>
              </w:rPr>
            </w:pPr>
            <w:r>
              <w:rPr>
                <w:rFonts w:hint="default" w:ascii="Times New Roman" w:hAnsi="Times New Roman" w:cs="Times New Roman"/>
                <w:color w:val="auto"/>
                <w:szCs w:val="24"/>
              </w:rPr>
              <w:t>本</w:t>
            </w:r>
            <w:r>
              <w:rPr>
                <w:rFonts w:hint="default" w:ascii="Times New Roman" w:hAnsi="Times New Roman" w:cs="Times New Roman"/>
                <w:color w:val="auto"/>
                <w:szCs w:val="24"/>
                <w:lang w:val="en-US" w:eastAsia="zh-CN"/>
              </w:rPr>
              <w:t>项目</w:t>
            </w:r>
            <w:r>
              <w:rPr>
                <w:rFonts w:hint="default" w:ascii="Times New Roman" w:hAnsi="Times New Roman" w:cs="Times New Roman"/>
                <w:color w:val="auto"/>
                <w:szCs w:val="24"/>
              </w:rPr>
              <w:t>路线原有涵洞12道，其中钢筋混凝土盖板涵3道，钢筋混凝土圆管涵9道。既有涵洞存在管节错位、端墙局部破损、管节堵塞、下游冲刷严重、过水能力不足等病害</w:t>
            </w:r>
            <w:r>
              <w:rPr>
                <w:rFonts w:hint="default" w:ascii="Times New Roman" w:hAnsi="Times New Roman" w:cs="Times New Roman"/>
                <w:color w:val="auto"/>
                <w:szCs w:val="24"/>
                <w:lang w:eastAsia="zh-CN"/>
              </w:rPr>
              <w:t>，</w:t>
            </w:r>
            <w:r>
              <w:rPr>
                <w:rFonts w:hint="default" w:ascii="Times New Roman" w:hAnsi="Times New Roman" w:cs="Times New Roman"/>
                <w:color w:val="auto"/>
                <w:szCs w:val="24"/>
              </w:rPr>
              <w:t>结合水文计算及现场调查情况，整体考虑全线排水系统，本次设计K193+009.0、K197+377.0及K199+790.0三道盖板涵使用状况良好，按利用处理，其余均按拆除重建处理。</w:t>
            </w:r>
          </w:p>
          <w:p w14:paraId="5865CC4E">
            <w:pPr>
              <w:pStyle w:val="38"/>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cs="Times New Roman"/>
                <w:b/>
                <w:bCs/>
                <w:color w:val="auto"/>
                <w:sz w:val="24"/>
                <w:szCs w:val="24"/>
                <w:highlight w:val="none"/>
                <w:lang w:val="en-US" w:eastAsia="zh-CN"/>
              </w:rPr>
              <w:t>表2-</w:t>
            </w:r>
            <w:r>
              <w:rPr>
                <w:rFonts w:hint="eastAsia" w:ascii="Times New Roman" w:hAnsi="Times New Roman" w:cs="Times New Roman"/>
                <w:b/>
                <w:bCs/>
                <w:color w:val="auto"/>
                <w:sz w:val="24"/>
                <w:szCs w:val="24"/>
                <w:highlight w:val="none"/>
                <w:lang w:val="en-US" w:eastAsia="zh-CN"/>
              </w:rPr>
              <w:t>8</w:t>
            </w:r>
            <w:r>
              <w:rPr>
                <w:rFonts w:hint="default" w:ascii="Times New Roman" w:hAnsi="Times New Roman" w:cs="Times New Roman"/>
                <w:b/>
                <w:bCs/>
                <w:color w:val="auto"/>
                <w:sz w:val="24"/>
                <w:szCs w:val="24"/>
                <w:highlight w:val="none"/>
                <w:lang w:val="en-US" w:eastAsia="zh-CN"/>
              </w:rPr>
              <w:t xml:space="preserve">   本项目</w:t>
            </w:r>
            <w:r>
              <w:rPr>
                <w:rFonts w:hint="default" w:ascii="Times New Roman" w:hAnsi="Times New Roman" w:eastAsia="宋体" w:cs="Times New Roman"/>
                <w:b/>
                <w:bCs/>
                <w:color w:val="auto"/>
                <w:sz w:val="24"/>
                <w:szCs w:val="24"/>
                <w:highlight w:val="none"/>
              </w:rPr>
              <w:t>涵洞</w:t>
            </w:r>
            <w:r>
              <w:rPr>
                <w:rFonts w:hint="default" w:ascii="Times New Roman" w:hAnsi="Times New Roman" w:cs="Times New Roman"/>
                <w:b/>
                <w:bCs/>
                <w:color w:val="auto"/>
                <w:sz w:val="24"/>
                <w:szCs w:val="24"/>
                <w:highlight w:val="none"/>
                <w:lang w:val="en-US" w:eastAsia="zh-CN"/>
              </w:rPr>
              <w:t>一览</w:t>
            </w:r>
            <w:r>
              <w:rPr>
                <w:rFonts w:hint="default" w:ascii="Times New Roman" w:hAnsi="Times New Roman" w:eastAsia="宋体" w:cs="Times New Roman"/>
                <w:b/>
                <w:bCs/>
                <w:color w:val="auto"/>
                <w:sz w:val="24"/>
                <w:szCs w:val="24"/>
                <w:highlight w:val="none"/>
              </w:rPr>
              <w:t>表</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3"/>
              <w:gridCol w:w="989"/>
              <w:gridCol w:w="862"/>
              <w:gridCol w:w="1095"/>
              <w:gridCol w:w="735"/>
              <w:gridCol w:w="765"/>
              <w:gridCol w:w="795"/>
              <w:gridCol w:w="675"/>
              <w:gridCol w:w="945"/>
              <w:gridCol w:w="671"/>
            </w:tblGrid>
            <w:tr w14:paraId="6FC4B8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vMerge w:val="restart"/>
                  <w:tcBorders>
                    <w:tl2br w:val="nil"/>
                    <w:tr2bl w:val="nil"/>
                  </w:tcBorders>
                  <w:vAlign w:val="center"/>
                </w:tcPr>
                <w:p w14:paraId="069805B9">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w:t>
                  </w:r>
                </w:p>
                <w:p w14:paraId="1AFEE2B3">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号</w:t>
                  </w:r>
                </w:p>
              </w:tc>
              <w:tc>
                <w:tcPr>
                  <w:tcW w:w="628" w:type="pct"/>
                  <w:vMerge w:val="restart"/>
                  <w:tcBorders>
                    <w:tl2br w:val="nil"/>
                    <w:tr2bl w:val="nil"/>
                  </w:tcBorders>
                  <w:vAlign w:val="center"/>
                </w:tcPr>
                <w:p w14:paraId="3EEB47EB">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桩号</w:t>
                  </w:r>
                </w:p>
              </w:tc>
              <w:tc>
                <w:tcPr>
                  <w:tcW w:w="547" w:type="pct"/>
                  <w:vMerge w:val="restart"/>
                  <w:tcBorders>
                    <w:tl2br w:val="nil"/>
                    <w:tr2bl w:val="nil"/>
                  </w:tcBorders>
                  <w:vAlign w:val="center"/>
                </w:tcPr>
                <w:p w14:paraId="083BF918">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结构</w:t>
                  </w:r>
                </w:p>
                <w:p w14:paraId="24487EA4">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类型</w:t>
                  </w:r>
                </w:p>
              </w:tc>
              <w:tc>
                <w:tcPr>
                  <w:tcW w:w="696" w:type="pct"/>
                  <w:vMerge w:val="restart"/>
                  <w:tcBorders>
                    <w:tl2br w:val="nil"/>
                    <w:tr2bl w:val="nil"/>
                  </w:tcBorders>
                  <w:vAlign w:val="center"/>
                </w:tcPr>
                <w:p w14:paraId="1AC0F25A">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孔径</w:t>
                  </w:r>
                </w:p>
                <w:p w14:paraId="3FA8EE00">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及孔数</w:t>
                  </w:r>
                </w:p>
              </w:tc>
              <w:tc>
                <w:tcPr>
                  <w:tcW w:w="467" w:type="pct"/>
                  <w:vMerge w:val="restart"/>
                  <w:tcBorders>
                    <w:tl2br w:val="nil"/>
                    <w:tr2bl w:val="nil"/>
                  </w:tcBorders>
                  <w:vAlign w:val="center"/>
                </w:tcPr>
                <w:p w14:paraId="018CBCBB">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涵洞调查评定等级</w:t>
                  </w:r>
                </w:p>
              </w:tc>
              <w:tc>
                <w:tcPr>
                  <w:tcW w:w="486" w:type="pct"/>
                  <w:tcBorders>
                    <w:tl2br w:val="nil"/>
                    <w:tr2bl w:val="nil"/>
                  </w:tcBorders>
                  <w:vAlign w:val="center"/>
                </w:tcPr>
                <w:p w14:paraId="28310E91">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洞口</w:t>
                  </w:r>
                </w:p>
                <w:p w14:paraId="75E78870">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形式</w:t>
                  </w:r>
                </w:p>
              </w:tc>
              <w:tc>
                <w:tcPr>
                  <w:tcW w:w="505" w:type="pct"/>
                  <w:tcBorders>
                    <w:tl2br w:val="nil"/>
                    <w:tr2bl w:val="nil"/>
                  </w:tcBorders>
                  <w:vAlign w:val="center"/>
                </w:tcPr>
                <w:p w14:paraId="1F9B4EAB">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洞口</w:t>
                  </w:r>
                </w:p>
                <w:p w14:paraId="6FAEC1D5">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形式</w:t>
                  </w:r>
                </w:p>
              </w:tc>
              <w:tc>
                <w:tcPr>
                  <w:tcW w:w="429" w:type="pct"/>
                  <w:vMerge w:val="restart"/>
                  <w:tcBorders>
                    <w:tl2br w:val="nil"/>
                    <w:tr2bl w:val="nil"/>
                  </w:tcBorders>
                  <w:vAlign w:val="center"/>
                </w:tcPr>
                <w:p w14:paraId="13609B8D">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建成</w:t>
                  </w:r>
                </w:p>
                <w:p w14:paraId="7D6D8844">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年代</w:t>
                  </w:r>
                </w:p>
              </w:tc>
              <w:tc>
                <w:tcPr>
                  <w:tcW w:w="600" w:type="pct"/>
                  <w:vMerge w:val="restart"/>
                  <w:tcBorders>
                    <w:tl2br w:val="nil"/>
                    <w:tr2bl w:val="nil"/>
                  </w:tcBorders>
                  <w:vAlign w:val="center"/>
                </w:tcPr>
                <w:p w14:paraId="734B0471">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是否纳入本次设计内容</w:t>
                  </w:r>
                </w:p>
              </w:tc>
              <w:tc>
                <w:tcPr>
                  <w:tcW w:w="426" w:type="pct"/>
                  <w:vMerge w:val="restart"/>
                  <w:tcBorders>
                    <w:tl2br w:val="nil"/>
                    <w:tr2bl w:val="nil"/>
                  </w:tcBorders>
                  <w:vAlign w:val="center"/>
                </w:tcPr>
                <w:p w14:paraId="56AAA9D1">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备注</w:t>
                  </w:r>
                </w:p>
              </w:tc>
            </w:tr>
            <w:tr w14:paraId="02A661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31" w:hRule="atLeast"/>
                <w:jc w:val="center"/>
              </w:trPr>
              <w:tc>
                <w:tcPr>
                  <w:tcW w:w="211" w:type="pct"/>
                  <w:vMerge w:val="continue"/>
                  <w:tcBorders>
                    <w:tl2br w:val="nil"/>
                    <w:tr2bl w:val="nil"/>
                  </w:tcBorders>
                  <w:vAlign w:val="center"/>
                </w:tcPr>
                <w:p w14:paraId="62012EE7">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628" w:type="pct"/>
                  <w:vMerge w:val="continue"/>
                  <w:tcBorders>
                    <w:tl2br w:val="nil"/>
                    <w:tr2bl w:val="nil"/>
                  </w:tcBorders>
                  <w:vAlign w:val="center"/>
                </w:tcPr>
                <w:p w14:paraId="361CA292">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547" w:type="pct"/>
                  <w:vMerge w:val="continue"/>
                  <w:tcBorders>
                    <w:tl2br w:val="nil"/>
                    <w:tr2bl w:val="nil"/>
                  </w:tcBorders>
                  <w:vAlign w:val="center"/>
                </w:tcPr>
                <w:p w14:paraId="74F43ED6">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696" w:type="pct"/>
                  <w:vMerge w:val="continue"/>
                  <w:tcBorders>
                    <w:tl2br w:val="nil"/>
                    <w:tr2bl w:val="nil"/>
                  </w:tcBorders>
                  <w:vAlign w:val="center"/>
                </w:tcPr>
                <w:p w14:paraId="51ADD242">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467" w:type="pct"/>
                  <w:vMerge w:val="continue"/>
                  <w:tcBorders>
                    <w:tl2br w:val="nil"/>
                    <w:tr2bl w:val="nil"/>
                  </w:tcBorders>
                  <w:vAlign w:val="center"/>
                </w:tcPr>
                <w:p w14:paraId="2B1A34BF">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486" w:type="pct"/>
                  <w:tcBorders>
                    <w:tl2br w:val="nil"/>
                    <w:tr2bl w:val="nil"/>
                  </w:tcBorders>
                  <w:vAlign w:val="center"/>
                </w:tcPr>
                <w:p w14:paraId="377F489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进口</w:t>
                  </w:r>
                </w:p>
              </w:tc>
              <w:tc>
                <w:tcPr>
                  <w:tcW w:w="505" w:type="pct"/>
                  <w:tcBorders>
                    <w:tl2br w:val="nil"/>
                    <w:tr2bl w:val="nil"/>
                  </w:tcBorders>
                  <w:vAlign w:val="center"/>
                </w:tcPr>
                <w:p w14:paraId="70A2AEAD">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出口</w:t>
                  </w:r>
                </w:p>
              </w:tc>
              <w:tc>
                <w:tcPr>
                  <w:tcW w:w="429" w:type="pct"/>
                  <w:vMerge w:val="continue"/>
                  <w:tcBorders>
                    <w:tl2br w:val="nil"/>
                    <w:tr2bl w:val="nil"/>
                  </w:tcBorders>
                  <w:vAlign w:val="center"/>
                </w:tcPr>
                <w:p w14:paraId="44A60953">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600" w:type="pct"/>
                  <w:vMerge w:val="continue"/>
                  <w:tcBorders>
                    <w:tl2br w:val="nil"/>
                    <w:tr2bl w:val="nil"/>
                  </w:tcBorders>
                  <w:vAlign w:val="center"/>
                </w:tcPr>
                <w:p w14:paraId="5281C27E">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426" w:type="pct"/>
                  <w:vMerge w:val="continue"/>
                  <w:tcBorders>
                    <w:tl2br w:val="nil"/>
                    <w:tr2bl w:val="nil"/>
                  </w:tcBorders>
                  <w:vAlign w:val="center"/>
                </w:tcPr>
                <w:p w14:paraId="373219A8">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r>
            <w:tr w14:paraId="685520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7ED79951">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628" w:type="pct"/>
                  <w:tcBorders>
                    <w:tl2br w:val="nil"/>
                    <w:tr2bl w:val="nil"/>
                  </w:tcBorders>
                  <w:vAlign w:val="center"/>
                </w:tcPr>
                <w:p w14:paraId="46024C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K188+673.000</w:t>
                  </w:r>
                </w:p>
              </w:tc>
              <w:tc>
                <w:tcPr>
                  <w:tcW w:w="547" w:type="pct"/>
                  <w:tcBorders>
                    <w:tl2br w:val="nil"/>
                    <w:tr2bl w:val="nil"/>
                  </w:tcBorders>
                  <w:vAlign w:val="center"/>
                </w:tcPr>
                <w:p w14:paraId="002868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5E25D4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75159D07">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差</w:t>
                  </w:r>
                </w:p>
              </w:tc>
              <w:tc>
                <w:tcPr>
                  <w:tcW w:w="486" w:type="pct"/>
                  <w:tcBorders>
                    <w:tl2br w:val="nil"/>
                    <w:tr2bl w:val="nil"/>
                  </w:tcBorders>
                  <w:vAlign w:val="center"/>
                </w:tcPr>
                <w:p w14:paraId="7411CD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523633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7033D5F0">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34B5BC1D">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1C1C52E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25B5349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4068CC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38B8D363">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628" w:type="pct"/>
                  <w:tcBorders>
                    <w:tl2br w:val="nil"/>
                    <w:tr2bl w:val="nil"/>
                  </w:tcBorders>
                  <w:vAlign w:val="center"/>
                </w:tcPr>
                <w:p w14:paraId="587659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K192+508.500</w:t>
                  </w:r>
                </w:p>
              </w:tc>
              <w:tc>
                <w:tcPr>
                  <w:tcW w:w="547" w:type="pct"/>
                  <w:tcBorders>
                    <w:tl2br w:val="nil"/>
                    <w:tr2bl w:val="nil"/>
                  </w:tcBorders>
                  <w:vAlign w:val="center"/>
                </w:tcPr>
                <w:p w14:paraId="50C0DB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7EE88D4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4DE1E81A">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较差</w:t>
                  </w:r>
                </w:p>
              </w:tc>
              <w:tc>
                <w:tcPr>
                  <w:tcW w:w="486" w:type="pct"/>
                  <w:tcBorders>
                    <w:tl2br w:val="nil"/>
                    <w:tr2bl w:val="nil"/>
                  </w:tcBorders>
                  <w:vAlign w:val="center"/>
                </w:tcPr>
                <w:p w14:paraId="47B679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672D74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5BBAFCC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5E6AF5B5">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40925BC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5DB72F5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45B7CF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32F3AC88">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w:t>
                  </w:r>
                </w:p>
              </w:tc>
              <w:tc>
                <w:tcPr>
                  <w:tcW w:w="628" w:type="pct"/>
                  <w:tcBorders>
                    <w:tl2br w:val="nil"/>
                    <w:tr2bl w:val="nil"/>
                  </w:tcBorders>
                  <w:vAlign w:val="center"/>
                </w:tcPr>
                <w:p w14:paraId="19FF39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K194+380.000</w:t>
                  </w:r>
                </w:p>
              </w:tc>
              <w:tc>
                <w:tcPr>
                  <w:tcW w:w="547" w:type="pct"/>
                  <w:tcBorders>
                    <w:tl2br w:val="nil"/>
                    <w:tr2bl w:val="nil"/>
                  </w:tcBorders>
                  <w:vAlign w:val="center"/>
                </w:tcPr>
                <w:p w14:paraId="5E37980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2A11DAE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01685992">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较差</w:t>
                  </w:r>
                </w:p>
              </w:tc>
              <w:tc>
                <w:tcPr>
                  <w:tcW w:w="486" w:type="pct"/>
                  <w:tcBorders>
                    <w:tl2br w:val="nil"/>
                    <w:tr2bl w:val="nil"/>
                  </w:tcBorders>
                  <w:vAlign w:val="center"/>
                </w:tcPr>
                <w:p w14:paraId="2C01D0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梯形边沟</w:t>
                  </w:r>
                </w:p>
              </w:tc>
              <w:tc>
                <w:tcPr>
                  <w:tcW w:w="505" w:type="pct"/>
                  <w:tcBorders>
                    <w:tl2br w:val="nil"/>
                    <w:tr2bl w:val="nil"/>
                  </w:tcBorders>
                  <w:vAlign w:val="center"/>
                </w:tcPr>
                <w:p w14:paraId="723466B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2BC1F58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3A65B2C5">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4702540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274AB3B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329C01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676C04D6">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w:t>
                  </w:r>
                </w:p>
              </w:tc>
              <w:tc>
                <w:tcPr>
                  <w:tcW w:w="628" w:type="pct"/>
                  <w:tcBorders>
                    <w:tl2br w:val="nil"/>
                    <w:tr2bl w:val="nil"/>
                  </w:tcBorders>
                  <w:vAlign w:val="center"/>
                </w:tcPr>
                <w:p w14:paraId="6ECAE00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K195+196.500</w:t>
                  </w:r>
                </w:p>
              </w:tc>
              <w:tc>
                <w:tcPr>
                  <w:tcW w:w="547" w:type="pct"/>
                  <w:tcBorders>
                    <w:tl2br w:val="nil"/>
                    <w:tr2bl w:val="nil"/>
                  </w:tcBorders>
                  <w:vAlign w:val="center"/>
                </w:tcPr>
                <w:p w14:paraId="37664F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3950F1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7C8A97D7">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差</w:t>
                  </w:r>
                </w:p>
              </w:tc>
              <w:tc>
                <w:tcPr>
                  <w:tcW w:w="486" w:type="pct"/>
                  <w:tcBorders>
                    <w:tl2br w:val="nil"/>
                    <w:tr2bl w:val="nil"/>
                  </w:tcBorders>
                  <w:vAlign w:val="center"/>
                </w:tcPr>
                <w:p w14:paraId="58F4ED4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35C229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2853C65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13601814">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4527D26F">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4E14814C">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704370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4119E7D5">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w:t>
                  </w:r>
                </w:p>
              </w:tc>
              <w:tc>
                <w:tcPr>
                  <w:tcW w:w="628" w:type="pct"/>
                  <w:tcBorders>
                    <w:tl2br w:val="nil"/>
                    <w:tr2bl w:val="nil"/>
                  </w:tcBorders>
                  <w:vAlign w:val="center"/>
                </w:tcPr>
                <w:p w14:paraId="69E649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K196+257.500</w:t>
                  </w:r>
                </w:p>
              </w:tc>
              <w:tc>
                <w:tcPr>
                  <w:tcW w:w="547" w:type="pct"/>
                  <w:tcBorders>
                    <w:tl2br w:val="nil"/>
                    <w:tr2bl w:val="nil"/>
                  </w:tcBorders>
                  <w:vAlign w:val="center"/>
                </w:tcPr>
                <w:p w14:paraId="1C5A7D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50552B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4A04DA64">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差</w:t>
                  </w:r>
                </w:p>
              </w:tc>
              <w:tc>
                <w:tcPr>
                  <w:tcW w:w="486" w:type="pct"/>
                  <w:tcBorders>
                    <w:tl2br w:val="nil"/>
                    <w:tr2bl w:val="nil"/>
                  </w:tcBorders>
                  <w:vAlign w:val="center"/>
                </w:tcPr>
                <w:p w14:paraId="3AC698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矩形边沟</w:t>
                  </w:r>
                </w:p>
              </w:tc>
              <w:tc>
                <w:tcPr>
                  <w:tcW w:w="505" w:type="pct"/>
                  <w:tcBorders>
                    <w:tl2br w:val="nil"/>
                    <w:tr2bl w:val="nil"/>
                  </w:tcBorders>
                  <w:vAlign w:val="center"/>
                </w:tcPr>
                <w:p w14:paraId="59FD93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760783E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64395FBC">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3219B948">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15277973">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28FC90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721E3AE7">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w:t>
                  </w:r>
                </w:p>
              </w:tc>
              <w:tc>
                <w:tcPr>
                  <w:tcW w:w="628" w:type="pct"/>
                  <w:tcBorders>
                    <w:tl2br w:val="nil"/>
                    <w:tr2bl w:val="nil"/>
                  </w:tcBorders>
                  <w:vAlign w:val="center"/>
                </w:tcPr>
                <w:p w14:paraId="585F5B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K196+784.500</w:t>
                  </w:r>
                </w:p>
              </w:tc>
              <w:tc>
                <w:tcPr>
                  <w:tcW w:w="547" w:type="pct"/>
                  <w:tcBorders>
                    <w:tl2br w:val="nil"/>
                    <w:tr2bl w:val="nil"/>
                  </w:tcBorders>
                  <w:vAlign w:val="center"/>
                </w:tcPr>
                <w:p w14:paraId="7D0588C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0E5C37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1D75D660">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差</w:t>
                  </w:r>
                </w:p>
              </w:tc>
              <w:tc>
                <w:tcPr>
                  <w:tcW w:w="486" w:type="pct"/>
                  <w:tcBorders>
                    <w:tl2br w:val="nil"/>
                    <w:tr2bl w:val="nil"/>
                  </w:tcBorders>
                  <w:vAlign w:val="center"/>
                </w:tcPr>
                <w:p w14:paraId="110BB7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4E49EE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17940D1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4750181E">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1B9BE84A">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0996D57A">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50AE8D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4C43E240">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w:t>
                  </w:r>
                </w:p>
              </w:tc>
              <w:tc>
                <w:tcPr>
                  <w:tcW w:w="628" w:type="pct"/>
                  <w:tcBorders>
                    <w:tl2br w:val="nil"/>
                    <w:tr2bl w:val="nil"/>
                  </w:tcBorders>
                  <w:vAlign w:val="center"/>
                </w:tcPr>
                <w:p w14:paraId="1CEDC9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K198+156.500</w:t>
                  </w:r>
                </w:p>
              </w:tc>
              <w:tc>
                <w:tcPr>
                  <w:tcW w:w="547" w:type="pct"/>
                  <w:tcBorders>
                    <w:tl2br w:val="nil"/>
                    <w:tr2bl w:val="nil"/>
                  </w:tcBorders>
                  <w:vAlign w:val="center"/>
                </w:tcPr>
                <w:p w14:paraId="69F33F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014D76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1-3.0</w:t>
                  </w:r>
                  <w:r>
                    <w:rPr>
                      <w:rStyle w:val="97"/>
                      <w:rFonts w:hint="default" w:ascii="Times New Roman" w:hAnsi="Times New Roman" w:cs="Times New Roman"/>
                      <w:color w:val="auto"/>
                      <w:sz w:val="21"/>
                      <w:szCs w:val="21"/>
                      <w:highlight w:val="none"/>
                      <w:lang w:val="en-US" w:eastAsia="zh-CN" w:bidi="ar"/>
                    </w:rPr>
                    <w:t>×2.0m</w:t>
                  </w:r>
                </w:p>
              </w:tc>
              <w:tc>
                <w:tcPr>
                  <w:tcW w:w="467" w:type="pct"/>
                  <w:tcBorders>
                    <w:tl2br w:val="nil"/>
                    <w:tr2bl w:val="nil"/>
                  </w:tcBorders>
                  <w:vAlign w:val="center"/>
                </w:tcPr>
                <w:p w14:paraId="039D3D74">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较差</w:t>
                  </w:r>
                </w:p>
              </w:tc>
              <w:tc>
                <w:tcPr>
                  <w:tcW w:w="486" w:type="pct"/>
                  <w:tcBorders>
                    <w:tl2br w:val="nil"/>
                    <w:tr2bl w:val="nil"/>
                  </w:tcBorders>
                  <w:vAlign w:val="center"/>
                </w:tcPr>
                <w:p w14:paraId="48B5D1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174A1B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61EDC1C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7B0EC3AD">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59EB80AC">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5C48A5C5">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49E6DA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4EAB000F">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w:t>
                  </w:r>
                </w:p>
              </w:tc>
              <w:tc>
                <w:tcPr>
                  <w:tcW w:w="628" w:type="pct"/>
                  <w:tcBorders>
                    <w:tl2br w:val="nil"/>
                    <w:tr2bl w:val="nil"/>
                  </w:tcBorders>
                  <w:vAlign w:val="center"/>
                </w:tcPr>
                <w:p w14:paraId="334821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K198+506.500</w:t>
                  </w:r>
                </w:p>
              </w:tc>
              <w:tc>
                <w:tcPr>
                  <w:tcW w:w="547" w:type="pct"/>
                  <w:tcBorders>
                    <w:tl2br w:val="nil"/>
                    <w:tr2bl w:val="nil"/>
                  </w:tcBorders>
                  <w:vAlign w:val="center"/>
                </w:tcPr>
                <w:p w14:paraId="235771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7CBE64C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1-1.5</w:t>
                  </w:r>
                  <w:r>
                    <w:rPr>
                      <w:rStyle w:val="97"/>
                      <w:rFonts w:hint="default" w:ascii="Times New Roman" w:hAnsi="Times New Roman" w:cs="Times New Roman"/>
                      <w:color w:val="auto"/>
                      <w:sz w:val="21"/>
                      <w:szCs w:val="21"/>
                      <w:highlight w:val="none"/>
                      <w:lang w:val="en-US" w:eastAsia="zh-CN" w:bidi="ar"/>
                    </w:rPr>
                    <w:t>×1.5m</w:t>
                  </w:r>
                </w:p>
              </w:tc>
              <w:tc>
                <w:tcPr>
                  <w:tcW w:w="467" w:type="pct"/>
                  <w:tcBorders>
                    <w:tl2br w:val="nil"/>
                    <w:tr2bl w:val="nil"/>
                  </w:tcBorders>
                  <w:vAlign w:val="center"/>
                </w:tcPr>
                <w:p w14:paraId="1D0F956B">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差</w:t>
                  </w:r>
                </w:p>
              </w:tc>
              <w:tc>
                <w:tcPr>
                  <w:tcW w:w="486" w:type="pct"/>
                  <w:tcBorders>
                    <w:tl2br w:val="nil"/>
                    <w:tr2bl w:val="nil"/>
                  </w:tcBorders>
                  <w:vAlign w:val="center"/>
                </w:tcPr>
                <w:p w14:paraId="1A0BB6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505" w:type="pct"/>
                  <w:tcBorders>
                    <w:tl2br w:val="nil"/>
                    <w:tr2bl w:val="nil"/>
                  </w:tcBorders>
                  <w:vAlign w:val="center"/>
                </w:tcPr>
                <w:p w14:paraId="5ED956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锥坡</w:t>
                  </w:r>
                </w:p>
              </w:tc>
              <w:tc>
                <w:tcPr>
                  <w:tcW w:w="429" w:type="pct"/>
                  <w:tcBorders>
                    <w:tl2br w:val="nil"/>
                    <w:tr2bl w:val="nil"/>
                  </w:tcBorders>
                  <w:vAlign w:val="center"/>
                </w:tcPr>
                <w:p w14:paraId="39CABE7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48E71DC7">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6591CE06">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7E53F83C">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15A97D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1" w:type="pct"/>
                  <w:tcBorders>
                    <w:tl2br w:val="nil"/>
                    <w:tr2bl w:val="nil"/>
                  </w:tcBorders>
                  <w:vAlign w:val="center"/>
                </w:tcPr>
                <w:p w14:paraId="6B7C5BAC">
                  <w:pPr>
                    <w:pStyle w:val="65"/>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9</w:t>
                  </w:r>
                </w:p>
              </w:tc>
              <w:tc>
                <w:tcPr>
                  <w:tcW w:w="628" w:type="pct"/>
                  <w:tcBorders>
                    <w:tl2br w:val="nil"/>
                    <w:tr2bl w:val="nil"/>
                  </w:tcBorders>
                  <w:vAlign w:val="center"/>
                </w:tcPr>
                <w:p w14:paraId="0BB453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K201+905.000</w:t>
                  </w:r>
                </w:p>
              </w:tc>
              <w:tc>
                <w:tcPr>
                  <w:tcW w:w="547" w:type="pct"/>
                  <w:tcBorders>
                    <w:tl2br w:val="nil"/>
                    <w:tr2bl w:val="nil"/>
                  </w:tcBorders>
                  <w:vAlign w:val="center"/>
                </w:tcPr>
                <w:p w14:paraId="4C2C3D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钢筋混凝土箱涵</w:t>
                  </w:r>
                </w:p>
              </w:tc>
              <w:tc>
                <w:tcPr>
                  <w:tcW w:w="696" w:type="pct"/>
                  <w:tcBorders>
                    <w:tl2br w:val="nil"/>
                    <w:tr2bl w:val="nil"/>
                  </w:tcBorders>
                  <w:vAlign w:val="center"/>
                </w:tcPr>
                <w:p w14:paraId="0826E86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1-2.0</w:t>
                  </w:r>
                  <w:r>
                    <w:rPr>
                      <w:rStyle w:val="97"/>
                      <w:rFonts w:hint="default" w:ascii="Times New Roman" w:hAnsi="Times New Roman" w:cs="Times New Roman"/>
                      <w:color w:val="auto"/>
                      <w:sz w:val="21"/>
                      <w:szCs w:val="21"/>
                      <w:highlight w:val="none"/>
                      <w:lang w:val="en-US" w:eastAsia="zh-CN" w:bidi="ar"/>
                    </w:rPr>
                    <w:t>×1.0m</w:t>
                  </w:r>
                </w:p>
              </w:tc>
              <w:tc>
                <w:tcPr>
                  <w:tcW w:w="467" w:type="pct"/>
                  <w:tcBorders>
                    <w:tl2br w:val="nil"/>
                    <w:tr2bl w:val="nil"/>
                  </w:tcBorders>
                  <w:vAlign w:val="center"/>
                </w:tcPr>
                <w:p w14:paraId="4A0B103A">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较差</w:t>
                  </w:r>
                </w:p>
              </w:tc>
              <w:tc>
                <w:tcPr>
                  <w:tcW w:w="486" w:type="pct"/>
                  <w:tcBorders>
                    <w:tl2br w:val="nil"/>
                    <w:tr2bl w:val="nil"/>
                  </w:tcBorders>
                  <w:vAlign w:val="center"/>
                </w:tcPr>
                <w:p w14:paraId="57BD23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矩形边沟</w:t>
                  </w:r>
                </w:p>
              </w:tc>
              <w:tc>
                <w:tcPr>
                  <w:tcW w:w="505" w:type="pct"/>
                  <w:tcBorders>
                    <w:tl2br w:val="nil"/>
                    <w:tr2bl w:val="nil"/>
                  </w:tcBorders>
                  <w:vAlign w:val="center"/>
                </w:tcPr>
                <w:p w14:paraId="7C7E47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矩形</w:t>
                  </w:r>
                </w:p>
                <w:p w14:paraId="377273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边沟</w:t>
                  </w:r>
                </w:p>
              </w:tc>
              <w:tc>
                <w:tcPr>
                  <w:tcW w:w="429" w:type="pct"/>
                  <w:tcBorders>
                    <w:tl2br w:val="nil"/>
                    <w:tr2bl w:val="nil"/>
                  </w:tcBorders>
                  <w:vAlign w:val="center"/>
                </w:tcPr>
                <w:p w14:paraId="0489843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2010</w:t>
                  </w:r>
                </w:p>
              </w:tc>
              <w:tc>
                <w:tcPr>
                  <w:tcW w:w="600" w:type="pct"/>
                  <w:tcBorders>
                    <w:tl2br w:val="nil"/>
                    <w:tr2bl w:val="nil"/>
                  </w:tcBorders>
                  <w:vAlign w:val="center"/>
                </w:tcPr>
                <w:p w14:paraId="5A8FBD59">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426" w:type="pct"/>
                  <w:tcBorders>
                    <w:tl2br w:val="nil"/>
                    <w:tr2bl w:val="nil"/>
                  </w:tcBorders>
                  <w:vAlign w:val="center"/>
                </w:tcPr>
                <w:p w14:paraId="1680854D">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拆除</w:t>
                  </w:r>
                </w:p>
                <w:p w14:paraId="42BCFD18">
                  <w:pPr>
                    <w:pStyle w:val="65"/>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bl>
          <w:p w14:paraId="7445835E">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7、交叉工程</w:t>
            </w:r>
          </w:p>
          <w:p w14:paraId="0FCE72BE">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本项目为设计速度60km/h的二级公路标准，共设置平面交叉</w:t>
            </w:r>
            <w:r>
              <w:rPr>
                <w:rFonts w:hint="default" w:ascii="Times New Roman" w:hAnsi="Times New Roman" w:cs="Times New Roman"/>
                <w:color w:val="auto"/>
                <w:kern w:val="0"/>
                <w:sz w:val="24"/>
                <w:szCs w:val="24"/>
                <w:highlight w:val="none"/>
                <w:lang w:val="en-US" w:eastAsia="zh-CN" w:bidi="ar-SA"/>
              </w:rPr>
              <w:t>54</w:t>
            </w:r>
            <w:r>
              <w:rPr>
                <w:rFonts w:hint="default" w:ascii="Times New Roman" w:hAnsi="Times New Roman" w:eastAsia="宋体" w:cs="Times New Roman"/>
                <w:color w:val="auto"/>
                <w:kern w:val="0"/>
                <w:sz w:val="24"/>
                <w:szCs w:val="24"/>
                <w:highlight w:val="none"/>
                <w:lang w:val="en-US" w:eastAsia="zh-CN" w:bidi="ar-SA"/>
              </w:rPr>
              <w:t>处，</w:t>
            </w:r>
            <w:r>
              <w:rPr>
                <w:rFonts w:hint="default" w:ascii="Times New Roman" w:hAnsi="Times New Roman" w:cs="Times New Roman"/>
                <w:color w:val="auto"/>
                <w:highlight w:val="none"/>
              </w:rPr>
              <w:t>其中与二级公路交叉1处，与四级公路交叉2处，与机耕路交叉21处，与村内道路交叉30处</w:t>
            </w:r>
            <w:r>
              <w:rPr>
                <w:rFonts w:hint="default" w:ascii="Times New Roman" w:hAnsi="Times New Roman" w:cs="Times New Roman"/>
                <w:color w:val="auto"/>
                <w:highlight w:val="none"/>
                <w:lang w:eastAsia="zh-CN"/>
              </w:rPr>
              <w:t>。</w:t>
            </w:r>
            <w:r>
              <w:rPr>
                <w:rFonts w:hint="default" w:ascii="Times New Roman" w:hAnsi="Times New Roman" w:eastAsia="宋体" w:cs="Times New Roman"/>
                <w:color w:val="auto"/>
                <w:kern w:val="0"/>
                <w:sz w:val="24"/>
                <w:szCs w:val="24"/>
                <w:highlight w:val="none"/>
                <w:lang w:val="en-US" w:eastAsia="zh-CN" w:bidi="ar-SA"/>
              </w:rPr>
              <w:t>经调查，由于既有道路被交道等级整体偏低，路面结构以土质路面为主，基本无铺装。本次路面改造工程对被交路进行接高设计的同时，对接高路段及其加铺转角范围内的路面进行升级改造，方案与主线方案相仿，均按沥青混凝土路面进行改造。</w:t>
            </w:r>
          </w:p>
          <w:p w14:paraId="2A156426">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bidi="ar-SA"/>
              </w:rPr>
            </w:pPr>
            <w:r>
              <w:rPr>
                <w:rFonts w:hint="eastAsia" w:cs="Times New Roman"/>
                <w:color w:val="auto"/>
                <w:kern w:val="0"/>
                <w:sz w:val="24"/>
                <w:szCs w:val="24"/>
                <w:highlight w:val="none"/>
                <w:lang w:val="en-US" w:eastAsia="zh-CN" w:bidi="ar-SA"/>
              </w:rPr>
              <w:t>本项目交叉工程工程量见下表。</w:t>
            </w:r>
          </w:p>
          <w:p w14:paraId="4C3AF919">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yellow"/>
                <w:lang w:val="en-US" w:eastAsia="zh-CN" w:bidi="ar-SA"/>
              </w:rPr>
            </w:pPr>
          </w:p>
          <w:p w14:paraId="583CCD59">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yellow"/>
                <w:lang w:val="en-US" w:eastAsia="zh-CN" w:bidi="ar-SA"/>
              </w:rPr>
            </w:pPr>
          </w:p>
          <w:p w14:paraId="33A23377">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yellow"/>
                <w:lang w:val="en-US" w:eastAsia="zh-CN" w:bidi="ar-SA"/>
              </w:rPr>
            </w:pPr>
          </w:p>
          <w:p w14:paraId="17043753">
            <w:pPr>
              <w:pStyle w:val="2"/>
              <w:rPr>
                <w:rFonts w:hint="default" w:ascii="Times New Roman" w:hAnsi="Times New Roman" w:eastAsia="宋体" w:cs="Times New Roman"/>
                <w:color w:val="auto"/>
                <w:kern w:val="0"/>
                <w:sz w:val="24"/>
                <w:szCs w:val="24"/>
                <w:highlight w:val="yellow"/>
                <w:lang w:val="en-US" w:eastAsia="zh-CN" w:bidi="ar-SA"/>
              </w:rPr>
            </w:pPr>
          </w:p>
          <w:p w14:paraId="7516E49B">
            <w:pPr>
              <w:rPr>
                <w:rFonts w:hint="default" w:ascii="Times New Roman" w:hAnsi="Times New Roman" w:eastAsia="宋体" w:cs="Times New Roman"/>
                <w:color w:val="auto"/>
                <w:kern w:val="0"/>
                <w:sz w:val="24"/>
                <w:szCs w:val="24"/>
                <w:highlight w:val="yellow"/>
                <w:lang w:val="en-US" w:eastAsia="zh-CN" w:bidi="ar-SA"/>
              </w:rPr>
            </w:pPr>
          </w:p>
          <w:p w14:paraId="3216E8EF">
            <w:pPr>
              <w:pStyle w:val="2"/>
              <w:rPr>
                <w:rFonts w:hint="default" w:ascii="Times New Roman" w:hAnsi="Times New Roman" w:eastAsia="宋体" w:cs="Times New Roman"/>
                <w:color w:val="auto"/>
                <w:kern w:val="0"/>
                <w:sz w:val="24"/>
                <w:szCs w:val="24"/>
                <w:highlight w:val="yellow"/>
                <w:lang w:val="en-US" w:eastAsia="zh-CN" w:bidi="ar-SA"/>
              </w:rPr>
            </w:pPr>
          </w:p>
          <w:p w14:paraId="7C7FD33C">
            <w:pPr>
              <w:rPr>
                <w:rFonts w:hint="default" w:ascii="Times New Roman" w:hAnsi="Times New Roman" w:eastAsia="宋体" w:cs="Times New Roman"/>
                <w:color w:val="auto"/>
                <w:kern w:val="0"/>
                <w:sz w:val="24"/>
                <w:szCs w:val="24"/>
                <w:highlight w:val="yellow"/>
                <w:lang w:val="en-US" w:eastAsia="zh-CN" w:bidi="ar-SA"/>
              </w:rPr>
            </w:pPr>
          </w:p>
          <w:p w14:paraId="31BED6B4">
            <w:pPr>
              <w:pStyle w:val="2"/>
              <w:rPr>
                <w:rFonts w:hint="default" w:ascii="Times New Roman" w:hAnsi="Times New Roman" w:eastAsia="宋体" w:cs="Times New Roman"/>
                <w:color w:val="auto"/>
                <w:kern w:val="0"/>
                <w:sz w:val="24"/>
                <w:szCs w:val="24"/>
                <w:highlight w:val="yellow"/>
                <w:lang w:val="en-US" w:eastAsia="zh-CN" w:bidi="ar-SA"/>
              </w:rPr>
            </w:pPr>
          </w:p>
          <w:p w14:paraId="319C1EF3">
            <w:pPr>
              <w:rPr>
                <w:rFonts w:hint="default" w:ascii="Times New Roman" w:hAnsi="Times New Roman" w:eastAsia="宋体" w:cs="Times New Roman"/>
                <w:color w:val="auto"/>
                <w:kern w:val="0"/>
                <w:sz w:val="24"/>
                <w:szCs w:val="24"/>
                <w:highlight w:val="yellow"/>
                <w:lang w:val="en-US" w:eastAsia="zh-CN" w:bidi="ar-SA"/>
              </w:rPr>
            </w:pPr>
          </w:p>
          <w:p w14:paraId="1258B24D">
            <w:pPr>
              <w:pStyle w:val="2"/>
              <w:rPr>
                <w:rFonts w:hint="default" w:ascii="Times New Roman" w:hAnsi="Times New Roman" w:eastAsia="宋体" w:cs="Times New Roman"/>
                <w:color w:val="auto"/>
                <w:kern w:val="0"/>
                <w:sz w:val="24"/>
                <w:szCs w:val="24"/>
                <w:highlight w:val="yellow"/>
                <w:lang w:val="en-US" w:eastAsia="zh-CN" w:bidi="ar-SA"/>
              </w:rPr>
            </w:pPr>
          </w:p>
          <w:p w14:paraId="3794BBC2">
            <w:pPr>
              <w:rPr>
                <w:rFonts w:hint="default"/>
                <w:color w:val="auto"/>
                <w:lang w:val="en-US" w:eastAsia="zh-CN"/>
              </w:rPr>
            </w:pPr>
          </w:p>
          <w:p w14:paraId="02073C5F">
            <w:pPr>
              <w:ind w:firstLine="480"/>
              <w:rPr>
                <w:rFonts w:hint="default" w:ascii="Times New Roman" w:hAnsi="Times New Roman" w:cs="Times New Roman"/>
                <w:color w:val="auto"/>
                <w:lang w:val="en-US"/>
              </w:rPr>
            </w:pPr>
          </w:p>
        </w:tc>
      </w:tr>
    </w:tbl>
    <w:p w14:paraId="11D8DF6E">
      <w:pPr>
        <w:adjustRightInd w:val="0"/>
        <w:snapToGrid w:val="0"/>
        <w:spacing w:line="240" w:lineRule="auto"/>
        <w:jc w:val="center"/>
        <w:rPr>
          <w:rFonts w:hint="default" w:ascii="Times New Roman" w:hAnsi="Times New Roman" w:cs="Times New Roman"/>
          <w:color w:val="auto"/>
          <w:kern w:val="21"/>
          <w:szCs w:val="21"/>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22"/>
        <w:gridCol w:w="13197"/>
      </w:tblGrid>
      <w:tr w14:paraId="2545FF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71" w:hRule="atLeast"/>
          <w:jc w:val="center"/>
        </w:trPr>
        <w:tc>
          <w:tcPr>
            <w:tcW w:w="622" w:type="dxa"/>
            <w:noWrap w:val="0"/>
            <w:vAlign w:val="center"/>
          </w:tcPr>
          <w:p w14:paraId="122A5617">
            <w:pPr>
              <w:rPr>
                <w:rFonts w:hint="default" w:ascii="Times New Roman" w:hAnsi="Times New Roman" w:cs="Times New Roman"/>
                <w:color w:val="auto"/>
                <w:kern w:val="21"/>
                <w:szCs w:val="21"/>
              </w:rPr>
            </w:pPr>
            <w:r>
              <w:rPr>
                <w:rFonts w:hint="default" w:ascii="Times New Roman" w:hAnsi="Times New Roman" w:eastAsia="仿宋_GB2312" w:cs="Times New Roman"/>
                <w:b/>
                <w:bCs/>
                <w:color w:val="auto"/>
              </w:rPr>
              <w:br w:type="page"/>
            </w:r>
          </w:p>
        </w:tc>
        <w:tc>
          <w:tcPr>
            <w:tcW w:w="13197" w:type="dxa"/>
            <w:noWrap w:val="0"/>
            <w:vAlign w:val="center"/>
          </w:tcPr>
          <w:p w14:paraId="43FE33AE">
            <w:pPr>
              <w:keepNext w:val="0"/>
              <w:keepLines w:val="0"/>
              <w:pageBreakBefore w:val="0"/>
              <w:widowControl w:val="0"/>
              <w:kinsoku/>
              <w:wordWrap/>
              <w:overflowPunct/>
              <w:topLinePunct w:val="0"/>
              <w:autoSpaceDE/>
              <w:autoSpaceDN/>
              <w:bidi w:val="0"/>
              <w:adjustRightInd/>
              <w:snapToGrid/>
              <w:spacing w:line="460" w:lineRule="exact"/>
              <w:jc w:val="center"/>
              <w:textAlignment w:val="auto"/>
              <w:rPr>
                <w:rFonts w:hint="default" w:ascii="Times New Roman" w:hAnsi="Times New Roman" w:eastAsia="宋体" w:cs="Times New Roman"/>
                <w:b/>
                <w:bCs/>
                <w:color w:val="auto"/>
                <w:kern w:val="0"/>
                <w:sz w:val="24"/>
                <w:szCs w:val="24"/>
                <w:highlight w:val="none"/>
                <w:lang w:val="en-US" w:eastAsia="zh-CN" w:bidi="ar-SA"/>
              </w:rPr>
            </w:pPr>
            <w:r>
              <w:rPr>
                <w:rFonts w:hint="default" w:ascii="Times New Roman" w:hAnsi="Times New Roman" w:eastAsia="宋体" w:cs="Times New Roman"/>
                <w:b/>
                <w:bCs/>
                <w:color w:val="auto"/>
                <w:sz w:val="24"/>
                <w:szCs w:val="24"/>
                <w:highlight w:val="none"/>
                <w:lang w:val="en-US" w:eastAsia="zh-CN"/>
              </w:rPr>
              <w:t xml:space="preserve">表2-9  </w:t>
            </w:r>
            <w:r>
              <w:rPr>
                <w:rFonts w:hint="default" w:ascii="Times New Roman" w:hAnsi="Times New Roman" w:eastAsia="宋体" w:cs="Times New Roman"/>
                <w:b/>
                <w:bCs/>
                <w:color w:val="auto"/>
                <w:kern w:val="0"/>
                <w:sz w:val="24"/>
                <w:szCs w:val="24"/>
                <w:highlight w:val="none"/>
                <w:lang w:val="en-US" w:eastAsia="zh-CN" w:bidi="ar-SA"/>
              </w:rPr>
              <w:t>本项目交叉工程工程量一览表</w:t>
            </w:r>
          </w:p>
          <w:tbl>
            <w:tblPr>
              <w:tblStyle w:val="30"/>
              <w:tblW w:w="1305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82"/>
              <w:gridCol w:w="1316"/>
              <w:gridCol w:w="772"/>
              <w:gridCol w:w="658"/>
              <w:gridCol w:w="599"/>
              <w:gridCol w:w="656"/>
              <w:gridCol w:w="678"/>
              <w:gridCol w:w="638"/>
              <w:gridCol w:w="638"/>
              <w:gridCol w:w="638"/>
              <w:gridCol w:w="696"/>
              <w:gridCol w:w="655"/>
              <w:gridCol w:w="873"/>
              <w:gridCol w:w="872"/>
              <w:gridCol w:w="737"/>
              <w:gridCol w:w="750"/>
              <w:gridCol w:w="1295"/>
            </w:tblGrid>
            <w:tr w14:paraId="277F4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582" w:type="dxa"/>
                  <w:vMerge w:val="restart"/>
                  <w:tcBorders>
                    <w:top w:val="single" w:color="000000" w:sz="8" w:space="0"/>
                    <w:left w:val="single" w:color="000000" w:sz="8" w:space="0"/>
                    <w:bottom w:val="single" w:color="000000" w:sz="4" w:space="0"/>
                    <w:right w:val="single" w:color="000000" w:sz="4" w:space="0"/>
                  </w:tcBorders>
                  <w:shd w:val="clear" w:color="auto" w:fill="auto"/>
                  <w:vAlign w:val="center"/>
                </w:tcPr>
                <w:p w14:paraId="09A8EA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序号</w:t>
                  </w:r>
                </w:p>
              </w:tc>
              <w:tc>
                <w:tcPr>
                  <w:tcW w:w="1316" w:type="dxa"/>
                  <w:vMerge w:val="restart"/>
                  <w:tcBorders>
                    <w:top w:val="single" w:color="000000" w:sz="8" w:space="0"/>
                    <w:left w:val="single" w:color="000000" w:sz="4" w:space="0"/>
                    <w:bottom w:val="single" w:color="000000" w:sz="4" w:space="0"/>
                    <w:right w:val="single" w:color="000000" w:sz="4" w:space="0"/>
                  </w:tcBorders>
                  <w:shd w:val="clear" w:color="auto" w:fill="auto"/>
                  <w:vAlign w:val="center"/>
                </w:tcPr>
                <w:p w14:paraId="11F834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原有交叉中心桩号</w:t>
                  </w:r>
                </w:p>
              </w:tc>
              <w:tc>
                <w:tcPr>
                  <w:tcW w:w="6628" w:type="dxa"/>
                  <w:gridSpan w:val="10"/>
                  <w:tcBorders>
                    <w:top w:val="single" w:color="000000" w:sz="8" w:space="0"/>
                    <w:left w:val="single" w:color="000000" w:sz="4" w:space="0"/>
                    <w:bottom w:val="single" w:color="000000" w:sz="4" w:space="0"/>
                    <w:right w:val="single" w:color="000000" w:sz="4" w:space="0"/>
                  </w:tcBorders>
                  <w:shd w:val="clear" w:color="auto" w:fill="auto"/>
                  <w:vAlign w:val="center"/>
                </w:tcPr>
                <w:p w14:paraId="3C4990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修建标准</w:t>
                  </w:r>
                </w:p>
              </w:tc>
              <w:tc>
                <w:tcPr>
                  <w:tcW w:w="3232" w:type="dxa"/>
                  <w:gridSpan w:val="4"/>
                  <w:tcBorders>
                    <w:top w:val="single" w:color="000000" w:sz="8" w:space="0"/>
                    <w:left w:val="single" w:color="000000" w:sz="4" w:space="0"/>
                    <w:bottom w:val="single" w:color="000000" w:sz="4" w:space="0"/>
                    <w:right w:val="single" w:color="000000" w:sz="4" w:space="0"/>
                  </w:tcBorders>
                  <w:shd w:val="clear" w:color="auto" w:fill="auto"/>
                  <w:vAlign w:val="center"/>
                </w:tcPr>
                <w:p w14:paraId="15C108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路面</w:t>
                  </w:r>
                </w:p>
              </w:tc>
              <w:tc>
                <w:tcPr>
                  <w:tcW w:w="1295" w:type="dxa"/>
                  <w:vMerge w:val="restart"/>
                  <w:tcBorders>
                    <w:top w:val="single" w:color="000000" w:sz="8" w:space="0"/>
                    <w:left w:val="single" w:color="000000" w:sz="4" w:space="0"/>
                    <w:bottom w:val="single" w:color="000000" w:sz="4" w:space="0"/>
                    <w:right w:val="single" w:color="000000" w:sz="8" w:space="0"/>
                  </w:tcBorders>
                  <w:shd w:val="clear" w:color="auto" w:fill="auto"/>
                  <w:vAlign w:val="center"/>
                </w:tcPr>
                <w:p w14:paraId="5B051C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备注</w:t>
                  </w:r>
                </w:p>
              </w:tc>
            </w:tr>
            <w:tr w14:paraId="14CDD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8" w:hRule="atLeast"/>
                <w:jc w:val="center"/>
              </w:trPr>
              <w:tc>
                <w:tcPr>
                  <w:tcW w:w="58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14:paraId="524E086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316" w:type="dxa"/>
                  <w:vMerge w:val="continue"/>
                  <w:tcBorders>
                    <w:top w:val="single" w:color="000000" w:sz="8" w:space="0"/>
                    <w:left w:val="single" w:color="000000" w:sz="4" w:space="0"/>
                    <w:bottom w:val="single" w:color="000000" w:sz="4" w:space="0"/>
                    <w:right w:val="single" w:color="000000" w:sz="4" w:space="0"/>
                  </w:tcBorders>
                  <w:shd w:val="clear" w:color="auto" w:fill="auto"/>
                  <w:vAlign w:val="center"/>
                </w:tcPr>
                <w:p w14:paraId="603AE2E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F4CFF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交叉形式</w:t>
                  </w:r>
                </w:p>
              </w:tc>
              <w:tc>
                <w:tcPr>
                  <w:tcW w:w="12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19F0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路基宽度</w:t>
                  </w:r>
                </w:p>
              </w:tc>
              <w:tc>
                <w:tcPr>
                  <w:tcW w:w="133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49A5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路面宽度</w:t>
                  </w:r>
                </w:p>
              </w:tc>
              <w:tc>
                <w:tcPr>
                  <w:tcW w:w="127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7E94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路面结构</w:t>
                  </w:r>
                </w:p>
              </w:tc>
              <w:tc>
                <w:tcPr>
                  <w:tcW w:w="133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4B4E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顺接长度</w:t>
                  </w:r>
                </w:p>
              </w:tc>
              <w:tc>
                <w:tcPr>
                  <w:tcW w:w="6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BCEE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交叉角度</w:t>
                  </w:r>
                </w:p>
              </w:tc>
              <w:tc>
                <w:tcPr>
                  <w:tcW w:w="87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2F4C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pacing w:val="-20"/>
                      <w:sz w:val="21"/>
                      <w:szCs w:val="21"/>
                      <w:highlight w:val="none"/>
                      <w:u w:val="none"/>
                    </w:rPr>
                  </w:pPr>
                  <w:r>
                    <w:rPr>
                      <w:rFonts w:hint="default" w:ascii="Times New Roman" w:hAnsi="Times New Roman" w:eastAsia="宋体" w:cs="Times New Roman"/>
                      <w:i w:val="0"/>
                      <w:iCs w:val="0"/>
                      <w:color w:val="auto"/>
                      <w:spacing w:val="-20"/>
                      <w:kern w:val="0"/>
                      <w:sz w:val="21"/>
                      <w:szCs w:val="21"/>
                      <w:highlight w:val="none"/>
                      <w:u w:val="none"/>
                      <w:lang w:val="en-US" w:eastAsia="zh-CN" w:bidi="ar"/>
                    </w:rPr>
                    <w:t>6.5cmAC-16改性沥青混凝土（均厚）</w:t>
                  </w:r>
                </w:p>
              </w:tc>
              <w:tc>
                <w:tcPr>
                  <w:tcW w:w="8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C157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pacing w:val="-20"/>
                      <w:sz w:val="21"/>
                      <w:szCs w:val="21"/>
                      <w:highlight w:val="none"/>
                      <w:u w:val="none"/>
                    </w:rPr>
                  </w:pPr>
                  <w:r>
                    <w:rPr>
                      <w:rFonts w:hint="default" w:ascii="Times New Roman" w:hAnsi="Times New Roman" w:eastAsia="宋体" w:cs="Times New Roman"/>
                      <w:i w:val="0"/>
                      <w:iCs w:val="0"/>
                      <w:color w:val="auto"/>
                      <w:spacing w:val="-20"/>
                      <w:kern w:val="0"/>
                      <w:sz w:val="21"/>
                      <w:szCs w:val="21"/>
                      <w:highlight w:val="none"/>
                      <w:u w:val="none"/>
                      <w:lang w:val="en-US" w:eastAsia="zh-CN" w:bidi="ar"/>
                    </w:rPr>
                    <w:t>8cmAC-16改性沥青混凝土（均厚）</w:t>
                  </w:r>
                </w:p>
              </w:tc>
              <w:tc>
                <w:tcPr>
                  <w:tcW w:w="7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9470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10cm碎石土</w:t>
                  </w:r>
                </w:p>
              </w:tc>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41F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3</w:t>
                  </w:r>
                  <w:r>
                    <w:rPr>
                      <w:rStyle w:val="97"/>
                      <w:rFonts w:hint="default" w:ascii="Times New Roman" w:hAnsi="Times New Roman" w:cs="Times New Roman"/>
                      <w:color w:val="auto"/>
                      <w:sz w:val="21"/>
                      <w:szCs w:val="21"/>
                      <w:highlight w:val="none"/>
                      <w:lang w:val="en-US" w:eastAsia="zh-CN" w:bidi="ar"/>
                    </w:rPr>
                    <w:t>cm砂土磨耗层</w:t>
                  </w:r>
                </w:p>
              </w:tc>
              <w:tc>
                <w:tcPr>
                  <w:tcW w:w="1295" w:type="dxa"/>
                  <w:vMerge w:val="continue"/>
                  <w:tcBorders>
                    <w:top w:val="single" w:color="000000" w:sz="8" w:space="0"/>
                    <w:left w:val="single" w:color="000000" w:sz="4" w:space="0"/>
                    <w:bottom w:val="single" w:color="000000" w:sz="4" w:space="0"/>
                    <w:right w:val="single" w:color="000000" w:sz="8" w:space="0"/>
                  </w:tcBorders>
                  <w:shd w:val="clear" w:color="auto" w:fill="auto"/>
                  <w:vAlign w:val="center"/>
                </w:tcPr>
                <w:p w14:paraId="0D877BA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69F3F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71" w:hRule="atLeast"/>
                <w:jc w:val="center"/>
              </w:trPr>
              <w:tc>
                <w:tcPr>
                  <w:tcW w:w="58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14:paraId="3162C27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316" w:type="dxa"/>
                  <w:vMerge w:val="continue"/>
                  <w:tcBorders>
                    <w:top w:val="single" w:color="000000" w:sz="8" w:space="0"/>
                    <w:left w:val="single" w:color="000000" w:sz="4" w:space="0"/>
                    <w:bottom w:val="single" w:color="000000" w:sz="4" w:space="0"/>
                    <w:right w:val="single" w:color="000000" w:sz="4" w:space="0"/>
                  </w:tcBorders>
                  <w:shd w:val="clear" w:color="auto" w:fill="auto"/>
                  <w:vAlign w:val="center"/>
                </w:tcPr>
                <w:p w14:paraId="2C10890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A859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2C2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6F3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2D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338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78F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50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192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B24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w:t>
                  </w:r>
                </w:p>
              </w:tc>
              <w:tc>
                <w:tcPr>
                  <w:tcW w:w="6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BCB81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B5E00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48F5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6BCD3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EB40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vMerge w:val="continue"/>
                  <w:tcBorders>
                    <w:top w:val="single" w:color="000000" w:sz="8" w:space="0"/>
                    <w:left w:val="single" w:color="000000" w:sz="4" w:space="0"/>
                    <w:bottom w:val="single" w:color="000000" w:sz="4" w:space="0"/>
                    <w:right w:val="single" w:color="000000" w:sz="8" w:space="0"/>
                  </w:tcBorders>
                  <w:shd w:val="clear" w:color="auto" w:fill="auto"/>
                  <w:vAlign w:val="center"/>
                </w:tcPr>
                <w:p w14:paraId="0CFEFC1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23F37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jc w:val="center"/>
              </w:trPr>
              <w:tc>
                <w:tcPr>
                  <w:tcW w:w="58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14:paraId="76FB61C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316" w:type="dxa"/>
                  <w:vMerge w:val="continue"/>
                  <w:tcBorders>
                    <w:top w:val="single" w:color="000000" w:sz="8" w:space="0"/>
                    <w:left w:val="single" w:color="000000" w:sz="4" w:space="0"/>
                    <w:bottom w:val="single" w:color="000000" w:sz="4" w:space="0"/>
                    <w:right w:val="single" w:color="000000" w:sz="4" w:space="0"/>
                  </w:tcBorders>
                  <w:shd w:val="clear" w:color="auto" w:fill="auto"/>
                  <w:vAlign w:val="center"/>
                </w:tcPr>
                <w:p w14:paraId="2F515E5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5036F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91C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71C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063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ED4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D54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0F5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447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7F64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p>
              </w:tc>
              <w:tc>
                <w:tcPr>
                  <w:tcW w:w="6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8230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890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r>
                    <w:rPr>
                      <w:rStyle w:val="98"/>
                      <w:rFonts w:hint="default" w:ascii="Times New Roman" w:hAnsi="Times New Roman" w:eastAsia="宋体" w:cs="Times New Roman"/>
                      <w:color w:val="auto"/>
                      <w:sz w:val="21"/>
                      <w:szCs w:val="21"/>
                      <w:highlight w:val="none"/>
                      <w:lang w:val="en-US" w:eastAsia="zh-CN" w:bidi="ar"/>
                    </w:rPr>
                    <w:t>2</w:t>
                  </w:r>
                  <w:r>
                    <w:rPr>
                      <w:rStyle w:val="58"/>
                      <w:rFonts w:hint="default" w:ascii="Times New Roman" w:hAnsi="Times New Roman" w:eastAsia="宋体" w:cs="Times New Roman"/>
                      <w:color w:val="auto"/>
                      <w:sz w:val="21"/>
                      <w:szCs w:val="21"/>
                      <w:highlight w:val="none"/>
                      <w:lang w:val="en-US" w:eastAsia="zh-CN" w:bidi="ar"/>
                    </w:rPr>
                    <w:t>)</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07A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r>
                    <w:rPr>
                      <w:rStyle w:val="98"/>
                      <w:rFonts w:hint="default" w:ascii="Times New Roman" w:hAnsi="Times New Roman" w:eastAsia="宋体" w:cs="Times New Roman"/>
                      <w:color w:val="auto"/>
                      <w:sz w:val="21"/>
                      <w:szCs w:val="21"/>
                      <w:highlight w:val="none"/>
                      <w:lang w:val="en-US" w:eastAsia="zh-CN" w:bidi="ar"/>
                    </w:rPr>
                    <w:t>2</w:t>
                  </w:r>
                  <w:r>
                    <w:rPr>
                      <w:rStyle w:val="58"/>
                      <w:rFonts w:hint="default" w:ascii="Times New Roman" w:hAnsi="Times New Roman" w:eastAsia="宋体" w:cs="Times New Roman"/>
                      <w:color w:val="auto"/>
                      <w:sz w:val="21"/>
                      <w:szCs w:val="21"/>
                      <w:highlight w:val="none"/>
                      <w:lang w:val="en-US" w:eastAsia="zh-CN" w:bidi="ar"/>
                    </w:rPr>
                    <w:t>)</w:t>
                  </w: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0E0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r>
                    <w:rPr>
                      <w:rStyle w:val="98"/>
                      <w:rFonts w:hint="default" w:ascii="Times New Roman" w:hAnsi="Times New Roman" w:eastAsia="宋体" w:cs="Times New Roman"/>
                      <w:color w:val="auto"/>
                      <w:sz w:val="21"/>
                      <w:szCs w:val="21"/>
                      <w:highlight w:val="none"/>
                      <w:lang w:val="en-US" w:eastAsia="zh-CN" w:bidi="ar"/>
                    </w:rPr>
                    <w:t>2)</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442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(m</w:t>
                  </w:r>
                  <w:r>
                    <w:rPr>
                      <w:rStyle w:val="98"/>
                      <w:rFonts w:hint="default" w:ascii="Times New Roman" w:hAnsi="Times New Roman" w:eastAsia="宋体" w:cs="Times New Roman"/>
                      <w:color w:val="auto"/>
                      <w:sz w:val="21"/>
                      <w:szCs w:val="21"/>
                      <w:highlight w:val="none"/>
                      <w:lang w:val="en-US" w:eastAsia="zh-CN" w:bidi="ar"/>
                    </w:rPr>
                    <w:t>2</w:t>
                  </w:r>
                  <w:r>
                    <w:rPr>
                      <w:rStyle w:val="58"/>
                      <w:rFonts w:hint="default" w:ascii="Times New Roman" w:hAnsi="Times New Roman" w:eastAsia="宋体" w:cs="Times New Roman"/>
                      <w:color w:val="auto"/>
                      <w:sz w:val="21"/>
                      <w:szCs w:val="21"/>
                      <w:highlight w:val="none"/>
                      <w:lang w:val="en-US" w:eastAsia="zh-CN" w:bidi="ar"/>
                    </w:rPr>
                    <w:t>)</w:t>
                  </w:r>
                </w:p>
              </w:tc>
              <w:tc>
                <w:tcPr>
                  <w:tcW w:w="1295" w:type="dxa"/>
                  <w:vMerge w:val="continue"/>
                  <w:tcBorders>
                    <w:top w:val="single" w:color="000000" w:sz="8" w:space="0"/>
                    <w:left w:val="single" w:color="000000" w:sz="4" w:space="0"/>
                    <w:bottom w:val="single" w:color="000000" w:sz="4" w:space="0"/>
                    <w:right w:val="single" w:color="000000" w:sz="8" w:space="0"/>
                  </w:tcBorders>
                  <w:shd w:val="clear" w:color="auto" w:fill="auto"/>
                  <w:vAlign w:val="center"/>
                </w:tcPr>
                <w:p w14:paraId="7E46D2F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21B47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597788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52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K186+507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2BB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3B79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BAC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36D2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64A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76D5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596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74B6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67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937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E590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D7E6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C44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77F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30AD69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7F56D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56B27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3E9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K186+846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6E9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78CF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A8F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34AE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36F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6891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751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F9F1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C63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B5E6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E6AD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C660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677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5D1F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543D621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3BCB3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2B2187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E84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K187+801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9CD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8C2A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20F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EABD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4E9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5EE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29E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B0C4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C633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6753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BB8F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3577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93A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9AB5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EC1CEE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715B5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4ADAF0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B66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K188+055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BD89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CF5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208A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E41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E2A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C47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25B5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E4B4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3EE5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356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07F9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7F3D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D5F2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D57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4346A5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3309E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028C04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AB0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K190+122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4C00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270A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C8E0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A442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5D4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251D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D52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5B2A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E5B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13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0330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311B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924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0F9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FB773F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622D9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02F3B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654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K190+873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E29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25C2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0C9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20A6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7B6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9C12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99F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BB33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E46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D23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DAD4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CEE4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FB3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741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499FA7A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26E19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5EE1A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7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2B26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K190+987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6A3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十字</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4B7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B01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0D1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31E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697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A5B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D8C0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571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63FE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15E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55.8 </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6AFC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B94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946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8322DA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720EB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AB169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8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B50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K191+606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BE6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9A36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782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4E52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84B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6762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BF2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958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3B8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887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1264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F862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CA30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26E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D96FCC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0FE01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32172C2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9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227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K192+970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57B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BEE5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589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1563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486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9A8E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5D5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7ABE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91A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6DD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DF22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F857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58C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D2C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C6E518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6A287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B4DCAF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E97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K194+530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24D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EBE3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0865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A17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CE4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201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02C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F70B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8FE0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43B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2F6C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55.8 </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EC11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096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D11F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13447AF">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0E1A3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03AF44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11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3163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K194+771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76E3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A73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1517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208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0577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830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A3B1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403C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791C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6D2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DFCD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6E3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D12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2617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75CBBA2">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753E8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0E2E8B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12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34E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K196+000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245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1C1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501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7EC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AD71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9FF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DB846">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163C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656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887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8899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E1EC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5D4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46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7C23793">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4C915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AFE89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13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54A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K196+381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0A4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513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D86A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C09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87C1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F2A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CB2D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A5F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97F5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199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FCD7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FF67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D92F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059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5042BD56">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15A93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5EAE6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14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A1A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K196+540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6C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4E04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2CA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F536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56DB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4EC4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28F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4D76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CC1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4C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3CC1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AAD2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B04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1BC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1EADBA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01249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6DE1D97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15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ECB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K197+368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040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十字</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D35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AF4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788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1C9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352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242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FE1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EFE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1AF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C6B7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1B8C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3DE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C6F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2E6946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6B1C8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3C8926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16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989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K198+452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E37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054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266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48F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AB3C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5E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0314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C1E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B56C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4DD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308E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7351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516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585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5515883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6CE2F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603E32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17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6D1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K198+988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868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8F70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CA1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0974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56F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EA27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CD57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699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640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9D2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8AAB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0F55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F64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D372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044365B">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4BE66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32A2A56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18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535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K199+027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4600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CB5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92E3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456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8878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DF32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C282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6BD3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3E29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3A0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5D3A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AFBD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384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048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C712063">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32F839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07D6F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19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F98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K199+430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3F2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8A3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9977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BEB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EBDF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8CD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BE66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EF6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4A67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C92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1850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B7E4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0967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4C7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35C67DB">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61721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4EDAD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20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69A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K199+580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8FF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3752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609B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210B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CCC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3511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14A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2B9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701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533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FF09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040D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64AF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F012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50A1D3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0540C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51F7DFA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21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BE9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K199+751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F7E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十字</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E1E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F8D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DF2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762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1D76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41D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45AB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9B2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6A06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575D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10CA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963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BE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A4DC8E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38D6F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019FA9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22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8B07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K199+834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5E6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96F8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AFE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2256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A30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6E83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52D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505F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C97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768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181B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FEF3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7DE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BE4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9C0396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78C91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6972AD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23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843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K200+324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47D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FF8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A35B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906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B4B1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6AF0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A83D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E932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614B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069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C837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D779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C19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91F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315358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r>
            <w:tr w14:paraId="41A4D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A8B71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24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545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K200+431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2AFA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4963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219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6.0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1B67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F6E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6.0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0F03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DFE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1CA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185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ACC5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FAC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70.8 </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03A5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544A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9F68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E1CA8DC">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0ECA3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1E6B20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25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EEE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K200+648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80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21C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12.0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BD93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679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12.0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D758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3EE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7496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811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2FB41">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E060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032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70.8 </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067F4">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9337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DAC5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4990FEC5">
                  <w:pPr>
                    <w:keepNext w:val="0"/>
                    <w:keepLines w:val="0"/>
                    <w:pageBreakBefore w:val="0"/>
                    <w:kinsoku/>
                    <w:wordWrap/>
                    <w:overflowPunct/>
                    <w:topLinePunct w:val="0"/>
                    <w:autoSpaceDE/>
                    <w:autoSpaceDN/>
                    <w:bidi w:val="0"/>
                    <w:adjustRightInd/>
                    <w:snapToGrid/>
                    <w:spacing w:line="240" w:lineRule="auto"/>
                    <w:rPr>
                      <w:rFonts w:hint="default" w:ascii="Times New Roman" w:hAnsi="Times New Roman" w:eastAsia="宋体" w:cs="Times New Roman"/>
                      <w:i w:val="0"/>
                      <w:iCs w:val="0"/>
                      <w:color w:val="auto"/>
                      <w:sz w:val="21"/>
                      <w:szCs w:val="21"/>
                      <w:highlight w:val="none"/>
                      <w:u w:val="none"/>
                    </w:rPr>
                  </w:pPr>
                </w:p>
              </w:tc>
            </w:tr>
            <w:tr w14:paraId="0CBF7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59FD1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26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826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兴凯镇</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612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D7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C893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25B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0DD8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33E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7C79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3CF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55 </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9E36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1FC6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CB94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81DD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3FF9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366.3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8D4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366.3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3AD53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Style w:val="97"/>
                      <w:rFonts w:hint="default" w:ascii="Times New Roman" w:hAnsi="Times New Roman" w:cs="Times New Roman"/>
                      <w:color w:val="auto"/>
                      <w:sz w:val="21"/>
                      <w:szCs w:val="21"/>
                      <w:highlight w:val="none"/>
                      <w:lang w:val="en-US" w:eastAsia="zh-CN" w:bidi="ar"/>
                    </w:rPr>
                    <w:t>左侧砂石路</w:t>
                  </w:r>
                  <w:r>
                    <w:rPr>
                      <w:rStyle w:val="58"/>
                      <w:rFonts w:hint="default" w:ascii="Times New Roman" w:hAnsi="Times New Roman" w:eastAsia="宋体" w:cs="Times New Roman"/>
                      <w:color w:val="auto"/>
                      <w:sz w:val="21"/>
                      <w:szCs w:val="21"/>
                      <w:highlight w:val="none"/>
                      <w:lang w:val="en-US" w:eastAsia="zh-CN" w:bidi="ar"/>
                    </w:rPr>
                    <w:t>11</w:t>
                  </w:r>
                  <w:r>
                    <w:rPr>
                      <w:rStyle w:val="97"/>
                      <w:rFonts w:hint="default" w:ascii="Times New Roman" w:hAnsi="Times New Roman" w:cs="Times New Roman"/>
                      <w:color w:val="auto"/>
                      <w:sz w:val="21"/>
                      <w:szCs w:val="21"/>
                      <w:highlight w:val="none"/>
                      <w:lang w:val="en-US" w:eastAsia="zh-CN" w:bidi="ar"/>
                    </w:rPr>
                    <w:t>条</w:t>
                  </w:r>
                  <w:r>
                    <w:rPr>
                      <w:rStyle w:val="58"/>
                      <w:rFonts w:hint="eastAsia" w:ascii="Times New Roman" w:hAnsi="Times New Roman" w:eastAsia="宋体" w:cs="Times New Roman"/>
                      <w:color w:val="auto"/>
                      <w:sz w:val="21"/>
                      <w:szCs w:val="21"/>
                      <w:highlight w:val="none"/>
                      <w:lang w:val="en-US" w:eastAsia="zh-CN" w:bidi="ar"/>
                    </w:rPr>
                    <w:t>，</w:t>
                  </w:r>
                  <w:r>
                    <w:rPr>
                      <w:rStyle w:val="97"/>
                      <w:rFonts w:hint="default" w:ascii="Times New Roman" w:hAnsi="Times New Roman" w:cs="Times New Roman"/>
                      <w:color w:val="auto"/>
                      <w:sz w:val="21"/>
                      <w:szCs w:val="21"/>
                      <w:highlight w:val="none"/>
                      <w:lang w:val="en-US" w:eastAsia="zh-CN" w:bidi="ar"/>
                    </w:rPr>
                    <w:t>每条顺接</w:t>
                  </w:r>
                  <w:r>
                    <w:rPr>
                      <w:rStyle w:val="58"/>
                      <w:rFonts w:hint="default" w:ascii="Times New Roman" w:hAnsi="Times New Roman" w:eastAsia="宋体" w:cs="Times New Roman"/>
                      <w:color w:val="auto"/>
                      <w:sz w:val="21"/>
                      <w:szCs w:val="21"/>
                      <w:highlight w:val="none"/>
                      <w:lang w:val="en-US" w:eastAsia="zh-CN" w:bidi="ar"/>
                    </w:rPr>
                    <w:t>5m</w:t>
                  </w:r>
                </w:p>
              </w:tc>
            </w:tr>
            <w:tr w14:paraId="19254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8" w:space="0"/>
                    <w:right w:val="single" w:color="000000" w:sz="4" w:space="0"/>
                  </w:tcBorders>
                  <w:shd w:val="clear" w:color="auto" w:fill="auto"/>
                  <w:vAlign w:val="center"/>
                </w:tcPr>
                <w:p w14:paraId="3EDA6A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27 </w:t>
                  </w:r>
                </w:p>
              </w:tc>
              <w:tc>
                <w:tcPr>
                  <w:tcW w:w="1316" w:type="dxa"/>
                  <w:tcBorders>
                    <w:top w:val="single" w:color="000000" w:sz="4" w:space="0"/>
                    <w:left w:val="single" w:color="000000" w:sz="4" w:space="0"/>
                    <w:bottom w:val="single" w:color="000000" w:sz="8" w:space="0"/>
                    <w:right w:val="single" w:color="000000" w:sz="4" w:space="0"/>
                  </w:tcBorders>
                  <w:shd w:val="clear" w:color="auto" w:fill="auto"/>
                  <w:vAlign w:val="center"/>
                </w:tcPr>
                <w:p w14:paraId="539E2F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兴凯镇</w:t>
                  </w:r>
                </w:p>
              </w:tc>
              <w:tc>
                <w:tcPr>
                  <w:tcW w:w="772" w:type="dxa"/>
                  <w:tcBorders>
                    <w:top w:val="single" w:color="000000" w:sz="4" w:space="0"/>
                    <w:left w:val="single" w:color="000000" w:sz="4" w:space="0"/>
                    <w:bottom w:val="single" w:color="000000" w:sz="8" w:space="0"/>
                    <w:right w:val="single" w:color="000000" w:sz="4" w:space="0"/>
                  </w:tcBorders>
                  <w:shd w:val="clear" w:color="auto" w:fill="auto"/>
                  <w:vAlign w:val="center"/>
                </w:tcPr>
                <w:p w14:paraId="15BCA6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single" w:color="000000" w:sz="4" w:space="0"/>
                    <w:left w:val="single" w:color="000000" w:sz="4" w:space="0"/>
                    <w:bottom w:val="single" w:color="000000" w:sz="8" w:space="0"/>
                    <w:right w:val="single" w:color="000000" w:sz="4" w:space="0"/>
                  </w:tcBorders>
                  <w:shd w:val="clear" w:color="auto" w:fill="auto"/>
                  <w:vAlign w:val="center"/>
                </w:tcPr>
                <w:p w14:paraId="2F5EA92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599" w:type="dxa"/>
                  <w:tcBorders>
                    <w:top w:val="single" w:color="000000" w:sz="4" w:space="0"/>
                    <w:left w:val="single" w:color="000000" w:sz="4" w:space="0"/>
                    <w:bottom w:val="single" w:color="000000" w:sz="8" w:space="0"/>
                    <w:right w:val="single" w:color="000000" w:sz="4" w:space="0"/>
                  </w:tcBorders>
                  <w:shd w:val="clear" w:color="auto" w:fill="auto"/>
                  <w:vAlign w:val="center"/>
                </w:tcPr>
                <w:p w14:paraId="4A5B797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single" w:color="000000" w:sz="4" w:space="0"/>
                    <w:left w:val="single" w:color="000000" w:sz="4" w:space="0"/>
                    <w:bottom w:val="single" w:color="000000" w:sz="8" w:space="0"/>
                    <w:right w:val="single" w:color="000000" w:sz="4" w:space="0"/>
                  </w:tcBorders>
                  <w:shd w:val="clear" w:color="auto" w:fill="auto"/>
                  <w:vAlign w:val="center"/>
                </w:tcPr>
                <w:p w14:paraId="34730D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78" w:type="dxa"/>
                  <w:tcBorders>
                    <w:top w:val="single" w:color="000000" w:sz="4" w:space="0"/>
                    <w:left w:val="single" w:color="000000" w:sz="4" w:space="0"/>
                    <w:bottom w:val="single" w:color="000000" w:sz="8" w:space="0"/>
                    <w:right w:val="single" w:color="000000" w:sz="4" w:space="0"/>
                  </w:tcBorders>
                  <w:shd w:val="clear" w:color="auto" w:fill="auto"/>
                  <w:vAlign w:val="center"/>
                </w:tcPr>
                <w:p w14:paraId="1CC7EA3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8" w:space="0"/>
                    <w:right w:val="single" w:color="000000" w:sz="4" w:space="0"/>
                  </w:tcBorders>
                  <w:shd w:val="clear" w:color="auto" w:fill="auto"/>
                  <w:vAlign w:val="center"/>
                </w:tcPr>
                <w:p w14:paraId="73092C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8" w:space="0"/>
                    <w:right w:val="single" w:color="000000" w:sz="4" w:space="0"/>
                  </w:tcBorders>
                  <w:shd w:val="clear" w:color="auto" w:fill="auto"/>
                  <w:vAlign w:val="center"/>
                </w:tcPr>
                <w:p w14:paraId="3FA42EB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8" w:space="0"/>
                    <w:right w:val="single" w:color="000000" w:sz="4" w:space="0"/>
                  </w:tcBorders>
                  <w:shd w:val="clear" w:color="auto" w:fill="auto"/>
                  <w:vAlign w:val="center"/>
                </w:tcPr>
                <w:p w14:paraId="32D147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30 </w:t>
                  </w:r>
                </w:p>
              </w:tc>
              <w:tc>
                <w:tcPr>
                  <w:tcW w:w="696" w:type="dxa"/>
                  <w:tcBorders>
                    <w:top w:val="single" w:color="000000" w:sz="4" w:space="0"/>
                    <w:left w:val="single" w:color="000000" w:sz="4" w:space="0"/>
                    <w:bottom w:val="single" w:color="000000" w:sz="8" w:space="0"/>
                    <w:right w:val="single" w:color="000000" w:sz="4" w:space="0"/>
                  </w:tcBorders>
                  <w:shd w:val="clear" w:color="auto" w:fill="auto"/>
                  <w:vAlign w:val="center"/>
                </w:tcPr>
                <w:p w14:paraId="637DCFE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single" w:color="000000" w:sz="4" w:space="0"/>
                    <w:left w:val="single" w:color="000000" w:sz="4" w:space="0"/>
                    <w:bottom w:val="single" w:color="000000" w:sz="8" w:space="0"/>
                    <w:right w:val="single" w:color="000000" w:sz="4" w:space="0"/>
                  </w:tcBorders>
                  <w:shd w:val="clear" w:color="auto" w:fill="auto"/>
                  <w:vAlign w:val="center"/>
                </w:tcPr>
                <w:p w14:paraId="76CABE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8" w:space="0"/>
                    <w:right w:val="single" w:color="000000" w:sz="4" w:space="0"/>
                  </w:tcBorders>
                  <w:shd w:val="clear" w:color="auto" w:fill="auto"/>
                  <w:vAlign w:val="center"/>
                </w:tcPr>
                <w:p w14:paraId="58DE7F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334.80 </w:t>
                  </w:r>
                </w:p>
              </w:tc>
              <w:tc>
                <w:tcPr>
                  <w:tcW w:w="872" w:type="dxa"/>
                  <w:tcBorders>
                    <w:top w:val="single" w:color="000000" w:sz="4" w:space="0"/>
                    <w:left w:val="single" w:color="000000" w:sz="4" w:space="0"/>
                    <w:bottom w:val="single" w:color="000000" w:sz="8" w:space="0"/>
                    <w:right w:val="single" w:color="000000" w:sz="4" w:space="0"/>
                  </w:tcBorders>
                  <w:shd w:val="clear" w:color="auto" w:fill="auto"/>
                  <w:vAlign w:val="center"/>
                </w:tcPr>
                <w:p w14:paraId="5966F86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8" w:space="0"/>
                    <w:right w:val="single" w:color="000000" w:sz="4" w:space="0"/>
                  </w:tcBorders>
                  <w:shd w:val="clear" w:color="auto" w:fill="auto"/>
                  <w:vAlign w:val="center"/>
                </w:tcPr>
                <w:p w14:paraId="29B1F92B">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single" w:color="000000" w:sz="4" w:space="0"/>
                    <w:left w:val="single" w:color="000000" w:sz="4" w:space="0"/>
                    <w:bottom w:val="single" w:color="000000" w:sz="8" w:space="0"/>
                    <w:right w:val="single" w:color="000000" w:sz="4" w:space="0"/>
                  </w:tcBorders>
                  <w:shd w:val="clear" w:color="auto" w:fill="auto"/>
                  <w:vAlign w:val="center"/>
                </w:tcPr>
                <w:p w14:paraId="5C4A4DF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single" w:color="000000" w:sz="4" w:space="0"/>
                    <w:left w:val="single" w:color="000000" w:sz="4" w:space="0"/>
                    <w:bottom w:val="single" w:color="000000" w:sz="8" w:space="0"/>
                    <w:right w:val="single" w:color="000000" w:sz="8" w:space="0"/>
                  </w:tcBorders>
                  <w:shd w:val="clear" w:color="auto" w:fill="auto"/>
                  <w:vAlign w:val="center"/>
                </w:tcPr>
                <w:p w14:paraId="343804A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Style w:val="97"/>
                      <w:rFonts w:hint="default" w:ascii="Times New Roman" w:hAnsi="Times New Roman" w:cs="Times New Roman"/>
                      <w:color w:val="auto"/>
                      <w:sz w:val="21"/>
                      <w:szCs w:val="21"/>
                      <w:highlight w:val="none"/>
                      <w:lang w:val="en-US" w:eastAsia="zh-CN" w:bidi="ar"/>
                    </w:rPr>
                    <w:t>左侧砼路</w:t>
                  </w:r>
                  <w:r>
                    <w:rPr>
                      <w:rStyle w:val="58"/>
                      <w:rFonts w:hint="default" w:ascii="Times New Roman" w:hAnsi="Times New Roman" w:eastAsia="宋体" w:cs="Times New Roman"/>
                      <w:color w:val="auto"/>
                      <w:sz w:val="21"/>
                      <w:szCs w:val="21"/>
                      <w:highlight w:val="none"/>
                      <w:lang w:val="en-US" w:eastAsia="zh-CN" w:bidi="ar"/>
                    </w:rPr>
                    <w:t>6</w:t>
                  </w:r>
                  <w:r>
                    <w:rPr>
                      <w:rStyle w:val="97"/>
                      <w:rFonts w:hint="default" w:ascii="Times New Roman" w:hAnsi="Times New Roman" w:cs="Times New Roman"/>
                      <w:color w:val="auto"/>
                      <w:sz w:val="21"/>
                      <w:szCs w:val="21"/>
                      <w:highlight w:val="none"/>
                      <w:lang w:val="en-US" w:eastAsia="zh-CN" w:bidi="ar"/>
                    </w:rPr>
                    <w:t>条，每条顺接</w:t>
                  </w:r>
                  <w:r>
                    <w:rPr>
                      <w:rStyle w:val="58"/>
                      <w:rFonts w:hint="default" w:ascii="Times New Roman" w:hAnsi="Times New Roman" w:eastAsia="宋体" w:cs="Times New Roman"/>
                      <w:color w:val="auto"/>
                      <w:sz w:val="21"/>
                      <w:szCs w:val="21"/>
                      <w:highlight w:val="none"/>
                      <w:lang w:val="en-US" w:eastAsia="zh-CN" w:bidi="ar"/>
                    </w:rPr>
                    <w:t>10m</w:t>
                  </w:r>
                </w:p>
              </w:tc>
            </w:tr>
            <w:tr w14:paraId="55591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nil"/>
                    <w:left w:val="single" w:color="000000" w:sz="8" w:space="0"/>
                    <w:bottom w:val="single" w:color="000000" w:sz="4" w:space="0"/>
                    <w:right w:val="single" w:color="000000" w:sz="4" w:space="0"/>
                  </w:tcBorders>
                  <w:shd w:val="clear" w:color="auto" w:fill="auto"/>
                  <w:vAlign w:val="center"/>
                </w:tcPr>
                <w:p w14:paraId="16B025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28 </w:t>
                  </w:r>
                </w:p>
              </w:tc>
              <w:tc>
                <w:tcPr>
                  <w:tcW w:w="1316" w:type="dxa"/>
                  <w:tcBorders>
                    <w:top w:val="nil"/>
                    <w:left w:val="single" w:color="000000" w:sz="4" w:space="0"/>
                    <w:bottom w:val="single" w:color="000000" w:sz="4" w:space="0"/>
                    <w:right w:val="single" w:color="000000" w:sz="4" w:space="0"/>
                  </w:tcBorders>
                  <w:shd w:val="clear" w:color="auto" w:fill="auto"/>
                  <w:vAlign w:val="center"/>
                </w:tcPr>
                <w:p w14:paraId="220753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兴凯镇</w:t>
                  </w:r>
                </w:p>
              </w:tc>
              <w:tc>
                <w:tcPr>
                  <w:tcW w:w="772" w:type="dxa"/>
                  <w:tcBorders>
                    <w:top w:val="nil"/>
                    <w:left w:val="single" w:color="000000" w:sz="4" w:space="0"/>
                    <w:bottom w:val="single" w:color="000000" w:sz="4" w:space="0"/>
                    <w:right w:val="single" w:color="000000" w:sz="4" w:space="0"/>
                  </w:tcBorders>
                  <w:shd w:val="clear" w:color="auto" w:fill="auto"/>
                  <w:vAlign w:val="center"/>
                </w:tcPr>
                <w:p w14:paraId="0E9507F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左T</w:t>
                  </w:r>
                </w:p>
              </w:tc>
              <w:tc>
                <w:tcPr>
                  <w:tcW w:w="658" w:type="dxa"/>
                  <w:tcBorders>
                    <w:top w:val="nil"/>
                    <w:left w:val="single" w:color="000000" w:sz="4" w:space="0"/>
                    <w:bottom w:val="single" w:color="000000" w:sz="4" w:space="0"/>
                    <w:right w:val="single" w:color="000000" w:sz="4" w:space="0"/>
                  </w:tcBorders>
                  <w:shd w:val="clear" w:color="auto" w:fill="auto"/>
                  <w:vAlign w:val="center"/>
                </w:tcPr>
                <w:p w14:paraId="13EA5F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11.0 </w:t>
                  </w:r>
                </w:p>
              </w:tc>
              <w:tc>
                <w:tcPr>
                  <w:tcW w:w="599" w:type="dxa"/>
                  <w:tcBorders>
                    <w:top w:val="nil"/>
                    <w:left w:val="single" w:color="000000" w:sz="4" w:space="0"/>
                    <w:bottom w:val="single" w:color="000000" w:sz="4" w:space="0"/>
                    <w:right w:val="single" w:color="000000" w:sz="4" w:space="0"/>
                  </w:tcBorders>
                  <w:shd w:val="clear" w:color="auto" w:fill="auto"/>
                  <w:vAlign w:val="center"/>
                </w:tcPr>
                <w:p w14:paraId="4162455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6" w:type="dxa"/>
                  <w:tcBorders>
                    <w:top w:val="nil"/>
                    <w:left w:val="single" w:color="000000" w:sz="4" w:space="0"/>
                    <w:bottom w:val="single" w:color="000000" w:sz="4" w:space="0"/>
                    <w:right w:val="single" w:color="000000" w:sz="4" w:space="0"/>
                  </w:tcBorders>
                  <w:shd w:val="clear" w:color="auto" w:fill="auto"/>
                  <w:vAlign w:val="center"/>
                </w:tcPr>
                <w:p w14:paraId="472AFB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11.0 </w:t>
                  </w:r>
                </w:p>
              </w:tc>
              <w:tc>
                <w:tcPr>
                  <w:tcW w:w="678" w:type="dxa"/>
                  <w:tcBorders>
                    <w:top w:val="nil"/>
                    <w:left w:val="single" w:color="000000" w:sz="4" w:space="0"/>
                    <w:bottom w:val="single" w:color="000000" w:sz="4" w:space="0"/>
                    <w:right w:val="single" w:color="000000" w:sz="4" w:space="0"/>
                  </w:tcBorders>
                  <w:shd w:val="clear" w:color="auto" w:fill="auto"/>
                  <w:vAlign w:val="center"/>
                </w:tcPr>
                <w:p w14:paraId="5E744E7C">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nil"/>
                    <w:left w:val="single" w:color="000000" w:sz="4" w:space="0"/>
                    <w:bottom w:val="single" w:color="000000" w:sz="4" w:space="0"/>
                    <w:right w:val="single" w:color="000000" w:sz="4" w:space="0"/>
                  </w:tcBorders>
                  <w:shd w:val="clear" w:color="auto" w:fill="auto"/>
                  <w:vAlign w:val="center"/>
                </w:tcPr>
                <w:p w14:paraId="223ACE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沥青</w:t>
                  </w:r>
                </w:p>
              </w:tc>
              <w:tc>
                <w:tcPr>
                  <w:tcW w:w="638" w:type="dxa"/>
                  <w:tcBorders>
                    <w:top w:val="nil"/>
                    <w:left w:val="single" w:color="000000" w:sz="4" w:space="0"/>
                    <w:bottom w:val="single" w:color="000000" w:sz="4" w:space="0"/>
                    <w:right w:val="single" w:color="000000" w:sz="4" w:space="0"/>
                  </w:tcBorders>
                  <w:shd w:val="clear" w:color="auto" w:fill="auto"/>
                  <w:vAlign w:val="center"/>
                </w:tcPr>
                <w:p w14:paraId="4221DAE7">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nil"/>
                    <w:left w:val="single" w:color="000000" w:sz="4" w:space="0"/>
                    <w:bottom w:val="single" w:color="000000" w:sz="4" w:space="0"/>
                    <w:right w:val="single" w:color="000000" w:sz="4" w:space="0"/>
                  </w:tcBorders>
                  <w:shd w:val="clear" w:color="auto" w:fill="auto"/>
                  <w:vAlign w:val="center"/>
                </w:tcPr>
                <w:p w14:paraId="29642B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20 </w:t>
                  </w:r>
                </w:p>
              </w:tc>
              <w:tc>
                <w:tcPr>
                  <w:tcW w:w="696" w:type="dxa"/>
                  <w:tcBorders>
                    <w:top w:val="nil"/>
                    <w:left w:val="single" w:color="000000" w:sz="4" w:space="0"/>
                    <w:bottom w:val="single" w:color="000000" w:sz="4" w:space="0"/>
                    <w:right w:val="single" w:color="000000" w:sz="4" w:space="0"/>
                  </w:tcBorders>
                  <w:shd w:val="clear" w:color="auto" w:fill="auto"/>
                  <w:vAlign w:val="center"/>
                </w:tcPr>
                <w:p w14:paraId="5DA2388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55" w:type="dxa"/>
                  <w:tcBorders>
                    <w:top w:val="nil"/>
                    <w:left w:val="single" w:color="000000" w:sz="4" w:space="0"/>
                    <w:bottom w:val="single" w:color="000000" w:sz="4" w:space="0"/>
                    <w:right w:val="single" w:color="000000" w:sz="4" w:space="0"/>
                  </w:tcBorders>
                  <w:shd w:val="clear" w:color="auto" w:fill="auto"/>
                  <w:vAlign w:val="center"/>
                </w:tcPr>
                <w:p w14:paraId="050133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nil"/>
                    <w:left w:val="single" w:color="000000" w:sz="4" w:space="0"/>
                    <w:bottom w:val="single" w:color="000000" w:sz="4" w:space="0"/>
                    <w:right w:val="single" w:color="000000" w:sz="4" w:space="0"/>
                  </w:tcBorders>
                  <w:shd w:val="clear" w:color="auto" w:fill="auto"/>
                  <w:vAlign w:val="center"/>
                </w:tcPr>
                <w:p w14:paraId="478498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241.60 </w:t>
                  </w:r>
                </w:p>
              </w:tc>
              <w:tc>
                <w:tcPr>
                  <w:tcW w:w="872" w:type="dxa"/>
                  <w:tcBorders>
                    <w:top w:val="nil"/>
                    <w:left w:val="single" w:color="000000" w:sz="4" w:space="0"/>
                    <w:bottom w:val="single" w:color="000000" w:sz="4" w:space="0"/>
                    <w:right w:val="single" w:color="000000" w:sz="4" w:space="0"/>
                  </w:tcBorders>
                  <w:shd w:val="clear" w:color="auto" w:fill="auto"/>
                  <w:vAlign w:val="center"/>
                </w:tcPr>
                <w:p w14:paraId="40F96B6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nil"/>
                    <w:left w:val="single" w:color="000000" w:sz="4" w:space="0"/>
                    <w:bottom w:val="single" w:color="000000" w:sz="4" w:space="0"/>
                    <w:right w:val="single" w:color="000000" w:sz="4" w:space="0"/>
                  </w:tcBorders>
                  <w:shd w:val="clear" w:color="auto" w:fill="auto"/>
                  <w:vAlign w:val="center"/>
                </w:tcPr>
                <w:p w14:paraId="633F4FD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nil"/>
                    <w:left w:val="single" w:color="000000" w:sz="4" w:space="0"/>
                    <w:bottom w:val="single" w:color="000000" w:sz="4" w:space="0"/>
                    <w:right w:val="single" w:color="000000" w:sz="4" w:space="0"/>
                  </w:tcBorders>
                  <w:shd w:val="clear" w:color="auto" w:fill="auto"/>
                  <w:vAlign w:val="center"/>
                </w:tcPr>
                <w:p w14:paraId="57525F4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nil"/>
                    <w:left w:val="single" w:color="000000" w:sz="4" w:space="0"/>
                    <w:bottom w:val="single" w:color="000000" w:sz="4" w:space="0"/>
                    <w:right w:val="single" w:color="000000" w:sz="8" w:space="0"/>
                  </w:tcBorders>
                  <w:shd w:val="clear" w:color="auto" w:fill="auto"/>
                  <w:vAlign w:val="center"/>
                </w:tcPr>
                <w:p w14:paraId="7874DB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Style w:val="97"/>
                      <w:rFonts w:hint="default" w:ascii="Times New Roman" w:hAnsi="Times New Roman" w:cs="Times New Roman"/>
                      <w:color w:val="auto"/>
                      <w:sz w:val="21"/>
                      <w:szCs w:val="21"/>
                      <w:highlight w:val="none"/>
                      <w:lang w:val="en-US" w:eastAsia="zh-CN" w:bidi="ar"/>
                    </w:rPr>
                    <w:t>左侧沥青路</w:t>
                  </w:r>
                  <w:r>
                    <w:rPr>
                      <w:rStyle w:val="58"/>
                      <w:rFonts w:hint="default" w:ascii="Times New Roman" w:hAnsi="Times New Roman" w:eastAsia="宋体" w:cs="Times New Roman"/>
                      <w:color w:val="auto"/>
                      <w:sz w:val="21"/>
                      <w:szCs w:val="21"/>
                      <w:highlight w:val="none"/>
                      <w:lang w:val="en-US" w:eastAsia="zh-CN" w:bidi="ar"/>
                    </w:rPr>
                    <w:t>2</w:t>
                  </w:r>
                  <w:r>
                    <w:rPr>
                      <w:rStyle w:val="97"/>
                      <w:rFonts w:hint="default" w:ascii="Times New Roman" w:hAnsi="Times New Roman" w:cs="Times New Roman"/>
                      <w:color w:val="auto"/>
                      <w:sz w:val="21"/>
                      <w:szCs w:val="21"/>
                      <w:highlight w:val="none"/>
                      <w:lang w:val="en-US" w:eastAsia="zh-CN" w:bidi="ar"/>
                    </w:rPr>
                    <w:t>条，每条顺</w:t>
                  </w:r>
                  <w:r>
                    <w:rPr>
                      <w:rStyle w:val="97"/>
                      <w:rFonts w:hint="eastAsia" w:ascii="Times New Roman" w:hAnsi="Times New Roman" w:cs="Times New Roman"/>
                      <w:color w:val="auto"/>
                      <w:sz w:val="21"/>
                      <w:szCs w:val="21"/>
                      <w:highlight w:val="none"/>
                      <w:lang w:val="en-US" w:eastAsia="zh-CN" w:bidi="ar"/>
                    </w:rPr>
                    <w:t>接</w:t>
                  </w:r>
                  <w:r>
                    <w:rPr>
                      <w:rStyle w:val="58"/>
                      <w:rFonts w:hint="default" w:ascii="Times New Roman" w:hAnsi="Times New Roman" w:eastAsia="宋体" w:cs="Times New Roman"/>
                      <w:color w:val="auto"/>
                      <w:sz w:val="21"/>
                      <w:szCs w:val="21"/>
                      <w:highlight w:val="none"/>
                      <w:lang w:val="en-US" w:eastAsia="zh-CN" w:bidi="ar"/>
                    </w:rPr>
                    <w:t>10m</w:t>
                  </w:r>
                </w:p>
              </w:tc>
            </w:tr>
            <w:tr w14:paraId="05D0A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780D07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29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FB8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兴凯镇</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EDB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47B3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206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808EE">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664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ABC48">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D00A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砂石</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9903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9EB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10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E21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57E5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959A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3616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E99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66.6 </w:t>
                  </w: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F35985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Style w:val="97"/>
                      <w:rFonts w:hint="default" w:ascii="Times New Roman" w:hAnsi="Times New Roman" w:cs="Times New Roman"/>
                      <w:color w:val="auto"/>
                      <w:sz w:val="21"/>
                      <w:szCs w:val="21"/>
                      <w:highlight w:val="none"/>
                      <w:lang w:val="en-US" w:eastAsia="zh-CN" w:bidi="ar"/>
                    </w:rPr>
                    <w:t>右侧砂石路</w:t>
                  </w:r>
                  <w:r>
                    <w:rPr>
                      <w:rStyle w:val="58"/>
                      <w:rFonts w:hint="default" w:ascii="Times New Roman" w:hAnsi="Times New Roman" w:eastAsia="宋体" w:cs="Times New Roman"/>
                      <w:color w:val="auto"/>
                      <w:sz w:val="21"/>
                      <w:szCs w:val="21"/>
                      <w:highlight w:val="none"/>
                      <w:lang w:val="en-US" w:eastAsia="zh-CN" w:bidi="ar"/>
                    </w:rPr>
                    <w:t>2</w:t>
                  </w:r>
                  <w:r>
                    <w:rPr>
                      <w:rStyle w:val="97"/>
                      <w:rFonts w:hint="default" w:ascii="Times New Roman" w:hAnsi="Times New Roman" w:cs="Times New Roman"/>
                      <w:color w:val="auto"/>
                      <w:sz w:val="21"/>
                      <w:szCs w:val="21"/>
                      <w:highlight w:val="none"/>
                      <w:lang w:val="en-US" w:eastAsia="zh-CN" w:bidi="ar"/>
                    </w:rPr>
                    <w:t>条</w:t>
                  </w:r>
                  <w:r>
                    <w:rPr>
                      <w:rStyle w:val="58"/>
                      <w:rFonts w:hint="eastAsia" w:ascii="Times New Roman" w:hAnsi="Times New Roman" w:eastAsia="宋体" w:cs="Times New Roman"/>
                      <w:color w:val="auto"/>
                      <w:sz w:val="21"/>
                      <w:szCs w:val="21"/>
                      <w:highlight w:val="none"/>
                      <w:lang w:val="en-US" w:eastAsia="zh-CN" w:bidi="ar"/>
                    </w:rPr>
                    <w:t>，</w:t>
                  </w:r>
                  <w:r>
                    <w:rPr>
                      <w:rStyle w:val="97"/>
                      <w:rFonts w:hint="default" w:ascii="Times New Roman" w:hAnsi="Times New Roman" w:cs="Times New Roman"/>
                      <w:color w:val="auto"/>
                      <w:sz w:val="21"/>
                      <w:szCs w:val="21"/>
                      <w:highlight w:val="none"/>
                      <w:lang w:val="en-US" w:eastAsia="zh-CN" w:bidi="ar"/>
                    </w:rPr>
                    <w:t>每条顺接</w:t>
                  </w:r>
                  <w:r>
                    <w:rPr>
                      <w:rStyle w:val="58"/>
                      <w:rFonts w:hint="default" w:ascii="Times New Roman" w:hAnsi="Times New Roman" w:eastAsia="宋体" w:cs="Times New Roman"/>
                      <w:color w:val="auto"/>
                      <w:sz w:val="21"/>
                      <w:szCs w:val="21"/>
                      <w:highlight w:val="none"/>
                      <w:lang w:val="en-US" w:eastAsia="zh-CN" w:bidi="ar"/>
                    </w:rPr>
                    <w:t>5m</w:t>
                  </w:r>
                </w:p>
              </w:tc>
            </w:tr>
            <w:tr w14:paraId="1763E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4" w:hRule="atLeast"/>
                <w:jc w:val="center"/>
              </w:trPr>
              <w:tc>
                <w:tcPr>
                  <w:tcW w:w="582" w:type="dxa"/>
                  <w:tcBorders>
                    <w:top w:val="single" w:color="000000" w:sz="4" w:space="0"/>
                    <w:left w:val="single" w:color="000000" w:sz="8" w:space="0"/>
                    <w:bottom w:val="single" w:color="000000" w:sz="4" w:space="0"/>
                    <w:right w:val="single" w:color="000000" w:sz="4" w:space="0"/>
                  </w:tcBorders>
                  <w:shd w:val="clear" w:color="auto" w:fill="auto"/>
                  <w:vAlign w:val="center"/>
                </w:tcPr>
                <w:p w14:paraId="61F75B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30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61E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兴凯镇</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8B9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右T</w:t>
                  </w:r>
                </w:p>
              </w:tc>
              <w:tc>
                <w:tcPr>
                  <w:tcW w:w="6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0032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80C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50543">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935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4.5 </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0567F">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521A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水泥</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47A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C28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90 </w:t>
                  </w:r>
                </w:p>
              </w:tc>
              <w:tc>
                <w:tcPr>
                  <w:tcW w:w="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1D4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90°</w:t>
                  </w:r>
                </w:p>
              </w:tc>
              <w:tc>
                <w:tcPr>
                  <w:tcW w:w="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C69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502.2 </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8960A">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DEA2D">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CF339">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sz w:val="21"/>
                      <w:szCs w:val="21"/>
                      <w:highlight w:val="none"/>
                      <w:u w:val="none"/>
                    </w:rPr>
                  </w:pPr>
                </w:p>
              </w:tc>
              <w:tc>
                <w:tcPr>
                  <w:tcW w:w="1295"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943E0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sz w:val="21"/>
                      <w:szCs w:val="21"/>
                      <w:highlight w:val="none"/>
                      <w:u w:val="none"/>
                    </w:rPr>
                  </w:pPr>
                  <w:r>
                    <w:rPr>
                      <w:rStyle w:val="97"/>
                      <w:rFonts w:hint="default" w:ascii="Times New Roman" w:hAnsi="Times New Roman" w:cs="Times New Roman"/>
                      <w:color w:val="auto"/>
                      <w:sz w:val="21"/>
                      <w:szCs w:val="21"/>
                      <w:highlight w:val="none"/>
                      <w:lang w:val="en-US" w:eastAsia="zh-CN" w:bidi="ar"/>
                    </w:rPr>
                    <w:t>右侧水泥路</w:t>
                  </w:r>
                  <w:r>
                    <w:rPr>
                      <w:rStyle w:val="58"/>
                      <w:rFonts w:hint="default" w:ascii="Times New Roman" w:hAnsi="Times New Roman" w:eastAsia="宋体" w:cs="Times New Roman"/>
                      <w:color w:val="auto"/>
                      <w:sz w:val="21"/>
                      <w:szCs w:val="21"/>
                      <w:highlight w:val="none"/>
                      <w:lang w:val="en-US" w:eastAsia="zh-CN" w:bidi="ar"/>
                    </w:rPr>
                    <w:t>9</w:t>
                  </w:r>
                  <w:r>
                    <w:rPr>
                      <w:rStyle w:val="97"/>
                      <w:rFonts w:hint="default" w:ascii="Times New Roman" w:hAnsi="Times New Roman" w:cs="Times New Roman"/>
                      <w:color w:val="auto"/>
                      <w:sz w:val="21"/>
                      <w:szCs w:val="21"/>
                      <w:highlight w:val="none"/>
                      <w:lang w:val="en-US" w:eastAsia="zh-CN" w:bidi="ar"/>
                    </w:rPr>
                    <w:t>条，每条顺接</w:t>
                  </w:r>
                  <w:r>
                    <w:rPr>
                      <w:rStyle w:val="58"/>
                      <w:rFonts w:hint="default" w:ascii="Times New Roman" w:hAnsi="Times New Roman" w:eastAsia="宋体" w:cs="Times New Roman"/>
                      <w:color w:val="auto"/>
                      <w:sz w:val="21"/>
                      <w:szCs w:val="21"/>
                      <w:highlight w:val="none"/>
                      <w:lang w:val="en-US" w:eastAsia="zh-CN" w:bidi="ar"/>
                    </w:rPr>
                    <w:t>10m</w:t>
                  </w:r>
                </w:p>
              </w:tc>
            </w:tr>
          </w:tbl>
          <w:p w14:paraId="6C28B80A">
            <w:pPr>
              <w:jc w:val="both"/>
              <w:rPr>
                <w:rFonts w:hint="default" w:cs="Times New Roman"/>
                <w:color w:val="auto"/>
                <w:kern w:val="0"/>
                <w:sz w:val="24"/>
                <w:szCs w:val="24"/>
                <w:highlight w:val="none"/>
                <w:lang w:val="en-US" w:eastAsia="zh-CN" w:bidi="ar-SA"/>
              </w:rPr>
            </w:pPr>
          </w:p>
        </w:tc>
      </w:tr>
    </w:tbl>
    <w:p w14:paraId="3E73645F">
      <w:pPr>
        <w:rPr>
          <w:rFonts w:hint="default" w:ascii="Times New Roman" w:hAnsi="Times New Roman" w:eastAsia="仿宋_GB2312" w:cs="Times New Roman"/>
          <w:b/>
          <w:bCs/>
          <w:color w:val="auto"/>
        </w:rPr>
      </w:pPr>
    </w:p>
    <w:p w14:paraId="0E2977C1">
      <w:pPr>
        <w:pStyle w:val="25"/>
        <w:spacing w:before="0" w:beforeAutospacing="0" w:after="120" w:afterLines="50" w:afterAutospacing="0"/>
        <w:jc w:val="center"/>
        <w:outlineLvl w:val="0"/>
        <w:rPr>
          <w:rFonts w:hint="default" w:ascii="Times New Roman" w:hAnsi="Times New Roman" w:eastAsia="仿宋_GB2312" w:cs="Times New Roman"/>
          <w:b/>
          <w:bCs/>
          <w:color w:val="auto"/>
        </w:rPr>
        <w:sectPr>
          <w:pgSz w:w="16783" w:h="11850" w:orient="landscape"/>
          <w:pgMar w:top="1440" w:right="1440" w:bottom="1440" w:left="1440" w:header="851" w:footer="1077" w:gutter="0"/>
          <w:pgBorders>
            <w:top w:val="none" w:sz="0" w:space="0"/>
            <w:left w:val="none" w:sz="0" w:space="0"/>
            <w:bottom w:val="none" w:sz="0" w:space="0"/>
            <w:right w:val="none" w:sz="0" w:space="0"/>
          </w:pgBorders>
          <w:cols w:space="720" w:num="1"/>
          <w:docGrid w:linePitch="312" w:charSpace="0"/>
        </w:sectPr>
      </w:pP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82"/>
        <w:gridCol w:w="8084"/>
      </w:tblGrid>
      <w:tr w14:paraId="4358CA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01" w:hRule="atLeast"/>
          <w:jc w:val="center"/>
        </w:trPr>
        <w:tc>
          <w:tcPr>
            <w:tcW w:w="382" w:type="dxa"/>
            <w:noWrap w:val="0"/>
            <w:vAlign w:val="center"/>
          </w:tcPr>
          <w:p w14:paraId="4CD56F1B">
            <w:pPr>
              <w:adjustRightInd w:val="0"/>
              <w:snapToGrid w:val="0"/>
              <w:spacing w:line="240" w:lineRule="auto"/>
              <w:jc w:val="center"/>
              <w:rPr>
                <w:rFonts w:hint="default" w:ascii="Times New Roman" w:hAnsi="Times New Roman" w:cs="Times New Roman"/>
                <w:color w:val="auto"/>
                <w:kern w:val="21"/>
                <w:szCs w:val="21"/>
              </w:rPr>
            </w:pPr>
            <w:bookmarkStart w:id="4" w:name="_Toc9504"/>
          </w:p>
        </w:tc>
        <w:tc>
          <w:tcPr>
            <w:tcW w:w="8084" w:type="dxa"/>
            <w:noWrap w:val="0"/>
            <w:vAlign w:val="center"/>
          </w:tcPr>
          <w:p w14:paraId="7D25DC59">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8</w:t>
            </w:r>
            <w:r>
              <w:rPr>
                <w:rFonts w:hint="default" w:ascii="Times New Roman" w:hAnsi="Times New Roman" w:cs="Times New Roman"/>
                <w:color w:val="auto"/>
                <w:highlight w:val="none"/>
              </w:rPr>
              <w:t>、工程占地、临时工程</w:t>
            </w:r>
          </w:p>
          <w:p w14:paraId="491E163A">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（1）永久占地</w:t>
            </w:r>
          </w:p>
          <w:p w14:paraId="29F9FBF3">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w:t>
            </w:r>
            <w:r>
              <w:rPr>
                <w:rFonts w:hint="default" w:ascii="Times New Roman" w:hAnsi="Times New Roman" w:cs="Times New Roman"/>
                <w:color w:val="auto"/>
                <w:highlight w:val="none"/>
                <w:lang w:val="en-US" w:eastAsia="zh-CN"/>
              </w:rPr>
              <w:t>不新增永久占地</w:t>
            </w:r>
            <w:r>
              <w:rPr>
                <w:rFonts w:hint="default" w:ascii="Times New Roman" w:hAnsi="Times New Roman" w:cs="Times New Roman"/>
                <w:color w:val="auto"/>
                <w:highlight w:val="none"/>
              </w:rPr>
              <w:t>。</w:t>
            </w:r>
          </w:p>
          <w:p w14:paraId="44B9D0A1">
            <w:pPr>
              <w:pStyle w:val="76"/>
              <w:rPr>
                <w:rFonts w:hint="default" w:ascii="Times New Roman" w:hAnsi="Times New Roman" w:cs="Times New Roman"/>
                <w:color w:val="auto"/>
              </w:rPr>
            </w:pPr>
            <w:r>
              <w:rPr>
                <w:rFonts w:hint="default" w:ascii="Times New Roman" w:hAnsi="Times New Roman" w:cs="Times New Roman"/>
                <w:color w:val="auto"/>
              </w:rPr>
              <w:t>（2）临时占地</w:t>
            </w:r>
          </w:p>
          <w:p w14:paraId="58F5A331">
            <w:pPr>
              <w:pStyle w:val="76"/>
              <w:rPr>
                <w:rFonts w:hint="default" w:ascii="Times New Roman" w:hAnsi="Times New Roman" w:cs="Times New Roman"/>
                <w:color w:val="auto"/>
                <w:highlight w:val="yellow"/>
                <w:lang w:eastAsia="zh-CN"/>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不设置取土场、弃土场，</w:t>
            </w:r>
            <w:r>
              <w:rPr>
                <w:rFonts w:hint="default" w:ascii="Times New Roman" w:hAnsi="Times New Roman" w:cs="Times New Roman"/>
                <w:color w:val="auto"/>
              </w:rPr>
              <w:t>临时工程包括施工驻地</w:t>
            </w:r>
            <w:r>
              <w:rPr>
                <w:rFonts w:hint="default" w:ascii="Times New Roman" w:hAnsi="Times New Roman" w:cs="Times New Roman"/>
                <w:color w:val="auto"/>
                <w:lang w:val="en-US" w:eastAsia="zh-CN"/>
              </w:rPr>
              <w:t>和</w:t>
            </w:r>
            <w:r>
              <w:rPr>
                <w:rFonts w:hint="eastAsia" w:cs="Times New Roman"/>
                <w:color w:val="auto"/>
                <w:lang w:val="en-US" w:eastAsia="zh-CN"/>
              </w:rPr>
              <w:t>沥青混凝土拌合站</w:t>
            </w:r>
            <w:r>
              <w:rPr>
                <w:rFonts w:hint="default" w:ascii="Times New Roman" w:hAnsi="Times New Roman" w:cs="Times New Roman"/>
                <w:color w:val="auto"/>
                <w:lang w:eastAsia="zh-CN"/>
              </w:rPr>
              <w:t>，</w:t>
            </w:r>
            <w:r>
              <w:rPr>
                <w:rFonts w:hint="default" w:ascii="Times New Roman" w:hAnsi="Times New Roman" w:cs="Times New Roman"/>
                <w:color w:val="auto"/>
              </w:rPr>
              <w:t>本项目</w:t>
            </w:r>
            <w:r>
              <w:rPr>
                <w:rFonts w:hint="default" w:ascii="Times New Roman" w:hAnsi="Times New Roman" w:cs="Times New Roman"/>
                <w:color w:val="auto"/>
                <w:highlight w:val="none"/>
              </w:rPr>
              <w:t>新增临时占地总面积为</w:t>
            </w:r>
            <w:r>
              <w:rPr>
                <w:rFonts w:hint="eastAsia" w:ascii="Times New Roman" w:hAnsi="Times New Roman" w:cs="Times New Roman"/>
                <w:color w:val="auto"/>
                <w:highlight w:val="none"/>
                <w:lang w:val="en-US" w:eastAsia="zh-CN"/>
              </w:rPr>
              <w:t>3.86</w:t>
            </w:r>
            <w:r>
              <w:rPr>
                <w:rFonts w:hint="default" w:ascii="Times New Roman" w:hAnsi="Times New Roman" w:cs="Times New Roman"/>
                <w:color w:val="auto"/>
                <w:highlight w:val="none"/>
              </w:rPr>
              <w:t>hm</w:t>
            </w:r>
            <w:r>
              <w:rPr>
                <w:rFonts w:hint="default" w:ascii="Times New Roman" w:hAnsi="Times New Roman" w:cs="Times New Roman"/>
                <w:color w:val="auto"/>
                <w:highlight w:val="none"/>
                <w:vertAlign w:val="superscript"/>
              </w:rPr>
              <w:t>2</w:t>
            </w:r>
            <w:r>
              <w:rPr>
                <w:rFonts w:hint="default" w:ascii="Times New Roman" w:hAnsi="Times New Roman" w:cs="Times New Roman"/>
                <w:color w:val="auto"/>
                <w:highlight w:val="none"/>
                <w:lang w:eastAsia="zh-CN"/>
              </w:rPr>
              <w:t>。</w:t>
            </w:r>
          </w:p>
          <w:p w14:paraId="06EEBEC4">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fldChar w:fldCharType="begin"/>
            </w:r>
            <w:r>
              <w:rPr>
                <w:rFonts w:hint="default" w:ascii="Times New Roman" w:hAnsi="Times New Roman" w:eastAsia="宋体" w:cs="Times New Roman"/>
                <w:color w:val="auto"/>
              </w:rPr>
              <w:instrText xml:space="preserve"> = 1 \* GB3 \* MERGEFORMAT </w:instrText>
            </w:r>
            <w:r>
              <w:rPr>
                <w:rFonts w:hint="default" w:ascii="Times New Roman" w:hAnsi="Times New Roman" w:eastAsia="宋体" w:cs="Times New Roman"/>
                <w:color w:val="auto"/>
              </w:rPr>
              <w:fldChar w:fldCharType="separate"/>
            </w:r>
            <w:r>
              <w:rPr>
                <w:rFonts w:hint="default" w:ascii="Times New Roman" w:hAnsi="Times New Roman" w:eastAsia="宋体" w:cs="Times New Roman"/>
                <w:color w:val="auto"/>
              </w:rPr>
              <w:t>①</w:t>
            </w:r>
            <w:r>
              <w:rPr>
                <w:rFonts w:hint="default" w:ascii="Times New Roman" w:hAnsi="Times New Roman" w:eastAsia="宋体" w:cs="Times New Roman"/>
                <w:color w:val="auto"/>
              </w:rPr>
              <w:fldChar w:fldCharType="end"/>
            </w:r>
            <w:r>
              <w:rPr>
                <w:rFonts w:hint="default" w:ascii="Times New Roman" w:hAnsi="Times New Roman" w:eastAsia="宋体" w:cs="Times New Roman"/>
                <w:color w:val="auto"/>
              </w:rPr>
              <w:t>施工驻地</w:t>
            </w:r>
          </w:p>
          <w:p w14:paraId="21DABE52">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本项目设置1处施工驻地，位于</w:t>
            </w:r>
            <w:r>
              <w:rPr>
                <w:rFonts w:hint="default" w:ascii="Times New Roman" w:hAnsi="Times New Roman" w:eastAsia="宋体" w:cs="Times New Roman"/>
                <w:color w:val="auto"/>
                <w:lang w:val="en-US" w:eastAsia="zh-CN"/>
              </w:rPr>
              <w:t>项目终点西南侧约26.7km处</w:t>
            </w:r>
            <w:r>
              <w:rPr>
                <w:rFonts w:hint="default" w:ascii="Times New Roman" w:hAnsi="Times New Roman" w:eastAsia="宋体" w:cs="Times New Roman"/>
                <w:color w:val="auto"/>
              </w:rPr>
              <w:t>，占地面积</w:t>
            </w:r>
            <w:r>
              <w:rPr>
                <w:rFonts w:hint="default" w:ascii="Times New Roman" w:hAnsi="Times New Roman" w:eastAsia="宋体" w:cs="Times New Roman"/>
                <w:color w:val="auto"/>
                <w:lang w:val="en-US" w:eastAsia="zh-CN"/>
              </w:rPr>
              <w:t>约2600</w:t>
            </w:r>
            <w:r>
              <w:rPr>
                <w:rFonts w:hint="default" w:ascii="Times New Roman" w:hAnsi="Times New Roman" w:eastAsia="宋体" w:cs="Times New Roman"/>
                <w:color w:val="auto"/>
              </w:rPr>
              <w:t>m</w:t>
            </w:r>
            <w:r>
              <w:rPr>
                <w:rFonts w:hint="default" w:ascii="Times New Roman" w:hAnsi="Times New Roman" w:eastAsia="宋体" w:cs="Times New Roman"/>
                <w:color w:val="auto"/>
                <w:vertAlign w:val="superscript"/>
              </w:rPr>
              <w:t>2</w:t>
            </w:r>
            <w:r>
              <w:rPr>
                <w:rFonts w:hint="default" w:ascii="Times New Roman" w:hAnsi="Times New Roman" w:eastAsia="宋体" w:cs="Times New Roman"/>
                <w:color w:val="auto"/>
                <w:kern w:val="0"/>
                <w:lang w:bidi="ar"/>
              </w:rPr>
              <w:t>，</w:t>
            </w:r>
            <w:r>
              <w:rPr>
                <w:rFonts w:hint="default" w:ascii="Times New Roman" w:hAnsi="Times New Roman" w:eastAsia="宋体" w:cs="Times New Roman"/>
                <w:color w:val="auto"/>
              </w:rPr>
              <w:t>租赁现有闲置场地，</w:t>
            </w:r>
            <w:r>
              <w:rPr>
                <w:rFonts w:hint="default" w:ascii="Times New Roman" w:hAnsi="Times New Roman" w:eastAsia="宋体" w:cs="Times New Roman"/>
                <w:color w:val="auto"/>
                <w:kern w:val="0"/>
                <w:lang w:bidi="ar"/>
              </w:rPr>
              <w:t>地类</w:t>
            </w:r>
            <w:r>
              <w:rPr>
                <w:rFonts w:hint="default" w:ascii="Times New Roman" w:hAnsi="Times New Roman" w:eastAsia="宋体" w:cs="Times New Roman"/>
                <w:color w:val="auto"/>
              </w:rPr>
              <w:t>为工业用地。</w:t>
            </w:r>
          </w:p>
          <w:p w14:paraId="3CF63B72">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fldChar w:fldCharType="begin"/>
            </w:r>
            <w:r>
              <w:rPr>
                <w:rFonts w:hint="default" w:ascii="Times New Roman" w:hAnsi="Times New Roman" w:eastAsia="宋体" w:cs="Times New Roman"/>
                <w:color w:val="auto"/>
              </w:rPr>
              <w:instrText xml:space="preserve"> = 2 \* GB3 \* MERGEFORMAT </w:instrText>
            </w:r>
            <w:r>
              <w:rPr>
                <w:rFonts w:hint="default" w:ascii="Times New Roman" w:hAnsi="Times New Roman" w:eastAsia="宋体" w:cs="Times New Roman"/>
                <w:color w:val="auto"/>
              </w:rPr>
              <w:fldChar w:fldCharType="separate"/>
            </w:r>
            <w:r>
              <w:rPr>
                <w:rFonts w:hint="default" w:ascii="Times New Roman" w:hAnsi="Times New Roman" w:eastAsia="宋体" w:cs="Times New Roman"/>
                <w:color w:val="auto"/>
              </w:rPr>
              <w:t>②</w:t>
            </w:r>
            <w:r>
              <w:rPr>
                <w:rFonts w:hint="default" w:ascii="Times New Roman" w:hAnsi="Times New Roman" w:eastAsia="宋体" w:cs="Times New Roman"/>
                <w:color w:val="auto"/>
              </w:rPr>
              <w:fldChar w:fldCharType="end"/>
            </w:r>
            <w:r>
              <w:rPr>
                <w:rFonts w:hint="default" w:ascii="Times New Roman" w:hAnsi="Times New Roman" w:eastAsia="宋体" w:cs="Times New Roman"/>
                <w:color w:val="auto"/>
              </w:rPr>
              <w:t>拌合站</w:t>
            </w:r>
          </w:p>
          <w:p w14:paraId="28F90395">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本项目设置1处</w:t>
            </w:r>
            <w:r>
              <w:rPr>
                <w:rFonts w:hint="eastAsia" w:cs="Times New Roman"/>
                <w:color w:val="auto"/>
                <w:lang w:val="en-US" w:eastAsia="zh-CN"/>
              </w:rPr>
              <w:t>沥青混凝土拌合站</w:t>
            </w:r>
            <w:r>
              <w:rPr>
                <w:rFonts w:hint="default" w:ascii="Times New Roman" w:hAnsi="Times New Roman" w:eastAsia="宋体" w:cs="Times New Roman"/>
                <w:color w:val="auto"/>
              </w:rPr>
              <w:t>。</w:t>
            </w:r>
          </w:p>
          <w:p w14:paraId="3B81A5FB">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highlight w:val="yellow"/>
              </w:rPr>
            </w:pPr>
            <w:r>
              <w:rPr>
                <w:rFonts w:hint="eastAsia" w:cs="Times New Roman"/>
                <w:color w:val="auto"/>
                <w:highlight w:val="none"/>
                <w:lang w:val="en-US" w:eastAsia="zh-CN"/>
              </w:rPr>
              <w:t>沥青混凝土拌合站</w:t>
            </w:r>
            <w:r>
              <w:rPr>
                <w:rFonts w:hint="default" w:ascii="Times New Roman" w:hAnsi="Times New Roman" w:eastAsia="宋体" w:cs="Times New Roman"/>
                <w:color w:val="auto"/>
              </w:rPr>
              <w:t>位于</w:t>
            </w:r>
            <w:r>
              <w:rPr>
                <w:rFonts w:hint="default" w:ascii="Times New Roman" w:hAnsi="Times New Roman" w:eastAsia="宋体" w:cs="Times New Roman"/>
                <w:color w:val="auto"/>
                <w:lang w:val="en-US" w:eastAsia="zh-CN"/>
              </w:rPr>
              <w:t>归仁村西南方向3</w:t>
            </w:r>
            <w:r>
              <w:rPr>
                <w:rFonts w:hint="default" w:ascii="Times New Roman" w:hAnsi="Times New Roman" w:cs="Times New Roman"/>
                <w:color w:val="auto"/>
                <w:lang w:val="en-US" w:eastAsia="zh-CN"/>
              </w:rPr>
              <w:t>5</w:t>
            </w:r>
            <w:r>
              <w:rPr>
                <w:rFonts w:hint="default" w:ascii="Times New Roman" w:hAnsi="Times New Roman" w:eastAsia="宋体" w:cs="Times New Roman"/>
                <w:color w:val="auto"/>
                <w:lang w:val="en-US" w:eastAsia="zh-CN"/>
              </w:rPr>
              <w:t>0m</w:t>
            </w:r>
            <w:r>
              <w:rPr>
                <w:rFonts w:hint="default" w:ascii="Times New Roman" w:hAnsi="Times New Roman" w:eastAsia="宋体" w:cs="Times New Roman"/>
                <w:color w:val="auto"/>
              </w:rPr>
              <w:t>，占地面积</w:t>
            </w:r>
            <w:r>
              <w:rPr>
                <w:rFonts w:hint="default" w:ascii="Times New Roman" w:hAnsi="Times New Roman" w:eastAsia="宋体" w:cs="Times New Roman"/>
                <w:color w:val="auto"/>
                <w:lang w:val="en-US" w:eastAsia="zh-CN"/>
              </w:rPr>
              <w:t>约</w:t>
            </w:r>
            <w:r>
              <w:rPr>
                <w:rFonts w:hint="eastAsia" w:cs="Times New Roman"/>
                <w:color w:val="auto"/>
                <w:lang w:val="en-US" w:eastAsia="zh-CN"/>
              </w:rPr>
              <w:t>36</w:t>
            </w:r>
            <w:r>
              <w:rPr>
                <w:rFonts w:hint="default" w:ascii="Times New Roman" w:hAnsi="Times New Roman" w:eastAsia="宋体" w:cs="Times New Roman"/>
                <w:color w:val="auto"/>
              </w:rPr>
              <w:t>000m</w:t>
            </w:r>
            <w:r>
              <w:rPr>
                <w:rFonts w:hint="default" w:ascii="Times New Roman" w:hAnsi="Times New Roman" w:eastAsia="宋体" w:cs="Times New Roman"/>
                <w:color w:val="auto"/>
                <w:vertAlign w:val="superscript"/>
              </w:rPr>
              <w:t>2</w:t>
            </w:r>
            <w:r>
              <w:rPr>
                <w:rFonts w:hint="default" w:ascii="Times New Roman" w:hAnsi="Times New Roman" w:eastAsia="宋体" w:cs="Times New Roman"/>
                <w:color w:val="auto"/>
                <w:kern w:val="0"/>
                <w:lang w:bidi="ar"/>
              </w:rPr>
              <w:t>，</w:t>
            </w:r>
            <w:r>
              <w:rPr>
                <w:rFonts w:hint="default" w:ascii="Times New Roman" w:hAnsi="Times New Roman" w:eastAsia="宋体" w:cs="Times New Roman"/>
                <w:color w:val="auto"/>
                <w:kern w:val="0"/>
                <w:lang w:val="en-US" w:eastAsia="zh-CN" w:bidi="ar"/>
              </w:rPr>
              <w:t>规模为</w:t>
            </w:r>
            <w:r>
              <w:rPr>
                <w:rFonts w:hint="default" w:ascii="Times New Roman" w:hAnsi="Times New Roman" w:eastAsia="宋体" w:cs="Times New Roman"/>
                <w:color w:val="auto"/>
                <w:kern w:val="0"/>
                <w:lang w:bidi="ar"/>
              </w:rPr>
              <w:t>日产</w:t>
            </w:r>
            <w:r>
              <w:rPr>
                <w:rFonts w:hint="eastAsia" w:ascii="Times New Roman" w:hAnsi="Times New Roman" w:eastAsia="宋体" w:cs="Times New Roman"/>
                <w:color w:val="auto"/>
                <w:sz w:val="24"/>
                <w:szCs w:val="24"/>
                <w:lang w:val="en-US" w:eastAsia="zh-CN"/>
              </w:rPr>
              <w:t>沥青混凝土</w:t>
            </w:r>
            <w:r>
              <w:rPr>
                <w:rFonts w:hint="default" w:ascii="Times New Roman" w:hAnsi="Times New Roman" w:eastAsia="宋体" w:cs="Times New Roman"/>
                <w:color w:val="auto"/>
                <w:kern w:val="0"/>
                <w:lang w:bidi="ar"/>
              </w:rPr>
              <w:t>2500t</w:t>
            </w:r>
            <w:r>
              <w:rPr>
                <w:rFonts w:hint="default" w:ascii="Times New Roman" w:hAnsi="Times New Roman" w:eastAsia="宋体" w:cs="Times New Roman"/>
                <w:color w:val="auto"/>
                <w:kern w:val="0"/>
                <w:lang w:eastAsia="zh-CN" w:bidi="ar"/>
              </w:rPr>
              <w:t>，</w:t>
            </w:r>
            <w:r>
              <w:rPr>
                <w:rFonts w:hint="eastAsia" w:cs="Times New Roman"/>
                <w:color w:val="auto"/>
                <w:kern w:val="0"/>
                <w:lang w:val="en-US" w:eastAsia="zh-CN" w:bidi="ar"/>
              </w:rPr>
              <w:t>用地类型</w:t>
            </w:r>
            <w:r>
              <w:rPr>
                <w:rFonts w:hint="default" w:ascii="Times New Roman" w:hAnsi="Times New Roman" w:eastAsia="宋体" w:cs="Times New Roman"/>
                <w:color w:val="auto"/>
                <w:kern w:val="0"/>
                <w:lang w:bidi="ar"/>
              </w:rPr>
              <w:t>为</w:t>
            </w:r>
            <w:r>
              <w:rPr>
                <w:rFonts w:hint="default" w:ascii="Times New Roman" w:hAnsi="Times New Roman" w:eastAsia="宋体" w:cs="Times New Roman"/>
                <w:color w:val="auto"/>
                <w:kern w:val="0"/>
                <w:lang w:val="en-US" w:eastAsia="zh-CN" w:bidi="ar"/>
              </w:rPr>
              <w:t>工业用</w:t>
            </w:r>
            <w:r>
              <w:rPr>
                <w:rFonts w:hint="default" w:ascii="Times New Roman" w:hAnsi="Times New Roman" w:eastAsia="宋体" w:cs="Times New Roman"/>
                <w:color w:val="auto"/>
                <w:lang w:val="en-US" w:eastAsia="zh-CN"/>
              </w:rPr>
              <w:t>地</w:t>
            </w:r>
            <w:r>
              <w:rPr>
                <w:rFonts w:hint="default" w:ascii="Times New Roman" w:hAnsi="Times New Roman" w:eastAsia="宋体" w:cs="Times New Roman"/>
                <w:color w:val="auto"/>
              </w:rPr>
              <w:t>，300m范围内无居民居住区，</w:t>
            </w:r>
            <w:r>
              <w:rPr>
                <w:rFonts w:hint="default" w:ascii="Times New Roman" w:hAnsi="Times New Roman" w:eastAsia="宋体" w:cs="Times New Roman"/>
                <w:color w:val="auto"/>
                <w:lang w:val="en-US" w:eastAsia="zh-CN"/>
              </w:rPr>
              <w:t>本项目为租赁现有</w:t>
            </w:r>
            <w:r>
              <w:rPr>
                <w:rFonts w:hint="eastAsia" w:cs="Times New Roman"/>
                <w:color w:val="auto"/>
                <w:lang w:val="en-US" w:eastAsia="zh-CN"/>
              </w:rPr>
              <w:t>沥青混凝土拌合站</w:t>
            </w:r>
            <w:r>
              <w:rPr>
                <w:rFonts w:hint="default" w:ascii="Times New Roman" w:hAnsi="Times New Roman" w:eastAsia="宋体" w:cs="Times New Roman"/>
                <w:color w:val="auto"/>
              </w:rPr>
              <w:t>。</w:t>
            </w:r>
          </w:p>
          <w:p w14:paraId="4CEB7950">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bidi="ar-SA"/>
              </w:rPr>
              <w:t>9、</w:t>
            </w:r>
            <w:r>
              <w:rPr>
                <w:rFonts w:hint="default" w:ascii="Times New Roman" w:hAnsi="Times New Roman" w:eastAsia="宋体" w:cs="Times New Roman"/>
                <w:color w:val="auto"/>
                <w:kern w:val="0"/>
                <w:sz w:val="24"/>
                <w:szCs w:val="24"/>
                <w:highlight w:val="none"/>
                <w:lang w:val="en-US" w:eastAsia="zh-CN" w:bidi="ar-SA"/>
              </w:rPr>
              <w:t>绕行保通方案</w:t>
            </w:r>
          </w:p>
          <w:p w14:paraId="33C135B6">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本项目为路面改造工程，施工时不可避免的要进行道路封闭。</w:t>
            </w:r>
          </w:p>
          <w:p w14:paraId="5E83A7DE">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r>
              <w:rPr>
                <w:rFonts w:hint="default" w:ascii="Times New Roman" w:hAnsi="Times New Roman" w:eastAsia="宋体" w:cs="Times New Roman"/>
                <w:color w:val="auto"/>
                <w:kern w:val="0"/>
                <w:sz w:val="24"/>
                <w:szCs w:val="24"/>
                <w:highlight w:val="none"/>
                <w:lang w:val="en-US" w:eastAsia="zh-CN" w:bidi="ar-SA"/>
              </w:rPr>
              <w:t>本项目路线</w:t>
            </w:r>
            <w:r>
              <w:rPr>
                <w:rFonts w:hint="default" w:ascii="Times New Roman" w:hAnsi="Times New Roman" w:cs="Times New Roman"/>
                <w:color w:val="auto"/>
                <w:kern w:val="0"/>
                <w:sz w:val="24"/>
                <w:szCs w:val="24"/>
                <w:highlight w:val="none"/>
                <w:lang w:val="en-US" w:eastAsia="zh-CN" w:bidi="ar-SA"/>
              </w:rPr>
              <w:t>东侧有一条伴行乡路，起点与富密公路G501相连接，途径青梅山林场、八五一一农场科研站、兴凯五组，止于兴凯镇，</w:t>
            </w:r>
            <w:r>
              <w:rPr>
                <w:rFonts w:hint="default" w:ascii="Times New Roman" w:hAnsi="Times New Roman" w:eastAsia="宋体" w:cs="Times New Roman"/>
                <w:color w:val="auto"/>
                <w:kern w:val="0"/>
                <w:sz w:val="24"/>
                <w:szCs w:val="24"/>
                <w:highlight w:val="none"/>
                <w:lang w:val="en-US" w:eastAsia="zh-CN" w:bidi="ar-SA"/>
              </w:rPr>
              <w:t>项目施工期间采用道路封闭方案施工，社会车辆可通过</w:t>
            </w:r>
            <w:r>
              <w:rPr>
                <w:rFonts w:hint="default" w:ascii="Times New Roman" w:hAnsi="Times New Roman" w:cs="Times New Roman"/>
                <w:color w:val="auto"/>
                <w:kern w:val="0"/>
                <w:sz w:val="24"/>
                <w:szCs w:val="24"/>
                <w:highlight w:val="none"/>
                <w:lang w:val="en-US" w:eastAsia="zh-CN" w:bidi="ar-SA"/>
              </w:rPr>
              <w:t>临近乡道</w:t>
            </w:r>
            <w:r>
              <w:rPr>
                <w:rFonts w:hint="default" w:ascii="Times New Roman" w:hAnsi="Times New Roman" w:eastAsia="宋体" w:cs="Times New Roman"/>
                <w:color w:val="auto"/>
                <w:kern w:val="0"/>
                <w:sz w:val="24"/>
                <w:szCs w:val="24"/>
                <w:highlight w:val="none"/>
                <w:lang w:val="en-US" w:eastAsia="zh-CN" w:bidi="ar-SA"/>
              </w:rPr>
              <w:t>绕行的方案，以保证过境车辆的通行。沿线居民可利用当地村道、乡道绕行</w:t>
            </w:r>
            <w:r>
              <w:rPr>
                <w:rFonts w:hint="default" w:ascii="Times New Roman" w:hAnsi="Times New Roman" w:cs="Times New Roman"/>
                <w:color w:val="auto"/>
                <w:kern w:val="0"/>
                <w:sz w:val="24"/>
                <w:szCs w:val="24"/>
                <w:highlight w:val="none"/>
                <w:lang w:val="en-US" w:eastAsia="zh-CN" w:bidi="ar-SA"/>
              </w:rPr>
              <w:t>，</w:t>
            </w:r>
            <w:r>
              <w:rPr>
                <w:rFonts w:hint="default" w:ascii="Times New Roman" w:hAnsi="Times New Roman" w:eastAsia="宋体" w:cs="Times New Roman"/>
                <w:color w:val="auto"/>
                <w:kern w:val="0"/>
                <w:sz w:val="24"/>
                <w:szCs w:val="24"/>
                <w:highlight w:val="none"/>
                <w:lang w:val="en-US" w:eastAsia="zh-CN" w:bidi="ar-SA"/>
              </w:rPr>
              <w:t>对居民难以完全绕行路段，采用临时半幅交通导行的施工方案。</w:t>
            </w:r>
            <w:r>
              <w:rPr>
                <w:rFonts w:hint="default" w:ascii="Times New Roman" w:hAnsi="Times New Roman" w:eastAsia="宋体" w:cs="Times New Roman"/>
                <w:color w:val="auto"/>
                <w:kern w:val="0"/>
                <w:sz w:val="24"/>
                <w:szCs w:val="24"/>
                <w:highlight w:val="none"/>
                <w:lang w:val="zh-CN" w:eastAsia="zh-CN" w:bidi="ar-SA"/>
              </w:rPr>
              <w:t>为更加清晰的引导过境车辆绕行，采用道路封闭提示标志牌，并在封闭路段起、终点位置设置警示灯护栏及道路施工标志牌，以保证行车安全性。</w:t>
            </w:r>
          </w:p>
          <w:p w14:paraId="5C747AE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3171CF2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64472FEF">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738CEC28">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132DC3B4">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55BDCB5A">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zh-CN" w:eastAsia="zh-CN" w:bidi="ar-SA"/>
              </w:rPr>
            </w:pPr>
          </w:p>
          <w:p w14:paraId="62C07082">
            <w:pPr>
              <w:spacing w:line="240" w:lineRule="auto"/>
              <w:jc w:val="center"/>
              <w:rPr>
                <w:rFonts w:hint="default" w:ascii="Times New Roman" w:hAnsi="Times New Roman" w:eastAsia="宋体" w:cs="Times New Roman"/>
                <w:color w:val="auto"/>
                <w:kern w:val="0"/>
                <w:sz w:val="24"/>
                <w:szCs w:val="24"/>
                <w:lang w:val="zh-CN" w:eastAsia="zh-CN" w:bidi="ar-SA"/>
              </w:rPr>
            </w:pPr>
            <w:r>
              <w:rPr>
                <w:rFonts w:hint="default" w:ascii="Times New Roman" w:hAnsi="Times New Roman" w:cs="Times New Roman"/>
                <w:color w:val="auto"/>
                <w:sz w:val="24"/>
              </w:rPr>
              <mc:AlternateContent>
                <mc:Choice Requires="wps">
                  <w:drawing>
                    <wp:anchor distT="0" distB="0" distL="114300" distR="114300" simplePos="0" relativeHeight="251667456" behindDoc="0" locked="0" layoutInCell="1" allowOverlap="1">
                      <wp:simplePos x="0" y="0"/>
                      <wp:positionH relativeFrom="column">
                        <wp:posOffset>2103120</wp:posOffset>
                      </wp:positionH>
                      <wp:positionV relativeFrom="paragraph">
                        <wp:posOffset>2120900</wp:posOffset>
                      </wp:positionV>
                      <wp:extent cx="509270" cy="208280"/>
                      <wp:effectExtent l="6350" t="269875" r="227330" b="17145"/>
                      <wp:wrapNone/>
                      <wp:docPr id="45" name="矩形标注 45"/>
                      <wp:cNvGraphicFramePr/>
                      <a:graphic xmlns:a="http://schemas.openxmlformats.org/drawingml/2006/main">
                        <a:graphicData uri="http://schemas.microsoft.com/office/word/2010/wordprocessingShape">
                          <wps:wsp>
                            <wps:cNvSpPr/>
                            <wps:spPr>
                              <a:xfrm>
                                <a:off x="2585720" y="7689215"/>
                                <a:ext cx="509270" cy="208280"/>
                              </a:xfrm>
                              <a:prstGeom prst="wedgeRectCallout">
                                <a:avLst>
                                  <a:gd name="adj1" fmla="val 91396"/>
                                  <a:gd name="adj2" fmla="val -176600"/>
                                </a:avLst>
                              </a:pr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F3AD9C1">
                                  <w:pPr>
                                    <w:keepNext w:val="0"/>
                                    <w:keepLines w:val="0"/>
                                    <w:pageBreakBefore w:val="0"/>
                                    <w:widowControl w:val="0"/>
                                    <w:kinsoku/>
                                    <w:wordWrap/>
                                    <w:overflowPunct/>
                                    <w:topLinePunct w:val="0"/>
                                    <w:bidi w:val="0"/>
                                    <w:adjustRightInd/>
                                    <w:snapToGrid/>
                                    <w:spacing w:line="0" w:lineRule="atLeast"/>
                                    <w:jc w:val="center"/>
                                    <w:textAlignment w:val="auto"/>
                                    <w:rPr>
                                      <w:rFonts w:hint="eastAsia" w:eastAsia="宋体"/>
                                      <w:b/>
                                      <w:bCs/>
                                      <w:color w:val="FFFF00"/>
                                      <w:sz w:val="15"/>
                                      <w:szCs w:val="15"/>
                                      <w:lang w:val="en-US" w:eastAsia="zh-CN"/>
                                    </w:rPr>
                                  </w:pPr>
                                  <w:r>
                                    <w:rPr>
                                      <w:rFonts w:hint="eastAsia"/>
                                      <w:b/>
                                      <w:bCs/>
                                      <w:color w:val="FFFF00"/>
                                      <w:sz w:val="15"/>
                                      <w:szCs w:val="15"/>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65.6pt;margin-top:167pt;height:16.4pt;width:40.1pt;z-index:251667456;v-text-anchor:middle;mso-width-relative:page;mso-height-relative:page;" filled="f" stroked="t" coordsize="21600,21600" o:gfxdata="UEsDBAoAAAAAAIdO4kAAAAAAAAAAAAAAAAAEAAAAZHJzL1BLAwQUAAAACACHTuJAogmtntYAAAAL&#10;AQAADwAAAGRycy9kb3ducmV2LnhtbE2PzW7CMBCE75V4B2uReiuOIYogjcMBiStSoVKuJt4maeN1&#10;ZJu/t+9yam+7O6PZb6rt3Y3iiiEOnjSoRQYCqfV2oE7D52n/tgYRkyFrRk+o4YERtvXspTKl9Tf6&#10;wOsxdYJDKJZGQ5/SVEoZ2x6diQs/IbH25YMzidfQSRvMjcPdKJdZVkhnBuIPvZlw12P7c7w4DYdw&#10;yOOu2MhW4qYhhc33yTdav85V9g4i4T39meGJz+hQM9PZX8hGMWpYrdSSrc8h51LsyJXKQZz5UhRr&#10;kHUl/3eofwFQSwMEFAAAAAgAh07iQHghiWKpAgAAMQUAAA4AAABkcnMvZTJvRG9jLnhtbK1UwXLT&#10;MBC9M8M/aHRvnZgkTTJ1OplkwjDToR0Kw1mR5diMLAlJiVN+gM+A4QRnznwO5Td4kt02FA494IO8&#10;0q7fvn2r9enZvpZkJ6yrtMpo/7hHiVBc55XaZPTN69XRmBLnmcqZ1Epk9Fo4ejZ7+uS0MVOR6lLL&#10;XFgCEOWmjclo6b2ZJonjpaiZO9ZGKDgLbWvmsbWbJLesAXotk7TXGyWNtrmxmgvncLpsnbRDtI8B&#10;1EVRcbHUfFsL5VtUKyTzKMmVlXF0FtkWheD+oiic8ERmFJX6uCIJ7HVYk9kpm24sM2XFOwrsMRQe&#10;1FSzSiHpHdSSeUa2tvoLqq641U4X/pjrOmkLiYqgin7vgTZXJTMi1gKpnbkT3f0/WP5yd2lJlWd0&#10;MKREsRod//Xp288fX24+f7z5/pXgGBo1xk0RemUubbdzMEPB+8LW4Y1SyD6j6XA8PEmh7nVGT0bj&#10;SdqP37Op2HvCETDsTdIT+DkC0t44HcceJPdAxjr/XOiaBCOjjcg34hX6uGBS6q2PKrPdufNR7rzj&#10;zPJ3fUqKWqJ7OybJpP9sMuq6exCTHsYc9U9Go95t/g4TTG4ZhARKryop4y2RijQYGLAP9BmufoEr&#10;B7M2kM+pDSVMbjBT3NvI0mlZ5eHzAOTsZr2QloBcRld47hL/ERZyL5kr27joClWAlVR4hT60ygfL&#10;79f7rh1rnV+jkVa3N9wZvqoAdc6cv2QWooAzht5fYCmkRiG6sygptf3wr/MQj5sGLyUNRgRFvt8y&#10;KyiRLxTu4KQ/GADWx82gbbs99KwPPWpbLzRqR5vALpr42Hp5axZW12/xb5iHrHAxxZG7lbPbLHw7&#10;uvi7cDGfxzDMkWH+XF0ZHsDbps23XheVD8oFoVp1ug0mKQraTX0Y1cN9jLr/081+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KIJrZ7WAAAACwEAAA8AAAAAAAAAAQAgAAAAIgAAAGRycy9kb3ducmV2&#10;LnhtbFBLAQIUABQAAAAIAIdO4kB4IYliqQIAADEFAAAOAAAAAAAAAAEAIAAAACUBAABkcnMvZTJv&#10;RG9jLnhtbFBLBQYAAAAABgAGAFkBAABABgAAAAA=&#10;" adj="30542,-27346">
                      <v:fill on="f" focussize="0,0"/>
                      <v:stroke weight="1pt" color="#FFFF00 [2404]" joinstyle="round"/>
                      <v:imagedata o:title=""/>
                      <o:lock v:ext="edit" aspectratio="f"/>
                      <v:textbox>
                        <w:txbxContent>
                          <w:p w14:paraId="4F3AD9C1">
                            <w:pPr>
                              <w:keepNext w:val="0"/>
                              <w:keepLines w:val="0"/>
                              <w:pageBreakBefore w:val="0"/>
                              <w:widowControl w:val="0"/>
                              <w:kinsoku/>
                              <w:wordWrap/>
                              <w:overflowPunct/>
                              <w:topLinePunct w:val="0"/>
                              <w:bidi w:val="0"/>
                              <w:adjustRightInd/>
                              <w:snapToGrid/>
                              <w:spacing w:line="0" w:lineRule="atLeast"/>
                              <w:jc w:val="center"/>
                              <w:textAlignment w:val="auto"/>
                              <w:rPr>
                                <w:rFonts w:hint="eastAsia" w:eastAsia="宋体"/>
                                <w:b/>
                                <w:bCs/>
                                <w:color w:val="FFFF00"/>
                                <w:sz w:val="15"/>
                                <w:szCs w:val="15"/>
                                <w:lang w:val="en-US" w:eastAsia="zh-CN"/>
                              </w:rPr>
                            </w:pPr>
                            <w:r>
                              <w:rPr>
                                <w:rFonts w:hint="eastAsia"/>
                                <w:b/>
                                <w:bCs/>
                                <w:color w:val="FFFF00"/>
                                <w:sz w:val="15"/>
                                <w:szCs w:val="15"/>
                                <w:lang w:val="en-US" w:eastAsia="zh-CN"/>
                              </w:rPr>
                              <w:t>本项目</w:t>
                            </w:r>
                          </w:p>
                        </w:txbxContent>
                      </v:textbox>
                    </v:shape>
                  </w:pict>
                </mc:Fallback>
              </mc:AlternateContent>
            </w:r>
            <w:r>
              <w:rPr>
                <w:rFonts w:hint="default" w:ascii="Times New Roman" w:hAnsi="Times New Roman" w:cs="Times New Roman"/>
                <w:color w:val="auto"/>
                <w:sz w:val="24"/>
              </w:rPr>
              <mc:AlternateContent>
                <mc:Choice Requires="wps">
                  <w:drawing>
                    <wp:anchor distT="0" distB="0" distL="114300" distR="114300" simplePos="0" relativeHeight="251668480" behindDoc="0" locked="0" layoutInCell="1" allowOverlap="1">
                      <wp:simplePos x="0" y="0"/>
                      <wp:positionH relativeFrom="column">
                        <wp:posOffset>2828290</wp:posOffset>
                      </wp:positionH>
                      <wp:positionV relativeFrom="paragraph">
                        <wp:posOffset>894080</wp:posOffset>
                      </wp:positionV>
                      <wp:extent cx="597535" cy="229235"/>
                      <wp:effectExtent l="278765" t="6350" r="19050" b="50165"/>
                      <wp:wrapNone/>
                      <wp:docPr id="46" name="矩形标注 46"/>
                      <wp:cNvGraphicFramePr/>
                      <a:graphic xmlns:a="http://schemas.openxmlformats.org/drawingml/2006/main">
                        <a:graphicData uri="http://schemas.microsoft.com/office/word/2010/wordprocessingShape">
                          <wps:wsp>
                            <wps:cNvSpPr/>
                            <wps:spPr>
                              <a:xfrm>
                                <a:off x="0" y="0"/>
                                <a:ext cx="597535" cy="229235"/>
                              </a:xfrm>
                              <a:prstGeom prst="wedgeRectCallout">
                                <a:avLst>
                                  <a:gd name="adj1" fmla="val -95635"/>
                                  <a:gd name="adj2" fmla="val 66748"/>
                                </a:avLst>
                              </a:prstGeom>
                              <a:noFill/>
                              <a:ln w="12700">
                                <a:solidFill>
                                  <a:srgbClr val="0FEF1E"/>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E5B6A8F">
                                  <w:pPr>
                                    <w:keepNext w:val="0"/>
                                    <w:keepLines w:val="0"/>
                                    <w:pageBreakBefore w:val="0"/>
                                    <w:widowControl w:val="0"/>
                                    <w:kinsoku/>
                                    <w:wordWrap/>
                                    <w:overflowPunct/>
                                    <w:topLinePunct w:val="0"/>
                                    <w:bidi w:val="0"/>
                                    <w:adjustRightInd/>
                                    <w:snapToGrid/>
                                    <w:spacing w:line="0" w:lineRule="atLeast"/>
                                    <w:jc w:val="center"/>
                                    <w:textAlignment w:val="auto"/>
                                    <w:rPr>
                                      <w:rFonts w:hint="default" w:eastAsia="宋体"/>
                                      <w:b/>
                                      <w:bCs/>
                                      <w:color w:val="0FEF1E"/>
                                      <w:sz w:val="15"/>
                                      <w:szCs w:val="15"/>
                                      <w:lang w:val="en-US" w:eastAsia="zh-CN"/>
                                    </w:rPr>
                                  </w:pPr>
                                  <w:r>
                                    <w:rPr>
                                      <w:rFonts w:hint="eastAsia"/>
                                      <w:b/>
                                      <w:bCs/>
                                      <w:color w:val="0FEF1E"/>
                                      <w:sz w:val="15"/>
                                      <w:szCs w:val="15"/>
                                      <w:lang w:val="en-US" w:eastAsia="zh-CN"/>
                                    </w:rPr>
                                    <w:t>绕行方案</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22.7pt;margin-top:70.4pt;height:18.05pt;width:47.05pt;z-index:251668480;v-text-anchor:middle;mso-width-relative:page;mso-height-relative:page;" filled="f" stroked="t" coordsize="21600,21600" o:gfxdata="UEsDBAoAAAAAAIdO4kAAAAAAAAAAAAAAAAAEAAAAZHJzL1BLAwQUAAAACACHTuJAkUm7iNkAAAAL&#10;AQAADwAAAGRycy9kb3ducmV2LnhtbE2PzU7DMBCE70i8g7VI3KgdSAoJcaqqiBMH1AJSj9t4SaLG&#10;dmS7P/D0LCc47syn2Zl6cbajOFKIg3caspkCQa71ZnCdhve355sHEDGhMzh6Rxq+KMKiubyosTL+&#10;5NZ03KROcIiLFWroU5oqKWPbk8U48xM59j59sJj4DJ00AU8cbkd5q9RcWhwcf+hxolVP7X5zsBpW&#10;L91y/7rM1h/fT0mWNmxViVutr68y9Qgi0Tn9wfBbn6tDw512/uBMFKOGPC9yRtnIFW9gorgrCxA7&#10;Vu7nJcimlv83ND9QSwMEFAAAAAgAh07iQEeChIifAgAAJAUAAA4AAABkcnMvZTJvRG9jLnhtbK1U&#10;zW4TMRC+I/EOlu/tJkt+mqhJFSUNQqpoREGcHa83u8hrG9vJprwAjwHiBGfOPA7lNfjs3bahcOiB&#10;i3fGM/vNzDczPj3bV5LshHWlVhPaPe5QIhTXWak2E/rm9fLohBLnmcqY1EpM6LVw9Gz69MlpbcYi&#10;1YWWmbAEIMqNazOhhfdmnCSOF6Ji7lgboWDMta2Yh2o3SWZZDfRKJmmnM0hqbTNjNRfO4XbRGGmL&#10;aB8DqPO85GKh+bYSyjeoVkjmUZIrSuPoNGab54L7yzx3whM5oajUxxNBIK/DmUxP2XhjmSlK3qbA&#10;HpPCg5oqVioEvYNaMM/I1pZ/QVUlt9rp3B9zXSVNIZERVNHtPODmqmBGxFpAtTN3pLv/B8tf7laW&#10;lNmE9gaUKFah478+ffv548vN5483378SXIOj2rgxXK/MyraagxgK3ue2Cl+UQvaR1+s7XsXeE47L&#10;/mjYf9anhMOUpqMUMlCS+5+Ndf650BUJwoTWItuIV+jdnEmptz4yy3YXzkeKszZPlr3rUpJXEh3b&#10;MUmORv1BA40+HDilh06DwbB30oZvIZHIbQIBX+llKWUcDKlIjR1Jhx3MC2eY9hxTBrEyYMypDSVM&#10;brBG3NuYpNOyzMLvAcjZzXouLUFuoGR5vuyet4H/cAuxF8wVjV80tW5SgaVAfUN2kPx+vW87sNbZ&#10;NXpndTPUzvBlCagL5vyKWXCCnLHn/hJHLjUK0a1ESaHth3/dB38MF6yU1NgKFPl+y6ygRL5QGLtR&#10;t9cLaxSVXn+YQrGHlvWhRW2ruUbt6BKyi2Lw9/JWzK2u3uI5mIWoMDHFEbuhs1XmvtlWPChczGbR&#10;DatjmL9QV4YH8KZps63XeenDYAWiGnZaBcsT561d9LCdh3r0un/cp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kUm7iNkAAAALAQAADwAAAAAAAAABACAAAAAiAAAAZHJzL2Rvd25yZXYueG1sUEsB&#10;AhQAFAAAAAgAh07iQEeChIifAgAAJAUAAA4AAAAAAAAAAQAgAAAAKAEAAGRycy9lMm9Eb2MueG1s&#10;UEsFBgAAAAAGAAYAWQEAADkGAAAAAA==&#10;" adj="-9857,25218">
                      <v:fill on="f" focussize="0,0"/>
                      <v:stroke weight="1pt" color="#0FEF1E [2404]" joinstyle="round"/>
                      <v:imagedata o:title=""/>
                      <o:lock v:ext="edit" aspectratio="f"/>
                      <v:textbox>
                        <w:txbxContent>
                          <w:p w14:paraId="6E5B6A8F">
                            <w:pPr>
                              <w:keepNext w:val="0"/>
                              <w:keepLines w:val="0"/>
                              <w:pageBreakBefore w:val="0"/>
                              <w:widowControl w:val="0"/>
                              <w:kinsoku/>
                              <w:wordWrap/>
                              <w:overflowPunct/>
                              <w:topLinePunct w:val="0"/>
                              <w:bidi w:val="0"/>
                              <w:adjustRightInd/>
                              <w:snapToGrid/>
                              <w:spacing w:line="0" w:lineRule="atLeast"/>
                              <w:jc w:val="center"/>
                              <w:textAlignment w:val="auto"/>
                              <w:rPr>
                                <w:rFonts w:hint="default" w:eastAsia="宋体"/>
                                <w:b/>
                                <w:bCs/>
                                <w:color w:val="0FEF1E"/>
                                <w:sz w:val="15"/>
                                <w:szCs w:val="15"/>
                                <w:lang w:val="en-US" w:eastAsia="zh-CN"/>
                              </w:rPr>
                            </w:pPr>
                            <w:r>
                              <w:rPr>
                                <w:rFonts w:hint="eastAsia"/>
                                <w:b/>
                                <w:bCs/>
                                <w:color w:val="0FEF1E"/>
                                <w:sz w:val="15"/>
                                <w:szCs w:val="15"/>
                                <w:lang w:val="en-US" w:eastAsia="zh-CN"/>
                              </w:rPr>
                              <w:t>绕行方案</w:t>
                            </w:r>
                          </w:p>
                        </w:txbxContent>
                      </v:textbox>
                    </v:shape>
                  </w:pict>
                </mc:Fallback>
              </mc:AlternateContent>
            </w:r>
            <w:r>
              <w:rPr>
                <w:rFonts w:hint="default" w:ascii="Times New Roman" w:hAnsi="Times New Roman" w:eastAsia="宋体" w:cs="Times New Roman"/>
                <w:color w:val="auto"/>
                <w:kern w:val="0"/>
                <w:sz w:val="24"/>
                <w:szCs w:val="24"/>
                <w:lang w:val="zh-CN" w:eastAsia="zh-CN" w:bidi="ar-SA"/>
              </w:rPr>
              <w:drawing>
                <wp:inline distT="0" distB="0" distL="114300" distR="114300">
                  <wp:extent cx="3713480" cy="3207385"/>
                  <wp:effectExtent l="0" t="0" r="1270" b="12065"/>
                  <wp:docPr id="47" name="图片 47" descr="QQ截图2025112715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QQ截图20251127150323"/>
                          <pic:cNvPicPr>
                            <a:picLocks noChangeAspect="1"/>
                          </pic:cNvPicPr>
                        </pic:nvPicPr>
                        <pic:blipFill>
                          <a:blip r:embed="rId13"/>
                          <a:srcRect t="1718" b="859"/>
                          <a:stretch>
                            <a:fillRect/>
                          </a:stretch>
                        </pic:blipFill>
                        <pic:spPr>
                          <a:xfrm>
                            <a:off x="0" y="0"/>
                            <a:ext cx="3713480" cy="3207385"/>
                          </a:xfrm>
                          <a:prstGeom prst="rect">
                            <a:avLst/>
                          </a:prstGeom>
                        </pic:spPr>
                      </pic:pic>
                    </a:graphicData>
                  </a:graphic>
                </wp:inline>
              </w:drawing>
            </w:r>
          </w:p>
          <w:p w14:paraId="27A5E860">
            <w:pPr>
              <w:pStyle w:val="28"/>
              <w:ind w:left="0" w:leftChars="0" w:firstLine="0" w:firstLineChars="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kern w:val="0"/>
                <w:sz w:val="24"/>
                <w:szCs w:val="24"/>
                <w:lang w:val="en-US" w:eastAsia="zh-CN" w:bidi="ar-SA"/>
              </w:rPr>
              <w:t>图2-2  本项目</w:t>
            </w:r>
            <w:r>
              <w:rPr>
                <w:rFonts w:hint="default" w:ascii="Times New Roman" w:hAnsi="Times New Roman" w:eastAsia="宋体" w:cs="Times New Roman"/>
                <w:b/>
                <w:bCs/>
                <w:color w:val="auto"/>
                <w:kern w:val="0"/>
                <w:sz w:val="24"/>
                <w:szCs w:val="24"/>
                <w:highlight w:val="none"/>
                <w:lang w:val="en-US" w:eastAsia="zh-CN" w:bidi="ar-SA"/>
              </w:rPr>
              <w:t>绕行保通方案</w:t>
            </w:r>
            <w:r>
              <w:rPr>
                <w:rFonts w:hint="default" w:ascii="Times New Roman" w:hAnsi="Times New Roman" w:cs="Times New Roman"/>
                <w:b/>
                <w:bCs/>
                <w:color w:val="auto"/>
                <w:kern w:val="0"/>
                <w:sz w:val="24"/>
                <w:szCs w:val="24"/>
                <w:highlight w:val="none"/>
                <w:lang w:val="en-US" w:eastAsia="zh-CN" w:bidi="ar-SA"/>
              </w:rPr>
              <w:t>示意图</w:t>
            </w:r>
          </w:p>
          <w:p w14:paraId="23209CD1">
            <w:pPr>
              <w:tabs>
                <w:tab w:val="left" w:pos="1327"/>
              </w:tabs>
              <w:ind w:firstLine="480" w:firstLineChars="200"/>
              <w:rPr>
                <w:rFonts w:hint="default" w:ascii="Times New Roman" w:hAnsi="Times New Roman" w:cs="Times New Roman"/>
                <w:color w:val="auto"/>
              </w:rPr>
            </w:pPr>
            <w:r>
              <w:rPr>
                <w:rFonts w:hint="default" w:ascii="Times New Roman" w:hAnsi="Times New Roman" w:cs="Times New Roman"/>
                <w:color w:val="auto"/>
              </w:rPr>
              <w:t>1</w:t>
            </w:r>
            <w:r>
              <w:rPr>
                <w:rFonts w:hint="default" w:ascii="Times New Roman" w:hAnsi="Times New Roman" w:cs="Times New Roman"/>
                <w:color w:val="auto"/>
                <w:lang w:val="en-US" w:eastAsia="zh-CN"/>
              </w:rPr>
              <w:t>0</w:t>
            </w:r>
            <w:r>
              <w:rPr>
                <w:rFonts w:hint="default" w:ascii="Times New Roman" w:hAnsi="Times New Roman" w:cs="Times New Roman"/>
                <w:color w:val="auto"/>
              </w:rPr>
              <w:t>、土石方平衡</w:t>
            </w:r>
          </w:p>
          <w:p w14:paraId="4777B832">
            <w:pPr>
              <w:ind w:firstLine="480"/>
              <w:rPr>
                <w:rFonts w:hint="eastAsia" w:cs="Times New Roman"/>
                <w:color w:val="auto"/>
                <w:kern w:val="0"/>
                <w:sz w:val="24"/>
                <w:szCs w:val="24"/>
                <w:lang w:val="en-US" w:eastAsia="zh-CN" w:bidi="ar-SA"/>
              </w:rPr>
            </w:pPr>
            <w:r>
              <w:rPr>
                <w:rFonts w:hint="default" w:ascii="Times New Roman" w:hAnsi="Times New Roman" w:cs="Times New Roman"/>
                <w:color w:val="auto"/>
                <w:lang w:val="en-US" w:eastAsia="zh-CN"/>
              </w:rPr>
              <w:t>本项目</w:t>
            </w:r>
            <w:r>
              <w:rPr>
                <w:rFonts w:hint="default" w:ascii="Times New Roman" w:hAnsi="Times New Roman" w:eastAsia="宋体" w:cs="Times New Roman"/>
                <w:color w:val="auto"/>
                <w:kern w:val="0"/>
                <w:sz w:val="24"/>
                <w:szCs w:val="24"/>
                <w:lang w:val="en-US" w:eastAsia="zh-CN" w:bidi="ar-SA"/>
              </w:rPr>
              <w:t>以路面改造为主，建设内容包括路面改造、</w:t>
            </w:r>
            <w:r>
              <w:rPr>
                <w:rFonts w:hint="default" w:ascii="Times New Roman" w:hAnsi="Times New Roman" w:cs="Times New Roman"/>
                <w:color w:val="auto"/>
                <w:kern w:val="0"/>
                <w:sz w:val="24"/>
                <w:szCs w:val="24"/>
                <w:lang w:val="en-US" w:eastAsia="zh-CN" w:bidi="ar-SA"/>
              </w:rPr>
              <w:t>涵洞重建</w:t>
            </w:r>
            <w:r>
              <w:rPr>
                <w:rFonts w:hint="default" w:ascii="Times New Roman" w:hAnsi="Times New Roman" w:eastAsia="宋体" w:cs="Times New Roman"/>
                <w:color w:val="auto"/>
                <w:kern w:val="0"/>
                <w:sz w:val="24"/>
                <w:szCs w:val="24"/>
                <w:lang w:val="en-US" w:eastAsia="zh-CN" w:bidi="ar-SA"/>
              </w:rPr>
              <w:t>、标志、护栏等安全设施的维修</w:t>
            </w:r>
            <w:r>
              <w:rPr>
                <w:rFonts w:hint="default" w:ascii="Times New Roman" w:hAnsi="Times New Roman" w:cs="Times New Roman"/>
                <w:color w:val="auto"/>
                <w:kern w:val="0"/>
                <w:sz w:val="24"/>
                <w:szCs w:val="24"/>
                <w:lang w:val="en-US" w:eastAsia="zh-CN" w:bidi="ar-SA"/>
              </w:rPr>
              <w:t>建设</w:t>
            </w:r>
            <w:r>
              <w:rPr>
                <w:rFonts w:hint="default" w:ascii="Times New Roman" w:hAnsi="Times New Roman" w:eastAsia="宋体" w:cs="Times New Roman"/>
                <w:color w:val="auto"/>
                <w:kern w:val="0"/>
                <w:sz w:val="24"/>
                <w:szCs w:val="24"/>
                <w:lang w:val="en-US" w:eastAsia="zh-CN" w:bidi="ar-SA"/>
              </w:rPr>
              <w:t>等</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不涉及土石方工程</w:t>
            </w:r>
            <w:r>
              <w:rPr>
                <w:rFonts w:hint="eastAsia" w:cs="Times New Roman"/>
                <w:color w:val="auto"/>
                <w:kern w:val="0"/>
                <w:sz w:val="24"/>
                <w:szCs w:val="24"/>
                <w:lang w:val="en-US" w:eastAsia="zh-CN" w:bidi="ar-SA"/>
              </w:rPr>
              <w:t>。</w:t>
            </w:r>
          </w:p>
          <w:p w14:paraId="55271C6C">
            <w:pPr>
              <w:ind w:firstLine="480"/>
              <w:rPr>
                <w:rFonts w:hint="eastAsia" w:cs="Times New Roman"/>
                <w:color w:val="auto"/>
                <w:kern w:val="0"/>
                <w:sz w:val="24"/>
                <w:szCs w:val="24"/>
                <w:lang w:val="en-US" w:eastAsia="zh-CN" w:bidi="ar-SA"/>
              </w:rPr>
            </w:pPr>
          </w:p>
          <w:p w14:paraId="7D71E942">
            <w:pPr>
              <w:ind w:firstLine="480"/>
              <w:rPr>
                <w:rFonts w:hint="eastAsia" w:cs="Times New Roman"/>
                <w:color w:val="auto"/>
                <w:kern w:val="0"/>
                <w:sz w:val="24"/>
                <w:szCs w:val="24"/>
                <w:lang w:val="en-US" w:eastAsia="zh-CN" w:bidi="ar-SA"/>
              </w:rPr>
            </w:pPr>
          </w:p>
          <w:p w14:paraId="746373A8">
            <w:pPr>
              <w:ind w:firstLine="480"/>
              <w:rPr>
                <w:rFonts w:hint="eastAsia" w:cs="Times New Roman"/>
                <w:color w:val="auto"/>
                <w:kern w:val="0"/>
                <w:sz w:val="24"/>
                <w:szCs w:val="24"/>
                <w:lang w:val="en-US" w:eastAsia="zh-CN" w:bidi="ar-SA"/>
              </w:rPr>
            </w:pPr>
          </w:p>
          <w:p w14:paraId="09A8521C">
            <w:pPr>
              <w:ind w:firstLine="480"/>
              <w:rPr>
                <w:rFonts w:hint="eastAsia" w:cs="Times New Roman"/>
                <w:color w:val="auto"/>
                <w:kern w:val="0"/>
                <w:sz w:val="24"/>
                <w:szCs w:val="24"/>
                <w:lang w:val="en-US" w:eastAsia="zh-CN" w:bidi="ar-SA"/>
              </w:rPr>
            </w:pPr>
          </w:p>
          <w:p w14:paraId="79029434">
            <w:pPr>
              <w:ind w:firstLine="480"/>
              <w:rPr>
                <w:rFonts w:hint="eastAsia" w:cs="Times New Roman"/>
                <w:color w:val="auto"/>
                <w:kern w:val="0"/>
                <w:sz w:val="24"/>
                <w:szCs w:val="24"/>
                <w:lang w:val="en-US" w:eastAsia="zh-CN" w:bidi="ar-SA"/>
              </w:rPr>
            </w:pPr>
          </w:p>
          <w:p w14:paraId="1765852F">
            <w:pPr>
              <w:ind w:firstLine="480"/>
              <w:rPr>
                <w:rFonts w:hint="eastAsia" w:cs="Times New Roman"/>
                <w:color w:val="auto"/>
                <w:kern w:val="0"/>
                <w:sz w:val="24"/>
                <w:szCs w:val="24"/>
                <w:lang w:val="en-US" w:eastAsia="zh-CN" w:bidi="ar-SA"/>
              </w:rPr>
            </w:pPr>
          </w:p>
          <w:p w14:paraId="087B8253">
            <w:pPr>
              <w:ind w:firstLine="480"/>
              <w:rPr>
                <w:rFonts w:hint="eastAsia" w:cs="Times New Roman"/>
                <w:color w:val="auto"/>
                <w:kern w:val="0"/>
                <w:sz w:val="24"/>
                <w:szCs w:val="24"/>
                <w:lang w:val="en-US" w:eastAsia="zh-CN" w:bidi="ar-SA"/>
              </w:rPr>
            </w:pPr>
          </w:p>
          <w:p w14:paraId="007B09E0">
            <w:pPr>
              <w:ind w:firstLine="480"/>
              <w:rPr>
                <w:rFonts w:hint="eastAsia" w:cs="Times New Roman"/>
                <w:color w:val="auto"/>
                <w:kern w:val="0"/>
                <w:sz w:val="24"/>
                <w:szCs w:val="24"/>
                <w:lang w:val="en-US" w:eastAsia="zh-CN" w:bidi="ar-SA"/>
              </w:rPr>
            </w:pPr>
          </w:p>
          <w:p w14:paraId="34C44E17">
            <w:pPr>
              <w:ind w:firstLine="480"/>
              <w:rPr>
                <w:rFonts w:hint="eastAsia" w:cs="Times New Roman"/>
                <w:color w:val="auto"/>
                <w:kern w:val="0"/>
                <w:sz w:val="24"/>
                <w:szCs w:val="24"/>
                <w:lang w:val="en-US" w:eastAsia="zh-CN" w:bidi="ar-SA"/>
              </w:rPr>
            </w:pPr>
          </w:p>
          <w:p w14:paraId="66A1663D">
            <w:pPr>
              <w:ind w:firstLine="480"/>
              <w:rPr>
                <w:rFonts w:hint="eastAsia" w:cs="Times New Roman"/>
                <w:color w:val="auto"/>
                <w:kern w:val="0"/>
                <w:sz w:val="24"/>
                <w:szCs w:val="24"/>
                <w:lang w:val="en-US" w:eastAsia="zh-CN" w:bidi="ar-SA"/>
              </w:rPr>
            </w:pPr>
          </w:p>
          <w:p w14:paraId="507B9074">
            <w:pPr>
              <w:ind w:firstLine="480"/>
              <w:rPr>
                <w:rFonts w:hint="eastAsia" w:cs="Times New Roman"/>
                <w:color w:val="auto"/>
                <w:kern w:val="0"/>
                <w:sz w:val="24"/>
                <w:szCs w:val="24"/>
                <w:lang w:val="en-US" w:eastAsia="zh-CN" w:bidi="ar-SA"/>
              </w:rPr>
            </w:pPr>
          </w:p>
          <w:p w14:paraId="260BDE9D">
            <w:pPr>
              <w:ind w:firstLine="480"/>
              <w:rPr>
                <w:rFonts w:hint="eastAsia" w:cs="Times New Roman"/>
                <w:color w:val="auto"/>
                <w:kern w:val="0"/>
                <w:sz w:val="24"/>
                <w:szCs w:val="24"/>
                <w:lang w:val="en-US" w:eastAsia="zh-CN" w:bidi="ar-SA"/>
              </w:rPr>
            </w:pPr>
          </w:p>
          <w:p w14:paraId="0AEE990F">
            <w:pPr>
              <w:ind w:firstLine="480"/>
              <w:rPr>
                <w:rFonts w:hint="default" w:cs="Times New Roman"/>
                <w:color w:val="auto"/>
                <w:kern w:val="0"/>
                <w:sz w:val="24"/>
                <w:szCs w:val="24"/>
                <w:lang w:val="en-US" w:eastAsia="zh-CN" w:bidi="ar-SA"/>
              </w:rPr>
            </w:pPr>
          </w:p>
        </w:tc>
      </w:tr>
      <w:tr w14:paraId="08DDEB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802" w:hRule="atLeast"/>
          <w:jc w:val="center"/>
        </w:trPr>
        <w:tc>
          <w:tcPr>
            <w:tcW w:w="382" w:type="dxa"/>
            <w:noWrap w:val="0"/>
            <w:vAlign w:val="center"/>
          </w:tcPr>
          <w:p w14:paraId="0300031E">
            <w:pPr>
              <w:adjustRightInd w:val="0"/>
              <w:snapToGrid w:val="0"/>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总平面及现场布置</w:t>
            </w:r>
          </w:p>
        </w:tc>
        <w:tc>
          <w:tcPr>
            <w:tcW w:w="8084" w:type="dxa"/>
            <w:noWrap w:val="0"/>
            <w:vAlign w:val="top"/>
          </w:tcPr>
          <w:p w14:paraId="4CC56618">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cs="Times New Roman"/>
                <w:color w:val="auto"/>
              </w:rPr>
              <w:t>1、路线方案及主要控制点</w:t>
            </w:r>
          </w:p>
          <w:p w14:paraId="64093930">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项目起自</w:t>
            </w:r>
            <w:r>
              <w:rPr>
                <w:rFonts w:hint="default" w:ascii="Times New Roman" w:hAnsi="Times New Roman" w:eastAsia="宋体" w:cs="Times New Roman"/>
                <w:color w:val="auto"/>
                <w:lang w:val="zh-CN" w:eastAsia="zh-CN"/>
              </w:rPr>
              <w:t>国道集当公路密山与宝清县交界处</w:t>
            </w:r>
            <w:r>
              <w:rPr>
                <w:rFonts w:hint="default" w:ascii="Times New Roman" w:hAnsi="Times New Roman" w:cs="Times New Roman"/>
                <w:color w:val="auto"/>
                <w:lang w:val="zh-CN" w:eastAsia="zh-CN"/>
              </w:rPr>
              <w:t>，</w:t>
            </w:r>
            <w:r>
              <w:rPr>
                <w:rFonts w:hint="default" w:ascii="Times New Roman" w:hAnsi="Times New Roman" w:eastAsia="宋体" w:cs="Times New Roman"/>
                <w:color w:val="auto"/>
                <w:kern w:val="0"/>
                <w:sz w:val="24"/>
                <w:szCs w:val="24"/>
                <w:lang w:val="en-US" w:eastAsia="zh-CN" w:bidi="ar-SA"/>
              </w:rPr>
              <w:t>经</w:t>
            </w:r>
            <w:r>
              <w:rPr>
                <w:rFonts w:hint="default" w:ascii="Times New Roman" w:hAnsi="Times New Roman" w:eastAsia="宋体" w:cs="Times New Roman"/>
                <w:color w:val="auto"/>
                <w:lang w:val="zh-CN" w:eastAsia="zh-CN"/>
              </w:rPr>
              <w:t>八五一一农场九队、八五一一农场七队、兴凯镇，止于与国道丹阿公路交叉处</w:t>
            </w:r>
            <w:r>
              <w:rPr>
                <w:rFonts w:hint="default" w:ascii="Times New Roman" w:hAnsi="Times New Roman" w:cs="Times New Roman"/>
                <w:color w:val="auto"/>
                <w:lang w:val="zh-CN" w:eastAsia="zh-CN"/>
              </w:rPr>
              <w:t>，</w:t>
            </w:r>
            <w:r>
              <w:rPr>
                <w:rFonts w:hint="default" w:ascii="Times New Roman" w:hAnsi="Times New Roman" w:eastAsia="宋体" w:cs="Times New Roman"/>
                <w:color w:val="auto"/>
                <w:lang w:val="en-US" w:eastAsia="zh-CN"/>
              </w:rPr>
              <w:t>路线</w:t>
            </w:r>
            <w:r>
              <w:rPr>
                <w:rFonts w:hint="default" w:ascii="Times New Roman" w:hAnsi="Times New Roman" w:eastAsia="宋体" w:cs="Times New Roman"/>
                <w:color w:val="auto"/>
                <w:lang w:val="zh-CN" w:eastAsia="zh-CN"/>
              </w:rPr>
              <w:t>全长16.101公里</w:t>
            </w:r>
            <w:r>
              <w:rPr>
                <w:rFonts w:hint="default" w:ascii="Times New Roman" w:hAnsi="Times New Roman" w:eastAsia="宋体" w:cs="Times New Roman"/>
                <w:color w:val="auto"/>
                <w:kern w:val="0"/>
                <w:sz w:val="24"/>
                <w:szCs w:val="24"/>
                <w:lang w:val="en-US" w:eastAsia="zh-CN" w:bidi="ar-SA"/>
              </w:rPr>
              <w:t>。起点</w:t>
            </w:r>
            <w:r>
              <w:rPr>
                <w:rFonts w:hint="default" w:ascii="Times New Roman" w:hAnsi="Times New Roman" w:cs="Times New Roman"/>
                <w:color w:val="auto"/>
              </w:rPr>
              <w:t>桩号K186+282，终点桩号K202+38</w:t>
            </w:r>
            <w:r>
              <w:rPr>
                <w:rFonts w:hint="default" w:ascii="Times New Roman" w:hAnsi="Times New Roman" w:cs="Times New Roman"/>
                <w:color w:val="auto"/>
                <w:lang w:val="en-US" w:eastAsia="zh-CN"/>
              </w:rPr>
              <w:t>3</w:t>
            </w:r>
            <w:r>
              <w:rPr>
                <w:rFonts w:hint="default" w:ascii="Times New Roman" w:hAnsi="Times New Roman" w:cs="Times New Roman"/>
                <w:color w:val="auto"/>
              </w:rPr>
              <w:t>。线路布置见附图。</w:t>
            </w:r>
          </w:p>
          <w:p w14:paraId="1D736DCD">
            <w:pPr>
              <w:pStyle w:val="76"/>
              <w:rPr>
                <w:rFonts w:hint="default" w:ascii="Times New Roman" w:hAnsi="Times New Roman" w:cs="Times New Roman"/>
                <w:color w:val="auto"/>
              </w:rPr>
            </w:pPr>
            <w:r>
              <w:rPr>
                <w:rFonts w:hint="default" w:ascii="Times New Roman" w:hAnsi="Times New Roman" w:cs="Times New Roman"/>
                <w:color w:val="auto"/>
              </w:rPr>
              <w:t>2、现场布置</w:t>
            </w:r>
          </w:p>
          <w:p w14:paraId="25B8F5F1">
            <w:pPr>
              <w:pStyle w:val="76"/>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本项目</w:t>
            </w:r>
            <w:r>
              <w:rPr>
                <w:rFonts w:hint="default" w:ascii="Times New Roman" w:hAnsi="Times New Roman" w:eastAsia="宋体" w:cs="Times New Roman"/>
                <w:color w:val="auto"/>
                <w:lang w:val="en-US" w:eastAsia="zh-CN"/>
              </w:rPr>
              <w:t>不设表土堆土场、取土场和弃土场，</w:t>
            </w:r>
            <w:r>
              <w:rPr>
                <w:rFonts w:hint="default" w:ascii="Times New Roman" w:hAnsi="Times New Roman" w:eastAsia="宋体" w:cs="Times New Roman"/>
                <w:color w:val="auto"/>
              </w:rPr>
              <w:t>新增临时占地</w:t>
            </w:r>
            <w:r>
              <w:rPr>
                <w:rFonts w:hint="eastAsia" w:ascii="Times New Roman" w:hAnsi="Times New Roman" w:cs="Times New Roman"/>
                <w:color w:val="auto"/>
                <w:lang w:val="en-US" w:eastAsia="zh-CN"/>
              </w:rPr>
              <w:t>3.8</w:t>
            </w:r>
            <w:r>
              <w:rPr>
                <w:rFonts w:hint="default" w:ascii="Times New Roman" w:hAnsi="Times New Roman" w:eastAsia="宋体" w:cs="Times New Roman"/>
                <w:color w:val="auto"/>
                <w:lang w:val="en-US" w:eastAsia="zh-CN"/>
              </w:rPr>
              <w:t>6</w:t>
            </w:r>
            <w:r>
              <w:rPr>
                <w:rFonts w:hint="default" w:ascii="Times New Roman" w:hAnsi="Times New Roman" w:eastAsia="宋体" w:cs="Times New Roman"/>
                <w:color w:val="auto"/>
              </w:rPr>
              <w:t>hm</w:t>
            </w:r>
            <w:r>
              <w:rPr>
                <w:rFonts w:hint="default" w:ascii="Times New Roman" w:hAnsi="Times New Roman" w:eastAsia="宋体" w:cs="Times New Roman"/>
                <w:color w:val="auto"/>
                <w:vertAlign w:val="superscript"/>
              </w:rPr>
              <w:t>2</w:t>
            </w:r>
            <w:r>
              <w:rPr>
                <w:rFonts w:hint="default" w:ascii="Times New Roman" w:hAnsi="Times New Roman" w:eastAsia="宋体" w:cs="Times New Roman"/>
                <w:color w:val="auto"/>
              </w:rPr>
              <w:t>，包括</w:t>
            </w:r>
            <w:r>
              <w:rPr>
                <w:rFonts w:hint="eastAsia" w:cs="Times New Roman"/>
                <w:color w:val="auto"/>
                <w:lang w:val="en-US" w:eastAsia="zh-CN"/>
              </w:rPr>
              <w:t>沥青混凝土拌合站</w:t>
            </w:r>
            <w:r>
              <w:rPr>
                <w:rFonts w:hint="default" w:ascii="Times New Roman" w:hAnsi="Times New Roman" w:eastAsia="宋体" w:cs="Times New Roman"/>
                <w:color w:val="auto"/>
              </w:rPr>
              <w:t>及施工驻地，</w:t>
            </w:r>
            <w:r>
              <w:rPr>
                <w:rFonts w:hint="default" w:ascii="Times New Roman" w:hAnsi="Times New Roman" w:eastAsia="宋体" w:cs="Times New Roman"/>
                <w:color w:val="auto"/>
                <w:lang w:val="en-US" w:eastAsia="zh-CN"/>
              </w:rPr>
              <w:t>临时占地均为租赁现有工业场地</w:t>
            </w:r>
            <w:r>
              <w:rPr>
                <w:rFonts w:hint="default" w:ascii="Times New Roman" w:hAnsi="Times New Roman" w:eastAsia="宋体" w:cs="Times New Roman"/>
                <w:color w:val="auto"/>
              </w:rPr>
              <w:t>。施工驻地及拌合站布置情况见表2-</w:t>
            </w:r>
            <w:r>
              <w:rPr>
                <w:rFonts w:hint="eastAsia" w:cs="Times New Roman"/>
                <w:color w:val="auto"/>
                <w:lang w:val="en-US" w:eastAsia="zh-CN"/>
              </w:rPr>
              <w:t>10</w:t>
            </w:r>
            <w:r>
              <w:rPr>
                <w:rFonts w:hint="default" w:ascii="Times New Roman" w:hAnsi="Times New Roman" w:eastAsia="宋体" w:cs="Times New Roman"/>
                <w:color w:val="auto"/>
              </w:rPr>
              <w:t>。</w:t>
            </w:r>
          </w:p>
          <w:p w14:paraId="2179827C">
            <w:pPr>
              <w:pStyle w:val="72"/>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表2-</w:t>
            </w:r>
            <w:r>
              <w:rPr>
                <w:rFonts w:hint="eastAsia" w:ascii="Times New Roman" w:hAnsi="Times New Roman" w:eastAsia="宋体" w:cs="Times New Roman"/>
                <w:b/>
                <w:bCs/>
                <w:color w:val="auto"/>
                <w:lang w:val="en-US" w:eastAsia="zh-CN"/>
              </w:rPr>
              <w:t>10</w:t>
            </w:r>
            <w:r>
              <w:rPr>
                <w:rFonts w:hint="default" w:ascii="Times New Roman" w:hAnsi="Times New Roman" w:eastAsia="宋体" w:cs="Times New Roman"/>
                <w:b/>
                <w:bCs/>
                <w:color w:val="auto"/>
              </w:rPr>
              <w:t xml:space="preserve">  本项目施工驻地设情况表</w:t>
            </w:r>
          </w:p>
          <w:tbl>
            <w:tblPr>
              <w:tblStyle w:val="30"/>
              <w:tblW w:w="786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420"/>
              <w:gridCol w:w="619"/>
              <w:gridCol w:w="567"/>
              <w:gridCol w:w="567"/>
              <w:gridCol w:w="425"/>
              <w:gridCol w:w="708"/>
              <w:gridCol w:w="2277"/>
              <w:gridCol w:w="2285"/>
            </w:tblGrid>
            <w:tr w14:paraId="602018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20" w:type="dxa"/>
                  <w:noWrap/>
                  <w:tcMar>
                    <w:top w:w="15" w:type="dxa"/>
                    <w:left w:w="15" w:type="dxa"/>
                    <w:right w:w="15" w:type="dxa"/>
                  </w:tcMar>
                  <w:vAlign w:val="center"/>
                </w:tcPr>
                <w:p w14:paraId="72D5785C">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序号</w:t>
                  </w:r>
                </w:p>
              </w:tc>
              <w:tc>
                <w:tcPr>
                  <w:tcW w:w="619" w:type="dxa"/>
                  <w:noWrap/>
                  <w:tcMar>
                    <w:top w:w="15" w:type="dxa"/>
                    <w:left w:w="15" w:type="dxa"/>
                    <w:right w:w="15" w:type="dxa"/>
                  </w:tcMar>
                  <w:vAlign w:val="center"/>
                </w:tcPr>
                <w:p w14:paraId="3B29EC1A">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工程</w:t>
                  </w:r>
                </w:p>
                <w:p w14:paraId="5BFFB8F1">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名称</w:t>
                  </w:r>
                </w:p>
              </w:tc>
              <w:tc>
                <w:tcPr>
                  <w:tcW w:w="567" w:type="dxa"/>
                  <w:noWrap/>
                  <w:tcMar>
                    <w:top w:w="15" w:type="dxa"/>
                    <w:left w:w="15" w:type="dxa"/>
                    <w:right w:w="15" w:type="dxa"/>
                  </w:tcMar>
                  <w:vAlign w:val="center"/>
                </w:tcPr>
                <w:p w14:paraId="714F0C15">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桩号位置</w:t>
                  </w:r>
                </w:p>
              </w:tc>
              <w:tc>
                <w:tcPr>
                  <w:tcW w:w="567" w:type="dxa"/>
                  <w:noWrap/>
                  <w:tcMar>
                    <w:top w:w="15" w:type="dxa"/>
                    <w:left w:w="15" w:type="dxa"/>
                    <w:right w:w="15" w:type="dxa"/>
                  </w:tcMar>
                  <w:vAlign w:val="center"/>
                </w:tcPr>
                <w:p w14:paraId="18D0313F">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土地类型</w:t>
                  </w:r>
                </w:p>
              </w:tc>
              <w:tc>
                <w:tcPr>
                  <w:tcW w:w="425" w:type="dxa"/>
                  <w:noWrap/>
                  <w:tcMar>
                    <w:top w:w="15" w:type="dxa"/>
                    <w:left w:w="15" w:type="dxa"/>
                    <w:right w:w="15" w:type="dxa"/>
                  </w:tcMar>
                  <w:vAlign w:val="center"/>
                </w:tcPr>
                <w:p w14:paraId="02BB68B8">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面积</w:t>
                  </w:r>
                </w:p>
                <w:p w14:paraId="371CD473">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hm</w:t>
                  </w:r>
                  <w:r>
                    <w:rPr>
                      <w:rFonts w:hint="default" w:ascii="Times New Roman" w:hAnsi="Times New Roman" w:cs="Times New Roman"/>
                      <w:color w:val="auto"/>
                      <w:sz w:val="18"/>
                      <w:szCs w:val="18"/>
                      <w:vertAlign w:val="superscript"/>
                    </w:rPr>
                    <w:t>2</w:t>
                  </w:r>
                </w:p>
              </w:tc>
              <w:tc>
                <w:tcPr>
                  <w:tcW w:w="708" w:type="dxa"/>
                  <w:noWrap/>
                  <w:tcMar>
                    <w:top w:w="15" w:type="dxa"/>
                    <w:left w:w="15" w:type="dxa"/>
                    <w:right w:w="15" w:type="dxa"/>
                  </w:tcMar>
                  <w:vAlign w:val="center"/>
                </w:tcPr>
                <w:p w14:paraId="09722A63">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外环境关系</w:t>
                  </w:r>
                </w:p>
              </w:tc>
              <w:tc>
                <w:tcPr>
                  <w:tcW w:w="2277" w:type="dxa"/>
                  <w:noWrap w:val="0"/>
                  <w:vAlign w:val="center"/>
                </w:tcPr>
                <w:p w14:paraId="023D7C8D">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卫星图</w:t>
                  </w:r>
                </w:p>
              </w:tc>
              <w:tc>
                <w:tcPr>
                  <w:tcW w:w="2285" w:type="dxa"/>
                  <w:noWrap w:val="0"/>
                  <w:vAlign w:val="center"/>
                </w:tcPr>
                <w:p w14:paraId="2CE90069">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现状</w:t>
                  </w:r>
                </w:p>
              </w:tc>
            </w:tr>
            <w:tr w14:paraId="74E070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20" w:type="dxa"/>
                  <w:noWrap/>
                  <w:tcMar>
                    <w:top w:w="15" w:type="dxa"/>
                    <w:left w:w="15" w:type="dxa"/>
                    <w:right w:w="15" w:type="dxa"/>
                  </w:tcMar>
                  <w:vAlign w:val="center"/>
                </w:tcPr>
                <w:p w14:paraId="01C9BDDF">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619" w:type="dxa"/>
                  <w:noWrap/>
                  <w:tcMar>
                    <w:top w:w="15" w:type="dxa"/>
                    <w:left w:w="15" w:type="dxa"/>
                    <w:right w:w="15" w:type="dxa"/>
                  </w:tcMar>
                  <w:vAlign w:val="center"/>
                </w:tcPr>
                <w:p w14:paraId="0ED010B3">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施工</w:t>
                  </w:r>
                </w:p>
                <w:p w14:paraId="0182AD9D">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驻地</w:t>
                  </w:r>
                </w:p>
              </w:tc>
              <w:tc>
                <w:tcPr>
                  <w:tcW w:w="567" w:type="dxa"/>
                  <w:noWrap/>
                  <w:tcMar>
                    <w:top w:w="15" w:type="dxa"/>
                    <w:left w:w="15" w:type="dxa"/>
                    <w:right w:w="15" w:type="dxa"/>
                  </w:tcMar>
                  <w:vAlign w:val="center"/>
                </w:tcPr>
                <w:p w14:paraId="3D2048A0">
                  <w:pPr>
                    <w:pStyle w:val="80"/>
                    <w:topLinePunc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K</w:t>
                  </w:r>
                  <w:r>
                    <w:rPr>
                      <w:rFonts w:hint="default" w:ascii="Times New Roman" w:hAnsi="Times New Roman" w:cs="Times New Roman"/>
                      <w:color w:val="auto"/>
                      <w:sz w:val="18"/>
                      <w:szCs w:val="18"/>
                      <w:lang w:val="en-US" w:eastAsia="zh-CN"/>
                    </w:rPr>
                    <w:t>202+383</w:t>
                  </w:r>
                </w:p>
                <w:p w14:paraId="386D34FA">
                  <w:pPr>
                    <w:pStyle w:val="80"/>
                    <w:topLinePunct/>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西南侧约</w:t>
                  </w:r>
                </w:p>
                <w:p w14:paraId="1FA112B2">
                  <w:pPr>
                    <w:pStyle w:val="80"/>
                    <w:topLinePunct/>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26.7</w:t>
                  </w:r>
                </w:p>
                <w:p w14:paraId="4F33EDC6">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k</w:t>
                  </w:r>
                  <w:r>
                    <w:rPr>
                      <w:rFonts w:hint="default" w:ascii="Times New Roman" w:hAnsi="Times New Roman" w:cs="Times New Roman"/>
                      <w:color w:val="auto"/>
                      <w:sz w:val="18"/>
                      <w:szCs w:val="18"/>
                    </w:rPr>
                    <w:t>m</w:t>
                  </w:r>
                </w:p>
              </w:tc>
              <w:tc>
                <w:tcPr>
                  <w:tcW w:w="567" w:type="dxa"/>
                  <w:noWrap/>
                  <w:tcMar>
                    <w:top w:w="15" w:type="dxa"/>
                    <w:left w:w="15" w:type="dxa"/>
                    <w:right w:w="15" w:type="dxa"/>
                  </w:tcMar>
                  <w:vAlign w:val="center"/>
                </w:tcPr>
                <w:p w14:paraId="010FDE5B">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工业用地</w:t>
                  </w:r>
                </w:p>
              </w:tc>
              <w:tc>
                <w:tcPr>
                  <w:tcW w:w="425" w:type="dxa"/>
                  <w:noWrap/>
                  <w:tcMar>
                    <w:top w:w="15" w:type="dxa"/>
                    <w:left w:w="15" w:type="dxa"/>
                    <w:right w:w="15" w:type="dxa"/>
                  </w:tcMar>
                  <w:vAlign w:val="center"/>
                </w:tcPr>
                <w:p w14:paraId="00C6A3CB">
                  <w:pPr>
                    <w:pStyle w:val="80"/>
                    <w:topLinePunc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0.26</w:t>
                  </w:r>
                </w:p>
              </w:tc>
              <w:tc>
                <w:tcPr>
                  <w:tcW w:w="708" w:type="dxa"/>
                  <w:noWrap/>
                  <w:tcMar>
                    <w:top w:w="15" w:type="dxa"/>
                    <w:left w:w="15" w:type="dxa"/>
                    <w:right w:w="15" w:type="dxa"/>
                  </w:tcMar>
                  <w:vAlign w:val="center"/>
                </w:tcPr>
                <w:p w14:paraId="13103D6C">
                  <w:pPr>
                    <w:pStyle w:val="80"/>
                    <w:topLinePunct/>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rPr>
                    <w:t>西侧</w:t>
                  </w:r>
                  <w:r>
                    <w:rPr>
                      <w:rFonts w:hint="default" w:ascii="Times New Roman" w:hAnsi="Times New Roman" w:cs="Times New Roman"/>
                      <w:color w:val="auto"/>
                      <w:sz w:val="18"/>
                      <w:szCs w:val="18"/>
                      <w:highlight w:val="none"/>
                      <w:lang w:val="en-US" w:eastAsia="zh-CN"/>
                    </w:rPr>
                    <w:t>为农田</w:t>
                  </w:r>
                  <w:r>
                    <w:rPr>
                      <w:rFonts w:hint="default" w:ascii="Times New Roman" w:hAnsi="Times New Roman" w:cs="Times New Roman"/>
                      <w:color w:val="auto"/>
                      <w:sz w:val="18"/>
                      <w:szCs w:val="18"/>
                      <w:highlight w:val="none"/>
                    </w:rPr>
                    <w:t>，南侧为乡道，北侧为</w:t>
                  </w:r>
                  <w:r>
                    <w:rPr>
                      <w:rFonts w:hint="default" w:ascii="Times New Roman" w:hAnsi="Times New Roman" w:cs="Times New Roman"/>
                      <w:color w:val="auto"/>
                      <w:sz w:val="18"/>
                      <w:szCs w:val="18"/>
                      <w:highlight w:val="none"/>
                      <w:lang w:val="en-US" w:eastAsia="zh-CN"/>
                    </w:rPr>
                    <w:t>工业企业</w:t>
                  </w:r>
                  <w:r>
                    <w:rPr>
                      <w:rFonts w:hint="default" w:ascii="Times New Roman" w:hAnsi="Times New Roman" w:cs="Times New Roman"/>
                      <w:color w:val="auto"/>
                      <w:sz w:val="18"/>
                      <w:szCs w:val="18"/>
                      <w:highlight w:val="none"/>
                    </w:rPr>
                    <w:t>，东侧为</w:t>
                  </w:r>
                  <w:r>
                    <w:rPr>
                      <w:rFonts w:hint="default" w:ascii="Times New Roman" w:hAnsi="Times New Roman" w:cs="Times New Roman"/>
                      <w:color w:val="auto"/>
                      <w:sz w:val="18"/>
                      <w:szCs w:val="18"/>
                      <w:highlight w:val="none"/>
                      <w:lang w:val="en-US" w:eastAsia="zh-CN"/>
                    </w:rPr>
                    <w:t>池塘</w:t>
                  </w:r>
                </w:p>
              </w:tc>
              <w:tc>
                <w:tcPr>
                  <w:tcW w:w="2277" w:type="dxa"/>
                  <w:noWrap w:val="0"/>
                  <w:vAlign w:val="center"/>
                </w:tcPr>
                <w:p w14:paraId="2D62617B">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rPr>
                    <w:drawing>
                      <wp:inline distT="0" distB="0" distL="114300" distR="114300">
                        <wp:extent cx="1436370" cy="1309370"/>
                        <wp:effectExtent l="0" t="0" r="11430" b="508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14"/>
                                <a:stretch>
                                  <a:fillRect/>
                                </a:stretch>
                              </pic:blipFill>
                              <pic:spPr>
                                <a:xfrm>
                                  <a:off x="0" y="0"/>
                                  <a:ext cx="1436370" cy="1309370"/>
                                </a:xfrm>
                                <a:prstGeom prst="rect">
                                  <a:avLst/>
                                </a:prstGeom>
                                <a:noFill/>
                                <a:ln>
                                  <a:noFill/>
                                </a:ln>
                              </pic:spPr>
                            </pic:pic>
                          </a:graphicData>
                        </a:graphic>
                      </wp:inline>
                    </w:drawing>
                  </w:r>
                </w:p>
              </w:tc>
              <w:tc>
                <w:tcPr>
                  <w:tcW w:w="2285" w:type="dxa"/>
                  <w:noWrap w:val="0"/>
                  <w:vAlign w:val="center"/>
                </w:tcPr>
                <w:p w14:paraId="30432E21">
                  <w:pPr>
                    <w:pStyle w:val="80"/>
                    <w:topLinePunct/>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drawing>
                      <wp:inline distT="0" distB="0" distL="114300" distR="114300">
                        <wp:extent cx="1426210" cy="802640"/>
                        <wp:effectExtent l="0" t="0" r="2540" b="16510"/>
                        <wp:docPr id="49" name="图片 49" descr="ef2646b06935b730c96e8c7346a55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ef2646b06935b730c96e8c7346a5546d"/>
                                <pic:cNvPicPr>
                                  <a:picLocks noChangeAspect="1"/>
                                </pic:cNvPicPr>
                              </pic:nvPicPr>
                              <pic:blipFill>
                                <a:blip r:embed="rId15"/>
                                <a:stretch>
                                  <a:fillRect/>
                                </a:stretch>
                              </pic:blipFill>
                              <pic:spPr>
                                <a:xfrm>
                                  <a:off x="0" y="0"/>
                                  <a:ext cx="1426210" cy="802640"/>
                                </a:xfrm>
                                <a:prstGeom prst="rect">
                                  <a:avLst/>
                                </a:prstGeom>
                              </pic:spPr>
                            </pic:pic>
                          </a:graphicData>
                        </a:graphic>
                      </wp:inline>
                    </w:drawing>
                  </w:r>
                </w:p>
              </w:tc>
            </w:tr>
            <w:tr w14:paraId="463003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397" w:hRule="atLeast"/>
                <w:jc w:val="center"/>
              </w:trPr>
              <w:tc>
                <w:tcPr>
                  <w:tcW w:w="420" w:type="dxa"/>
                  <w:noWrap/>
                  <w:tcMar>
                    <w:top w:w="15" w:type="dxa"/>
                    <w:left w:w="15" w:type="dxa"/>
                    <w:right w:w="15" w:type="dxa"/>
                  </w:tcMar>
                  <w:vAlign w:val="center"/>
                </w:tcPr>
                <w:p w14:paraId="64513872">
                  <w:pPr>
                    <w:pStyle w:val="80"/>
                    <w:topLinePunct/>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lang w:val="en-US" w:eastAsia="zh-CN"/>
                    </w:rPr>
                    <w:t>2</w:t>
                  </w:r>
                </w:p>
              </w:tc>
              <w:tc>
                <w:tcPr>
                  <w:tcW w:w="619" w:type="dxa"/>
                  <w:noWrap/>
                  <w:tcMar>
                    <w:top w:w="15" w:type="dxa"/>
                    <w:left w:w="15" w:type="dxa"/>
                    <w:right w:w="15" w:type="dxa"/>
                  </w:tcMar>
                  <w:vAlign w:val="center"/>
                </w:tcPr>
                <w:p w14:paraId="7AEDDECD">
                  <w:pPr>
                    <w:pStyle w:val="80"/>
                    <w:topLinePunct/>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沥青</w:t>
                  </w:r>
                  <w:r>
                    <w:rPr>
                      <w:rFonts w:hint="eastAsia" w:cs="Times New Roman"/>
                      <w:color w:val="auto"/>
                      <w:sz w:val="18"/>
                      <w:szCs w:val="18"/>
                      <w:lang w:val="en-US" w:eastAsia="zh-CN"/>
                    </w:rPr>
                    <w:t>混凝土</w:t>
                  </w:r>
                </w:p>
                <w:p w14:paraId="6B120278">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拌合站</w:t>
                  </w:r>
                </w:p>
              </w:tc>
              <w:tc>
                <w:tcPr>
                  <w:tcW w:w="567" w:type="dxa"/>
                  <w:noWrap/>
                  <w:tcMar>
                    <w:top w:w="15" w:type="dxa"/>
                    <w:left w:w="15" w:type="dxa"/>
                    <w:right w:w="15" w:type="dxa"/>
                  </w:tcMar>
                  <w:vAlign w:val="center"/>
                </w:tcPr>
                <w:p w14:paraId="05614355">
                  <w:pPr>
                    <w:pStyle w:val="80"/>
                    <w:topLinePunc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K</w:t>
                  </w:r>
                  <w:r>
                    <w:rPr>
                      <w:rFonts w:hint="default" w:ascii="Times New Roman" w:hAnsi="Times New Roman" w:cs="Times New Roman"/>
                      <w:color w:val="auto"/>
                      <w:sz w:val="18"/>
                      <w:szCs w:val="18"/>
                      <w:lang w:val="en-US" w:eastAsia="zh-CN"/>
                    </w:rPr>
                    <w:t>202+383</w:t>
                  </w:r>
                </w:p>
                <w:p w14:paraId="5D5FC92E">
                  <w:pPr>
                    <w:pStyle w:val="80"/>
                    <w:topLinePunct/>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西南侧约</w:t>
                  </w:r>
                </w:p>
                <w:p w14:paraId="2B5AD41C">
                  <w:pPr>
                    <w:pStyle w:val="80"/>
                    <w:topLinePunct/>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20.8</w:t>
                  </w:r>
                </w:p>
                <w:p w14:paraId="7E197AAA">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km</w:t>
                  </w:r>
                </w:p>
              </w:tc>
              <w:tc>
                <w:tcPr>
                  <w:tcW w:w="567" w:type="dxa"/>
                  <w:noWrap/>
                  <w:tcMar>
                    <w:top w:w="15" w:type="dxa"/>
                    <w:left w:w="15" w:type="dxa"/>
                    <w:right w:w="15" w:type="dxa"/>
                  </w:tcMar>
                  <w:vAlign w:val="center"/>
                </w:tcPr>
                <w:p w14:paraId="4DAA6940">
                  <w:pPr>
                    <w:pStyle w:val="80"/>
                    <w:topLinePunc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工业用地</w:t>
                  </w:r>
                </w:p>
              </w:tc>
              <w:tc>
                <w:tcPr>
                  <w:tcW w:w="425" w:type="dxa"/>
                  <w:noWrap/>
                  <w:tcMar>
                    <w:top w:w="15" w:type="dxa"/>
                    <w:left w:w="15" w:type="dxa"/>
                    <w:right w:w="15" w:type="dxa"/>
                  </w:tcMar>
                  <w:vAlign w:val="center"/>
                </w:tcPr>
                <w:p w14:paraId="64F33961">
                  <w:pPr>
                    <w:pStyle w:val="80"/>
                    <w:topLinePunct/>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3.6</w:t>
                  </w:r>
                </w:p>
              </w:tc>
              <w:tc>
                <w:tcPr>
                  <w:tcW w:w="708" w:type="dxa"/>
                  <w:noWrap/>
                  <w:tcMar>
                    <w:top w:w="15" w:type="dxa"/>
                    <w:left w:w="15" w:type="dxa"/>
                    <w:right w:w="15" w:type="dxa"/>
                  </w:tcMar>
                  <w:vAlign w:val="center"/>
                </w:tcPr>
                <w:p w14:paraId="2F3A978A">
                  <w:pPr>
                    <w:pStyle w:val="80"/>
                    <w:topLinePunct/>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西侧为养殖户，其余方向为耕地，</w:t>
                  </w:r>
                  <w:r>
                    <w:rPr>
                      <w:rFonts w:hint="default" w:ascii="Times New Roman" w:hAnsi="Times New Roman" w:cs="Times New Roman"/>
                      <w:color w:val="auto"/>
                      <w:sz w:val="18"/>
                      <w:szCs w:val="18"/>
                      <w:highlight w:val="none"/>
                      <w:lang w:val="en-US" w:eastAsia="zh-CN"/>
                    </w:rPr>
                    <w:t>3</w:t>
                  </w:r>
                  <w:r>
                    <w:rPr>
                      <w:rFonts w:hint="default" w:ascii="Times New Roman" w:hAnsi="Times New Roman" w:cs="Times New Roman"/>
                      <w:color w:val="auto"/>
                      <w:sz w:val="18"/>
                      <w:szCs w:val="18"/>
                      <w:highlight w:val="none"/>
                    </w:rPr>
                    <w:t>00m范围内无居民</w:t>
                  </w:r>
                </w:p>
              </w:tc>
              <w:tc>
                <w:tcPr>
                  <w:tcW w:w="2277" w:type="dxa"/>
                  <w:noWrap w:val="0"/>
                  <w:vAlign w:val="center"/>
                </w:tcPr>
                <w:p w14:paraId="4926372C">
                  <w:pPr>
                    <w:pStyle w:val="80"/>
                    <w:topLinePunct/>
                    <w:rPr>
                      <w:rFonts w:hint="default" w:ascii="Times New Roman" w:hAnsi="Times New Roman" w:cs="Times New Roman"/>
                      <w:color w:val="auto"/>
                      <w:sz w:val="18"/>
                      <w:szCs w:val="18"/>
                    </w:rPr>
                  </w:pPr>
                  <w:r>
                    <w:rPr>
                      <w:rFonts w:hint="default" w:ascii="Times New Roman" w:hAnsi="Times New Roman" w:cs="Times New Roman"/>
                      <w:color w:val="auto"/>
                    </w:rPr>
                    <w:drawing>
                      <wp:inline distT="0" distB="0" distL="114300" distR="114300">
                        <wp:extent cx="1438910" cy="1047750"/>
                        <wp:effectExtent l="0" t="0" r="8890" b="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16"/>
                                <a:stretch>
                                  <a:fillRect/>
                                </a:stretch>
                              </pic:blipFill>
                              <pic:spPr>
                                <a:xfrm>
                                  <a:off x="0" y="0"/>
                                  <a:ext cx="1438910" cy="1047750"/>
                                </a:xfrm>
                                <a:prstGeom prst="rect">
                                  <a:avLst/>
                                </a:prstGeom>
                                <a:noFill/>
                                <a:ln>
                                  <a:noFill/>
                                </a:ln>
                              </pic:spPr>
                            </pic:pic>
                          </a:graphicData>
                        </a:graphic>
                      </wp:inline>
                    </w:drawing>
                  </w:r>
                </w:p>
              </w:tc>
              <w:tc>
                <w:tcPr>
                  <w:tcW w:w="2285" w:type="dxa"/>
                  <w:noWrap w:val="0"/>
                  <w:vAlign w:val="center"/>
                </w:tcPr>
                <w:p w14:paraId="4E12A6FB">
                  <w:pPr>
                    <w:pStyle w:val="80"/>
                    <w:topLinePunct/>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drawing>
                      <wp:inline distT="0" distB="0" distL="114300" distR="114300">
                        <wp:extent cx="1267460" cy="1164590"/>
                        <wp:effectExtent l="0" t="0" r="8890" b="16510"/>
                        <wp:docPr id="51" name="图片 51" descr="MVIMG_20250910_16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MVIMG_20250910_163747"/>
                                <pic:cNvPicPr>
                                  <a:picLocks noChangeAspect="1"/>
                                </pic:cNvPicPr>
                              </pic:nvPicPr>
                              <pic:blipFill>
                                <a:blip r:embed="rId17"/>
                                <a:srcRect l="11642" b="39110"/>
                                <a:stretch>
                                  <a:fillRect/>
                                </a:stretch>
                              </pic:blipFill>
                              <pic:spPr>
                                <a:xfrm>
                                  <a:off x="0" y="0"/>
                                  <a:ext cx="1267460" cy="1164590"/>
                                </a:xfrm>
                                <a:prstGeom prst="rect">
                                  <a:avLst/>
                                </a:prstGeom>
                              </pic:spPr>
                            </pic:pic>
                          </a:graphicData>
                        </a:graphic>
                      </wp:inline>
                    </w:drawing>
                  </w:r>
                </w:p>
              </w:tc>
            </w:tr>
          </w:tbl>
          <w:p w14:paraId="7D4D4139">
            <w:pPr>
              <w:pStyle w:val="76"/>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3、筑路材料来源及运输条件</w:t>
            </w:r>
          </w:p>
          <w:p w14:paraId="41E3FC3D">
            <w:pPr>
              <w:pStyle w:val="76"/>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本项目筑路材料来源及运输条件，见表2-1</w:t>
            </w:r>
            <w:r>
              <w:rPr>
                <w:rFonts w:hint="eastAsia" w:cs="Times New Roman"/>
                <w:color w:val="auto"/>
                <w:lang w:val="en-US" w:eastAsia="zh-CN"/>
              </w:rPr>
              <w:t>1</w:t>
            </w:r>
            <w:r>
              <w:rPr>
                <w:rFonts w:hint="default" w:ascii="Times New Roman" w:hAnsi="Times New Roman" w:eastAsia="宋体" w:cs="Times New Roman"/>
                <w:color w:val="auto"/>
              </w:rPr>
              <w:t>。</w:t>
            </w:r>
          </w:p>
          <w:p w14:paraId="0A37A49D">
            <w:pPr>
              <w:pStyle w:val="72"/>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表2-1</w:t>
            </w:r>
            <w:r>
              <w:rPr>
                <w:rFonts w:hint="eastAsia" w:ascii="Times New Roman" w:hAnsi="Times New Roman" w:eastAsia="宋体" w:cs="Times New Roman"/>
                <w:b/>
                <w:bCs/>
                <w:color w:val="auto"/>
                <w:lang w:val="en-US" w:eastAsia="zh-CN"/>
              </w:rPr>
              <w:t>1</w:t>
            </w:r>
            <w:r>
              <w:rPr>
                <w:rFonts w:hint="default" w:ascii="Times New Roman" w:hAnsi="Times New Roman" w:eastAsia="宋体" w:cs="Times New Roman"/>
                <w:b/>
                <w:bCs/>
                <w:color w:val="auto"/>
              </w:rPr>
              <w:t xml:space="preserve">  沿线筑路材料料场情况一览表</w:t>
            </w:r>
          </w:p>
          <w:tbl>
            <w:tblPr>
              <w:tblStyle w:val="3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8"/>
              <w:gridCol w:w="1281"/>
              <w:gridCol w:w="4870"/>
              <w:gridCol w:w="866"/>
            </w:tblGrid>
            <w:tr w14:paraId="45B7DA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41" w:hRule="atLeast"/>
              </w:trPr>
              <w:tc>
                <w:tcPr>
                  <w:tcW w:w="539" w:type="pct"/>
                  <w:vMerge w:val="restart"/>
                  <w:noWrap w:val="0"/>
                  <w:vAlign w:val="center"/>
                </w:tcPr>
                <w:p w14:paraId="2A97867C">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材料</w:t>
                  </w:r>
                </w:p>
                <w:p w14:paraId="0393287C">
                  <w:pPr>
                    <w:overflowPunct w:val="0"/>
                    <w:spacing w:line="240" w:lineRule="auto"/>
                    <w:jc w:val="center"/>
                    <w:rPr>
                      <w:rFonts w:hint="default" w:ascii="Times New Roman" w:hAnsi="Times New Roman" w:eastAsia="Calibri" w:cs="Times New Roman"/>
                      <w:color w:val="auto"/>
                      <w:sz w:val="21"/>
                      <w:szCs w:val="21"/>
                    </w:rPr>
                  </w:pPr>
                  <w:r>
                    <w:rPr>
                      <w:rFonts w:hint="default" w:ascii="Times New Roman" w:hAnsi="Times New Roman" w:cs="Times New Roman"/>
                      <w:color w:val="auto"/>
                      <w:sz w:val="21"/>
                      <w:szCs w:val="21"/>
                    </w:rPr>
                    <w:t>名称</w:t>
                  </w:r>
                </w:p>
              </w:tc>
              <w:tc>
                <w:tcPr>
                  <w:tcW w:w="814" w:type="pct"/>
                  <w:vMerge w:val="restart"/>
                  <w:noWrap w:val="0"/>
                  <w:vAlign w:val="center"/>
                </w:tcPr>
                <w:p w14:paraId="0C293005">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料场</w:t>
                  </w:r>
                </w:p>
                <w:p w14:paraId="0286DFE3">
                  <w:pPr>
                    <w:overflowPunct w:val="0"/>
                    <w:spacing w:line="240" w:lineRule="auto"/>
                    <w:jc w:val="center"/>
                    <w:rPr>
                      <w:rFonts w:hint="default" w:ascii="Times New Roman" w:hAnsi="Times New Roman" w:eastAsia="Calibri" w:cs="Times New Roman"/>
                      <w:color w:val="auto"/>
                      <w:sz w:val="21"/>
                      <w:szCs w:val="21"/>
                    </w:rPr>
                  </w:pPr>
                  <w:r>
                    <w:rPr>
                      <w:rFonts w:hint="default" w:ascii="Times New Roman" w:hAnsi="Times New Roman" w:cs="Times New Roman"/>
                      <w:color w:val="auto"/>
                      <w:sz w:val="21"/>
                      <w:szCs w:val="21"/>
                    </w:rPr>
                    <w:t>名称</w:t>
                  </w:r>
                </w:p>
              </w:tc>
              <w:tc>
                <w:tcPr>
                  <w:tcW w:w="3095" w:type="pct"/>
                  <w:vMerge w:val="restart"/>
                  <w:noWrap w:val="0"/>
                  <w:vAlign w:val="center"/>
                </w:tcPr>
                <w:p w14:paraId="54739AB1">
                  <w:pPr>
                    <w:overflowPunct w:val="0"/>
                    <w:spacing w:line="240" w:lineRule="auto"/>
                    <w:jc w:val="center"/>
                    <w:rPr>
                      <w:rFonts w:hint="default" w:ascii="Times New Roman" w:hAnsi="Times New Roman" w:eastAsia="Calibri" w:cs="Times New Roman"/>
                      <w:color w:val="auto"/>
                      <w:sz w:val="21"/>
                      <w:szCs w:val="21"/>
                    </w:rPr>
                  </w:pPr>
                  <w:r>
                    <w:rPr>
                      <w:rFonts w:hint="default" w:ascii="Times New Roman" w:hAnsi="Times New Roman" w:cs="Times New Roman"/>
                      <w:color w:val="auto"/>
                      <w:sz w:val="21"/>
                      <w:szCs w:val="21"/>
                    </w:rPr>
                    <w:t>料场情况</w:t>
                  </w:r>
                </w:p>
              </w:tc>
              <w:tc>
                <w:tcPr>
                  <w:tcW w:w="550" w:type="pct"/>
                  <w:vMerge w:val="restart"/>
                  <w:noWrap w:val="0"/>
                  <w:vAlign w:val="center"/>
                </w:tcPr>
                <w:p w14:paraId="7D56C478">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运输</w:t>
                  </w:r>
                </w:p>
                <w:p w14:paraId="2079E5A5">
                  <w:pPr>
                    <w:overflowPunct w:val="0"/>
                    <w:spacing w:line="240" w:lineRule="auto"/>
                    <w:jc w:val="center"/>
                    <w:rPr>
                      <w:rFonts w:hint="default" w:ascii="Times New Roman" w:hAnsi="Times New Roman" w:eastAsia="Calibri" w:cs="Times New Roman"/>
                      <w:color w:val="auto"/>
                      <w:sz w:val="21"/>
                      <w:szCs w:val="21"/>
                    </w:rPr>
                  </w:pPr>
                  <w:r>
                    <w:rPr>
                      <w:rFonts w:hint="default" w:ascii="Times New Roman" w:hAnsi="Times New Roman" w:cs="Times New Roman"/>
                      <w:color w:val="auto"/>
                      <w:sz w:val="21"/>
                      <w:szCs w:val="21"/>
                    </w:rPr>
                    <w:t>方式</w:t>
                  </w:r>
                </w:p>
              </w:tc>
            </w:tr>
            <w:tr w14:paraId="10C096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539" w:type="pct"/>
                  <w:vMerge w:val="continue"/>
                  <w:noWrap w:val="0"/>
                  <w:vAlign w:val="center"/>
                </w:tcPr>
                <w:p w14:paraId="0B63BFBB">
                  <w:pPr>
                    <w:overflowPunct w:val="0"/>
                    <w:spacing w:line="240" w:lineRule="auto"/>
                    <w:jc w:val="center"/>
                    <w:rPr>
                      <w:rFonts w:hint="default" w:ascii="Times New Roman" w:hAnsi="Times New Roman" w:cs="Times New Roman"/>
                      <w:color w:val="auto"/>
                      <w:sz w:val="21"/>
                      <w:szCs w:val="21"/>
                    </w:rPr>
                  </w:pPr>
                </w:p>
              </w:tc>
              <w:tc>
                <w:tcPr>
                  <w:tcW w:w="814" w:type="pct"/>
                  <w:vMerge w:val="continue"/>
                  <w:noWrap w:val="0"/>
                  <w:vAlign w:val="center"/>
                </w:tcPr>
                <w:p w14:paraId="4300761B">
                  <w:pPr>
                    <w:overflowPunct w:val="0"/>
                    <w:spacing w:line="240" w:lineRule="auto"/>
                    <w:jc w:val="center"/>
                    <w:rPr>
                      <w:rFonts w:hint="default" w:ascii="Times New Roman" w:hAnsi="Times New Roman" w:cs="Times New Roman"/>
                      <w:color w:val="auto"/>
                      <w:sz w:val="21"/>
                      <w:szCs w:val="21"/>
                    </w:rPr>
                  </w:pPr>
                </w:p>
              </w:tc>
              <w:tc>
                <w:tcPr>
                  <w:tcW w:w="3095" w:type="pct"/>
                  <w:vMerge w:val="continue"/>
                  <w:noWrap w:val="0"/>
                  <w:vAlign w:val="center"/>
                </w:tcPr>
                <w:p w14:paraId="24078E4F">
                  <w:pPr>
                    <w:overflowPunct w:val="0"/>
                    <w:spacing w:line="240" w:lineRule="auto"/>
                    <w:jc w:val="center"/>
                    <w:rPr>
                      <w:rFonts w:hint="default" w:ascii="Times New Roman" w:hAnsi="Times New Roman" w:cs="Times New Roman"/>
                      <w:color w:val="auto"/>
                      <w:sz w:val="21"/>
                      <w:szCs w:val="21"/>
                    </w:rPr>
                  </w:pPr>
                </w:p>
              </w:tc>
              <w:tc>
                <w:tcPr>
                  <w:tcW w:w="550" w:type="pct"/>
                  <w:vMerge w:val="continue"/>
                  <w:noWrap w:val="0"/>
                  <w:vAlign w:val="center"/>
                </w:tcPr>
                <w:p w14:paraId="13B74F25">
                  <w:pPr>
                    <w:overflowPunct w:val="0"/>
                    <w:spacing w:line="240" w:lineRule="auto"/>
                    <w:jc w:val="center"/>
                    <w:rPr>
                      <w:rFonts w:hint="default" w:ascii="Times New Roman" w:hAnsi="Times New Roman" w:cs="Times New Roman"/>
                      <w:color w:val="auto"/>
                      <w:sz w:val="21"/>
                      <w:szCs w:val="21"/>
                    </w:rPr>
                  </w:pPr>
                </w:p>
              </w:tc>
            </w:tr>
            <w:tr w14:paraId="755839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bottom w:val="single" w:color="000000" w:sz="2" w:space="0"/>
                  </w:tcBorders>
                  <w:noWrap w:val="0"/>
                  <w:vAlign w:val="center"/>
                </w:tcPr>
                <w:p w14:paraId="10648E49">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砂料</w:t>
                  </w:r>
                </w:p>
              </w:tc>
              <w:tc>
                <w:tcPr>
                  <w:tcW w:w="814" w:type="pct"/>
                  <w:noWrap w:val="0"/>
                  <w:vAlign w:val="center"/>
                </w:tcPr>
                <w:p w14:paraId="33992B11">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虎林市八五〇农场砂场</w:t>
                  </w:r>
                </w:p>
              </w:tc>
              <w:tc>
                <w:tcPr>
                  <w:tcW w:w="3095" w:type="pct"/>
                  <w:noWrap w:val="0"/>
                  <w:vAlign w:val="center"/>
                </w:tcPr>
                <w:p w14:paraId="7959DA5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该砂场可生产天然砂砾及中粗砂，储量丰富，天然砂砾级配较好，砂质纯净，可用于路基处理、桥涵及排水、防护工程。该砂场近期曾用于G331密山段改造项目。</w:t>
                  </w:r>
                </w:p>
              </w:tc>
              <w:tc>
                <w:tcPr>
                  <w:tcW w:w="550" w:type="pct"/>
                  <w:noWrap w:val="0"/>
                  <w:vAlign w:val="center"/>
                </w:tcPr>
                <w:p w14:paraId="79715F8A">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机械、汽运</w:t>
                  </w:r>
                </w:p>
              </w:tc>
            </w:tr>
            <w:tr w14:paraId="0D025A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vMerge w:val="restart"/>
                  <w:noWrap w:val="0"/>
                  <w:vAlign w:val="center"/>
                </w:tcPr>
                <w:p w14:paraId="2A95EBA5">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石料</w:t>
                  </w:r>
                </w:p>
              </w:tc>
              <w:tc>
                <w:tcPr>
                  <w:tcW w:w="814" w:type="pct"/>
                  <w:noWrap w:val="0"/>
                  <w:vAlign w:val="center"/>
                </w:tcPr>
                <w:p w14:paraId="73FD9829">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拓鑫采石场</w:t>
                  </w:r>
                </w:p>
              </w:tc>
              <w:tc>
                <w:tcPr>
                  <w:tcW w:w="3095" w:type="pct"/>
                  <w:noWrap w:val="0"/>
                  <w:vAlign w:val="center"/>
                </w:tcPr>
                <w:p w14:paraId="7E51C161">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该石场位于密山市兴利村西2.5km，为安山岩，石质坚硬，强度较高，可产各种规格碎石和片、块石。可用于防护、排水、路面基层、底基层及桥涵工程。该石场近期曾用于G331密山段改造项目。</w:t>
                  </w:r>
                </w:p>
              </w:tc>
              <w:tc>
                <w:tcPr>
                  <w:tcW w:w="550" w:type="pct"/>
                  <w:noWrap w:val="0"/>
                  <w:vAlign w:val="center"/>
                </w:tcPr>
                <w:p w14:paraId="4E167F77">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机械、汽运</w:t>
                  </w:r>
                </w:p>
              </w:tc>
            </w:tr>
            <w:tr w14:paraId="4CC6EF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vMerge w:val="continue"/>
                  <w:tcBorders>
                    <w:bottom w:val="single" w:color="000000" w:sz="2" w:space="0"/>
                  </w:tcBorders>
                  <w:noWrap w:val="0"/>
                  <w:vAlign w:val="center"/>
                </w:tcPr>
                <w:p w14:paraId="04B9F339">
                  <w:pPr>
                    <w:overflowPunct w:val="0"/>
                    <w:spacing w:line="240" w:lineRule="auto"/>
                    <w:jc w:val="center"/>
                    <w:rPr>
                      <w:rFonts w:hint="default" w:ascii="Times New Roman" w:hAnsi="Times New Roman" w:cs="Times New Roman"/>
                      <w:color w:val="auto"/>
                      <w:sz w:val="21"/>
                      <w:szCs w:val="21"/>
                    </w:rPr>
                  </w:pPr>
                </w:p>
              </w:tc>
              <w:tc>
                <w:tcPr>
                  <w:tcW w:w="814" w:type="pct"/>
                  <w:noWrap w:val="0"/>
                  <w:vAlign w:val="center"/>
                </w:tcPr>
                <w:p w14:paraId="553590D0">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永平采石场</w:t>
                  </w:r>
                </w:p>
              </w:tc>
              <w:tc>
                <w:tcPr>
                  <w:tcW w:w="3095" w:type="pct"/>
                  <w:noWrap w:val="0"/>
                  <w:vAlign w:val="center"/>
                </w:tcPr>
                <w:p w14:paraId="584B4FD5">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该石场位于永安镇永平村北2km，玄武岩，强度高，可生产各种规格的碎石、机制砂，产量大。可用于沥青混凝土路面工程。</w:t>
                  </w:r>
                </w:p>
              </w:tc>
              <w:tc>
                <w:tcPr>
                  <w:tcW w:w="550" w:type="pct"/>
                  <w:noWrap w:val="0"/>
                  <w:vAlign w:val="center"/>
                </w:tcPr>
                <w:p w14:paraId="6544D74D">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机械、汽运</w:t>
                  </w:r>
                </w:p>
              </w:tc>
            </w:tr>
            <w:tr w14:paraId="48FB5A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top w:val="single" w:color="000000" w:sz="2" w:space="0"/>
                  </w:tcBorders>
                  <w:noWrap w:val="0"/>
                  <w:vAlign w:val="center"/>
                </w:tcPr>
                <w:p w14:paraId="355DA5B7">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水泥</w:t>
                  </w:r>
                </w:p>
              </w:tc>
              <w:tc>
                <w:tcPr>
                  <w:tcW w:w="814" w:type="pct"/>
                  <w:tcBorders>
                    <w:bottom w:val="single" w:color="000000" w:sz="2" w:space="0"/>
                  </w:tcBorders>
                  <w:noWrap w:val="0"/>
                  <w:vAlign w:val="center"/>
                </w:tcPr>
                <w:p w14:paraId="2F50C49D">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zh-CN"/>
                    </w:rPr>
                    <w:t>鸡西赛龙水泥有限公司</w:t>
                  </w:r>
                </w:p>
              </w:tc>
              <w:tc>
                <w:tcPr>
                  <w:tcW w:w="3095" w:type="pct"/>
                  <w:noWrap w:val="0"/>
                  <w:vAlign w:val="center"/>
                </w:tcPr>
                <w:p w14:paraId="4009864D">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该公司</w:t>
                  </w:r>
                  <w:r>
                    <w:rPr>
                      <w:rFonts w:hint="default" w:ascii="Times New Roman" w:hAnsi="Times New Roman" w:cs="Times New Roman"/>
                      <w:color w:val="auto"/>
                      <w:sz w:val="21"/>
                      <w:szCs w:val="21"/>
                      <w:lang w:val="zh-CN"/>
                    </w:rPr>
                    <w:t>可生产符合国家标准的42.5、32.5水泥，可用于路基排水防护工程、路面基层、桥涵结构物工程。</w:t>
                  </w:r>
                </w:p>
              </w:tc>
              <w:tc>
                <w:tcPr>
                  <w:tcW w:w="550" w:type="pct"/>
                  <w:noWrap w:val="0"/>
                  <w:vAlign w:val="center"/>
                </w:tcPr>
                <w:p w14:paraId="26EA380C">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购买、</w:t>
                  </w:r>
                </w:p>
                <w:p w14:paraId="15315FE0">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汽运</w:t>
                  </w:r>
                </w:p>
              </w:tc>
            </w:tr>
            <w:tr w14:paraId="57D67C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noWrap w:val="0"/>
                  <w:vAlign w:val="center"/>
                </w:tcPr>
                <w:p w14:paraId="1D9A2206">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沥青</w:t>
                  </w:r>
                </w:p>
              </w:tc>
              <w:tc>
                <w:tcPr>
                  <w:tcW w:w="814" w:type="pct"/>
                  <w:noWrap w:val="0"/>
                  <w:vAlign w:val="center"/>
                </w:tcPr>
                <w:p w14:paraId="2966622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辽宁盘锦</w:t>
                  </w:r>
                </w:p>
              </w:tc>
              <w:tc>
                <w:tcPr>
                  <w:tcW w:w="3095" w:type="pct"/>
                  <w:noWrap w:val="0"/>
                  <w:vAlign w:val="center"/>
                </w:tcPr>
                <w:p w14:paraId="2A062D0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该沥青储运站位于辽宁省盘锦市，站内现有500吨沥青储油罐7个，沥青年周转量3万吨以上。站内有铁路专用线，铁路、公路运输便利。</w:t>
                  </w:r>
                </w:p>
              </w:tc>
              <w:tc>
                <w:tcPr>
                  <w:tcW w:w="550" w:type="pct"/>
                  <w:noWrap w:val="0"/>
                  <w:vAlign w:val="center"/>
                </w:tcPr>
                <w:p w14:paraId="22F9B85C">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机械、火运、汽运</w:t>
                  </w:r>
                </w:p>
              </w:tc>
            </w:tr>
            <w:tr w14:paraId="612D10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0" w:hRule="atLeast"/>
              </w:trPr>
              <w:tc>
                <w:tcPr>
                  <w:tcW w:w="539" w:type="pct"/>
                  <w:noWrap w:val="0"/>
                  <w:vAlign w:val="center"/>
                </w:tcPr>
                <w:p w14:paraId="763AD3D7">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矿粉</w:t>
                  </w:r>
                </w:p>
              </w:tc>
              <w:tc>
                <w:tcPr>
                  <w:tcW w:w="814" w:type="pct"/>
                  <w:noWrap w:val="0"/>
                  <w:vAlign w:val="center"/>
                </w:tcPr>
                <w:p w14:paraId="1E62BA6F">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七台河勃利矿粉</w:t>
                  </w:r>
                </w:p>
              </w:tc>
              <w:tc>
                <w:tcPr>
                  <w:tcW w:w="3095" w:type="pct"/>
                  <w:noWrap w:val="0"/>
                  <w:vAlign w:val="center"/>
                </w:tcPr>
                <w:p w14:paraId="0C6907E3">
                  <w:pPr>
                    <w:keepNext w:val="0"/>
                    <w:keepLines w:val="0"/>
                    <w:pageBreakBefore w:val="0"/>
                    <w:widowControl w:val="0"/>
                    <w:kinsoku/>
                    <w:wordWrap/>
                    <w:overflowPunct w:val="0"/>
                    <w:topLinePunct w:val="0"/>
                    <w:autoSpaceDE/>
                    <w:autoSpaceDN/>
                    <w:bidi w:val="0"/>
                    <w:adjustRightInd w:val="0"/>
                    <w:snapToGrid/>
                    <w:spacing w:line="240" w:lineRule="auto"/>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该企业</w:t>
                  </w:r>
                  <w:r>
                    <w:rPr>
                      <w:rFonts w:hint="default" w:ascii="Times New Roman" w:hAnsi="Times New Roman" w:cs="Times New Roman"/>
                      <w:color w:val="auto"/>
                      <w:sz w:val="21"/>
                      <w:szCs w:val="21"/>
                      <w:lang w:val="zh-CN"/>
                    </w:rPr>
                    <w:t>所生产的矿粉干燥、洁净、不成团块，各项指标均满足沥青混凝土路面要求。</w:t>
                  </w:r>
                </w:p>
              </w:tc>
              <w:tc>
                <w:tcPr>
                  <w:tcW w:w="550" w:type="pct"/>
                  <w:noWrap w:val="0"/>
                  <w:vAlign w:val="center"/>
                </w:tcPr>
                <w:p w14:paraId="2A71214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机械、汽运</w:t>
                  </w:r>
                </w:p>
              </w:tc>
            </w:tr>
            <w:tr w14:paraId="0500BC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noWrap w:val="0"/>
                  <w:vAlign w:val="center"/>
                </w:tcPr>
                <w:p w14:paraId="05F872A8">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钢材等材料</w:t>
                  </w:r>
                </w:p>
              </w:tc>
              <w:tc>
                <w:tcPr>
                  <w:tcW w:w="814" w:type="pct"/>
                  <w:noWrap w:val="0"/>
                  <w:vAlign w:val="center"/>
                </w:tcPr>
                <w:p w14:paraId="5DA2B9F2">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w:t>
                  </w:r>
                  <w:r>
                    <w:rPr>
                      <w:rFonts w:hint="default" w:ascii="Times New Roman" w:hAnsi="Times New Roman" w:cs="Times New Roman"/>
                      <w:color w:val="auto"/>
                      <w:sz w:val="21"/>
                      <w:szCs w:val="21"/>
                    </w:rPr>
                    <w:t>及哈尔滨建材市场</w:t>
                  </w:r>
                </w:p>
              </w:tc>
              <w:tc>
                <w:tcPr>
                  <w:tcW w:w="3095" w:type="pct"/>
                  <w:noWrap w:val="0"/>
                  <w:vAlign w:val="center"/>
                </w:tcPr>
                <w:p w14:paraId="11F6C65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鸡西</w:t>
                  </w:r>
                  <w:r>
                    <w:rPr>
                      <w:rFonts w:hint="default" w:ascii="Times New Roman" w:hAnsi="Times New Roman" w:cs="Times New Roman"/>
                      <w:color w:val="auto"/>
                      <w:sz w:val="21"/>
                      <w:szCs w:val="21"/>
                    </w:rPr>
                    <w:t>及哈尔滨建材市场购买</w:t>
                  </w:r>
                </w:p>
              </w:tc>
              <w:tc>
                <w:tcPr>
                  <w:tcW w:w="550" w:type="pct"/>
                  <w:noWrap w:val="0"/>
                  <w:vAlign w:val="center"/>
                </w:tcPr>
                <w:p w14:paraId="74674663">
                  <w:pPr>
                    <w:overflowPunct w:val="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机械、火运、汽运</w:t>
                  </w:r>
                </w:p>
              </w:tc>
            </w:tr>
          </w:tbl>
          <w:p w14:paraId="30B5629C">
            <w:pPr>
              <w:pStyle w:val="14"/>
              <w:rPr>
                <w:rFonts w:hint="default" w:ascii="Times New Roman" w:hAnsi="Times New Roman" w:cs="Times New Roman"/>
                <w:color w:val="auto"/>
              </w:rPr>
            </w:pPr>
          </w:p>
        </w:tc>
      </w:tr>
      <w:tr w14:paraId="531C2A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735" w:hRule="atLeast"/>
          <w:jc w:val="center"/>
        </w:trPr>
        <w:tc>
          <w:tcPr>
            <w:tcW w:w="382" w:type="dxa"/>
            <w:noWrap w:val="0"/>
            <w:vAlign w:val="center"/>
          </w:tcPr>
          <w:p w14:paraId="6C10F854">
            <w:pPr>
              <w:adjustRightInd w:val="0"/>
              <w:snapToGrid w:val="0"/>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施工方案</w:t>
            </w:r>
          </w:p>
        </w:tc>
        <w:tc>
          <w:tcPr>
            <w:tcW w:w="8084" w:type="dxa"/>
            <w:noWrap w:val="0"/>
            <w:vAlign w:val="center"/>
          </w:tcPr>
          <w:p w14:paraId="1A70A8D3">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1、施工时序及施工工期</w:t>
            </w:r>
          </w:p>
          <w:p w14:paraId="6C3719E4">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本项目施工时序为原有路面拆除、平整，路面先基层、后面层施工。</w:t>
            </w:r>
          </w:p>
          <w:p w14:paraId="6BBE86A7">
            <w:pPr>
              <w:pStyle w:val="76"/>
              <w:rPr>
                <w:rFonts w:hint="default" w:ascii="Times New Roman" w:hAnsi="Times New Roman" w:cs="Times New Roman"/>
                <w:color w:val="auto"/>
                <w:highlight w:val="none"/>
              </w:rPr>
            </w:pPr>
            <w:r>
              <w:rPr>
                <w:color w:val="auto"/>
                <w:highlight w:val="none"/>
              </w:rPr>
              <w:t>本</w:t>
            </w:r>
            <w:r>
              <w:rPr>
                <w:rFonts w:hint="eastAsia"/>
                <w:color w:val="auto"/>
                <w:highlight w:val="none"/>
              </w:rPr>
              <w:t>项目施工工期从2</w:t>
            </w:r>
            <w:r>
              <w:rPr>
                <w:color w:val="auto"/>
                <w:highlight w:val="none"/>
              </w:rPr>
              <w:t>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w:t>
            </w:r>
            <w:r>
              <w:rPr>
                <w:rFonts w:hint="eastAsia"/>
                <w:color w:val="auto"/>
                <w:highlight w:val="none"/>
              </w:rPr>
              <w:t>月开始，</w:t>
            </w:r>
            <w:r>
              <w:rPr>
                <w:rFonts w:hint="eastAsia"/>
                <w:color w:val="auto"/>
                <w:highlight w:val="none"/>
                <w:lang w:val="en-US" w:eastAsia="zh-CN"/>
              </w:rPr>
              <w:t>路面拆除</w:t>
            </w:r>
            <w:r>
              <w:rPr>
                <w:color w:val="auto"/>
                <w:highlight w:val="none"/>
              </w:rPr>
              <w:t>工程为202</w:t>
            </w:r>
            <w:r>
              <w:rPr>
                <w:rFonts w:hint="eastAsia"/>
                <w:color w:val="auto"/>
                <w:highlight w:val="none"/>
                <w:lang w:val="en-US" w:eastAsia="zh-CN"/>
              </w:rPr>
              <w:t>6</w:t>
            </w:r>
            <w:r>
              <w:rPr>
                <w:color w:val="auto"/>
                <w:highlight w:val="none"/>
              </w:rPr>
              <w:t>年</w:t>
            </w:r>
            <w:r>
              <w:rPr>
                <w:rFonts w:hint="eastAsia"/>
                <w:color w:val="auto"/>
                <w:highlight w:val="none"/>
                <w:lang w:val="en-US" w:eastAsia="zh-CN"/>
              </w:rPr>
              <w:t>4</w:t>
            </w:r>
            <w:r>
              <w:rPr>
                <w:color w:val="auto"/>
                <w:highlight w:val="none"/>
              </w:rPr>
              <w:t>月至202</w:t>
            </w:r>
            <w:r>
              <w:rPr>
                <w:rFonts w:hint="eastAsia"/>
                <w:color w:val="auto"/>
                <w:highlight w:val="none"/>
                <w:lang w:val="en-US" w:eastAsia="zh-CN"/>
              </w:rPr>
              <w:t>6</w:t>
            </w:r>
            <w:r>
              <w:rPr>
                <w:color w:val="auto"/>
                <w:highlight w:val="none"/>
              </w:rPr>
              <w:t>年</w:t>
            </w:r>
            <w:r>
              <w:rPr>
                <w:rFonts w:hint="eastAsia"/>
                <w:color w:val="auto"/>
                <w:highlight w:val="none"/>
                <w:lang w:val="en-US" w:eastAsia="zh-CN"/>
              </w:rPr>
              <w:t>5</w:t>
            </w:r>
            <w:r>
              <w:rPr>
                <w:rFonts w:hint="eastAsia"/>
                <w:color w:val="auto"/>
                <w:highlight w:val="none"/>
              </w:rPr>
              <w:t>月，路面</w:t>
            </w:r>
            <w:r>
              <w:rPr>
                <w:rFonts w:hint="eastAsia"/>
                <w:color w:val="auto"/>
                <w:highlight w:val="none"/>
                <w:lang w:val="en-US" w:eastAsia="zh-CN"/>
              </w:rPr>
              <w:t>浇筑</w:t>
            </w:r>
            <w:r>
              <w:rPr>
                <w:rFonts w:hint="eastAsia"/>
                <w:color w:val="auto"/>
                <w:highlight w:val="none"/>
              </w:rPr>
              <w:t>工程为202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6</w:t>
            </w:r>
            <w:r>
              <w:rPr>
                <w:rFonts w:hint="eastAsia"/>
                <w:color w:val="auto"/>
                <w:highlight w:val="none"/>
              </w:rPr>
              <w:t>月，桥涵工程工期为202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4-5</w:t>
            </w:r>
            <w:r>
              <w:rPr>
                <w:rFonts w:hint="eastAsia"/>
                <w:color w:val="auto"/>
                <w:highlight w:val="none"/>
              </w:rPr>
              <w:t>月，其中</w:t>
            </w:r>
            <w:r>
              <w:rPr>
                <w:rFonts w:hint="eastAsia"/>
                <w:color w:val="auto"/>
                <w:highlight w:val="none"/>
                <w:lang w:val="en-US" w:eastAsia="zh-CN"/>
              </w:rPr>
              <w:t>涵洞</w:t>
            </w:r>
            <w:r>
              <w:rPr>
                <w:rFonts w:hint="eastAsia"/>
                <w:color w:val="auto"/>
                <w:highlight w:val="none"/>
              </w:rPr>
              <w:t>施工选在枯水期和非灌溉期施工，交叉工程、绿化工程、交通工程</w:t>
            </w:r>
            <w:r>
              <w:rPr>
                <w:rFonts w:hint="eastAsia"/>
                <w:color w:val="auto"/>
                <w:highlight w:val="none"/>
                <w:lang w:val="en-US" w:eastAsia="zh-CN"/>
              </w:rPr>
              <w:t>等施工</w:t>
            </w:r>
            <w:r>
              <w:rPr>
                <w:rFonts w:hint="eastAsia"/>
                <w:color w:val="auto"/>
                <w:highlight w:val="none"/>
              </w:rPr>
              <w:t>期为2</w:t>
            </w:r>
            <w:r>
              <w:rPr>
                <w:color w:val="auto"/>
                <w:highlight w:val="none"/>
              </w:rPr>
              <w:t>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6</w:t>
            </w:r>
            <w:r>
              <w:rPr>
                <w:rFonts w:hint="eastAsia"/>
                <w:color w:val="auto"/>
                <w:highlight w:val="none"/>
              </w:rPr>
              <w:t>月</w:t>
            </w:r>
            <w:r>
              <w:rPr>
                <w:rFonts w:hint="default" w:ascii="Times New Roman" w:hAnsi="Times New Roman" w:cs="Times New Roman"/>
                <w:color w:val="auto"/>
                <w:highlight w:val="none"/>
              </w:rPr>
              <w:t>。</w:t>
            </w:r>
          </w:p>
          <w:p w14:paraId="4B717169">
            <w:pPr>
              <w:pStyle w:val="76"/>
              <w:rPr>
                <w:rFonts w:hint="default" w:ascii="Times New Roman" w:hAnsi="Times New Roman" w:cs="Times New Roman"/>
                <w:color w:val="auto"/>
              </w:rPr>
            </w:pPr>
            <w:r>
              <w:rPr>
                <w:rFonts w:hint="default" w:ascii="Times New Roman" w:hAnsi="Times New Roman" w:cs="Times New Roman"/>
                <w:color w:val="auto"/>
              </w:rPr>
              <w:t>2、施工工艺</w:t>
            </w:r>
          </w:p>
          <w:p w14:paraId="60C41518">
            <w:pPr>
              <w:pStyle w:val="76"/>
              <w:rPr>
                <w:rFonts w:hint="default" w:ascii="Times New Roman" w:hAnsi="Times New Roman" w:cs="Times New Roman"/>
                <w:color w:val="auto"/>
              </w:rPr>
            </w:pPr>
            <w:r>
              <w:rPr>
                <w:rFonts w:hint="default" w:ascii="Times New Roman" w:hAnsi="Times New Roman" w:cs="Times New Roman"/>
                <w:color w:val="auto"/>
              </w:rPr>
              <w:t>（1）公路工程</w:t>
            </w:r>
          </w:p>
          <w:p w14:paraId="4DF32670">
            <w:pPr>
              <w:pStyle w:val="76"/>
              <w:rPr>
                <w:rFonts w:hint="default" w:ascii="Times New Roman" w:hAnsi="Times New Roman" w:cs="Times New Roman"/>
                <w:color w:val="auto"/>
              </w:rPr>
            </w:pPr>
            <w:r>
              <w:rPr>
                <w:rFonts w:hint="default" w:ascii="Times New Roman" w:hAnsi="Times New Roman" w:cs="Times New Roman"/>
                <w:color w:val="auto"/>
              </w:rPr>
              <w:t>工程建设过程中路基工程将首先开工，路面及交通设施等工程后续跟进，各类工程因其作业方式不同，所产生污染物种类和数量也有所差异。</w:t>
            </w:r>
          </w:p>
          <w:p w14:paraId="1380B720">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bCs/>
                <w:color w:val="auto"/>
                <w:kern w:val="21"/>
                <w:szCs w:val="21"/>
                <w:lang w:eastAsia="zh-CN"/>
              </w:rPr>
            </w:pPr>
            <w:r>
              <w:rPr>
                <w:rFonts w:hint="default" w:ascii="Times New Roman" w:hAnsi="Times New Roman" w:eastAsia="宋体" w:cs="Times New Roman"/>
                <w:bCs/>
                <w:color w:val="auto"/>
                <w:kern w:val="21"/>
                <w:szCs w:val="21"/>
                <w:lang w:eastAsia="zh-CN"/>
              </w:rPr>
              <w:drawing>
                <wp:inline distT="0" distB="0" distL="114300" distR="114300">
                  <wp:extent cx="4991735" cy="3037205"/>
                  <wp:effectExtent l="0" t="0" r="18415" b="10795"/>
                  <wp:docPr id="52" name="图片 52" descr="kappframework-aQGlv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appframework-aQGlvo(1)(1)"/>
                          <pic:cNvPicPr>
                            <a:picLocks noChangeAspect="1"/>
                          </pic:cNvPicPr>
                        </pic:nvPicPr>
                        <pic:blipFill>
                          <a:blip r:embed="rId18"/>
                          <a:stretch>
                            <a:fillRect/>
                          </a:stretch>
                        </pic:blipFill>
                        <pic:spPr>
                          <a:xfrm>
                            <a:off x="0" y="0"/>
                            <a:ext cx="4991735" cy="3037205"/>
                          </a:xfrm>
                          <a:prstGeom prst="rect">
                            <a:avLst/>
                          </a:prstGeom>
                        </pic:spPr>
                      </pic:pic>
                    </a:graphicData>
                  </a:graphic>
                </wp:inline>
              </w:drawing>
            </w:r>
          </w:p>
          <w:p w14:paraId="6050CEA1">
            <w:pPr>
              <w:pStyle w:val="72"/>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图2-3</w:t>
            </w:r>
            <w:r>
              <w:rPr>
                <w:rFonts w:hint="default" w:ascii="Times New Roman" w:hAnsi="Times New Roman" w:eastAsia="宋体" w:cs="Times New Roman"/>
                <w:b/>
                <w:bCs/>
                <w:color w:val="auto"/>
                <w:lang w:val="en-US" w:eastAsia="zh-CN"/>
              </w:rPr>
              <w:t xml:space="preserve"> </w:t>
            </w:r>
            <w:r>
              <w:rPr>
                <w:rFonts w:hint="default" w:ascii="Times New Roman" w:hAnsi="Times New Roman" w:eastAsia="宋体" w:cs="Times New Roman"/>
                <w:b/>
                <w:bCs/>
                <w:color w:val="auto"/>
              </w:rPr>
              <w:t xml:space="preserve"> 公路工程主要工艺流程示意图</w:t>
            </w:r>
          </w:p>
          <w:p w14:paraId="08A53A99">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①路基施工工艺</w:t>
            </w:r>
          </w:p>
          <w:p w14:paraId="0D7229A8">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a.场地清理</w:t>
            </w:r>
          </w:p>
          <w:p w14:paraId="4D4E0D87">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color w:val="auto"/>
              </w:rPr>
              <w:t>本项目路面全部直接破碎作为路基，下挖宽度为旧路坡脚至路基宽度范围内，</w:t>
            </w:r>
            <w:r>
              <w:rPr>
                <w:rFonts w:hint="default" w:ascii="Times New Roman" w:hAnsi="Times New Roman" w:cs="Times New Roman"/>
                <w:color w:val="auto"/>
                <w:lang w:val="en-US" w:eastAsia="zh-CN"/>
              </w:rPr>
              <w:t>开挖范围不超过原有路基范围，不涉及旁边的地表植被，不破坏道路旁边的土地；施工</w:t>
            </w:r>
            <w:r>
              <w:rPr>
                <w:rFonts w:hint="default" w:ascii="Times New Roman" w:hAnsi="Times New Roman" w:cs="Times New Roman"/>
                <w:color w:val="auto"/>
              </w:rPr>
              <w:t>挖除后对基底进行碾压，</w:t>
            </w:r>
            <w:r>
              <w:rPr>
                <w:rFonts w:hint="default" w:ascii="Times New Roman" w:hAnsi="Times New Roman" w:cs="Times New Roman"/>
                <w:bCs/>
                <w:color w:val="auto"/>
                <w:kern w:val="21"/>
                <w:szCs w:val="21"/>
                <w:highlight w:val="none"/>
              </w:rPr>
              <w:t>路基施工</w:t>
            </w:r>
            <w:r>
              <w:rPr>
                <w:rFonts w:hint="default" w:ascii="Times New Roman" w:hAnsi="Times New Roman" w:cs="Times New Roman"/>
                <w:bCs/>
                <w:color w:val="auto"/>
                <w:kern w:val="21"/>
                <w:szCs w:val="21"/>
                <w:highlight w:val="none"/>
                <w:lang w:val="en-US" w:eastAsia="zh-CN"/>
              </w:rPr>
              <w:t>不会造成旁边</w:t>
            </w:r>
            <w:r>
              <w:rPr>
                <w:rFonts w:hint="default" w:ascii="Times New Roman" w:hAnsi="Times New Roman" w:cs="Times New Roman"/>
                <w:bCs/>
                <w:color w:val="auto"/>
                <w:kern w:val="21"/>
                <w:szCs w:val="21"/>
                <w:highlight w:val="none"/>
              </w:rPr>
              <w:t>农作物、</w:t>
            </w:r>
            <w:r>
              <w:rPr>
                <w:rFonts w:hint="default" w:ascii="Times New Roman" w:hAnsi="Times New Roman" w:cs="Times New Roman"/>
                <w:bCs/>
                <w:color w:val="auto"/>
                <w:kern w:val="21"/>
                <w:szCs w:val="21"/>
                <w:highlight w:val="none"/>
                <w:lang w:val="en-US" w:eastAsia="zh-CN"/>
              </w:rPr>
              <w:t>或</w:t>
            </w:r>
            <w:r>
              <w:rPr>
                <w:rFonts w:hint="default" w:ascii="Times New Roman" w:hAnsi="Times New Roman" w:cs="Times New Roman"/>
                <w:bCs/>
                <w:color w:val="auto"/>
                <w:kern w:val="21"/>
                <w:szCs w:val="21"/>
                <w:highlight w:val="none"/>
              </w:rPr>
              <w:t>林地等植被</w:t>
            </w:r>
            <w:r>
              <w:rPr>
                <w:rFonts w:hint="default" w:ascii="Times New Roman" w:hAnsi="Times New Roman" w:cs="Times New Roman"/>
                <w:bCs/>
                <w:color w:val="auto"/>
                <w:kern w:val="21"/>
                <w:szCs w:val="21"/>
                <w:highlight w:val="none"/>
                <w:lang w:val="en-US" w:eastAsia="zh-CN"/>
              </w:rPr>
              <w:t>破坏</w:t>
            </w:r>
            <w:r>
              <w:rPr>
                <w:rFonts w:hint="default" w:ascii="Times New Roman" w:hAnsi="Times New Roman" w:cs="Times New Roman"/>
                <w:bCs/>
                <w:color w:val="auto"/>
                <w:kern w:val="21"/>
                <w:szCs w:val="21"/>
              </w:rPr>
              <w:t>，</w:t>
            </w:r>
            <w:r>
              <w:rPr>
                <w:rFonts w:hint="default" w:ascii="Times New Roman" w:hAnsi="Times New Roman" w:cs="Times New Roman"/>
                <w:bCs/>
                <w:color w:val="auto"/>
                <w:kern w:val="21"/>
                <w:szCs w:val="21"/>
                <w:lang w:val="en-US" w:eastAsia="zh-CN"/>
              </w:rPr>
              <w:t>路基施工主要</w:t>
            </w:r>
            <w:r>
              <w:rPr>
                <w:rFonts w:hint="default" w:ascii="Times New Roman" w:hAnsi="Times New Roman" w:cs="Times New Roman"/>
                <w:bCs/>
                <w:color w:val="auto"/>
                <w:kern w:val="21"/>
                <w:szCs w:val="21"/>
              </w:rPr>
              <w:t>造成</w:t>
            </w:r>
            <w:r>
              <w:rPr>
                <w:rFonts w:hint="default" w:ascii="Times New Roman" w:hAnsi="Times New Roman" w:cs="Times New Roman"/>
                <w:bCs/>
                <w:color w:val="auto"/>
                <w:kern w:val="21"/>
                <w:szCs w:val="21"/>
                <w:lang w:val="en-US" w:eastAsia="zh-CN"/>
              </w:rPr>
              <w:t>施工范围内</w:t>
            </w:r>
            <w:r>
              <w:rPr>
                <w:rFonts w:hint="default" w:ascii="Times New Roman" w:hAnsi="Times New Roman" w:cs="Times New Roman"/>
                <w:bCs/>
                <w:color w:val="auto"/>
                <w:kern w:val="21"/>
                <w:szCs w:val="21"/>
              </w:rPr>
              <w:t>水土流失。路基清理过程中伴随着施工机械噪声和扬尘将对处于沿线两侧敏感点产生影响，应采取一定措施将影响程度降至最低。</w:t>
            </w:r>
          </w:p>
          <w:p w14:paraId="3941F6CF">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bCs/>
                <w:color w:val="auto"/>
                <w:kern w:val="21"/>
                <w:szCs w:val="21"/>
                <w:lang w:val="en-US" w:eastAsia="zh-CN"/>
              </w:rPr>
            </w:pPr>
            <w:r>
              <w:rPr>
                <w:rFonts w:hint="default" w:ascii="Times New Roman" w:hAnsi="Times New Roman" w:cs="Times New Roman"/>
                <w:bCs/>
                <w:color w:val="auto"/>
                <w:kern w:val="21"/>
                <w:szCs w:val="21"/>
              </w:rPr>
              <w:t>b.路</w:t>
            </w:r>
            <w:r>
              <w:rPr>
                <w:rFonts w:hint="default" w:ascii="Times New Roman" w:hAnsi="Times New Roman" w:cs="Times New Roman"/>
                <w:bCs/>
                <w:color w:val="auto"/>
                <w:kern w:val="21"/>
                <w:szCs w:val="21"/>
                <w:lang w:val="en-US" w:eastAsia="zh-CN"/>
              </w:rPr>
              <w:t>床平整</w:t>
            </w:r>
          </w:p>
          <w:p w14:paraId="284287AB">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路</w:t>
            </w:r>
            <w:r>
              <w:rPr>
                <w:rFonts w:hint="default" w:ascii="Times New Roman" w:hAnsi="Times New Roman" w:cs="Times New Roman"/>
                <w:bCs/>
                <w:color w:val="auto"/>
                <w:kern w:val="21"/>
                <w:szCs w:val="21"/>
                <w:lang w:val="en-US" w:eastAsia="zh-CN"/>
              </w:rPr>
              <w:t>面</w:t>
            </w:r>
            <w:r>
              <w:rPr>
                <w:rFonts w:hint="default" w:ascii="Times New Roman" w:hAnsi="Times New Roman" w:cs="Times New Roman"/>
                <w:bCs/>
                <w:color w:val="auto"/>
                <w:kern w:val="21"/>
                <w:szCs w:val="21"/>
              </w:rPr>
              <w:t>开挖</w:t>
            </w:r>
            <w:r>
              <w:rPr>
                <w:rFonts w:hint="default" w:ascii="Times New Roman" w:hAnsi="Times New Roman" w:cs="Times New Roman"/>
                <w:bCs/>
                <w:color w:val="auto"/>
                <w:kern w:val="21"/>
                <w:szCs w:val="21"/>
                <w:lang w:val="en-US" w:eastAsia="zh-CN"/>
              </w:rPr>
              <w:t>后进行平整、填筑，</w:t>
            </w:r>
            <w:r>
              <w:rPr>
                <w:rFonts w:hint="default" w:ascii="Times New Roman" w:hAnsi="Times New Roman" w:cs="Times New Roman"/>
                <w:bCs/>
                <w:color w:val="auto"/>
                <w:kern w:val="21"/>
                <w:szCs w:val="21"/>
              </w:rPr>
              <w:t>填筑材料在运输和施工过程中将会产生机械施工噪声与扬尘，将对公路两侧敏感点产生影响。</w:t>
            </w:r>
          </w:p>
          <w:p w14:paraId="4C52904E">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②路面施工工艺</w:t>
            </w:r>
          </w:p>
          <w:p w14:paraId="04F957C9">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路面施工严格按照《公路路面基层施工技术细则》（JTGT F20-2015）有关规定进行施工。本项目旧路采用打裂旧路面、加铺沥青混凝土面层处理，旧路路面拆除后</w:t>
            </w:r>
            <w:r>
              <w:rPr>
                <w:rFonts w:hint="default" w:ascii="Times New Roman" w:hAnsi="Times New Roman" w:cs="Times New Roman"/>
                <w:color w:val="auto"/>
                <w:kern w:val="21"/>
                <w:szCs w:val="21"/>
              </w:rPr>
              <w:t>回用路</w:t>
            </w:r>
            <w:r>
              <w:rPr>
                <w:rFonts w:hint="default" w:ascii="Times New Roman" w:hAnsi="Times New Roman" w:cs="Times New Roman"/>
                <w:color w:val="auto"/>
                <w:kern w:val="21"/>
                <w:szCs w:val="21"/>
                <w:lang w:val="en-US" w:eastAsia="zh-CN"/>
              </w:rPr>
              <w:t>面</w:t>
            </w:r>
            <w:r>
              <w:rPr>
                <w:rFonts w:hint="default" w:ascii="Times New Roman" w:hAnsi="Times New Roman" w:cs="Times New Roman"/>
                <w:color w:val="auto"/>
                <w:kern w:val="21"/>
                <w:szCs w:val="21"/>
              </w:rPr>
              <w:t>填筑。</w:t>
            </w:r>
          </w:p>
          <w:p w14:paraId="4F8185C5">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bCs/>
                <w:color w:val="auto"/>
                <w:kern w:val="21"/>
                <w:szCs w:val="21"/>
              </w:rPr>
            </w:pPr>
            <w:r>
              <w:rPr>
                <w:rFonts w:hint="default" w:ascii="Times New Roman" w:hAnsi="Times New Roman" w:cs="Times New Roman"/>
                <w:bCs/>
                <w:color w:val="auto"/>
                <w:kern w:val="21"/>
                <w:szCs w:val="21"/>
              </w:rPr>
              <w:t>（2）涵</w:t>
            </w:r>
            <w:r>
              <w:rPr>
                <w:rFonts w:hint="default" w:ascii="Times New Roman" w:hAnsi="Times New Roman" w:cs="Times New Roman"/>
                <w:bCs/>
                <w:color w:val="auto"/>
                <w:kern w:val="21"/>
                <w:szCs w:val="21"/>
                <w:lang w:val="en-US" w:eastAsia="zh-CN"/>
              </w:rPr>
              <w:t>洞</w:t>
            </w:r>
            <w:r>
              <w:rPr>
                <w:rFonts w:hint="default" w:ascii="Times New Roman" w:hAnsi="Times New Roman" w:cs="Times New Roman"/>
                <w:bCs/>
                <w:color w:val="auto"/>
                <w:kern w:val="21"/>
                <w:szCs w:val="21"/>
              </w:rPr>
              <w:t>工程</w:t>
            </w:r>
          </w:p>
          <w:p w14:paraId="3523012D">
            <w:pPr>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drawing>
                <wp:anchor distT="0" distB="0" distL="114300" distR="114300" simplePos="0" relativeHeight="251666432" behindDoc="0" locked="0" layoutInCell="1" allowOverlap="1">
                  <wp:simplePos x="0" y="0"/>
                  <wp:positionH relativeFrom="column">
                    <wp:posOffset>3175</wp:posOffset>
                  </wp:positionH>
                  <wp:positionV relativeFrom="paragraph">
                    <wp:posOffset>3220085</wp:posOffset>
                  </wp:positionV>
                  <wp:extent cx="4867275" cy="1038860"/>
                  <wp:effectExtent l="0" t="0" r="0" b="8255"/>
                  <wp:wrapNone/>
                  <wp:docPr id="54" name="图片 54" descr="未命名文件(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未命名文件(14)"/>
                          <pic:cNvPicPr>
                            <a:picLocks noChangeAspect="1"/>
                          </pic:cNvPicPr>
                        </pic:nvPicPr>
                        <pic:blipFill>
                          <a:blip r:embed="rId19"/>
                          <a:srcRect t="8880" b="10409"/>
                          <a:stretch>
                            <a:fillRect/>
                          </a:stretch>
                        </pic:blipFill>
                        <pic:spPr>
                          <a:xfrm>
                            <a:off x="0" y="0"/>
                            <a:ext cx="4867275" cy="1038860"/>
                          </a:xfrm>
                          <a:prstGeom prst="rect">
                            <a:avLst/>
                          </a:prstGeom>
                        </pic:spPr>
                      </pic:pic>
                    </a:graphicData>
                  </a:graphic>
                </wp:anchor>
              </w:drawing>
            </w:r>
            <w:r>
              <w:rPr>
                <w:rFonts w:hint="default" w:ascii="Times New Roman" w:hAnsi="Times New Roman" w:cs="Times New Roman"/>
                <w:color w:val="auto"/>
                <w:lang w:val="en-US" w:eastAsia="zh-CN"/>
              </w:rPr>
              <w:t>本项目拆除重建原有的</w:t>
            </w:r>
            <w:r>
              <w:rPr>
                <w:rFonts w:hint="default" w:ascii="Times New Roman" w:hAnsi="Times New Roman" w:cs="Times New Roman"/>
                <w:color w:val="auto"/>
                <w:szCs w:val="24"/>
              </w:rPr>
              <w:t>钢筋混凝土圆管涵</w:t>
            </w:r>
            <w:r>
              <w:rPr>
                <w:rFonts w:hint="default" w:ascii="Times New Roman" w:hAnsi="Times New Roman" w:cs="Times New Roman"/>
                <w:color w:val="auto"/>
                <w:lang w:val="en-US" w:eastAsia="zh-CN"/>
              </w:rPr>
              <w:t>洞9道，</w:t>
            </w:r>
            <w:r>
              <w:rPr>
                <w:rFonts w:hint="default" w:ascii="Times New Roman" w:hAnsi="Times New Roman" w:cs="Times New Roman"/>
                <w:color w:val="auto"/>
                <w:highlight w:val="none"/>
              </w:rPr>
              <w:t>涵洞核心功能为疏导周边沟渠水流</w:t>
            </w:r>
            <w:r>
              <w:rPr>
                <w:rFonts w:hint="default" w:ascii="Times New Roman" w:hAnsi="Times New Roman" w:cs="Times New Roman"/>
                <w:color w:val="auto"/>
                <w:lang w:val="zh-CN"/>
              </w:rPr>
              <w:t>，</w:t>
            </w:r>
            <w:r>
              <w:rPr>
                <w:rFonts w:hint="default" w:ascii="Times New Roman" w:hAnsi="Times New Roman" w:cs="Times New Roman"/>
                <w:color w:val="auto"/>
                <w:lang w:val="en-US" w:eastAsia="zh-CN"/>
              </w:rPr>
              <w:t>涵洞工程施工过程中主要产生扬尘、施工噪声</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本</w:t>
            </w:r>
            <w:r>
              <w:rPr>
                <w:rFonts w:hint="default" w:ascii="Times New Roman" w:hAnsi="Times New Roman" w:cs="Times New Roman"/>
                <w:color w:val="auto"/>
                <w:highlight w:val="none"/>
                <w:lang w:val="en-US" w:eastAsia="zh-CN"/>
              </w:rPr>
              <w:t>项目</w:t>
            </w:r>
            <w:r>
              <w:rPr>
                <w:rFonts w:hint="default" w:ascii="Times New Roman" w:hAnsi="Times New Roman" w:cs="Times New Roman"/>
                <w:color w:val="auto"/>
                <w:lang w:val="en-US" w:eastAsia="zh-CN"/>
              </w:rPr>
              <w:t>旧涵</w:t>
            </w:r>
            <w:r>
              <w:rPr>
                <w:rFonts w:hint="default" w:ascii="Times New Roman" w:hAnsi="Times New Roman" w:cs="Times New Roman"/>
                <w:color w:val="auto"/>
              </w:rPr>
              <w:t>拆除有关施工工艺均按《公路桥涵施工技术规范》（JTG/G3620- 2020）中的要求进行。拆除施工前熟悉周围现场，探明隐蔽工程及建筑物，避免因拆除工程导致破坏。设置各种醒目的安全警示及指示车辆绕行标志，施工场地做好平整工作，各施工材料、设施准备完毕，设置硬质围挡。施工前将</w:t>
            </w:r>
            <w:r>
              <w:rPr>
                <w:rFonts w:hint="default" w:ascii="Times New Roman" w:hAnsi="Times New Roman" w:cs="Times New Roman"/>
                <w:color w:val="auto"/>
                <w:lang w:val="en-US" w:eastAsia="zh-CN"/>
              </w:rPr>
              <w:t>涵洞周围设置围堰，避免施工过程中产生的废物进入渠道范围内，影响渠道水质。施工场界设置</w:t>
            </w:r>
            <w:r>
              <w:rPr>
                <w:rFonts w:hint="default" w:ascii="Times New Roman" w:hAnsi="Times New Roman" w:cs="Times New Roman"/>
                <w:color w:val="auto"/>
              </w:rPr>
              <w:t>采用硬质围挡彻底封闭，硬质围挡高度不低于2.5m，同时安排专人进行看护，严禁非施工人员进入施工现场</w:t>
            </w:r>
            <w:r>
              <w:rPr>
                <w:rFonts w:hint="default" w:ascii="Times New Roman" w:hAnsi="Times New Roman" w:cs="Times New Roman"/>
                <w:color w:val="auto"/>
                <w:lang w:eastAsia="zh-CN"/>
              </w:rPr>
              <w:t>；</w:t>
            </w:r>
            <w:r>
              <w:rPr>
                <w:rFonts w:hint="default" w:ascii="Times New Roman" w:hAnsi="Times New Roman" w:cs="Times New Roman"/>
                <w:color w:val="auto"/>
              </w:rPr>
              <w:t>拆除作业结束后拆除的</w:t>
            </w:r>
            <w:r>
              <w:rPr>
                <w:rFonts w:hint="default" w:ascii="Times New Roman" w:hAnsi="Times New Roman" w:cs="Times New Roman"/>
                <w:color w:val="auto"/>
                <w:lang w:eastAsia="zh-CN"/>
              </w:rPr>
              <w:t>桥头</w:t>
            </w:r>
            <w:r>
              <w:rPr>
                <w:rFonts w:hint="default" w:ascii="Times New Roman" w:hAnsi="Times New Roman" w:cs="Times New Roman"/>
                <w:color w:val="auto"/>
              </w:rPr>
              <w:t>旧料不得</w:t>
            </w:r>
            <w:r>
              <w:rPr>
                <w:rFonts w:hint="default" w:ascii="Times New Roman" w:hAnsi="Times New Roman" w:cs="Times New Roman"/>
                <w:color w:val="auto"/>
                <w:lang w:eastAsia="zh-CN"/>
              </w:rPr>
              <w:t>弃置</w:t>
            </w:r>
            <w:r>
              <w:rPr>
                <w:rFonts w:hint="default" w:ascii="Times New Roman" w:hAnsi="Times New Roman" w:cs="Times New Roman"/>
                <w:color w:val="auto"/>
              </w:rPr>
              <w:t>于河道内影响</w:t>
            </w:r>
            <w:r>
              <w:rPr>
                <w:rFonts w:hint="default" w:ascii="Times New Roman" w:hAnsi="Times New Roman" w:cs="Times New Roman"/>
                <w:color w:val="auto"/>
                <w:lang w:val="en-US" w:eastAsia="zh-CN"/>
              </w:rPr>
              <w:t>渠道正常功能</w:t>
            </w:r>
            <w:r>
              <w:rPr>
                <w:rFonts w:hint="default" w:ascii="Times New Roman" w:hAnsi="Times New Roman" w:cs="Times New Roman"/>
                <w:color w:val="auto"/>
              </w:rPr>
              <w:t>，建设单位对</w:t>
            </w:r>
            <w:r>
              <w:rPr>
                <w:rFonts w:hint="default" w:ascii="Times New Roman" w:hAnsi="Times New Roman" w:cs="Times New Roman"/>
                <w:color w:val="auto"/>
                <w:lang w:eastAsia="zh-CN"/>
              </w:rPr>
              <w:t>拆除的建筑垃圾</w:t>
            </w:r>
            <w:r>
              <w:rPr>
                <w:rFonts w:hint="default" w:ascii="Times New Roman" w:hAnsi="Times New Roman" w:cs="Times New Roman"/>
                <w:color w:val="auto"/>
              </w:rPr>
              <w:t>进行清理。</w:t>
            </w:r>
          </w:p>
          <w:p w14:paraId="43014C72">
            <w:pPr>
              <w:pStyle w:val="76"/>
              <w:rPr>
                <w:rFonts w:hint="default" w:ascii="Times New Roman" w:hAnsi="Times New Roman" w:cs="Times New Roman"/>
                <w:color w:val="auto"/>
              </w:rPr>
            </w:pPr>
          </w:p>
          <w:p w14:paraId="5C8DF158">
            <w:pPr>
              <w:pStyle w:val="76"/>
              <w:rPr>
                <w:rFonts w:hint="default" w:ascii="Times New Roman" w:hAnsi="Times New Roman" w:cs="Times New Roman"/>
                <w:color w:val="auto"/>
              </w:rPr>
            </w:pPr>
          </w:p>
          <w:p w14:paraId="6B67BE74">
            <w:pPr>
              <w:pStyle w:val="76"/>
              <w:rPr>
                <w:rFonts w:hint="default" w:ascii="Times New Roman" w:hAnsi="Times New Roman" w:cs="Times New Roman"/>
                <w:color w:val="auto"/>
                <w:kern w:val="21"/>
                <w:szCs w:val="21"/>
              </w:rPr>
            </w:pPr>
          </w:p>
          <w:p w14:paraId="3C95D241">
            <w:pPr>
              <w:pStyle w:val="76"/>
              <w:keepNext w:val="0"/>
              <w:keepLines w:val="0"/>
              <w:pageBreakBefore w:val="0"/>
              <w:widowControl w:val="0"/>
              <w:kinsoku/>
              <w:wordWrap/>
              <w:overflowPunct/>
              <w:topLinePunct w:val="0"/>
              <w:autoSpaceDE/>
              <w:autoSpaceDN/>
              <w:bidi w:val="0"/>
              <w:adjustRightInd/>
              <w:snapToGrid/>
              <w:spacing w:before="157" w:beforeLines="50"/>
              <w:ind w:left="0" w:leftChars="0" w:firstLine="0" w:firstLineChars="0"/>
              <w:jc w:val="center"/>
              <w:textAlignment w:val="auto"/>
              <w:rPr>
                <w:rFonts w:hint="default" w:ascii="Times New Roman" w:hAnsi="Times New Roman" w:cs="Times New Roman"/>
                <w:color w:val="auto"/>
                <w:kern w:val="21"/>
                <w:szCs w:val="21"/>
              </w:rPr>
            </w:pPr>
            <w:r>
              <w:rPr>
                <w:rFonts w:hint="default" w:ascii="Times New Roman" w:hAnsi="Times New Roman" w:cs="Times New Roman"/>
                <w:b/>
                <w:bCs/>
                <w:color w:val="auto"/>
                <w:lang w:val="en-US" w:eastAsia="zh-CN"/>
              </w:rPr>
              <w:t xml:space="preserve">图2-4  </w:t>
            </w:r>
            <w:r>
              <w:rPr>
                <w:rFonts w:hint="default" w:ascii="Times New Roman" w:hAnsi="Times New Roman" w:cs="Times New Roman"/>
                <w:b/>
                <w:bCs/>
                <w:color w:val="auto"/>
              </w:rPr>
              <w:t>涵洞施工</w:t>
            </w:r>
            <w:r>
              <w:rPr>
                <w:rFonts w:hint="default" w:ascii="Times New Roman" w:hAnsi="Times New Roman" w:eastAsia="宋体" w:cs="Times New Roman"/>
                <w:b/>
                <w:bCs/>
                <w:color w:val="auto"/>
              </w:rPr>
              <w:t>工艺流程</w:t>
            </w:r>
            <w:r>
              <w:rPr>
                <w:rFonts w:hint="default" w:ascii="Times New Roman" w:hAnsi="Times New Roman" w:cs="Times New Roman"/>
                <w:b/>
                <w:bCs/>
                <w:color w:val="auto"/>
              </w:rPr>
              <w:t>图</w:t>
            </w:r>
          </w:p>
          <w:p w14:paraId="6F83CDD4">
            <w:pPr>
              <w:pStyle w:val="76"/>
              <w:rPr>
                <w:rFonts w:hint="default" w:ascii="Times New Roman" w:hAnsi="Times New Roman" w:cs="Times New Roman"/>
                <w:color w:val="auto"/>
                <w:kern w:val="21"/>
                <w:szCs w:val="21"/>
              </w:rPr>
            </w:pPr>
          </w:p>
        </w:tc>
      </w:tr>
      <w:tr w14:paraId="5DA1C7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38" w:hRule="atLeast"/>
          <w:jc w:val="center"/>
        </w:trPr>
        <w:tc>
          <w:tcPr>
            <w:tcW w:w="382" w:type="dxa"/>
            <w:noWrap w:val="0"/>
            <w:vAlign w:val="center"/>
          </w:tcPr>
          <w:p w14:paraId="5F0CB883">
            <w:pPr>
              <w:adjustRightInd w:val="0"/>
              <w:snapToGrid w:val="0"/>
              <w:spacing w:line="240" w:lineRule="auto"/>
              <w:jc w:val="center"/>
              <w:rPr>
                <w:rFonts w:hint="default" w:ascii="Times New Roman" w:hAnsi="Times New Roman" w:cs="Times New Roman"/>
                <w:color w:val="auto"/>
                <w:kern w:val="21"/>
                <w:szCs w:val="21"/>
              </w:rPr>
            </w:pPr>
            <w:r>
              <w:rPr>
                <w:rFonts w:hint="default" w:ascii="Times New Roman" w:hAnsi="Times New Roman" w:cs="Times New Roman"/>
                <w:color w:val="auto"/>
                <w:kern w:val="21"/>
                <w:szCs w:val="21"/>
              </w:rPr>
              <w:t>其他</w:t>
            </w:r>
          </w:p>
        </w:tc>
        <w:tc>
          <w:tcPr>
            <w:tcW w:w="8084" w:type="dxa"/>
            <w:noWrap w:val="0"/>
            <w:vAlign w:val="center"/>
          </w:tcPr>
          <w:p w14:paraId="4BD0F599">
            <w:pPr>
              <w:jc w:val="center"/>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无</w:t>
            </w:r>
          </w:p>
        </w:tc>
      </w:tr>
    </w:tbl>
    <w:p w14:paraId="11AC0DBA">
      <w:pPr>
        <w:pStyle w:val="25"/>
        <w:spacing w:before="0" w:beforeAutospacing="0" w:after="156" w:afterLines="50" w:afterAutospacing="0"/>
        <w:jc w:val="center"/>
        <w:outlineLvl w:val="0"/>
        <w:rPr>
          <w:rFonts w:hint="default" w:ascii="Times New Roman" w:hAnsi="Times New Roman" w:eastAsia="黑体" w:cs="Times New Roman"/>
          <w:snapToGrid w:val="0"/>
          <w:color w:val="auto"/>
          <w:kern w:val="21"/>
          <w:sz w:val="30"/>
          <w:szCs w:val="30"/>
        </w:rPr>
      </w:pPr>
      <w:r>
        <w:rPr>
          <w:rFonts w:hint="default" w:ascii="Times New Roman" w:hAnsi="Times New Roman" w:eastAsia="黑体" w:cs="Times New Roman"/>
          <w:snapToGrid w:val="0"/>
          <w:color w:val="auto"/>
          <w:kern w:val="21"/>
          <w:sz w:val="30"/>
          <w:szCs w:val="30"/>
        </w:rPr>
        <w:t>三、生态环境现状、保护目标及评价标准</w:t>
      </w:r>
      <w:bookmarkEnd w:id="4"/>
    </w:p>
    <w:tbl>
      <w:tblPr>
        <w:tblStyle w:val="30"/>
        <w:tblW w:w="871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30"/>
        <w:gridCol w:w="7984"/>
      </w:tblGrid>
      <w:tr w14:paraId="1978A0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30" w:type="dxa"/>
            <w:noWrap w:val="0"/>
            <w:vAlign w:val="center"/>
          </w:tcPr>
          <w:p w14:paraId="2AA87224">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生态环境现状</w:t>
            </w:r>
          </w:p>
        </w:tc>
        <w:tc>
          <w:tcPr>
            <w:tcW w:w="7984" w:type="dxa"/>
            <w:noWrap w:val="0"/>
            <w:vAlign w:val="center"/>
          </w:tcPr>
          <w:p w14:paraId="20C59903">
            <w:pPr>
              <w:pStyle w:val="76"/>
              <w:rPr>
                <w:rFonts w:hint="default" w:ascii="Times New Roman" w:hAnsi="Times New Roman" w:cs="Times New Roman"/>
                <w:color w:val="auto"/>
              </w:rPr>
            </w:pPr>
            <w:r>
              <w:rPr>
                <w:rFonts w:hint="default" w:ascii="Times New Roman" w:hAnsi="Times New Roman" w:cs="Times New Roman"/>
                <w:color w:val="auto"/>
              </w:rPr>
              <w:t>1、主体功能区规划和生态功能区划情况</w:t>
            </w:r>
          </w:p>
          <w:p w14:paraId="716B9A28">
            <w:pPr>
              <w:pStyle w:val="76"/>
              <w:rPr>
                <w:rFonts w:hint="default" w:ascii="Times New Roman" w:hAnsi="Times New Roman" w:cs="Times New Roman"/>
                <w:color w:val="auto"/>
              </w:rPr>
            </w:pPr>
            <w:r>
              <w:rPr>
                <w:rFonts w:hint="default" w:ascii="Times New Roman" w:hAnsi="Times New Roman" w:cs="Times New Roman"/>
                <w:color w:val="auto"/>
              </w:rPr>
              <w:t>（1）主体功能区规划</w:t>
            </w:r>
          </w:p>
          <w:p w14:paraId="3B13DAC9">
            <w:pPr>
              <w:pStyle w:val="76"/>
              <w:rPr>
                <w:rFonts w:hint="default" w:ascii="Times New Roman" w:hAnsi="Times New Roman" w:cs="Times New Roman"/>
                <w:color w:val="auto"/>
              </w:rPr>
            </w:pPr>
            <w:r>
              <w:rPr>
                <w:rFonts w:hint="default" w:ascii="Times New Roman" w:hAnsi="Times New Roman" w:cs="Times New Roman"/>
                <w:color w:val="auto"/>
              </w:rPr>
              <w:t>根据《黑龙江省主体功能区规划》，项目区属于三江平原湿地生态功能区，属于限制开发区域的国家重点生态功能区，为生物多样性维护型（主要指濒危珍稀动植物分布较集中、具有典型代表性生态系统的区域）。</w:t>
            </w:r>
          </w:p>
          <w:p w14:paraId="35E2F07E">
            <w:pPr>
              <w:pStyle w:val="76"/>
              <w:rPr>
                <w:rFonts w:hint="default" w:ascii="Times New Roman" w:hAnsi="Times New Roman" w:cs="Times New Roman"/>
                <w:color w:val="auto"/>
              </w:rPr>
            </w:pPr>
            <w:r>
              <w:rPr>
                <w:rFonts w:hint="default" w:ascii="Times New Roman" w:hAnsi="Times New Roman" w:cs="Times New Roman"/>
                <w:color w:val="auto"/>
              </w:rPr>
              <w:t>功能定位：以提供生态产品为主，保障生态安全的重要区域，人与自然和谐相处的示范区。</w:t>
            </w:r>
          </w:p>
          <w:p w14:paraId="6B89445E">
            <w:pPr>
              <w:pStyle w:val="76"/>
              <w:rPr>
                <w:rFonts w:hint="default" w:ascii="Times New Roman" w:hAnsi="Times New Roman" w:cs="Times New Roman"/>
                <w:color w:val="auto"/>
                <w:highlight w:val="none"/>
              </w:rPr>
            </w:pPr>
            <w:r>
              <w:rPr>
                <w:rFonts w:hint="default" w:ascii="Times New Roman" w:hAnsi="Times New Roman" w:cs="Times New Roman"/>
                <w:color w:val="auto"/>
              </w:rPr>
              <w:t>发展方向：</w:t>
            </w:r>
            <w:r>
              <w:rPr>
                <w:rFonts w:hint="default" w:ascii="Times New Roman" w:hAnsi="Times New Roman" w:cs="Times New Roman"/>
                <w:color w:val="auto"/>
              </w:rPr>
              <mc:AlternateContent>
                <mc:Choice Requires="wps">
                  <w:drawing>
                    <wp:anchor distT="0" distB="0" distL="114300" distR="114300" simplePos="0" relativeHeight="251660288" behindDoc="0" locked="0" layoutInCell="1" allowOverlap="1">
                      <wp:simplePos x="0" y="0"/>
                      <wp:positionH relativeFrom="column">
                        <wp:posOffset>8934450</wp:posOffset>
                      </wp:positionH>
                      <wp:positionV relativeFrom="paragraph">
                        <wp:posOffset>2324100</wp:posOffset>
                      </wp:positionV>
                      <wp:extent cx="2084705" cy="891540"/>
                      <wp:effectExtent l="0" t="0" r="10795" b="3810"/>
                      <wp:wrapNone/>
                      <wp:docPr id="14" name="矩形 6"/>
                      <wp:cNvGraphicFramePr/>
                      <a:graphic xmlns:a="http://schemas.openxmlformats.org/drawingml/2006/main">
                        <a:graphicData uri="http://schemas.microsoft.com/office/word/2010/wordprocessingShape">
                          <wps:wsp>
                            <wps:cNvSpPr/>
                            <wps:spPr>
                              <a:xfrm>
                                <a:off x="0" y="0"/>
                                <a:ext cx="2084705" cy="891540"/>
                              </a:xfrm>
                              <a:prstGeom prst="rect">
                                <a:avLst/>
                              </a:prstGeom>
                              <a:solidFill>
                                <a:srgbClr val="FFFFFF"/>
                              </a:solidFill>
                              <a:ln>
                                <a:noFill/>
                              </a:ln>
                            </wps:spPr>
                            <wps:txbx>
                              <w:txbxContent>
                                <w:p w14:paraId="4525C0BF">
                                  <w:pPr>
                                    <w:ind w:firstLine="480"/>
                                    <w:rPr>
                                      <w:rFonts w:hint="eastAsia"/>
                                    </w:rPr>
                                  </w:pPr>
                                  <w:r>
                                    <w:rPr>
                                      <w:rFonts w:hint="eastAsia"/>
                                    </w:rPr>
                                    <w:t>生物多样性维护型生态功能区主要是濒危珍惜动植物分布较集中、具有典型代表性生态系统的区域。</w:t>
                                  </w:r>
                                </w:p>
                              </w:txbxContent>
                            </wps:txbx>
                            <wps:bodyPr wrap="square" upright="1"/>
                          </wps:wsp>
                        </a:graphicData>
                      </a:graphic>
                    </wp:anchor>
                  </w:drawing>
                </mc:Choice>
                <mc:Fallback>
                  <w:pict>
                    <v:rect id="矩形 6" o:spid="_x0000_s1026" o:spt="1" style="position:absolute;left:0pt;margin-left:703.5pt;margin-top:183pt;height:70.2pt;width:164.15pt;z-index:251660288;mso-width-relative:page;mso-height-relative:page;" fillcolor="#FFFFFF" filled="t" stroked="f" coordsize="21600,21600" o:gfxdata="UEsDBAoAAAAAAIdO4kAAAAAAAAAAAAAAAAAEAAAAZHJzL1BLAwQUAAAACACHTuJAj3IFMNkAAAAN&#10;AQAADwAAAGRycy9kb3ducmV2LnhtbE2PwU7DMBBE70j8g7VI3KhdkroQ4vSA1BNwoEXiuo23SUS8&#10;DrHThr/HPcFtRzuaeVNuZteLE42h82xguVAgiGtvO24MfOy3dw8gQkS22HsmAz8UYFNdX5VYWH/m&#10;dzrtYiNSCIcCDbQxDoWUoW7JYVj4gTj9jn50GJMcG2lHPKdw18t7pbR02HFqaHGg55bqr93kDKDO&#10;7ffbMXvdv0waH5tZbVefypjbm6V6AhFpjn9muOAndKgS08FPbIPok87VOo2JBjKt03GxrLNVBuJg&#10;YKV0DrIq5f8V1S9QSwMEFAAAAAgAh07iQGo/DRrEAQAAeQMAAA4AAABkcnMvZTJvRG9jLnhtbK1T&#10;zW7bMAy+D9g7CLovdoK0y4I4PSzILsNWoOsDKLJsC9DfSCV2nmbAbnuIPc6w1xgle+nWXnqoDzYp&#10;kh/5fZQ3N4M17KQAtXcVn89KzpSTvtaurfj9l/2bFWcYhauF8U5V/KyQ32xfv9r0Ya0WvvOmVsAI&#10;xOG6DxXvYgzrokDZKStw5oNyFGw8WBHJhbaoQfSEbk2xKMvrovdQB/BSIdLpbgzyCRGeA+ibRku1&#10;8/JolYsjKigjIlHCTgfk2zxt0ygZPzcNqshMxYlpzG9qQvYhvYvtRqxbEKHTchpBPGeER5ys0I6a&#10;XqB2Igp2BP0EymoJHn0TZ9LbYiSSFSEW8/KRNnedCCpzIakxXETHl4OVn063wHRNN2HJmROWNv77&#10;249fP7+z6yROH3BNOXfhFiYPyUxMhwZs+hIHNmRBzxdB1RCZpMNFuVq+La84kxRbvZtfLbPixUN1&#10;AIwflLcsGRUHWljWUZw+YqSOlPo3JTVDb3S918ZkB9rDewPsJGi5+/ykkankvzTjUrLzqWwMp5Mi&#10;MRu5JCsOh2EiePD1mTTp6VJUHL8eBSjOjgF029GE89wildBGcrPp9qSV/+vnFg9/zPY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3IFMNkAAAANAQAADwAAAAAAAAABACAAAAAiAAAAZHJzL2Rvd25y&#10;ZXYueG1sUEsBAhQAFAAAAAgAh07iQGo/DRrEAQAAeQMAAA4AAAAAAAAAAQAgAAAAKAEAAGRycy9l&#10;Mm9Eb2MueG1sUEsFBgAAAAAGAAYAWQEAAF4FAAAAAA==&#10;">
                      <v:fill on="t" focussize="0,0"/>
                      <v:stroke on="f"/>
                      <v:imagedata o:title=""/>
                      <o:lock v:ext="edit" aspectratio="f"/>
                      <v:textbox>
                        <w:txbxContent>
                          <w:p w14:paraId="4525C0BF">
                            <w:pPr>
                              <w:ind w:firstLine="480"/>
                              <w:rPr>
                                <w:rFonts w:hint="eastAsia"/>
                              </w:rPr>
                            </w:pPr>
                            <w:r>
                              <w:rPr>
                                <w:rFonts w:hint="eastAsia"/>
                              </w:rPr>
                              <w:t>生物多样性维护型生态功能区主要是濒危珍惜动植物分布较集中、具有典型代表性生态系统的区域。</w:t>
                            </w:r>
                          </w:p>
                        </w:txbxContent>
                      </v:textbox>
                    </v:rect>
                  </w:pict>
                </mc:Fallback>
              </mc:AlternateContent>
            </w:r>
            <w:r>
              <w:rPr>
                <w:rFonts w:hint="default" w:ascii="Times New Roman" w:hAnsi="Times New Roman" w:cs="Times New Roman"/>
                <w:color w:val="auto"/>
              </w:rPr>
              <w:t>生物多样性维护型生态功能区禁止对野生动植物进行滥捕滥采，保持和恢复野生动植物物种和种群的平衡，实现野生动植物资源的良性循环和永续利用；加强防御外来物种入侵的能力，防止外来有害物种对生态系统的侵害；保护自然生态系统与重要物种栖息地，防止生态建设导致栖息环境的改变；扩大保护范围，降低城市建设强度，改善水</w:t>
            </w:r>
            <w:r>
              <w:rPr>
                <w:rFonts w:hint="default" w:ascii="Times New Roman" w:hAnsi="Times New Roman" w:cs="Times New Roman"/>
                <w:color w:val="auto"/>
                <w:highlight w:val="none"/>
              </w:rPr>
              <w:t>域及湿地环境。</w:t>
            </w:r>
          </w:p>
          <w:p w14:paraId="1C9C49A9">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本项目属于《国家公路网规划》中提到的国道，</w:t>
            </w:r>
            <w:r>
              <w:rPr>
                <w:rFonts w:hint="default" w:ascii="Times New Roman" w:hAnsi="Times New Roman" w:cs="Times New Roman"/>
                <w:color w:val="auto"/>
                <w:highlight w:val="none"/>
                <w:lang w:val="en-US" w:eastAsia="zh-CN"/>
              </w:rPr>
              <w:t>工程对现有</w:t>
            </w:r>
            <w:r>
              <w:rPr>
                <w:rFonts w:hint="default" w:ascii="Times New Roman" w:hAnsi="Times New Roman" w:cs="Times New Roman"/>
                <w:color w:val="auto"/>
                <w:highlight w:val="none"/>
              </w:rPr>
              <w:t>公路</w:t>
            </w:r>
            <w:r>
              <w:rPr>
                <w:rFonts w:hint="default" w:ascii="Times New Roman" w:hAnsi="Times New Roman" w:cs="Times New Roman"/>
                <w:color w:val="auto"/>
                <w:highlight w:val="none"/>
                <w:lang w:val="en-US" w:eastAsia="zh-CN"/>
              </w:rPr>
              <w:t>路面进行改造</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不新增永久占地，施工过程</w:t>
            </w:r>
            <w:r>
              <w:rPr>
                <w:rFonts w:hint="default" w:ascii="Times New Roman" w:hAnsi="Times New Roman" w:cs="Times New Roman"/>
                <w:color w:val="auto"/>
                <w:highlight w:val="none"/>
              </w:rPr>
              <w:t>中通过采取严格控制路基施工作业面，避免超挖破坏周围植被、严禁非法捕猎等生态保护措施，对野生动植物产生的影响不大，沿线做好公路的水土保持工作，减少水土流失，因此，本工程的建设符合《黑龙江省主体功能区规划》的要求。</w:t>
            </w:r>
          </w:p>
          <w:p w14:paraId="516D4ADE">
            <w:pPr>
              <w:pStyle w:val="76"/>
              <w:rPr>
                <w:rFonts w:hint="default" w:ascii="Times New Roman" w:hAnsi="Times New Roman" w:cs="Times New Roman"/>
                <w:color w:val="auto"/>
              </w:rPr>
            </w:pPr>
          </w:p>
          <w:p w14:paraId="0E7F707A">
            <w:pPr>
              <w:pStyle w:val="76"/>
              <w:rPr>
                <w:rFonts w:hint="default" w:ascii="Times New Roman" w:hAnsi="Times New Roman" w:cs="Times New Roman"/>
                <w:color w:val="auto"/>
              </w:rPr>
            </w:pPr>
          </w:p>
          <w:p w14:paraId="2CAA5974">
            <w:pPr>
              <w:pStyle w:val="76"/>
              <w:rPr>
                <w:rFonts w:hint="default" w:ascii="Times New Roman" w:hAnsi="Times New Roman" w:cs="Times New Roman"/>
                <w:color w:val="auto"/>
              </w:rPr>
            </w:pPr>
          </w:p>
          <w:p w14:paraId="73CE6056">
            <w:pPr>
              <w:pStyle w:val="76"/>
              <w:rPr>
                <w:rFonts w:hint="default" w:ascii="Times New Roman" w:hAnsi="Times New Roman" w:cs="Times New Roman"/>
                <w:color w:val="auto"/>
              </w:rPr>
            </w:pPr>
          </w:p>
          <w:p w14:paraId="6B10D0E1">
            <w:pPr>
              <w:pStyle w:val="76"/>
              <w:rPr>
                <w:rFonts w:hint="default" w:ascii="Times New Roman" w:hAnsi="Times New Roman" w:cs="Times New Roman"/>
                <w:color w:val="auto"/>
              </w:rPr>
            </w:pPr>
          </w:p>
          <w:p w14:paraId="0710BA19">
            <w:pPr>
              <w:pStyle w:val="76"/>
              <w:rPr>
                <w:rFonts w:hint="default" w:ascii="Times New Roman" w:hAnsi="Times New Roman" w:cs="Times New Roman"/>
                <w:color w:val="auto"/>
              </w:rPr>
            </w:pPr>
          </w:p>
          <w:p w14:paraId="30AE95FF">
            <w:pPr>
              <w:pStyle w:val="76"/>
              <w:rPr>
                <w:rFonts w:hint="default" w:ascii="Times New Roman" w:hAnsi="Times New Roman" w:cs="Times New Roman"/>
                <w:color w:val="auto"/>
              </w:rPr>
            </w:pPr>
          </w:p>
          <w:p w14:paraId="09DC6340">
            <w:pPr>
              <w:pStyle w:val="76"/>
              <w:rPr>
                <w:rFonts w:hint="default" w:ascii="Times New Roman" w:hAnsi="Times New Roman" w:cs="Times New Roman"/>
                <w:color w:val="auto"/>
              </w:rPr>
            </w:pPr>
          </w:p>
          <w:p w14:paraId="0893AB7C">
            <w:pPr>
              <w:pStyle w:val="76"/>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2336" behindDoc="0" locked="0" layoutInCell="1" allowOverlap="1">
                  <wp:simplePos x="0" y="0"/>
                  <wp:positionH relativeFrom="column">
                    <wp:posOffset>85090</wp:posOffset>
                  </wp:positionH>
                  <wp:positionV relativeFrom="paragraph">
                    <wp:posOffset>34290</wp:posOffset>
                  </wp:positionV>
                  <wp:extent cx="4760595" cy="3555365"/>
                  <wp:effectExtent l="0" t="0" r="1905" b="6985"/>
                  <wp:wrapNone/>
                  <wp:docPr id="3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
                          <pic:cNvPicPr>
                            <a:picLocks noChangeAspect="1"/>
                          </pic:cNvPicPr>
                        </pic:nvPicPr>
                        <pic:blipFill>
                          <a:blip r:embed="rId20"/>
                          <a:stretch>
                            <a:fillRect/>
                          </a:stretch>
                        </pic:blipFill>
                        <pic:spPr>
                          <a:xfrm>
                            <a:off x="0" y="0"/>
                            <a:ext cx="4760595" cy="3555365"/>
                          </a:xfrm>
                          <a:prstGeom prst="rect">
                            <a:avLst/>
                          </a:prstGeom>
                          <a:noFill/>
                          <a:ln>
                            <a:noFill/>
                          </a:ln>
                        </pic:spPr>
                      </pic:pic>
                    </a:graphicData>
                  </a:graphic>
                </wp:anchor>
              </w:drawing>
            </w:r>
          </w:p>
          <w:p w14:paraId="5882A6A7">
            <w:pPr>
              <w:pStyle w:val="76"/>
              <w:rPr>
                <w:rFonts w:hint="default" w:ascii="Times New Roman" w:hAnsi="Times New Roman" w:cs="Times New Roman"/>
                <w:color w:val="auto"/>
              </w:rPr>
            </w:pPr>
          </w:p>
          <w:p w14:paraId="6628E55E">
            <w:pPr>
              <w:pStyle w:val="76"/>
              <w:rPr>
                <w:rFonts w:hint="default" w:ascii="Times New Roman" w:hAnsi="Times New Roman" w:cs="Times New Roman"/>
                <w:color w:val="auto"/>
              </w:rPr>
            </w:pPr>
          </w:p>
          <w:p w14:paraId="46B8D948">
            <w:pPr>
              <w:pStyle w:val="76"/>
              <w:rPr>
                <w:rFonts w:hint="default" w:ascii="Times New Roman" w:hAnsi="Times New Roman" w:cs="Times New Roman"/>
                <w:color w:val="auto"/>
              </w:rPr>
            </w:pPr>
          </w:p>
          <w:p w14:paraId="0400342B">
            <w:pPr>
              <w:pStyle w:val="76"/>
              <w:rPr>
                <w:rFonts w:hint="default" w:ascii="Times New Roman" w:hAnsi="Times New Roman" w:cs="Times New Roman"/>
                <w:color w:val="auto"/>
              </w:rPr>
            </w:pPr>
          </w:p>
          <w:p w14:paraId="7A882A73">
            <w:pPr>
              <w:pStyle w:val="76"/>
              <w:rPr>
                <w:rFonts w:hint="default" w:ascii="Times New Roman" w:hAnsi="Times New Roman" w:cs="Times New Roman"/>
                <w:color w:val="auto"/>
              </w:rPr>
            </w:pPr>
          </w:p>
          <w:p w14:paraId="29561765">
            <w:pPr>
              <w:pStyle w:val="76"/>
              <w:rPr>
                <w:rFonts w:hint="default" w:ascii="Times New Roman" w:hAnsi="Times New Roman" w:cs="Times New Roman"/>
                <w:color w:val="auto"/>
              </w:rPr>
            </w:pPr>
          </w:p>
          <w:p w14:paraId="7273A49E">
            <w:pPr>
              <w:pStyle w:val="76"/>
              <w:rPr>
                <w:rFonts w:hint="default" w:ascii="Times New Roman" w:hAnsi="Times New Roman" w:cs="Times New Roman"/>
                <w:color w:val="auto"/>
              </w:rPr>
            </w:pPr>
            <w:r>
              <w:rPr>
                <w:rFonts w:hint="default" w:ascii="Times New Roman" w:hAnsi="Times New Roman" w:cs="Times New Roman"/>
                <w:color w:val="auto"/>
              </w:rPr>
              <mc:AlternateContent>
                <mc:Choice Requires="wps">
                  <w:drawing>
                    <wp:anchor distT="0" distB="0" distL="114300" distR="114300" simplePos="0" relativeHeight="251663360" behindDoc="0" locked="0" layoutInCell="1" allowOverlap="1">
                      <wp:simplePos x="0" y="0"/>
                      <wp:positionH relativeFrom="column">
                        <wp:posOffset>2253615</wp:posOffset>
                      </wp:positionH>
                      <wp:positionV relativeFrom="paragraph">
                        <wp:posOffset>151130</wp:posOffset>
                      </wp:positionV>
                      <wp:extent cx="681355" cy="267970"/>
                      <wp:effectExtent l="4445" t="4445" r="400050" b="146685"/>
                      <wp:wrapNone/>
                      <wp:docPr id="352" name="矩形标注 352"/>
                      <wp:cNvGraphicFramePr/>
                      <a:graphic xmlns:a="http://schemas.openxmlformats.org/drawingml/2006/main">
                        <a:graphicData uri="http://schemas.microsoft.com/office/word/2010/wordprocessingShape">
                          <wps:wsp>
                            <wps:cNvSpPr/>
                            <wps:spPr>
                              <a:xfrm>
                                <a:off x="0" y="0"/>
                                <a:ext cx="681355" cy="267970"/>
                              </a:xfrm>
                              <a:prstGeom prst="wedgeRectCallout">
                                <a:avLst>
                                  <a:gd name="adj1" fmla="val 101028"/>
                                  <a:gd name="adj2" fmla="val 92222"/>
                                </a:avLst>
                              </a:prstGeom>
                              <a:solidFill>
                                <a:srgbClr val="FFFFFF"/>
                              </a:solidFill>
                              <a:ln w="9525" cap="flat" cmpd="sng">
                                <a:solidFill>
                                  <a:srgbClr val="FF0000"/>
                                </a:solidFill>
                                <a:prstDash val="solid"/>
                                <a:miter/>
                                <a:headEnd type="none" w="med" len="med"/>
                                <a:tailEnd type="none" w="med" len="med"/>
                              </a:ln>
                            </wps:spPr>
                            <wps:txbx>
                              <w:txbxContent>
                                <w:p w14:paraId="7E5783DA">
                                  <w:pPr>
                                    <w:spacing w:line="240" w:lineRule="auto"/>
                                    <w:ind w:firstLine="0" w:firstLineChars="0"/>
                                  </w:pPr>
                                  <w:r>
                                    <w:rPr>
                                      <w:rFonts w:hint="eastAsia"/>
                                      <w:color w:val="FF0000"/>
                                    </w:rPr>
                                    <w:t>本项目</w:t>
                                  </w:r>
                                </w:p>
                              </w:txbxContent>
                            </wps:txbx>
                            <wps:bodyPr upright="1"/>
                          </wps:wsp>
                        </a:graphicData>
                      </a:graphic>
                    </wp:anchor>
                  </w:drawing>
                </mc:Choice>
                <mc:Fallback>
                  <w:pict>
                    <v:shape id="_x0000_s1026" o:spid="_x0000_s1026" o:spt="61" type="#_x0000_t61" style="position:absolute;left:0pt;margin-left:177.45pt;margin-top:11.9pt;height:21.1pt;width:53.65pt;z-index:251663360;mso-width-relative:page;mso-height-relative:page;" fillcolor="#FFFFFF" filled="t" stroked="t" coordsize="21600,21600" o:gfxdata="UEsDBAoAAAAAAIdO4kAAAAAAAAAAAAAAAAAEAAAAZHJzL1BLAwQUAAAACACHTuJANzu3c9oAAAAJ&#10;AQAADwAAAGRycy9kb3ducmV2LnhtbE2Py07DMBBF90j8gzVIbBC1k5YAIZNKVOoCdrQVEjs3HpJQ&#10;P6LYfdCvZ1jBcjRH955bzU/OigONsQ8eIZsoEOSbYHrfImzWy9sHEDFpb7QNnhC+KcK8vryodGnC&#10;0b/RYZVawSE+lhqhS2kopYxNR07HSRjI8+8zjE4nPsdWmlEfOdxZmStVSKd7zw2dHmjRUbNb7R1C&#10;s/5wrzfqfaTl2W6ed9l58XL/hXh9laknEIlO6Q+GX31Wh5qdtmHvTRQWYXo3e2QUIZ/yBAZmRZ6D&#10;2CIUhQJZV/L/gvoHUEsDBBQAAAAIAIdO4kCMUBbxOAIAAJAEAAAOAAAAZHJzL2Uyb0RvYy54bWyt&#10;VE1y0zAU3jPDHTTaE8fuJG0ycbpoCBsGOhQOoEiyLUZ/IymxcwKOAcMK1l1zHMo1eJJN0hQWWaCF&#10;8yQ9fXrf9+llcd0piXbceWF0ifPRGCOuqWFC1yX+8H794gojH4hmRBrNS7znHl8vnz9btHbOC9MY&#10;ybhDAKL9vLUlbkKw8yzztOGK+JGxXMNmZZwiAaauzpgjLaArmRXj8TRrjWPWGcq9h9VVv4kHRHcO&#10;oKkqQfnK0K3iOvSojksSgJJvhPV4maqtKk7D26ryPCBZYmAa0hcugXgTv9lyQea1I7YRdCiBnFPC&#10;E06KCA2XHqBWJBC0deIvKCWoM95UYUSNynoiSRFgkY+faHPXEMsTF5Da24Po/v/B0je7W4cEK/HF&#10;pMBIEwWW//r8/eePrw9fPj3cf0NxHVRqrZ9D8p29dcPMQxgpd5VT8RfIoC4puz8oy7uAKCxOr/KL&#10;yQQjClvF9HJ2mZTPjoet8+EVNwrFoMQtZzV/B+7dECnNNiRtye61D0lkNhRK2Mcco0pJ8GxHJMpB&#10;w+JqMPVREjA7Js0KGDEHrh8gIfpTQMT3Rgq2FlKmias3N9IhwC/xOo3h8Ema1Kgt8WxSRJYE+qKC&#10;9wihsqCt13VicHLCnwKPYfwLOBa2Ir7pC0gIPUElAnfp/TacsJeaobC34J6GtsWxGMUZRpJDl8co&#10;ZQYi5DmZIIjUoFB0vfc5RqHbdIP5G8P28HC21om6AcPyVHpMgoeapB2aKnbC43kCPf6RLH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Nzu3c9oAAAAJAQAADwAAAAAAAAABACAAAAAiAAAAZHJzL2Rv&#10;d25yZXYueG1sUEsBAhQAFAAAAAgAh07iQIxQFvE4AgAAkAQAAA4AAAAAAAAAAQAgAAAAKQEAAGRy&#10;cy9lMm9Eb2MueG1sUEsFBgAAAAAGAAYAWQEAANMFAAAAAA==&#10;" adj="32622,30720">
                      <v:fill on="t" focussize="0,0"/>
                      <v:stroke color="#FF0000" joinstyle="miter"/>
                      <v:imagedata o:title=""/>
                      <o:lock v:ext="edit" aspectratio="f"/>
                      <v:textbox>
                        <w:txbxContent>
                          <w:p w14:paraId="7E5783DA">
                            <w:pPr>
                              <w:spacing w:line="240" w:lineRule="auto"/>
                              <w:ind w:firstLine="0" w:firstLineChars="0"/>
                            </w:pPr>
                            <w:r>
                              <w:rPr>
                                <w:rFonts w:hint="eastAsia"/>
                                <w:color w:val="FF0000"/>
                              </w:rPr>
                              <w:t>本项目</w:t>
                            </w:r>
                          </w:p>
                        </w:txbxContent>
                      </v:textbox>
                    </v:shape>
                  </w:pict>
                </mc:Fallback>
              </mc:AlternateContent>
            </w:r>
          </w:p>
          <w:p w14:paraId="2399E0F5">
            <w:pPr>
              <w:pStyle w:val="76"/>
              <w:rPr>
                <w:rFonts w:hint="default" w:ascii="Times New Roman" w:hAnsi="Times New Roman" w:cs="Times New Roman"/>
                <w:color w:val="auto"/>
              </w:rPr>
            </w:pPr>
          </w:p>
          <w:p w14:paraId="4F4E7AEB">
            <w:pPr>
              <w:pStyle w:val="76"/>
              <w:rPr>
                <w:rFonts w:hint="default" w:ascii="Times New Roman" w:hAnsi="Times New Roman" w:cs="Times New Roman"/>
                <w:color w:val="auto"/>
              </w:rPr>
            </w:pPr>
          </w:p>
          <w:p w14:paraId="0C1F74A6">
            <w:pPr>
              <w:pStyle w:val="76"/>
              <w:rPr>
                <w:rFonts w:hint="default" w:ascii="Times New Roman" w:hAnsi="Times New Roman" w:cs="Times New Roman"/>
                <w:color w:val="auto"/>
              </w:rPr>
            </w:pPr>
          </w:p>
          <w:p w14:paraId="7D3CE828">
            <w:pPr>
              <w:spacing w:line="240" w:lineRule="auto"/>
              <w:ind w:firstLine="0" w:firstLineChars="0"/>
              <w:jc w:val="center"/>
              <w:rPr>
                <w:rFonts w:hint="default" w:ascii="Times New Roman" w:hAnsi="Times New Roman" w:cs="Times New Roman"/>
                <w:b/>
                <w:snapToGrid w:val="0"/>
                <w:color w:val="auto"/>
                <w:kern w:val="0"/>
              </w:rPr>
            </w:pPr>
          </w:p>
          <w:p w14:paraId="1111B660">
            <w:pPr>
              <w:spacing w:line="360" w:lineRule="auto"/>
              <w:ind w:firstLine="0" w:firstLineChars="0"/>
              <w:jc w:val="center"/>
              <w:rPr>
                <w:rFonts w:hint="default" w:ascii="Times New Roman" w:hAnsi="Times New Roman" w:cs="Times New Roman"/>
                <w:b/>
                <w:snapToGrid w:val="0"/>
                <w:color w:val="auto"/>
                <w:kern w:val="0"/>
              </w:rPr>
            </w:pPr>
            <w:r>
              <w:rPr>
                <w:rFonts w:hint="default" w:ascii="Times New Roman" w:hAnsi="Times New Roman" w:cs="Times New Roman"/>
                <w:b/>
                <w:snapToGrid w:val="0"/>
                <w:color w:val="auto"/>
                <w:kern w:val="0"/>
              </w:rPr>
              <w:t>图3-1  主体功能区分布图</w:t>
            </w:r>
          </w:p>
          <w:p w14:paraId="0A0B9285">
            <w:pPr>
              <w:pStyle w:val="76"/>
              <w:rPr>
                <w:rFonts w:hint="default" w:ascii="Times New Roman" w:hAnsi="Times New Roman" w:cs="Times New Roman"/>
                <w:color w:val="auto"/>
              </w:rPr>
            </w:pPr>
            <w:r>
              <w:rPr>
                <w:rFonts w:hint="default" w:ascii="Times New Roman" w:hAnsi="Times New Roman" w:cs="Times New Roman"/>
                <w:color w:val="auto"/>
              </w:rPr>
              <w:t>（2）生态功能区划</w:t>
            </w:r>
          </w:p>
          <w:p w14:paraId="4734FCC3">
            <w:pPr>
              <w:ind w:firstLine="420"/>
              <w:rPr>
                <w:rFonts w:hint="default" w:ascii="Times New Roman" w:hAnsi="Times New Roman" w:cs="Times New Roman"/>
                <w:color w:val="auto"/>
              </w:rPr>
            </w:pPr>
            <w:r>
              <w:rPr>
                <w:rFonts w:hint="default" w:ascii="Times New Roman" w:hAnsi="Times New Roman" w:cs="Times New Roman"/>
                <w:color w:val="auto"/>
              </w:rPr>
              <w:t>根据《黑龙江省生态功能区划》，本项目所处区域属于的生态功能区如下表所示。</w:t>
            </w:r>
          </w:p>
          <w:p w14:paraId="47E2117B">
            <w:pPr>
              <w:ind w:firstLine="422"/>
              <w:jc w:val="center"/>
              <w:rPr>
                <w:rFonts w:hint="default" w:ascii="Times New Roman" w:hAnsi="Times New Roman" w:cs="Times New Roman"/>
                <w:b/>
                <w:bCs/>
                <w:color w:val="auto"/>
              </w:rPr>
            </w:pPr>
            <w:r>
              <w:rPr>
                <w:rFonts w:hint="default" w:ascii="Times New Roman" w:hAnsi="Times New Roman" w:cs="Times New Roman"/>
                <w:b/>
                <w:bCs/>
                <w:color w:val="auto"/>
              </w:rPr>
              <w:t>表3-1  生态功能区划及保护对策</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61"/>
              <w:gridCol w:w="689"/>
              <w:gridCol w:w="888"/>
              <w:gridCol w:w="725"/>
              <w:gridCol w:w="1249"/>
              <w:gridCol w:w="1201"/>
              <w:gridCol w:w="1064"/>
              <w:gridCol w:w="1291"/>
            </w:tblGrid>
            <w:tr w14:paraId="5EA1AA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39" w:type="pct"/>
                  <w:gridSpan w:val="3"/>
                  <w:vAlign w:val="center"/>
                </w:tcPr>
                <w:p w14:paraId="3B31A730">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生态功能分区单元</w:t>
                  </w:r>
                </w:p>
              </w:tc>
              <w:tc>
                <w:tcPr>
                  <w:tcW w:w="466" w:type="pct"/>
                  <w:vMerge w:val="restart"/>
                  <w:vAlign w:val="center"/>
                </w:tcPr>
                <w:p w14:paraId="6F0AFBDB">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所在区域面积</w:t>
                  </w:r>
                </w:p>
              </w:tc>
              <w:tc>
                <w:tcPr>
                  <w:tcW w:w="804" w:type="pct"/>
                  <w:vMerge w:val="restart"/>
                  <w:vAlign w:val="center"/>
                </w:tcPr>
                <w:p w14:paraId="6109F83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主要生态环境问题</w:t>
                  </w:r>
                </w:p>
              </w:tc>
              <w:tc>
                <w:tcPr>
                  <w:tcW w:w="773" w:type="pct"/>
                  <w:vMerge w:val="restart"/>
                  <w:vAlign w:val="center"/>
                </w:tcPr>
                <w:p w14:paraId="684983A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生态环境敏感性</w:t>
                  </w:r>
                </w:p>
              </w:tc>
              <w:tc>
                <w:tcPr>
                  <w:tcW w:w="685" w:type="pct"/>
                  <w:vMerge w:val="restart"/>
                  <w:vAlign w:val="center"/>
                </w:tcPr>
                <w:p w14:paraId="32F1CBE8">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主要生态系统服务功能</w:t>
                  </w:r>
                </w:p>
              </w:tc>
              <w:tc>
                <w:tcPr>
                  <w:tcW w:w="831" w:type="pct"/>
                  <w:vMerge w:val="restart"/>
                  <w:vAlign w:val="center"/>
                </w:tcPr>
                <w:p w14:paraId="18CAADF2">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保护措施与</w:t>
                  </w:r>
                </w:p>
                <w:p w14:paraId="6AE385D9">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发展方向</w:t>
                  </w:r>
                </w:p>
              </w:tc>
            </w:tr>
            <w:tr w14:paraId="4EE5F9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7F03FBE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生态区</w:t>
                  </w:r>
                </w:p>
              </w:tc>
              <w:tc>
                <w:tcPr>
                  <w:tcW w:w="443" w:type="pct"/>
                  <w:vAlign w:val="center"/>
                </w:tcPr>
                <w:p w14:paraId="57A65054">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生态亚区</w:t>
                  </w:r>
                </w:p>
              </w:tc>
              <w:tc>
                <w:tcPr>
                  <w:tcW w:w="571" w:type="pct"/>
                  <w:vAlign w:val="center"/>
                </w:tcPr>
                <w:p w14:paraId="2F6B4DC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生态</w:t>
                  </w:r>
                </w:p>
                <w:p w14:paraId="3E1D773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功能区</w:t>
                  </w:r>
                </w:p>
              </w:tc>
              <w:tc>
                <w:tcPr>
                  <w:tcW w:w="466" w:type="pct"/>
                  <w:vMerge w:val="continue"/>
                  <w:vAlign w:val="center"/>
                </w:tcPr>
                <w:p w14:paraId="359DEC98">
                  <w:pPr>
                    <w:pStyle w:val="93"/>
                    <w:spacing w:before="0" w:after="0"/>
                    <w:rPr>
                      <w:rFonts w:hint="default" w:ascii="Times New Roman" w:hAnsi="Times New Roman" w:cs="Times New Roman"/>
                      <w:color w:val="auto"/>
                      <w:szCs w:val="21"/>
                    </w:rPr>
                  </w:pPr>
                </w:p>
              </w:tc>
              <w:tc>
                <w:tcPr>
                  <w:tcW w:w="804" w:type="pct"/>
                  <w:vMerge w:val="continue"/>
                  <w:vAlign w:val="center"/>
                </w:tcPr>
                <w:p w14:paraId="3224C948">
                  <w:pPr>
                    <w:pStyle w:val="93"/>
                    <w:spacing w:before="0" w:after="0"/>
                    <w:rPr>
                      <w:rFonts w:hint="default" w:ascii="Times New Roman" w:hAnsi="Times New Roman" w:cs="Times New Roman"/>
                      <w:color w:val="auto"/>
                      <w:szCs w:val="21"/>
                    </w:rPr>
                  </w:pPr>
                </w:p>
              </w:tc>
              <w:tc>
                <w:tcPr>
                  <w:tcW w:w="773" w:type="pct"/>
                  <w:vMerge w:val="continue"/>
                  <w:vAlign w:val="center"/>
                </w:tcPr>
                <w:p w14:paraId="3341CEA6">
                  <w:pPr>
                    <w:pStyle w:val="93"/>
                    <w:spacing w:before="0" w:after="0"/>
                    <w:rPr>
                      <w:rFonts w:hint="default" w:ascii="Times New Roman" w:hAnsi="Times New Roman" w:cs="Times New Roman"/>
                      <w:color w:val="auto"/>
                      <w:szCs w:val="21"/>
                    </w:rPr>
                  </w:pPr>
                </w:p>
              </w:tc>
              <w:tc>
                <w:tcPr>
                  <w:tcW w:w="685" w:type="pct"/>
                  <w:vMerge w:val="continue"/>
                  <w:vAlign w:val="center"/>
                </w:tcPr>
                <w:p w14:paraId="4E490E96">
                  <w:pPr>
                    <w:pStyle w:val="93"/>
                    <w:spacing w:before="0" w:after="0"/>
                    <w:rPr>
                      <w:rFonts w:hint="default" w:ascii="Times New Roman" w:hAnsi="Times New Roman" w:cs="Times New Roman"/>
                      <w:color w:val="auto"/>
                      <w:szCs w:val="21"/>
                    </w:rPr>
                  </w:pPr>
                </w:p>
              </w:tc>
              <w:tc>
                <w:tcPr>
                  <w:tcW w:w="831" w:type="pct"/>
                  <w:vMerge w:val="continue"/>
                  <w:vAlign w:val="center"/>
                </w:tcPr>
                <w:p w14:paraId="4E04082F">
                  <w:pPr>
                    <w:pStyle w:val="93"/>
                    <w:spacing w:before="0" w:after="0"/>
                    <w:rPr>
                      <w:rFonts w:hint="default" w:ascii="Times New Roman" w:hAnsi="Times New Roman" w:cs="Times New Roman"/>
                      <w:color w:val="auto"/>
                      <w:szCs w:val="21"/>
                    </w:rPr>
                  </w:pPr>
                </w:p>
              </w:tc>
            </w:tr>
            <w:tr w14:paraId="382376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5" w:type="pct"/>
                  <w:vAlign w:val="center"/>
                </w:tcPr>
                <w:p w14:paraId="5759ED0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I-3 三江平原农业与湿地生态区</w:t>
                  </w:r>
                </w:p>
              </w:tc>
              <w:tc>
                <w:tcPr>
                  <w:tcW w:w="443" w:type="pct"/>
                  <w:vAlign w:val="center"/>
                </w:tcPr>
                <w:p w14:paraId="5498509D">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I-3-3 兴凯平原农业与湿地生态亚区</w:t>
                  </w:r>
                </w:p>
              </w:tc>
              <w:tc>
                <w:tcPr>
                  <w:tcW w:w="571" w:type="pct"/>
                  <w:vAlign w:val="center"/>
                </w:tcPr>
                <w:p w14:paraId="4A86A387">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 xml:space="preserve">I-3-3-2 兴凯湖农、牧、渔业与湿地及生物多样性保护生态功能区 </w:t>
                  </w:r>
                </w:p>
              </w:tc>
              <w:tc>
                <w:tcPr>
                  <w:tcW w:w="466" w:type="pct"/>
                  <w:vAlign w:val="center"/>
                </w:tcPr>
                <w:p w14:paraId="6B50C5E5">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密山市</w:t>
                  </w:r>
                  <w:r>
                    <w:rPr>
                      <w:rFonts w:hint="default" w:ascii="Times New Roman" w:hAnsi="Times New Roman" w:cs="Times New Roman"/>
                      <w:color w:val="auto"/>
                      <w:szCs w:val="21"/>
                      <w:lang w:eastAsia="zh-CN"/>
                    </w:rPr>
                    <w:t>，</w:t>
                  </w:r>
                  <w:r>
                    <w:rPr>
                      <w:rFonts w:hint="default" w:ascii="Times New Roman" w:hAnsi="Times New Roman" w:cs="Times New Roman"/>
                      <w:color w:val="auto"/>
                      <w:szCs w:val="21"/>
                    </w:rPr>
                    <w:t>面积7843平方公里</w:t>
                  </w:r>
                </w:p>
              </w:tc>
              <w:tc>
                <w:tcPr>
                  <w:tcW w:w="804" w:type="pct"/>
                  <w:vAlign w:val="center"/>
                </w:tcPr>
                <w:p w14:paraId="1AD9C176">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湖泊水体有潜在富营养化的</w:t>
                  </w:r>
                </w:p>
                <w:p w14:paraId="0F25C3B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趋势</w:t>
                  </w:r>
                  <w:r>
                    <w:rPr>
                      <w:rFonts w:hint="default" w:ascii="Times New Roman" w:hAnsi="Times New Roman" w:cs="Times New Roman"/>
                      <w:color w:val="auto"/>
                      <w:szCs w:val="21"/>
                      <w:lang w:eastAsia="zh-CN"/>
                    </w:rPr>
                    <w:t>；</w:t>
                  </w:r>
                  <w:r>
                    <w:rPr>
                      <w:rFonts w:hint="default" w:ascii="Times New Roman" w:hAnsi="Times New Roman" w:cs="Times New Roman"/>
                      <w:color w:val="auto"/>
                      <w:szCs w:val="21"/>
                    </w:rPr>
                    <w:t>湿地保</w:t>
                  </w:r>
                  <w:r>
                    <w:rPr>
                      <w:rFonts w:hint="default" w:ascii="Times New Roman" w:hAnsi="Times New Roman" w:cs="Times New Roman"/>
                      <w:color w:val="auto"/>
                      <w:szCs w:val="21"/>
                      <w:lang w:val="en-US" w:eastAsia="zh-CN"/>
                    </w:rPr>
                    <w:t>护</w:t>
                  </w:r>
                  <w:r>
                    <w:rPr>
                      <w:rFonts w:hint="default" w:ascii="Times New Roman" w:hAnsi="Times New Roman" w:cs="Times New Roman"/>
                      <w:color w:val="auto"/>
                      <w:szCs w:val="21"/>
                    </w:rPr>
                    <w:t>区被耕地包围，</w:t>
                  </w:r>
                </w:p>
                <w:p w14:paraId="7D86957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湿地生态功能衰退</w:t>
                  </w:r>
                </w:p>
              </w:tc>
              <w:tc>
                <w:tcPr>
                  <w:tcW w:w="773" w:type="pct"/>
                  <w:vAlign w:val="center"/>
                </w:tcPr>
                <w:p w14:paraId="5A17543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该区东南部边缘地区生物多</w:t>
                  </w:r>
                </w:p>
                <w:p w14:paraId="32FCE679">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样性敏感性为极敏感，高度敏感性地区所占面积较大</w:t>
                  </w:r>
                </w:p>
              </w:tc>
              <w:tc>
                <w:tcPr>
                  <w:tcW w:w="685" w:type="pct"/>
                  <w:vAlign w:val="center"/>
                </w:tcPr>
                <w:p w14:paraId="784B0E89">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土壤保持、生物多样性保</w:t>
                  </w:r>
                </w:p>
                <w:p w14:paraId="605EE64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护、自然人文景观保护、农牧渔生产、旅游</w:t>
                  </w:r>
                </w:p>
              </w:tc>
              <w:tc>
                <w:tcPr>
                  <w:tcW w:w="831" w:type="pct"/>
                  <w:vAlign w:val="center"/>
                </w:tcPr>
                <w:p w14:paraId="07867BE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加强保护区</w:t>
                  </w:r>
                </w:p>
                <w:p w14:paraId="61E951D2">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建设，以减少人为因素对其的影响，改善周围湿地质量。科学发</w:t>
                  </w:r>
                </w:p>
                <w:p w14:paraId="74F975A5">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展农牧渔业</w:t>
                  </w:r>
                </w:p>
              </w:tc>
            </w:tr>
          </w:tbl>
          <w:p w14:paraId="4268D852">
            <w:pPr>
              <w:ind w:firstLine="420"/>
              <w:rPr>
                <w:rFonts w:hint="default" w:ascii="Times New Roman" w:hAnsi="Times New Roman" w:cs="Times New Roman"/>
                <w:color w:val="auto"/>
              </w:rPr>
            </w:pPr>
            <w:r>
              <w:rPr>
                <w:rFonts w:hint="default" w:ascii="Times New Roman" w:hAnsi="Times New Roman" w:cs="Times New Roman"/>
                <w:color w:val="auto"/>
              </w:rPr>
              <w:t>项目做好公路沿线水土保持工作，减少水土流失，施工中合理安排工期，尽量避免和减少雨季进行</w:t>
            </w:r>
            <w:r>
              <w:rPr>
                <w:rFonts w:hint="default" w:ascii="Times New Roman" w:hAnsi="Times New Roman" w:cs="Times New Roman"/>
                <w:color w:val="auto"/>
                <w:lang w:val="en-US" w:eastAsia="zh-CN"/>
              </w:rPr>
              <w:t>施工</w:t>
            </w:r>
            <w:r>
              <w:rPr>
                <w:rFonts w:hint="default" w:ascii="Times New Roman" w:hAnsi="Times New Roman" w:cs="Times New Roman"/>
                <w:color w:val="auto"/>
              </w:rPr>
              <w:t>，严格按照设计和水保措施进行施工。因此，本工程的建设符合《黑龙江省生态功能区划》的要求。</w:t>
            </w:r>
          </w:p>
          <w:p w14:paraId="211B2A85">
            <w:pPr>
              <w:spacing w:line="240" w:lineRule="auto"/>
              <w:ind w:firstLine="0" w:firstLineChars="0"/>
              <w:jc w:val="center"/>
              <w:rPr>
                <w:rFonts w:hint="default" w:ascii="Times New Roman" w:hAnsi="Times New Roman" w:cs="Times New Roman"/>
                <w:color w:val="auto"/>
              </w:rPr>
            </w:pPr>
            <w:r>
              <w:rPr>
                <w:rFonts w:hint="default" w:ascii="Times New Roman" w:hAnsi="Times New Roman" w:cs="Times New Roman"/>
                <w:color w:val="auto"/>
              </w:rPr>
              <mc:AlternateContent>
                <mc:Choice Requires="wps">
                  <w:drawing>
                    <wp:anchor distT="0" distB="0" distL="114300" distR="114300" simplePos="0" relativeHeight="251664384" behindDoc="0" locked="0" layoutInCell="1" allowOverlap="1">
                      <wp:simplePos x="0" y="0"/>
                      <wp:positionH relativeFrom="column">
                        <wp:posOffset>2247900</wp:posOffset>
                      </wp:positionH>
                      <wp:positionV relativeFrom="paragraph">
                        <wp:posOffset>2559685</wp:posOffset>
                      </wp:positionV>
                      <wp:extent cx="674370" cy="288290"/>
                      <wp:effectExtent l="4445" t="4445" r="387985" b="145415"/>
                      <wp:wrapNone/>
                      <wp:docPr id="366" name="矩形标注 366"/>
                      <wp:cNvGraphicFramePr/>
                      <a:graphic xmlns:a="http://schemas.openxmlformats.org/drawingml/2006/main">
                        <a:graphicData uri="http://schemas.microsoft.com/office/word/2010/wordprocessingShape">
                          <wps:wsp>
                            <wps:cNvSpPr/>
                            <wps:spPr>
                              <a:xfrm>
                                <a:off x="0" y="0"/>
                                <a:ext cx="674370" cy="288290"/>
                              </a:xfrm>
                              <a:prstGeom prst="wedgeRectCallout">
                                <a:avLst>
                                  <a:gd name="adj1" fmla="val 101028"/>
                                  <a:gd name="adj2" fmla="val 92222"/>
                                </a:avLst>
                              </a:prstGeom>
                              <a:solidFill>
                                <a:srgbClr val="FFFFFF"/>
                              </a:solidFill>
                              <a:ln w="9525" cap="flat" cmpd="sng">
                                <a:solidFill>
                                  <a:srgbClr val="FF0000"/>
                                </a:solidFill>
                                <a:prstDash val="solid"/>
                                <a:miter/>
                                <a:headEnd type="none" w="med" len="med"/>
                                <a:tailEnd type="none" w="med" len="med"/>
                              </a:ln>
                            </wps:spPr>
                            <wps:txbx>
                              <w:txbxContent>
                                <w:p w14:paraId="04CF5BC7">
                                  <w:pPr>
                                    <w:spacing w:line="240" w:lineRule="auto"/>
                                    <w:ind w:firstLine="0" w:firstLineChars="0"/>
                                  </w:pPr>
                                  <w:r>
                                    <w:rPr>
                                      <w:rFonts w:hint="eastAsia"/>
                                      <w:color w:val="FF0000"/>
                                    </w:rPr>
                                    <w:t>本项目</w:t>
                                  </w:r>
                                </w:p>
                              </w:txbxContent>
                            </wps:txbx>
                            <wps:bodyPr upright="1"/>
                          </wps:wsp>
                        </a:graphicData>
                      </a:graphic>
                    </wp:anchor>
                  </w:drawing>
                </mc:Choice>
                <mc:Fallback>
                  <w:pict>
                    <v:shape id="_x0000_s1026" o:spid="_x0000_s1026" o:spt="61" type="#_x0000_t61" style="position:absolute;left:0pt;margin-left:177pt;margin-top:201.55pt;height:22.7pt;width:53.1pt;z-index:251664384;mso-width-relative:page;mso-height-relative:page;" fillcolor="#FFFFFF" filled="t" stroked="t" coordsize="21600,21600" o:gfxdata="UEsDBAoAAAAAAIdO4kAAAAAAAAAAAAAAAAAEAAAAZHJzL1BLAwQUAAAACACHTuJA1mqfntwAAAAL&#10;AQAADwAAAGRycy9kb3ducmV2LnhtbE2PzU7DMBCE70i8g7VIXBC106alCnEqUakHuNFWSNzceElC&#10;43Vkuz/06VlO5TarGc1+Uy7OrhdHDLHzpCEbKRBItbcdNRq2m9XjHERMhqzpPaGGH4ywqG5vSlNY&#10;f6J3PK5TI7iEYmE0tCkNhZSxbtGZOPIDEntfPjiT+AyNtMGcuNz1cqzUTDrTEX9ozYDLFuv9+uA0&#10;1JtP9/agPgKuLv32ZZ9dlq9P31rf32XqGUTCc7qG4Q+f0aFipp0/kI2i1zCZ5rwlacjVJAPBiXym&#10;xiB2LPL5FGRVyv8bql9QSwMEFAAAAAgAh07iQAbXhqU3AgAAkAQAAA4AAABkcnMvZTJvRG9jLnht&#10;bK1US5LTMBDdU8UdVNoTJx4mk7jizGJC2FAwxcABFEm2RelXkhI7J+AYUKxgzZrjMFyDlmwyycAi&#10;C7RwWlLrqd976iyuOyXRjjsvjC7xZDTGiGtqmNB1id+/Wz+bYeQD0YxIo3mJ99zj6+XTJ4vWFjw3&#10;jZGMOwQg2hetLXETgi2yzNOGK+JHxnINm5VxigSYujpjjrSArmSWj8fTrDWOWWco9x5WV/0mHhDd&#10;OYCmqgTlK0O3iuvQozouSQBKvhHW42Wqtqo4DW+qyvOAZImBaUhfuATiTfxmywUpakdsI+hQAjmn&#10;hEecFBEaLj1ArUggaOvEX1BKUGe8qcKIGpX1RJIiwGIyfqTNXUMsT1xAam8Povv/B0tf724dEqzE&#10;F9MpRpoosPzXp28/f3y5//zx/vtXFNdBpdb6ApLv7K0bZh7CSLmrnIq/QAZ1Sdn9QVneBURhcXr1&#10;/OIKNKewlc9m+Twpnz0cts6Hl9woFIMSt5zV/C24d0OkNNuQtCW7Vz4kkdlQKGEfJhhVSoJnOyLR&#10;BDTMZ4OpR0n5cdI8hxFz4PoBEqI/BUR8b6RgayFlmrh6cyMdAvwSr9MYDp+kSY3aEs8v80tgSaAv&#10;KniPECoL2npdJwYnJ/wp8BjGv4BjYSvim76AhNATVCJwl95vwwl7oRkKewvuaWhbHItRnGEkOXR5&#10;jFJmIEKekwmCSA0KRdd7n2MUuk03mL8xbA8PZ2udqBswbJJKj0nwUJO0Q1PFTjieJ9CHP5L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Zqn57cAAAACwEAAA8AAAAAAAAAAQAgAAAAIgAAAGRycy9k&#10;b3ducmV2LnhtbFBLAQIUABQAAAAIAIdO4kAG14alNwIAAJAEAAAOAAAAAAAAAAEAIAAAACsBAABk&#10;cnMvZTJvRG9jLnhtbFBLBQYAAAAABgAGAFkBAADUBQAAAAA=&#10;" adj="32622,30720">
                      <v:fill on="t" focussize="0,0"/>
                      <v:stroke color="#FF0000" joinstyle="miter"/>
                      <v:imagedata o:title=""/>
                      <o:lock v:ext="edit" aspectratio="f"/>
                      <v:textbox>
                        <w:txbxContent>
                          <w:p w14:paraId="04CF5BC7">
                            <w:pPr>
                              <w:spacing w:line="240" w:lineRule="auto"/>
                              <w:ind w:firstLine="0" w:firstLineChars="0"/>
                            </w:pPr>
                            <w:r>
                              <w:rPr>
                                <w:rFonts w:hint="eastAsia"/>
                                <w:color w:val="FF0000"/>
                              </w:rPr>
                              <w:t>本项目</w:t>
                            </w:r>
                          </w:p>
                        </w:txbxContent>
                      </v:textbox>
                    </v:shape>
                  </w:pict>
                </mc:Fallback>
              </mc:AlternateContent>
            </w:r>
            <w:r>
              <w:rPr>
                <w:rFonts w:hint="default" w:ascii="Times New Roman" w:hAnsi="Times New Roman" w:cs="Times New Roman"/>
                <w:color w:val="auto"/>
              </w:rPr>
              <w:drawing>
                <wp:inline distT="0" distB="0" distL="114300" distR="114300">
                  <wp:extent cx="3331845" cy="3914140"/>
                  <wp:effectExtent l="0" t="0" r="1905" b="10160"/>
                  <wp:docPr id="374" name="图片 3" descr="090b999f7035bb4a446cbcd49e6c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 descr="090b999f7035bb4a446cbcd49e6c840"/>
                          <pic:cNvPicPr>
                            <a:picLocks noChangeAspect="1"/>
                          </pic:cNvPicPr>
                        </pic:nvPicPr>
                        <pic:blipFill>
                          <a:blip r:embed="rId21"/>
                          <a:srcRect l="15430" t="16573" r="15605" b="19557"/>
                          <a:stretch>
                            <a:fillRect/>
                          </a:stretch>
                        </pic:blipFill>
                        <pic:spPr>
                          <a:xfrm>
                            <a:off x="0" y="0"/>
                            <a:ext cx="3331845" cy="3914140"/>
                          </a:xfrm>
                          <a:prstGeom prst="rect">
                            <a:avLst/>
                          </a:prstGeom>
                          <a:noFill/>
                          <a:ln>
                            <a:noFill/>
                          </a:ln>
                        </pic:spPr>
                      </pic:pic>
                    </a:graphicData>
                  </a:graphic>
                </wp:inline>
              </w:drawing>
            </w:r>
          </w:p>
          <w:p w14:paraId="6EC5E479">
            <w:pPr>
              <w:spacing w:line="240" w:lineRule="auto"/>
              <w:ind w:firstLine="0" w:firstLineChars="0"/>
              <w:jc w:val="center"/>
              <w:rPr>
                <w:rFonts w:hint="default" w:ascii="Times New Roman" w:hAnsi="Times New Roman" w:cs="Times New Roman"/>
                <w:b/>
                <w:snapToGrid w:val="0"/>
                <w:color w:val="auto"/>
                <w:kern w:val="0"/>
                <w:highlight w:val="none"/>
              </w:rPr>
            </w:pPr>
            <w:r>
              <w:rPr>
                <w:rFonts w:hint="default" w:ascii="Times New Roman" w:hAnsi="Times New Roman" w:cs="Times New Roman"/>
                <w:b/>
                <w:snapToGrid w:val="0"/>
                <w:color w:val="auto"/>
                <w:kern w:val="0"/>
                <w:highlight w:val="none"/>
              </w:rPr>
              <w:t>图3-2  黑龙江省生态功能区划图</w:t>
            </w:r>
          </w:p>
          <w:p w14:paraId="27C42A5D">
            <w:pPr>
              <w:ind w:firstLine="422"/>
              <w:rPr>
                <w:rFonts w:hint="default" w:ascii="Times New Roman" w:hAnsi="Times New Roman" w:cs="Times New Roman"/>
                <w:b w:val="0"/>
                <w:bCs w:val="0"/>
                <w:color w:val="auto"/>
                <w:highlight w:val="none"/>
              </w:rPr>
            </w:pPr>
            <w:r>
              <w:rPr>
                <w:rFonts w:hint="default" w:ascii="Times New Roman" w:hAnsi="Times New Roman" w:cs="Times New Roman"/>
                <w:b w:val="0"/>
                <w:bCs w:val="0"/>
                <w:color w:val="auto"/>
                <w:highlight w:val="none"/>
                <w:lang w:val="en-US" w:eastAsia="zh-CN"/>
              </w:rPr>
              <w:t>2</w:t>
            </w:r>
            <w:r>
              <w:rPr>
                <w:rFonts w:hint="default" w:ascii="Times New Roman" w:hAnsi="Times New Roman" w:cs="Times New Roman"/>
                <w:b w:val="0"/>
                <w:bCs w:val="0"/>
                <w:color w:val="auto"/>
                <w:highlight w:val="none"/>
              </w:rPr>
              <w:t>、生态环境现状</w:t>
            </w:r>
          </w:p>
          <w:p w14:paraId="1780175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textAlignment w:val="auto"/>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highlight w:val="none"/>
              </w:rPr>
              <w:t>本项目评价区域以农田、森林生态系统为主，评价区高植被覆盖区域植被主要为</w:t>
            </w:r>
            <w:r>
              <w:rPr>
                <w:rFonts w:hint="default" w:ascii="Times New Roman" w:hAnsi="Times New Roman" w:eastAsia="宋体" w:cs="Times New Roman"/>
                <w:color w:val="auto"/>
                <w:highlight w:val="none"/>
                <w:lang w:val="en-US" w:eastAsia="zh-CN"/>
              </w:rPr>
              <w:t>蒙古栎、山杨、白桦</w:t>
            </w:r>
            <w:r>
              <w:rPr>
                <w:rFonts w:hint="default" w:ascii="Times New Roman" w:hAnsi="Times New Roman" w:eastAsia="宋体" w:cs="Times New Roman"/>
                <w:color w:val="auto"/>
                <w:highlight w:val="none"/>
              </w:rPr>
              <w:t>等森林植被覆盖区，低植被覆盖区域为沿线建设用地以及居民集中建设用地，与人类活动密切相关，总体来说，评价区内植被覆盖度</w:t>
            </w:r>
            <w:r>
              <w:rPr>
                <w:rFonts w:hint="default" w:ascii="Times New Roman" w:hAnsi="Times New Roman" w:cs="Times New Roman"/>
                <w:color w:val="auto"/>
                <w:highlight w:val="none"/>
              </w:rPr>
              <w:t>都比较高。</w:t>
            </w:r>
            <w:r>
              <w:rPr>
                <w:rFonts w:hint="default" w:ascii="Times New Roman" w:hAnsi="Times New Roman" w:cs="Times New Roman"/>
                <w:color w:val="auto"/>
                <w:kern w:val="0"/>
                <w:sz w:val="24"/>
                <w:highlight w:val="none"/>
              </w:rPr>
              <w:t>评价区最主要的植物群落</w:t>
            </w:r>
            <w:r>
              <w:rPr>
                <w:rFonts w:hint="default" w:ascii="Times New Roman" w:hAnsi="Times New Roman" w:cs="Times New Roman"/>
                <w:color w:val="auto"/>
                <w:kern w:val="0"/>
                <w:sz w:val="24"/>
                <w:highlight w:val="none"/>
                <w:lang w:val="en-US" w:eastAsia="zh-CN"/>
              </w:rPr>
              <w:t>以蒙古栎、山杨、白桦等为主</w:t>
            </w:r>
            <w:r>
              <w:rPr>
                <w:rFonts w:hint="default" w:ascii="Times New Roman" w:hAnsi="Times New Roman" w:cs="Times New Roman"/>
                <w:color w:val="auto"/>
                <w:kern w:val="0"/>
                <w:sz w:val="24"/>
                <w:highlight w:val="none"/>
              </w:rPr>
              <w:t>，是评估区的优势乔木林物种，广泛分布的</w:t>
            </w:r>
            <w:r>
              <w:rPr>
                <w:rFonts w:hint="default" w:ascii="Times New Roman" w:hAnsi="Times New Roman" w:cs="Times New Roman"/>
                <w:color w:val="auto"/>
                <w:kern w:val="0"/>
                <w:sz w:val="24"/>
                <w:highlight w:val="none"/>
                <w:lang w:val="en-US" w:eastAsia="zh-CN"/>
              </w:rPr>
              <w:t>蒙古栎</w:t>
            </w:r>
            <w:r>
              <w:rPr>
                <w:rFonts w:hint="default" w:ascii="Times New Roman" w:hAnsi="Times New Roman" w:cs="Times New Roman"/>
                <w:color w:val="auto"/>
                <w:kern w:val="0"/>
                <w:sz w:val="24"/>
                <w:highlight w:val="none"/>
              </w:rPr>
              <w:t>在其繁茂生长时创造了透光的枯枝层以及近于中性的土壤反应等特定的林下环境，在这种特定的群落环境中，有小部分灌木的生长，灌木种类及数量都非常少。在此之下，根据不同的地理位置会生长多种多样的草本，主要是以瘤囊苔草</w:t>
            </w:r>
            <w:r>
              <w:rPr>
                <w:rFonts w:hint="default" w:ascii="Times New Roman" w:hAnsi="Times New Roman" w:cs="Times New Roman"/>
                <w:color w:val="auto"/>
                <w:kern w:val="0"/>
                <w:sz w:val="24"/>
                <w:highlight w:val="none"/>
                <w:lang w:val="en-US" w:eastAsia="zh-CN"/>
              </w:rPr>
              <w:t>等</w:t>
            </w:r>
            <w:r>
              <w:rPr>
                <w:rFonts w:hint="default" w:ascii="Times New Roman" w:hAnsi="Times New Roman" w:cs="Times New Roman"/>
                <w:color w:val="auto"/>
                <w:kern w:val="0"/>
                <w:sz w:val="24"/>
                <w:highlight w:val="none"/>
              </w:rPr>
              <w:t>为优势种的草本层。经查阅资料、实地调查及走访得知，区域内森林资源主要为天然次生林，评价区人为扰动较严重，</w:t>
            </w:r>
            <w:r>
              <w:rPr>
                <w:rFonts w:hint="default" w:ascii="Times New Roman" w:hAnsi="Times New Roman" w:cs="Times New Roman"/>
                <w:color w:val="auto"/>
                <w:kern w:val="0"/>
                <w:sz w:val="24"/>
                <w:highlight w:val="none"/>
                <w:lang w:val="en-US" w:eastAsia="zh-CN"/>
              </w:rPr>
              <w:t>主要为人工杨树林，分布于道路两侧，且有人工落叶松林和人工樟子松林分布，</w:t>
            </w:r>
            <w:r>
              <w:rPr>
                <w:rFonts w:hint="default" w:ascii="Times New Roman" w:hAnsi="Times New Roman" w:eastAsia="宋体" w:cs="Times New Roman"/>
                <w:color w:val="auto"/>
                <w:kern w:val="0"/>
                <w:sz w:val="24"/>
                <w:highlight w:val="none"/>
                <w:lang w:val="en-US" w:eastAsia="zh-CN"/>
              </w:rPr>
              <w:t>自然植被</w:t>
            </w:r>
            <w:r>
              <w:rPr>
                <w:rFonts w:hint="default" w:ascii="Times New Roman" w:hAnsi="Times New Roman" w:eastAsia="宋体" w:cs="Times New Roman"/>
                <w:color w:val="auto"/>
                <w:kern w:val="0"/>
                <w:sz w:val="24"/>
                <w:highlight w:val="none"/>
              </w:rPr>
              <w:t>区域内野生植物均为当地常见物种。区域植物物种均为本地种，不涉及外来入侵物种</w:t>
            </w:r>
            <w:r>
              <w:rPr>
                <w:rFonts w:hint="default" w:ascii="Times New Roman" w:hAnsi="Times New Roman" w:eastAsia="宋体" w:cs="Times New Roman"/>
                <w:color w:val="auto"/>
                <w:kern w:val="0"/>
                <w:sz w:val="24"/>
                <w:highlight w:val="none"/>
                <w:lang w:eastAsia="zh-CN"/>
              </w:rPr>
              <w:t>。</w:t>
            </w:r>
            <w:r>
              <w:rPr>
                <w:rFonts w:hint="default" w:ascii="Times New Roman" w:hAnsi="Times New Roman" w:eastAsia="宋体" w:cs="Times New Roman"/>
                <w:color w:val="auto"/>
                <w:kern w:val="0"/>
                <w:sz w:val="24"/>
                <w:highlight w:val="none"/>
                <w:lang w:val="en-US" w:eastAsia="zh-CN"/>
              </w:rPr>
              <w:t>根据查阅资料，本</w:t>
            </w:r>
            <w:r>
              <w:rPr>
                <w:rFonts w:hint="default" w:ascii="Times New Roman" w:hAnsi="Times New Roman" w:eastAsia="宋体" w:cs="Times New Roman"/>
                <w:color w:val="auto"/>
                <w:kern w:val="0"/>
                <w:sz w:val="24"/>
                <w:highlight w:val="none"/>
              </w:rPr>
              <w:t>评价区内未发现国家</w:t>
            </w:r>
            <w:r>
              <w:rPr>
                <w:rFonts w:hint="default" w:ascii="Times New Roman" w:hAnsi="Times New Roman" w:eastAsia="宋体" w:cs="Times New Roman"/>
                <w:color w:val="auto"/>
                <w:kern w:val="0"/>
                <w:sz w:val="24"/>
                <w:highlight w:val="none"/>
                <w:lang w:val="en-US" w:eastAsia="zh-CN"/>
              </w:rPr>
              <w:t>和地方</w:t>
            </w:r>
            <w:r>
              <w:rPr>
                <w:rFonts w:hint="default" w:ascii="Times New Roman" w:hAnsi="Times New Roman" w:eastAsia="宋体" w:cs="Times New Roman"/>
                <w:color w:val="auto"/>
                <w:kern w:val="0"/>
                <w:sz w:val="24"/>
                <w:highlight w:val="none"/>
              </w:rPr>
              <w:t>重点保护野生植物。</w:t>
            </w:r>
          </w:p>
          <w:p w14:paraId="1B8004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陆生生态环境影响评价范围内有野生植物</w:t>
            </w:r>
            <w:r>
              <w:rPr>
                <w:rFonts w:hint="default" w:ascii="Times New Roman" w:hAnsi="Times New Roman" w:cs="Times New Roman"/>
                <w:color w:val="auto"/>
                <w:sz w:val="24"/>
                <w:highlight w:val="none"/>
              </w:rPr>
              <w:t>植物2门3纲</w:t>
            </w:r>
            <w:r>
              <w:rPr>
                <w:rFonts w:hint="default" w:ascii="Times New Roman" w:hAnsi="Times New Roman" w:cs="Times New Roman"/>
                <w:color w:val="auto"/>
                <w:sz w:val="24"/>
                <w:highlight w:val="none"/>
                <w:lang w:val="en-US" w:eastAsia="zh-CN"/>
              </w:rPr>
              <w:t>17</w:t>
            </w:r>
            <w:r>
              <w:rPr>
                <w:rFonts w:hint="default" w:ascii="Times New Roman" w:hAnsi="Times New Roman" w:cs="Times New Roman"/>
                <w:color w:val="auto"/>
                <w:sz w:val="24"/>
                <w:highlight w:val="none"/>
              </w:rPr>
              <w:t>科</w:t>
            </w:r>
            <w:r>
              <w:rPr>
                <w:rFonts w:hint="default" w:ascii="Times New Roman" w:hAnsi="Times New Roman" w:cs="Times New Roman"/>
                <w:color w:val="auto"/>
                <w:sz w:val="24"/>
                <w:highlight w:val="none"/>
                <w:lang w:val="en-US" w:eastAsia="zh-CN"/>
              </w:rPr>
              <w:t>22</w:t>
            </w:r>
            <w:r>
              <w:rPr>
                <w:rFonts w:hint="default" w:ascii="Times New Roman" w:hAnsi="Times New Roman" w:cs="Times New Roman"/>
                <w:color w:val="auto"/>
                <w:sz w:val="24"/>
                <w:highlight w:val="none"/>
              </w:rPr>
              <w:t>属3</w:t>
            </w:r>
            <w:r>
              <w:rPr>
                <w:rFonts w:hint="default" w:ascii="Times New Roman" w:hAnsi="Times New Roman" w:cs="Times New Roman"/>
                <w:color w:val="auto"/>
                <w:sz w:val="24"/>
                <w:highlight w:val="none"/>
                <w:lang w:val="en-US" w:eastAsia="zh-CN"/>
              </w:rPr>
              <w:t>0</w:t>
            </w:r>
            <w:r>
              <w:rPr>
                <w:rFonts w:hint="default" w:ascii="Times New Roman" w:hAnsi="Times New Roman" w:cs="Times New Roman"/>
                <w:color w:val="auto"/>
                <w:sz w:val="24"/>
                <w:highlight w:val="none"/>
              </w:rPr>
              <w:t>种</w:t>
            </w:r>
            <w:r>
              <w:rPr>
                <w:rFonts w:hint="default" w:ascii="Times New Roman" w:hAnsi="Times New Roman" w:cs="Times New Roman"/>
                <w:color w:val="auto"/>
                <w:highlight w:val="none"/>
              </w:rPr>
              <w:t>。</w:t>
            </w:r>
            <w:r>
              <w:rPr>
                <w:rFonts w:hint="default" w:ascii="Times New Roman" w:hAnsi="Times New Roman" w:eastAsia="宋体" w:cs="Times New Roman"/>
                <w:color w:val="auto"/>
                <w:sz w:val="24"/>
                <w:szCs w:val="24"/>
                <w:highlight w:val="none"/>
              </w:rPr>
              <w:t>经现场调</w:t>
            </w:r>
            <w:r>
              <w:rPr>
                <w:rFonts w:hint="default" w:ascii="Times New Roman" w:hAnsi="Times New Roman" w:cs="Times New Roman"/>
                <w:color w:val="auto"/>
                <w:sz w:val="24"/>
                <w:szCs w:val="24"/>
                <w:highlight w:val="none"/>
              </w:rPr>
              <w:t>查和资料访问，发现评价范围内</w:t>
            </w:r>
            <w:r>
              <w:rPr>
                <w:rFonts w:hint="default" w:ascii="Times New Roman" w:hAnsi="Times New Roman" w:cs="Times New Roman"/>
                <w:color w:val="auto"/>
                <w:sz w:val="24"/>
                <w:szCs w:val="24"/>
                <w:highlight w:val="none"/>
                <w:lang w:val="en-US" w:eastAsia="zh-CN"/>
              </w:rPr>
              <w:t>无</w:t>
            </w:r>
            <w:r>
              <w:rPr>
                <w:rFonts w:hint="default" w:ascii="Times New Roman" w:hAnsi="Times New Roman" w:cs="Times New Roman"/>
                <w:color w:val="auto"/>
                <w:sz w:val="24"/>
                <w:szCs w:val="24"/>
                <w:highlight w:val="none"/>
              </w:rPr>
              <w:t>国家重点保护野生动物</w:t>
            </w:r>
            <w:r>
              <w:rPr>
                <w:rFonts w:hint="default" w:ascii="Times New Roman" w:hAnsi="Times New Roman" w:cs="Times New Roman"/>
                <w:color w:val="auto"/>
                <w:sz w:val="24"/>
                <w:szCs w:val="24"/>
                <w:highlight w:val="none"/>
                <w:lang w:val="en-US" w:eastAsia="zh-CN"/>
              </w:rPr>
              <w:t>分布</w:t>
            </w:r>
            <w:r>
              <w:rPr>
                <w:rFonts w:hint="default" w:ascii="Times New Roman" w:hAnsi="Times New Roman" w:cs="Times New Roman"/>
                <w:color w:val="auto"/>
                <w:sz w:val="24"/>
                <w:szCs w:val="24"/>
                <w:highlight w:val="none"/>
              </w:rPr>
              <w:t>，评价范围内</w:t>
            </w:r>
            <w:r>
              <w:rPr>
                <w:rFonts w:hint="default" w:ascii="Times New Roman" w:hAnsi="Times New Roman" w:cs="Times New Roman"/>
                <w:color w:val="auto"/>
                <w:sz w:val="24"/>
                <w:szCs w:val="24"/>
                <w:highlight w:val="none"/>
                <w:lang w:val="en-US" w:eastAsia="zh-CN"/>
              </w:rPr>
              <w:t>有</w:t>
            </w:r>
            <w:r>
              <w:rPr>
                <w:rFonts w:hint="default" w:ascii="Times New Roman" w:hAnsi="Times New Roman" w:cs="Times New Roman"/>
                <w:color w:val="auto"/>
                <w:sz w:val="24"/>
                <w:szCs w:val="24"/>
                <w:highlight w:val="none"/>
              </w:rPr>
              <w:t>黑龙江省重点保护野生动物</w:t>
            </w:r>
            <w:r>
              <w:rPr>
                <w:rFonts w:hint="default" w:ascii="Times New Roman" w:hAnsi="Times New Roman" w:cs="Times New Roman"/>
                <w:color w:val="auto"/>
                <w:sz w:val="24"/>
                <w:szCs w:val="24"/>
                <w:highlight w:val="none"/>
                <w:lang w:val="en-US" w:eastAsia="zh-CN"/>
              </w:rPr>
              <w:t>2</w:t>
            </w:r>
            <w:r>
              <w:rPr>
                <w:rFonts w:hint="default" w:ascii="Times New Roman" w:hAnsi="Times New Roman" w:cs="Times New Roman"/>
                <w:color w:val="auto"/>
                <w:sz w:val="24"/>
                <w:szCs w:val="24"/>
                <w:highlight w:val="none"/>
              </w:rPr>
              <w:t>种</w:t>
            </w:r>
            <w:r>
              <w:rPr>
                <w:rFonts w:hint="default"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lang w:val="en-US" w:eastAsia="zh-CN"/>
              </w:rPr>
              <w:t>为松鼠和灰喜鹊</w:t>
            </w:r>
            <w:r>
              <w:rPr>
                <w:rFonts w:hint="default" w:ascii="Times New Roman" w:hAnsi="Times New Roman" w:cs="Times New Roman"/>
                <w:color w:val="auto"/>
                <w:sz w:val="24"/>
                <w:szCs w:val="24"/>
                <w:highlight w:val="none"/>
              </w:rPr>
              <w:t>。</w:t>
            </w:r>
            <w:r>
              <w:rPr>
                <w:rFonts w:hint="default" w:ascii="Times New Roman" w:hAnsi="Times New Roman" w:cs="Times New Roman"/>
                <w:color w:val="auto"/>
                <w:highlight w:val="none"/>
                <w:lang w:val="en-US" w:eastAsia="zh-CN"/>
              </w:rPr>
              <w:t>评价范围内</w:t>
            </w:r>
            <w:r>
              <w:rPr>
                <w:rFonts w:hint="default" w:ascii="Times New Roman" w:hAnsi="Times New Roman" w:cs="Times New Roman"/>
                <w:color w:val="auto"/>
                <w:highlight w:val="none"/>
              </w:rPr>
              <w:t>虽然评价范围内分布有重要野生动植物，评价范围内仅偶见重要野生动物物种，在工程占地范围内未发现重要野生植物及重要野生动物栖息地分布。评价范围内的农田、</w:t>
            </w:r>
            <w:r>
              <w:rPr>
                <w:rFonts w:hint="default" w:ascii="Times New Roman" w:hAnsi="Times New Roman" w:cs="Times New Roman"/>
                <w:color w:val="auto"/>
                <w:highlight w:val="none"/>
                <w:lang w:val="en-US" w:eastAsia="zh-CN"/>
              </w:rPr>
              <w:t>森林</w:t>
            </w:r>
            <w:r>
              <w:rPr>
                <w:rFonts w:hint="default" w:ascii="Times New Roman" w:hAnsi="Times New Roman" w:cs="Times New Roman"/>
                <w:color w:val="auto"/>
                <w:highlight w:val="none"/>
              </w:rPr>
              <w:t>生态系统占据主导地位。</w:t>
            </w:r>
          </w:p>
          <w:p w14:paraId="0C3B62C7">
            <w:pPr>
              <w:ind w:firstLine="420"/>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森林生态系统作为环境资源拼块中的稳定性元素类型，对生态环境系统的完整性和稳定性有一定调控能力，总体上看，评价范围内生态系统生产力较稳定。项目区无珍稀保护动物栖息地，调查范围内交通车流量较多，村屯人员活动较频繁，无大型野生保护动物活动，涉及的动物主要为农田常见小型动物如田鼠等，工程占地范围内没有保护动物的分布也没有这些动物的栖息地，因通过资料收集和走访当地居民发现的评价区内保护动物都是零星偶然出现在远离道路的评价范围内，工程建设对保护动物生境影响较小。综上所述，本次评价范围内生态系统的功能具有一定的完整性、稳定性及可持续发展性，有一定的抗干扰性。在本项目建设过程中，只要采取一些必要的环境保护措施及一些生态环境恢复性措施，对其整个生态系统的稳定不会产生明显的影响</w:t>
            </w:r>
            <w:r>
              <w:rPr>
                <w:rFonts w:hint="default" w:ascii="Times New Roman" w:hAnsi="Times New Roman" w:cs="Times New Roman"/>
                <w:color w:val="auto"/>
                <w:highlight w:val="none"/>
                <w:lang w:eastAsia="zh-CN"/>
              </w:rPr>
              <w:t>。</w:t>
            </w:r>
          </w:p>
          <w:p w14:paraId="4F33F821">
            <w:pPr>
              <w:pStyle w:val="76"/>
              <w:keepNext w:val="0"/>
              <w:keepLines w:val="0"/>
              <w:pageBreakBefore w:val="0"/>
              <w:widowControl w:val="0"/>
              <w:kinsoku/>
              <w:overflowPunct/>
              <w:topLinePunct w:val="0"/>
              <w:bidi w:val="0"/>
              <w:adjustRightInd/>
              <w:snapToGrid/>
              <w:spacing w:line="460" w:lineRule="exact"/>
              <w:textAlignment w:val="auto"/>
              <w:rPr>
                <w:rFonts w:hint="default" w:ascii="Times New Roman" w:hAnsi="Times New Roman" w:cs="Times New Roman"/>
                <w:color w:val="auto"/>
              </w:rPr>
            </w:pPr>
            <w:r>
              <w:rPr>
                <w:rFonts w:hint="default" w:ascii="Times New Roman" w:hAnsi="Times New Roman" w:cs="Times New Roman"/>
                <w:color w:val="auto"/>
              </w:rPr>
              <w:t>3、环境空气质量现状</w:t>
            </w:r>
          </w:p>
          <w:p w14:paraId="762BE807">
            <w:pPr>
              <w:keepNext w:val="0"/>
              <w:keepLines w:val="0"/>
              <w:pageBreakBefore w:val="0"/>
              <w:widowControl w:val="0"/>
              <w:numPr>
                <w:ilvl w:val="0"/>
                <w:numId w:val="0"/>
              </w:numPr>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color w:val="auto"/>
                <w:sz w:val="24"/>
                <w:szCs w:val="24"/>
                <w:highlight w:val="none"/>
                <w:lang w:eastAsia="zh-CN"/>
              </w:rPr>
            </w:pPr>
            <w:bookmarkStart w:id="5" w:name="_Toc398834925"/>
            <w:bookmarkStart w:id="6" w:name="_Toc406416466"/>
            <w:bookmarkStart w:id="7" w:name="_Toc375552407"/>
            <w:bookmarkStart w:id="8" w:name="_Toc387015835"/>
            <w:r>
              <w:rPr>
                <w:rFonts w:hint="default" w:ascii="Times New Roman" w:hAnsi="Times New Roman" w:eastAsia="宋体" w:cs="Times New Roman"/>
                <w:color w:val="auto"/>
                <w:sz w:val="24"/>
                <w:szCs w:val="32"/>
                <w:highlight w:val="none"/>
                <w:lang w:val="en-US" w:eastAsia="zh-CN"/>
              </w:rPr>
              <w:t>根据《202</w:t>
            </w:r>
            <w:r>
              <w:rPr>
                <w:rFonts w:hint="default" w:ascii="Times New Roman" w:hAnsi="Times New Roman" w:cs="Times New Roman"/>
                <w:color w:val="auto"/>
                <w:sz w:val="24"/>
                <w:szCs w:val="32"/>
                <w:highlight w:val="none"/>
                <w:lang w:val="en-US" w:eastAsia="zh-CN"/>
              </w:rPr>
              <w:t>4</w:t>
            </w:r>
            <w:r>
              <w:rPr>
                <w:rFonts w:hint="default" w:ascii="Times New Roman" w:hAnsi="Times New Roman" w:eastAsia="宋体" w:cs="Times New Roman"/>
                <w:color w:val="auto"/>
                <w:sz w:val="24"/>
                <w:szCs w:val="32"/>
                <w:highlight w:val="none"/>
                <w:lang w:val="en-US" w:eastAsia="zh-CN"/>
              </w:rPr>
              <w:t>年黑龙江省生态环境质量状况》，鸡西市空气质量级别达二级标准，达标天数为34</w:t>
            </w:r>
            <w:r>
              <w:rPr>
                <w:rFonts w:hint="default" w:ascii="Times New Roman" w:hAnsi="Times New Roman" w:cs="Times New Roman"/>
                <w:color w:val="auto"/>
                <w:sz w:val="24"/>
                <w:szCs w:val="32"/>
                <w:highlight w:val="none"/>
                <w:lang w:val="en-US" w:eastAsia="zh-CN"/>
              </w:rPr>
              <w:t>8</w:t>
            </w:r>
            <w:r>
              <w:rPr>
                <w:rFonts w:hint="default" w:ascii="Times New Roman" w:hAnsi="Times New Roman" w:eastAsia="宋体" w:cs="Times New Roman"/>
                <w:color w:val="auto"/>
                <w:sz w:val="24"/>
                <w:szCs w:val="32"/>
                <w:highlight w:val="none"/>
                <w:lang w:val="en-US" w:eastAsia="zh-CN"/>
              </w:rPr>
              <w:t>天（9</w:t>
            </w:r>
            <w:r>
              <w:rPr>
                <w:rFonts w:hint="default" w:ascii="Times New Roman" w:hAnsi="Times New Roman" w:cs="Times New Roman"/>
                <w:color w:val="auto"/>
                <w:sz w:val="24"/>
                <w:szCs w:val="32"/>
                <w:highlight w:val="none"/>
                <w:lang w:val="en-US" w:eastAsia="zh-CN"/>
              </w:rPr>
              <w:t>5.1</w:t>
            </w:r>
            <w:r>
              <w:rPr>
                <w:rFonts w:hint="default" w:ascii="Times New Roman" w:hAnsi="Times New Roman" w:eastAsia="宋体" w:cs="Times New Roman"/>
                <w:color w:val="auto"/>
                <w:sz w:val="24"/>
                <w:szCs w:val="32"/>
                <w:highlight w:val="none"/>
                <w:lang w:val="en-US" w:eastAsia="zh-CN"/>
              </w:rPr>
              <w:t>%）。PM</w:t>
            </w:r>
            <w:r>
              <w:rPr>
                <w:rFonts w:hint="default" w:ascii="Times New Roman" w:hAnsi="Times New Roman" w:eastAsia="宋体" w:cs="Times New Roman"/>
                <w:color w:val="auto"/>
                <w:sz w:val="24"/>
                <w:szCs w:val="32"/>
                <w:highlight w:val="none"/>
                <w:vertAlign w:val="subscript"/>
                <w:lang w:val="en-US" w:eastAsia="zh-CN"/>
              </w:rPr>
              <w:t>2.5</w:t>
            </w:r>
            <w:r>
              <w:rPr>
                <w:rFonts w:hint="default" w:ascii="Times New Roman" w:hAnsi="Times New Roman" w:eastAsia="宋体" w:cs="Times New Roman"/>
                <w:color w:val="auto"/>
                <w:sz w:val="24"/>
                <w:szCs w:val="32"/>
                <w:highlight w:val="none"/>
                <w:lang w:val="en-US" w:eastAsia="zh-CN"/>
              </w:rPr>
              <w:t>、PM</w:t>
            </w:r>
            <w:r>
              <w:rPr>
                <w:rFonts w:hint="default" w:ascii="Times New Roman" w:hAnsi="Times New Roman" w:eastAsia="宋体" w:cs="Times New Roman"/>
                <w:color w:val="auto"/>
                <w:sz w:val="24"/>
                <w:szCs w:val="32"/>
                <w:highlight w:val="none"/>
                <w:vertAlign w:val="subscript"/>
                <w:lang w:val="en-US" w:eastAsia="zh-CN"/>
              </w:rPr>
              <w:t>10</w:t>
            </w:r>
            <w:r>
              <w:rPr>
                <w:rFonts w:hint="default" w:ascii="Times New Roman" w:hAnsi="Times New Roman" w:eastAsia="宋体" w:cs="Times New Roman"/>
                <w:color w:val="auto"/>
                <w:sz w:val="24"/>
                <w:szCs w:val="32"/>
                <w:highlight w:val="none"/>
                <w:lang w:val="en-US" w:eastAsia="zh-CN"/>
              </w:rPr>
              <w:t>、SO</w:t>
            </w:r>
            <w:r>
              <w:rPr>
                <w:rFonts w:hint="default" w:ascii="Times New Roman" w:hAnsi="Times New Roman" w:eastAsia="宋体" w:cs="Times New Roman"/>
                <w:color w:val="auto"/>
                <w:sz w:val="24"/>
                <w:szCs w:val="32"/>
                <w:highlight w:val="none"/>
                <w:vertAlign w:val="subscript"/>
                <w:lang w:val="en-US" w:eastAsia="zh-CN"/>
              </w:rPr>
              <w:t>2</w:t>
            </w:r>
            <w:r>
              <w:rPr>
                <w:rFonts w:hint="default" w:ascii="Times New Roman" w:hAnsi="Times New Roman" w:eastAsia="宋体" w:cs="Times New Roman"/>
                <w:color w:val="auto"/>
                <w:sz w:val="24"/>
                <w:szCs w:val="32"/>
                <w:highlight w:val="none"/>
                <w:lang w:val="en-US" w:eastAsia="zh-CN"/>
              </w:rPr>
              <w:t>、NO</w:t>
            </w:r>
            <w:r>
              <w:rPr>
                <w:rFonts w:hint="default" w:ascii="Times New Roman" w:hAnsi="Times New Roman" w:eastAsia="宋体" w:cs="Times New Roman"/>
                <w:color w:val="auto"/>
                <w:sz w:val="24"/>
                <w:szCs w:val="32"/>
                <w:highlight w:val="none"/>
                <w:vertAlign w:val="subscript"/>
                <w:lang w:val="en-US" w:eastAsia="zh-CN"/>
              </w:rPr>
              <w:t>2</w:t>
            </w:r>
            <w:r>
              <w:rPr>
                <w:rFonts w:hint="default" w:ascii="Times New Roman" w:hAnsi="Times New Roman" w:eastAsia="宋体" w:cs="Times New Roman"/>
                <w:color w:val="auto"/>
                <w:sz w:val="24"/>
                <w:szCs w:val="32"/>
                <w:highlight w:val="none"/>
                <w:lang w:val="en-US" w:eastAsia="zh-CN"/>
              </w:rPr>
              <w:t>、CO-95per和O</w:t>
            </w:r>
            <w:r>
              <w:rPr>
                <w:rFonts w:hint="default" w:ascii="Times New Roman" w:hAnsi="Times New Roman" w:eastAsia="宋体" w:cs="Times New Roman"/>
                <w:color w:val="auto"/>
                <w:sz w:val="24"/>
                <w:szCs w:val="32"/>
                <w:highlight w:val="none"/>
                <w:vertAlign w:val="subscript"/>
                <w:lang w:val="en-US" w:eastAsia="zh-CN"/>
              </w:rPr>
              <w:t>3</w:t>
            </w:r>
            <w:r>
              <w:rPr>
                <w:rFonts w:hint="default" w:ascii="Times New Roman" w:hAnsi="Times New Roman" w:eastAsia="宋体" w:cs="Times New Roman"/>
                <w:color w:val="auto"/>
                <w:sz w:val="24"/>
                <w:szCs w:val="32"/>
                <w:highlight w:val="none"/>
                <w:lang w:val="en-US" w:eastAsia="zh-CN"/>
              </w:rPr>
              <w:t>-8h-90per 年均浓度分别为2</w:t>
            </w:r>
            <w:r>
              <w:rPr>
                <w:rFonts w:hint="default" w:ascii="Times New Roman" w:hAnsi="Times New Roman" w:cs="Times New Roman"/>
                <w:color w:val="auto"/>
                <w:sz w:val="24"/>
                <w:szCs w:val="32"/>
                <w:highlight w:val="none"/>
                <w:lang w:val="en-US" w:eastAsia="zh-CN"/>
              </w:rPr>
              <w:t>7</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w:t>
            </w:r>
            <w:r>
              <w:rPr>
                <w:rFonts w:hint="default" w:ascii="Times New Roman" w:hAnsi="Times New Roman" w:cs="Times New Roman"/>
                <w:color w:val="auto"/>
                <w:sz w:val="24"/>
                <w:szCs w:val="32"/>
                <w:highlight w:val="none"/>
                <w:lang w:val="en-US" w:eastAsia="zh-CN"/>
              </w:rPr>
              <w:t>46</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、8μg/m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w:t>
            </w:r>
            <w:r>
              <w:rPr>
                <w:rFonts w:hint="default" w:ascii="Times New Roman" w:hAnsi="Times New Roman" w:cs="Times New Roman"/>
                <w:color w:val="auto"/>
                <w:sz w:val="24"/>
                <w:szCs w:val="32"/>
                <w:highlight w:val="none"/>
                <w:lang w:val="en-US" w:eastAsia="zh-CN"/>
              </w:rPr>
              <w:t>17</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、1.0mg/m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和9</w:t>
            </w:r>
            <w:r>
              <w:rPr>
                <w:rFonts w:hint="default" w:ascii="Times New Roman" w:hAnsi="Times New Roman" w:cs="Times New Roman"/>
                <w:color w:val="auto"/>
                <w:sz w:val="24"/>
                <w:szCs w:val="32"/>
                <w:highlight w:val="none"/>
                <w:lang w:val="en-US" w:eastAsia="zh-CN"/>
              </w:rPr>
              <w:t>0</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。本项目区域空气质量现状评价见下表。</w:t>
            </w:r>
          </w:p>
          <w:p w14:paraId="447CCB54">
            <w:pPr>
              <w:keepNext w:val="0"/>
              <w:keepLines w:val="0"/>
              <w:pageBreakBefore w:val="0"/>
              <w:widowControl w:val="0"/>
              <w:kinsoku/>
              <w:wordWrap w:val="0"/>
              <w:overflowPunct/>
              <w:topLinePunct w:val="0"/>
              <w:autoSpaceDE w:val="0"/>
              <w:autoSpaceDN w:val="0"/>
              <w:bidi w:val="0"/>
              <w:adjustRightInd/>
              <w:snapToGrid/>
              <w:spacing w:line="460" w:lineRule="exact"/>
              <w:ind w:left="0" w:leftChars="0" w:right="0" w:rightChars="0" w:firstLine="0" w:firstLineChars="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4"/>
                <w:szCs w:val="24"/>
              </w:rPr>
              <w:t>表</w:t>
            </w:r>
            <w:r>
              <w:rPr>
                <w:rFonts w:hint="default" w:ascii="Times New Roman" w:hAnsi="Times New Roman" w:eastAsia="宋体" w:cs="Times New Roman"/>
                <w:b/>
                <w:bCs/>
                <w:color w:val="auto"/>
                <w:sz w:val="24"/>
                <w:szCs w:val="24"/>
                <w:lang w:val="en-US" w:eastAsia="zh-CN"/>
              </w:rPr>
              <w:t>3-2  202</w:t>
            </w:r>
            <w:r>
              <w:rPr>
                <w:rFonts w:hint="default" w:ascii="Times New Roman" w:hAnsi="Times New Roman" w:cs="Times New Roman"/>
                <w:b/>
                <w:bCs/>
                <w:color w:val="auto"/>
                <w:sz w:val="24"/>
                <w:szCs w:val="24"/>
                <w:lang w:val="en-US" w:eastAsia="zh-CN"/>
              </w:rPr>
              <w:t>4</w:t>
            </w:r>
            <w:r>
              <w:rPr>
                <w:rFonts w:hint="default" w:ascii="Times New Roman" w:hAnsi="Times New Roman" w:eastAsia="宋体" w:cs="Times New Roman"/>
                <w:b/>
                <w:bCs/>
                <w:color w:val="auto"/>
                <w:sz w:val="24"/>
                <w:szCs w:val="24"/>
              </w:rPr>
              <w:t>年区域空气质量现状评价表</w:t>
            </w:r>
          </w:p>
          <w:tbl>
            <w:tblPr>
              <w:tblStyle w:val="30"/>
              <w:tblW w:w="496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55"/>
              <w:gridCol w:w="2400"/>
              <w:gridCol w:w="1112"/>
              <w:gridCol w:w="1112"/>
              <w:gridCol w:w="943"/>
              <w:gridCol w:w="997"/>
            </w:tblGrid>
            <w:tr w14:paraId="357BB0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748" w:type="pct"/>
                  <w:tcBorders>
                    <w:tl2br w:val="nil"/>
                    <w:tr2bl w:val="nil"/>
                  </w:tcBorders>
                  <w:noWrap w:val="0"/>
                  <w:vAlign w:val="center"/>
                </w:tcPr>
                <w:p w14:paraId="67CEBB77">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污染物</w:t>
                  </w:r>
                </w:p>
              </w:tc>
              <w:tc>
                <w:tcPr>
                  <w:tcW w:w="1554" w:type="pct"/>
                  <w:tcBorders>
                    <w:tl2br w:val="nil"/>
                    <w:tr2bl w:val="nil"/>
                  </w:tcBorders>
                  <w:noWrap w:val="0"/>
                  <w:vAlign w:val="center"/>
                </w:tcPr>
                <w:p w14:paraId="43C5232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年评价指标</w:t>
                  </w:r>
                </w:p>
              </w:tc>
              <w:tc>
                <w:tcPr>
                  <w:tcW w:w="720" w:type="pct"/>
                  <w:tcBorders>
                    <w:tl2br w:val="nil"/>
                    <w:tr2bl w:val="nil"/>
                  </w:tcBorders>
                  <w:noWrap w:val="0"/>
                  <w:vAlign w:val="center"/>
                </w:tcPr>
                <w:p w14:paraId="7C8BCB3D">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现状浓度</w:t>
                  </w:r>
                </w:p>
                <w:p w14:paraId="1D9AADD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（μg/m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w:t>
                  </w:r>
                </w:p>
              </w:tc>
              <w:tc>
                <w:tcPr>
                  <w:tcW w:w="720" w:type="pct"/>
                  <w:tcBorders>
                    <w:tl2br w:val="nil"/>
                    <w:tr2bl w:val="nil"/>
                  </w:tcBorders>
                  <w:noWrap w:val="0"/>
                  <w:vAlign w:val="center"/>
                </w:tcPr>
                <w:p w14:paraId="74752C3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标准值</w:t>
                  </w:r>
                  <w:r>
                    <w:rPr>
                      <w:rFonts w:hint="default" w:ascii="Times New Roman" w:hAnsi="Times New Roman" w:cs="Times New Roman"/>
                      <w:color w:val="auto"/>
                      <w:sz w:val="21"/>
                      <w:szCs w:val="21"/>
                      <w:lang w:val="en-US" w:eastAsia="zh-CN"/>
                    </w:rPr>
                    <w:t>（μg/m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w:t>
                  </w:r>
                </w:p>
              </w:tc>
              <w:tc>
                <w:tcPr>
                  <w:tcW w:w="610" w:type="pct"/>
                  <w:tcBorders>
                    <w:tl2br w:val="nil"/>
                    <w:tr2bl w:val="nil"/>
                  </w:tcBorders>
                  <w:noWrap w:val="0"/>
                  <w:vAlign w:val="center"/>
                </w:tcPr>
                <w:p w14:paraId="5A51CE08">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rPr>
                    <w:t>占标率</w:t>
                  </w:r>
                  <w:r>
                    <w:rPr>
                      <w:rFonts w:hint="default" w:ascii="Times New Roman" w:hAnsi="Times New Roman" w:cs="Times New Roman"/>
                      <w:color w:val="auto"/>
                      <w:sz w:val="21"/>
                      <w:szCs w:val="21"/>
                      <w:lang w:val="en-US" w:eastAsia="zh-CN"/>
                    </w:rPr>
                    <w:t>(%)</w:t>
                  </w:r>
                </w:p>
              </w:tc>
              <w:tc>
                <w:tcPr>
                  <w:tcW w:w="645" w:type="pct"/>
                  <w:tcBorders>
                    <w:tl2br w:val="nil"/>
                    <w:tr2bl w:val="nil"/>
                  </w:tcBorders>
                  <w:noWrap w:val="0"/>
                  <w:vAlign w:val="center"/>
                </w:tcPr>
                <w:p w14:paraId="62F3FAD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p w14:paraId="567189AD">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情况</w:t>
                  </w:r>
                </w:p>
              </w:tc>
            </w:tr>
            <w:tr w14:paraId="6409FF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58E1E5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PM</w:t>
                  </w:r>
                  <w:r>
                    <w:rPr>
                      <w:rFonts w:hint="default" w:ascii="Times New Roman" w:hAnsi="Times New Roman" w:cs="Times New Roman"/>
                      <w:color w:val="auto"/>
                      <w:sz w:val="21"/>
                      <w:szCs w:val="21"/>
                      <w:vertAlign w:val="subscript"/>
                    </w:rPr>
                    <w:t>2.5</w:t>
                  </w:r>
                </w:p>
              </w:tc>
              <w:tc>
                <w:tcPr>
                  <w:tcW w:w="1554" w:type="pct"/>
                  <w:tcBorders>
                    <w:tl2br w:val="nil"/>
                    <w:tr2bl w:val="nil"/>
                  </w:tcBorders>
                  <w:noWrap w:val="0"/>
                  <w:vAlign w:val="center"/>
                </w:tcPr>
                <w:p w14:paraId="56553054">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EAF5BA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28</w:t>
                  </w:r>
                </w:p>
              </w:tc>
              <w:tc>
                <w:tcPr>
                  <w:tcW w:w="720" w:type="pct"/>
                  <w:tcBorders>
                    <w:tl2br w:val="nil"/>
                    <w:tr2bl w:val="nil"/>
                  </w:tcBorders>
                  <w:noWrap w:val="0"/>
                  <w:vAlign w:val="center"/>
                </w:tcPr>
                <w:p w14:paraId="529D6D8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35</w:t>
                  </w:r>
                </w:p>
              </w:tc>
              <w:tc>
                <w:tcPr>
                  <w:tcW w:w="610" w:type="pct"/>
                  <w:tcBorders>
                    <w:tl2br w:val="nil"/>
                    <w:tr2bl w:val="nil"/>
                  </w:tcBorders>
                  <w:noWrap w:val="0"/>
                  <w:vAlign w:val="center"/>
                </w:tcPr>
                <w:p w14:paraId="10E40A6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80.0</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11E6D5A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0F5FF1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0A29E7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PM</w:t>
                  </w:r>
                  <w:r>
                    <w:rPr>
                      <w:rFonts w:hint="default" w:ascii="Times New Roman" w:hAnsi="Times New Roman" w:cs="Times New Roman"/>
                      <w:color w:val="auto"/>
                      <w:sz w:val="21"/>
                      <w:szCs w:val="21"/>
                      <w:vertAlign w:val="subscript"/>
                    </w:rPr>
                    <w:t>10</w:t>
                  </w:r>
                </w:p>
              </w:tc>
              <w:tc>
                <w:tcPr>
                  <w:tcW w:w="1554" w:type="pct"/>
                  <w:tcBorders>
                    <w:tl2br w:val="nil"/>
                    <w:tr2bl w:val="nil"/>
                  </w:tcBorders>
                  <w:noWrap w:val="0"/>
                  <w:vAlign w:val="center"/>
                </w:tcPr>
                <w:p w14:paraId="20897CA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23D9886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46</w:t>
                  </w:r>
                </w:p>
              </w:tc>
              <w:tc>
                <w:tcPr>
                  <w:tcW w:w="720" w:type="pct"/>
                  <w:tcBorders>
                    <w:tl2br w:val="nil"/>
                    <w:tr2bl w:val="nil"/>
                  </w:tcBorders>
                  <w:noWrap w:val="0"/>
                  <w:vAlign w:val="center"/>
                </w:tcPr>
                <w:p w14:paraId="0727789E">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70</w:t>
                  </w:r>
                </w:p>
              </w:tc>
              <w:tc>
                <w:tcPr>
                  <w:tcW w:w="610" w:type="pct"/>
                  <w:tcBorders>
                    <w:tl2br w:val="nil"/>
                    <w:tr2bl w:val="nil"/>
                  </w:tcBorders>
                  <w:noWrap w:val="0"/>
                  <w:vAlign w:val="center"/>
                </w:tcPr>
                <w:p w14:paraId="1150658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61.4</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6D0EA8E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4431B4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B1D7AB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NO</w:t>
                  </w:r>
                  <w:r>
                    <w:rPr>
                      <w:rFonts w:hint="default" w:ascii="Times New Roman" w:hAnsi="Times New Roman" w:cs="Times New Roman"/>
                      <w:color w:val="auto"/>
                      <w:sz w:val="21"/>
                      <w:szCs w:val="21"/>
                      <w:vertAlign w:val="subscript"/>
                    </w:rPr>
                    <w:t>2</w:t>
                  </w:r>
                </w:p>
              </w:tc>
              <w:tc>
                <w:tcPr>
                  <w:tcW w:w="1554" w:type="pct"/>
                  <w:tcBorders>
                    <w:tl2br w:val="nil"/>
                    <w:tr2bl w:val="nil"/>
                  </w:tcBorders>
                  <w:noWrap w:val="0"/>
                  <w:vAlign w:val="center"/>
                </w:tcPr>
                <w:p w14:paraId="4F48783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CAC8CA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c>
                <w:tcPr>
                  <w:tcW w:w="720" w:type="pct"/>
                  <w:tcBorders>
                    <w:tl2br w:val="nil"/>
                    <w:tr2bl w:val="nil"/>
                  </w:tcBorders>
                  <w:noWrap w:val="0"/>
                  <w:vAlign w:val="center"/>
                </w:tcPr>
                <w:p w14:paraId="30C18D3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40</w:t>
                  </w:r>
                </w:p>
              </w:tc>
              <w:tc>
                <w:tcPr>
                  <w:tcW w:w="610" w:type="pct"/>
                  <w:tcBorders>
                    <w:tl2br w:val="nil"/>
                    <w:tr2bl w:val="nil"/>
                  </w:tcBorders>
                  <w:noWrap w:val="0"/>
                  <w:vAlign w:val="center"/>
                </w:tcPr>
                <w:p w14:paraId="2AC954DE">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50.0</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360ECB8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0FB48F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436390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SO</w:t>
                  </w:r>
                  <w:r>
                    <w:rPr>
                      <w:rFonts w:hint="default" w:ascii="Times New Roman" w:hAnsi="Times New Roman" w:cs="Times New Roman"/>
                      <w:color w:val="auto"/>
                      <w:sz w:val="21"/>
                      <w:szCs w:val="21"/>
                      <w:vertAlign w:val="subscript"/>
                    </w:rPr>
                    <w:t>2</w:t>
                  </w:r>
                </w:p>
              </w:tc>
              <w:tc>
                <w:tcPr>
                  <w:tcW w:w="1554" w:type="pct"/>
                  <w:tcBorders>
                    <w:tl2br w:val="nil"/>
                    <w:tr2bl w:val="nil"/>
                  </w:tcBorders>
                  <w:noWrap w:val="0"/>
                  <w:vAlign w:val="center"/>
                </w:tcPr>
                <w:p w14:paraId="7976535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17D06DF">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8</w:t>
                  </w:r>
                </w:p>
              </w:tc>
              <w:tc>
                <w:tcPr>
                  <w:tcW w:w="720" w:type="pct"/>
                  <w:tcBorders>
                    <w:tl2br w:val="nil"/>
                    <w:tr2bl w:val="nil"/>
                  </w:tcBorders>
                  <w:noWrap w:val="0"/>
                  <w:vAlign w:val="center"/>
                </w:tcPr>
                <w:p w14:paraId="76108B2A">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60</w:t>
                  </w:r>
                </w:p>
              </w:tc>
              <w:tc>
                <w:tcPr>
                  <w:tcW w:w="610" w:type="pct"/>
                  <w:tcBorders>
                    <w:tl2br w:val="nil"/>
                    <w:tr2bl w:val="nil"/>
                  </w:tcBorders>
                  <w:noWrap w:val="0"/>
                  <w:vAlign w:val="center"/>
                </w:tcPr>
                <w:p w14:paraId="3391D48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13.3</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028C7A8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18185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4035F188">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CO</w:t>
                  </w:r>
                </w:p>
              </w:tc>
              <w:tc>
                <w:tcPr>
                  <w:tcW w:w="1554" w:type="pct"/>
                  <w:tcBorders>
                    <w:tl2br w:val="nil"/>
                    <w:tr2bl w:val="nil"/>
                  </w:tcBorders>
                  <w:noWrap w:val="0"/>
                  <w:vAlign w:val="center"/>
                </w:tcPr>
                <w:p w14:paraId="43E6B07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百分位数24h平均浓度</w:t>
                  </w:r>
                </w:p>
              </w:tc>
              <w:tc>
                <w:tcPr>
                  <w:tcW w:w="720" w:type="pct"/>
                  <w:tcBorders>
                    <w:tl2br w:val="nil"/>
                    <w:tr2bl w:val="nil"/>
                  </w:tcBorders>
                  <w:noWrap w:val="0"/>
                  <w:vAlign w:val="center"/>
                </w:tcPr>
                <w:p w14:paraId="1091807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1000</w:t>
                  </w:r>
                </w:p>
              </w:tc>
              <w:tc>
                <w:tcPr>
                  <w:tcW w:w="720" w:type="pct"/>
                  <w:tcBorders>
                    <w:tl2br w:val="nil"/>
                    <w:tr2bl w:val="nil"/>
                  </w:tcBorders>
                  <w:noWrap w:val="0"/>
                  <w:vAlign w:val="center"/>
                </w:tcPr>
                <w:p w14:paraId="2A36714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4000</w:t>
                  </w:r>
                </w:p>
              </w:tc>
              <w:tc>
                <w:tcPr>
                  <w:tcW w:w="610" w:type="pct"/>
                  <w:tcBorders>
                    <w:tl2br w:val="nil"/>
                    <w:tr2bl w:val="nil"/>
                  </w:tcBorders>
                  <w:noWrap w:val="0"/>
                  <w:vAlign w:val="center"/>
                </w:tcPr>
                <w:p w14:paraId="7035523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25.0</w:t>
                  </w:r>
                </w:p>
              </w:tc>
              <w:tc>
                <w:tcPr>
                  <w:tcW w:w="645" w:type="pct"/>
                  <w:tcBorders>
                    <w:tl2br w:val="nil"/>
                    <w:tr2bl w:val="nil"/>
                  </w:tcBorders>
                  <w:noWrap w:val="0"/>
                  <w:vAlign w:val="center"/>
                </w:tcPr>
                <w:p w14:paraId="2DF8BE8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12B9E6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48" w:type="pct"/>
                  <w:tcBorders>
                    <w:tl2br w:val="nil"/>
                    <w:tr2bl w:val="nil"/>
                  </w:tcBorders>
                  <w:noWrap w:val="0"/>
                  <w:vAlign w:val="center"/>
                </w:tcPr>
                <w:p w14:paraId="1597FB53">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O</w:t>
                  </w:r>
                  <w:r>
                    <w:rPr>
                      <w:rFonts w:hint="default" w:ascii="Times New Roman" w:hAnsi="Times New Roman" w:cs="Times New Roman"/>
                      <w:color w:val="auto"/>
                      <w:sz w:val="21"/>
                      <w:szCs w:val="21"/>
                      <w:vertAlign w:val="subscript"/>
                      <w:lang w:val="en-US" w:eastAsia="zh-CN"/>
                    </w:rPr>
                    <w:t>3</w:t>
                  </w:r>
                </w:p>
              </w:tc>
              <w:tc>
                <w:tcPr>
                  <w:tcW w:w="1554" w:type="pct"/>
                  <w:tcBorders>
                    <w:tl2br w:val="nil"/>
                    <w:tr2bl w:val="nil"/>
                  </w:tcBorders>
                  <w:noWrap w:val="0"/>
                  <w:vAlign w:val="center"/>
                </w:tcPr>
                <w:p w14:paraId="26BBEA9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百分位数8h平均浓度</w:t>
                  </w:r>
                </w:p>
              </w:tc>
              <w:tc>
                <w:tcPr>
                  <w:tcW w:w="720" w:type="pct"/>
                  <w:tcBorders>
                    <w:tl2br w:val="nil"/>
                    <w:tr2bl w:val="nil"/>
                  </w:tcBorders>
                  <w:noWrap w:val="0"/>
                  <w:vAlign w:val="center"/>
                </w:tcPr>
                <w:p w14:paraId="223D6E61">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90</w:t>
                  </w:r>
                </w:p>
              </w:tc>
              <w:tc>
                <w:tcPr>
                  <w:tcW w:w="720" w:type="pct"/>
                  <w:tcBorders>
                    <w:tl2br w:val="nil"/>
                    <w:tr2bl w:val="nil"/>
                  </w:tcBorders>
                  <w:noWrap w:val="0"/>
                  <w:vAlign w:val="center"/>
                </w:tcPr>
                <w:p w14:paraId="0A1A0AEF">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160</w:t>
                  </w:r>
                </w:p>
              </w:tc>
              <w:tc>
                <w:tcPr>
                  <w:tcW w:w="610" w:type="pct"/>
                  <w:tcBorders>
                    <w:tl2br w:val="nil"/>
                    <w:tr2bl w:val="nil"/>
                  </w:tcBorders>
                  <w:noWrap w:val="0"/>
                  <w:vAlign w:val="center"/>
                </w:tcPr>
                <w:p w14:paraId="3A02EEB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56.3</w:t>
                  </w:r>
                </w:p>
              </w:tc>
              <w:tc>
                <w:tcPr>
                  <w:tcW w:w="645" w:type="pct"/>
                  <w:tcBorders>
                    <w:tl2br w:val="nil"/>
                    <w:tr2bl w:val="nil"/>
                  </w:tcBorders>
                  <w:noWrap w:val="0"/>
                  <w:vAlign w:val="center"/>
                </w:tcPr>
                <w:p w14:paraId="0EEE212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bl>
          <w:p w14:paraId="33F0714C">
            <w:pPr>
              <w:pStyle w:val="76"/>
              <w:rPr>
                <w:rFonts w:hint="default" w:ascii="Times New Roman" w:hAnsi="Times New Roman" w:cs="Times New Roman"/>
                <w:color w:val="auto"/>
              </w:rPr>
            </w:pPr>
            <w:r>
              <w:rPr>
                <w:rFonts w:hint="default" w:ascii="Times New Roman" w:hAnsi="Times New Roman" w:cs="Times New Roman"/>
                <w:color w:val="auto"/>
                <w:sz w:val="24"/>
                <w:szCs w:val="32"/>
                <w:highlight w:val="none"/>
                <w:lang w:val="en-US" w:eastAsia="zh-CN"/>
              </w:rPr>
              <w:t>由上表可知</w:t>
            </w:r>
            <w:r>
              <w:rPr>
                <w:rFonts w:hint="default" w:ascii="Times New Roman" w:hAnsi="Times New Roman" w:eastAsia="宋体" w:cs="Times New Roman"/>
                <w:color w:val="auto"/>
                <w:sz w:val="24"/>
                <w:szCs w:val="32"/>
                <w:highlight w:val="none"/>
                <w:lang w:val="en-US" w:eastAsia="zh-CN"/>
              </w:rPr>
              <w:t>，鸡西地区为环境空气质量达标区。</w:t>
            </w:r>
          </w:p>
          <w:bookmarkEnd w:id="5"/>
          <w:bookmarkEnd w:id="6"/>
          <w:bookmarkEnd w:id="7"/>
          <w:bookmarkEnd w:id="8"/>
          <w:p w14:paraId="587CC630">
            <w:pPr>
              <w:pStyle w:val="76"/>
              <w:rPr>
                <w:rFonts w:hint="default" w:ascii="Times New Roman" w:hAnsi="Times New Roman" w:cs="Times New Roman"/>
                <w:color w:val="auto"/>
              </w:rPr>
            </w:pPr>
            <w:r>
              <w:rPr>
                <w:rFonts w:hint="default" w:ascii="Times New Roman" w:hAnsi="Times New Roman" w:cs="Times New Roman"/>
                <w:color w:val="auto"/>
              </w:rPr>
              <w:t>4、地表水环境质量现状</w:t>
            </w:r>
          </w:p>
          <w:p w14:paraId="61E1A02A">
            <w:pPr>
              <w:pStyle w:val="76"/>
              <w:rPr>
                <w:rFonts w:hint="default" w:ascii="Times New Roman" w:hAnsi="Times New Roman" w:cs="Times New Roman"/>
                <w:b w:val="0"/>
                <w:bCs w:val="0"/>
                <w:color w:val="auto"/>
                <w:spacing w:val="0"/>
                <w:sz w:val="24"/>
                <w:szCs w:val="24"/>
                <w:highlight w:val="none"/>
                <w:lang w:val="en-US" w:eastAsia="zh-CN"/>
              </w:rPr>
            </w:pPr>
            <w:r>
              <w:rPr>
                <w:rFonts w:hint="default" w:ascii="Times New Roman" w:hAnsi="Times New Roman" w:cs="Times New Roman"/>
                <w:b w:val="0"/>
                <w:bCs w:val="0"/>
                <w:color w:val="auto"/>
                <w:spacing w:val="0"/>
                <w:sz w:val="24"/>
                <w:szCs w:val="24"/>
                <w:highlight w:val="none"/>
                <w:lang w:val="en-US" w:eastAsia="zh-CN"/>
              </w:rPr>
              <w:t>本项目所在区域地表水体为穆棱河（鸡古路西100m-凯北站），根据《水利部 国家发展和改革委员会 环境保护部关于印发全国重要江河湖泊水功能区划（2011-2030年）的通知》，穆棱河（鸡古路西100m-凯北站）属于农业用水区，规划水质目标为Ⅲ类水体，因此本项目区域地表水执行《地表水环境质量标准》（GB3838-2002）III类标准。根据《2024年黑龙江省生态环境质量状况》中全省地表水水质状况示意图，穆棱河现状水质类别为Ⅲ类水体，水质状况良好，符合其功能区水质要求。</w:t>
            </w:r>
          </w:p>
          <w:p w14:paraId="1072D04C">
            <w:pPr>
              <w:pStyle w:val="76"/>
              <w:rPr>
                <w:rFonts w:hint="default" w:ascii="Times New Roman" w:hAnsi="Times New Roman" w:cs="Times New Roman"/>
                <w:b w:val="0"/>
                <w:bCs w:val="0"/>
                <w:color w:val="auto"/>
                <w:spacing w:val="0"/>
                <w:sz w:val="24"/>
                <w:szCs w:val="24"/>
                <w:highlight w:val="none"/>
                <w:lang w:val="en-US" w:eastAsia="zh-CN"/>
              </w:rPr>
            </w:pPr>
            <w:r>
              <w:rPr>
                <w:rFonts w:hint="default" w:ascii="Times New Roman" w:hAnsi="Times New Roman" w:eastAsia="宋体" w:cs="Times New Roman"/>
                <w:b w:val="0"/>
                <w:bCs w:val="0"/>
                <w:color w:val="auto"/>
                <w:spacing w:val="0"/>
                <w:sz w:val="24"/>
                <w:szCs w:val="24"/>
                <w:highlight w:val="none"/>
                <w:lang w:val="en-US" w:eastAsia="zh-CN"/>
              </w:rPr>
              <w:drawing>
                <wp:anchor distT="0" distB="0" distL="114300" distR="114300" simplePos="0" relativeHeight="251665408" behindDoc="0" locked="0" layoutInCell="1" allowOverlap="1">
                  <wp:simplePos x="0" y="0"/>
                  <wp:positionH relativeFrom="column">
                    <wp:posOffset>343535</wp:posOffset>
                  </wp:positionH>
                  <wp:positionV relativeFrom="paragraph">
                    <wp:posOffset>303530</wp:posOffset>
                  </wp:positionV>
                  <wp:extent cx="4322445" cy="4737735"/>
                  <wp:effectExtent l="0" t="0" r="1905" b="5715"/>
                  <wp:wrapNone/>
                  <wp:docPr id="8" name="图片 8" descr="93c3e492-d1d7-4115-8a54-fb1ca2818a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3c3e492-d1d7-4115-8a54-fb1ca2818ae6"/>
                          <pic:cNvPicPr>
                            <a:picLocks noChangeAspect="1"/>
                          </pic:cNvPicPr>
                        </pic:nvPicPr>
                        <pic:blipFill>
                          <a:blip r:embed="rId22"/>
                          <a:stretch>
                            <a:fillRect/>
                          </a:stretch>
                        </pic:blipFill>
                        <pic:spPr>
                          <a:xfrm>
                            <a:off x="0" y="0"/>
                            <a:ext cx="4322445" cy="4737735"/>
                          </a:xfrm>
                          <a:prstGeom prst="rect">
                            <a:avLst/>
                          </a:prstGeom>
                        </pic:spPr>
                      </pic:pic>
                    </a:graphicData>
                  </a:graphic>
                </wp:anchor>
              </w:drawing>
            </w:r>
            <w:r>
              <w:rPr>
                <w:rFonts w:hint="default" w:ascii="Times New Roman" w:hAnsi="Times New Roman" w:cs="Times New Roman"/>
                <w:b w:val="0"/>
                <w:bCs w:val="0"/>
                <w:color w:val="auto"/>
                <w:spacing w:val="0"/>
                <w:sz w:val="24"/>
                <w:szCs w:val="24"/>
                <w:highlight w:val="none"/>
                <w:lang w:val="en-US" w:eastAsia="zh-CN"/>
              </w:rPr>
              <w:t>全省地表水水质状况示意图见下图。</w:t>
            </w:r>
          </w:p>
          <w:p w14:paraId="47652242">
            <w:pPr>
              <w:pStyle w:val="76"/>
              <w:rPr>
                <w:rFonts w:hint="default" w:ascii="Times New Roman" w:hAnsi="Times New Roman" w:cs="Times New Roman"/>
                <w:b w:val="0"/>
                <w:bCs w:val="0"/>
                <w:color w:val="auto"/>
                <w:spacing w:val="0"/>
                <w:sz w:val="24"/>
                <w:szCs w:val="24"/>
                <w:highlight w:val="none"/>
                <w:lang w:val="en-US" w:eastAsia="zh-CN"/>
              </w:rPr>
            </w:pPr>
          </w:p>
          <w:p w14:paraId="261BFB9D">
            <w:pPr>
              <w:pStyle w:val="76"/>
              <w:rPr>
                <w:rFonts w:hint="default" w:ascii="Times New Roman" w:hAnsi="Times New Roman" w:cs="Times New Roman"/>
                <w:b w:val="0"/>
                <w:bCs w:val="0"/>
                <w:color w:val="auto"/>
                <w:spacing w:val="0"/>
                <w:sz w:val="24"/>
                <w:szCs w:val="24"/>
                <w:highlight w:val="none"/>
                <w:lang w:val="en-US" w:eastAsia="zh-CN"/>
              </w:rPr>
            </w:pPr>
          </w:p>
          <w:p w14:paraId="278659D2">
            <w:pPr>
              <w:pStyle w:val="76"/>
              <w:rPr>
                <w:rFonts w:hint="default" w:ascii="Times New Roman" w:hAnsi="Times New Roman" w:cs="Times New Roman"/>
                <w:b w:val="0"/>
                <w:bCs w:val="0"/>
                <w:color w:val="auto"/>
                <w:spacing w:val="0"/>
                <w:sz w:val="24"/>
                <w:szCs w:val="24"/>
                <w:highlight w:val="none"/>
                <w:lang w:val="en-US" w:eastAsia="zh-CN"/>
              </w:rPr>
            </w:pPr>
          </w:p>
          <w:p w14:paraId="0FE20CC3">
            <w:pPr>
              <w:pStyle w:val="76"/>
              <w:rPr>
                <w:rFonts w:hint="default" w:ascii="Times New Roman" w:hAnsi="Times New Roman" w:cs="Times New Roman"/>
                <w:b w:val="0"/>
                <w:bCs w:val="0"/>
                <w:color w:val="auto"/>
                <w:spacing w:val="0"/>
                <w:sz w:val="24"/>
                <w:szCs w:val="24"/>
                <w:highlight w:val="none"/>
                <w:lang w:val="en-US" w:eastAsia="zh-CN"/>
              </w:rPr>
            </w:pPr>
          </w:p>
          <w:p w14:paraId="1F13B433">
            <w:pPr>
              <w:pStyle w:val="76"/>
              <w:rPr>
                <w:rFonts w:hint="default" w:ascii="Times New Roman" w:hAnsi="Times New Roman" w:cs="Times New Roman"/>
                <w:b w:val="0"/>
                <w:bCs w:val="0"/>
                <w:color w:val="auto"/>
                <w:spacing w:val="0"/>
                <w:sz w:val="24"/>
                <w:szCs w:val="24"/>
                <w:highlight w:val="none"/>
                <w:lang w:val="en-US" w:eastAsia="zh-CN"/>
              </w:rPr>
            </w:pPr>
          </w:p>
          <w:p w14:paraId="68D1D0DD">
            <w:pPr>
              <w:pStyle w:val="76"/>
              <w:rPr>
                <w:rFonts w:hint="default" w:ascii="Times New Roman" w:hAnsi="Times New Roman" w:cs="Times New Roman"/>
                <w:b w:val="0"/>
                <w:bCs w:val="0"/>
                <w:color w:val="auto"/>
                <w:spacing w:val="0"/>
                <w:sz w:val="24"/>
                <w:szCs w:val="24"/>
                <w:highlight w:val="none"/>
                <w:lang w:val="en-US" w:eastAsia="zh-CN"/>
              </w:rPr>
            </w:pPr>
          </w:p>
          <w:p w14:paraId="7423B286">
            <w:pPr>
              <w:pStyle w:val="76"/>
              <w:rPr>
                <w:rFonts w:hint="default" w:ascii="Times New Roman" w:hAnsi="Times New Roman" w:cs="Times New Roman"/>
                <w:b w:val="0"/>
                <w:bCs w:val="0"/>
                <w:color w:val="auto"/>
                <w:spacing w:val="0"/>
                <w:sz w:val="24"/>
                <w:szCs w:val="24"/>
                <w:highlight w:val="none"/>
                <w:lang w:val="en-US" w:eastAsia="zh-CN"/>
              </w:rPr>
            </w:pPr>
          </w:p>
          <w:p w14:paraId="35BB3F16">
            <w:pPr>
              <w:pStyle w:val="76"/>
              <w:rPr>
                <w:rFonts w:hint="default" w:ascii="Times New Roman" w:hAnsi="Times New Roman" w:cs="Times New Roman"/>
                <w:b w:val="0"/>
                <w:bCs w:val="0"/>
                <w:color w:val="auto"/>
                <w:spacing w:val="0"/>
                <w:sz w:val="24"/>
                <w:szCs w:val="24"/>
                <w:highlight w:val="none"/>
                <w:lang w:val="en-US" w:eastAsia="zh-CN"/>
              </w:rPr>
            </w:pPr>
          </w:p>
          <w:p w14:paraId="57B0DD58">
            <w:pPr>
              <w:pStyle w:val="76"/>
              <w:rPr>
                <w:rFonts w:hint="default" w:ascii="Times New Roman" w:hAnsi="Times New Roman" w:cs="Times New Roman"/>
                <w:b w:val="0"/>
                <w:bCs w:val="0"/>
                <w:color w:val="auto"/>
                <w:spacing w:val="0"/>
                <w:sz w:val="24"/>
                <w:szCs w:val="24"/>
                <w:highlight w:val="none"/>
                <w:lang w:val="en-US" w:eastAsia="zh-CN"/>
              </w:rPr>
            </w:pPr>
          </w:p>
          <w:p w14:paraId="11082E0F">
            <w:pPr>
              <w:pStyle w:val="76"/>
              <w:rPr>
                <w:rFonts w:hint="default" w:ascii="Times New Roman" w:hAnsi="Times New Roman" w:cs="Times New Roman"/>
                <w:b w:val="0"/>
                <w:bCs w:val="0"/>
                <w:color w:val="auto"/>
                <w:spacing w:val="0"/>
                <w:sz w:val="24"/>
                <w:szCs w:val="24"/>
                <w:highlight w:val="none"/>
                <w:lang w:val="en-US" w:eastAsia="zh-CN"/>
              </w:rPr>
            </w:pPr>
          </w:p>
          <w:p w14:paraId="5C7470C7">
            <w:pPr>
              <w:pStyle w:val="76"/>
              <w:rPr>
                <w:rFonts w:hint="default" w:ascii="Times New Roman" w:hAnsi="Times New Roman" w:cs="Times New Roman"/>
                <w:b w:val="0"/>
                <w:bCs w:val="0"/>
                <w:color w:val="auto"/>
                <w:spacing w:val="0"/>
                <w:sz w:val="24"/>
                <w:szCs w:val="24"/>
                <w:highlight w:val="none"/>
                <w:lang w:val="en-US" w:eastAsia="zh-CN"/>
              </w:rPr>
            </w:pPr>
          </w:p>
          <w:p w14:paraId="7586FE6E">
            <w:pPr>
              <w:pStyle w:val="76"/>
              <w:rPr>
                <w:rFonts w:hint="default" w:ascii="Times New Roman" w:hAnsi="Times New Roman" w:cs="Times New Roman"/>
                <w:b w:val="0"/>
                <w:bCs w:val="0"/>
                <w:color w:val="auto"/>
                <w:spacing w:val="0"/>
                <w:sz w:val="24"/>
                <w:szCs w:val="24"/>
                <w:highlight w:val="none"/>
                <w:lang w:val="en-US" w:eastAsia="zh-CN"/>
              </w:rPr>
            </w:pPr>
          </w:p>
          <w:p w14:paraId="23BBCFD9">
            <w:pPr>
              <w:pStyle w:val="76"/>
              <w:rPr>
                <w:rFonts w:hint="default" w:ascii="Times New Roman" w:hAnsi="Times New Roman" w:cs="Times New Roman"/>
                <w:b w:val="0"/>
                <w:bCs w:val="0"/>
                <w:color w:val="auto"/>
                <w:spacing w:val="0"/>
                <w:sz w:val="24"/>
                <w:szCs w:val="24"/>
                <w:highlight w:val="none"/>
                <w:lang w:val="en-US" w:eastAsia="zh-CN"/>
              </w:rPr>
            </w:pPr>
          </w:p>
          <w:p w14:paraId="046ADA34">
            <w:pPr>
              <w:pStyle w:val="76"/>
              <w:rPr>
                <w:rFonts w:hint="default" w:ascii="Times New Roman" w:hAnsi="Times New Roman" w:cs="Times New Roman"/>
                <w:b w:val="0"/>
                <w:bCs w:val="0"/>
                <w:color w:val="auto"/>
                <w:spacing w:val="0"/>
                <w:sz w:val="24"/>
                <w:szCs w:val="24"/>
                <w:highlight w:val="none"/>
                <w:lang w:val="en-US" w:eastAsia="zh-CN"/>
              </w:rPr>
            </w:pPr>
          </w:p>
          <w:p w14:paraId="5A2B251A">
            <w:pPr>
              <w:pStyle w:val="76"/>
              <w:rPr>
                <w:rFonts w:hint="default" w:ascii="Times New Roman" w:hAnsi="Times New Roman" w:cs="Times New Roman"/>
                <w:b w:val="0"/>
                <w:bCs w:val="0"/>
                <w:color w:val="auto"/>
                <w:spacing w:val="0"/>
                <w:sz w:val="24"/>
                <w:szCs w:val="24"/>
                <w:highlight w:val="none"/>
                <w:lang w:val="en-US" w:eastAsia="zh-CN"/>
              </w:rPr>
            </w:pPr>
          </w:p>
          <w:p w14:paraId="09481F2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bCs/>
                <w:color w:val="auto"/>
                <w:spacing w:val="0"/>
                <w:sz w:val="24"/>
                <w:szCs w:val="24"/>
                <w:highlight w:val="none"/>
                <w:lang w:val="en-US" w:eastAsia="zh-CN"/>
              </w:rPr>
              <w:t>图3-3  全省地表水水质状况示意图</w:t>
            </w:r>
          </w:p>
          <w:p w14:paraId="3B73DCE5">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5、声环境质量现状</w:t>
            </w:r>
          </w:p>
          <w:p w14:paraId="1A902FC2">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根据监测结果可知，</w:t>
            </w:r>
            <w:r>
              <w:rPr>
                <w:rFonts w:hint="default" w:ascii="Times New Roman" w:hAnsi="Times New Roman" w:cs="Times New Roman"/>
                <w:color w:val="auto"/>
                <w:highlight w:val="none"/>
                <w:lang w:val="en-US" w:eastAsia="zh-CN"/>
              </w:rPr>
              <w:t>项目路线</w:t>
            </w:r>
            <w:r>
              <w:rPr>
                <w:rFonts w:hint="default" w:ascii="Times New Roman" w:hAnsi="Times New Roman" w:cs="Times New Roman"/>
                <w:color w:val="auto"/>
                <w:highlight w:val="none"/>
              </w:rPr>
              <w:t>各监测点昼、夜间监测值均可满足《声环境质量标准》（GB 3096-2008）中2、4a类标准。</w:t>
            </w:r>
          </w:p>
          <w:p w14:paraId="195281BB">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详细声环境质量现状详见《噪声专项评价报告》。</w:t>
            </w:r>
          </w:p>
          <w:p w14:paraId="723CCA5C">
            <w:pPr>
              <w:pStyle w:val="76"/>
              <w:rPr>
                <w:rFonts w:hint="default" w:ascii="Times New Roman" w:hAnsi="Times New Roman" w:cs="Times New Roman"/>
                <w:color w:val="auto"/>
                <w:highlight w:val="none"/>
              </w:rPr>
            </w:pPr>
          </w:p>
          <w:p w14:paraId="3400BE54">
            <w:pPr>
              <w:pStyle w:val="76"/>
              <w:rPr>
                <w:rFonts w:hint="default" w:ascii="Times New Roman" w:hAnsi="Times New Roman" w:cs="Times New Roman"/>
                <w:color w:val="auto"/>
                <w:highlight w:val="none"/>
              </w:rPr>
            </w:pPr>
          </w:p>
          <w:p w14:paraId="7D6BE99A">
            <w:pPr>
              <w:pStyle w:val="76"/>
              <w:rPr>
                <w:rFonts w:hint="default" w:ascii="Times New Roman" w:hAnsi="Times New Roman" w:cs="Times New Roman"/>
                <w:color w:val="auto"/>
                <w:highlight w:val="none"/>
              </w:rPr>
            </w:pPr>
          </w:p>
        </w:tc>
      </w:tr>
      <w:tr w14:paraId="7D5A17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730" w:type="dxa"/>
            <w:noWrap w:val="0"/>
            <w:vAlign w:val="center"/>
          </w:tcPr>
          <w:p w14:paraId="134D2CE7">
            <w:pPr>
              <w:adjustRightInd w:val="0"/>
              <w:snapToGrid w:val="0"/>
              <w:spacing w:line="240" w:lineRule="auto"/>
              <w:jc w:val="center"/>
              <w:rPr>
                <w:rFonts w:hint="default" w:ascii="Times New Roman" w:hAnsi="Times New Roman" w:cs="Times New Roman"/>
                <w:color w:val="auto"/>
                <w:kern w:val="0"/>
              </w:rPr>
            </w:pPr>
            <w:r>
              <w:rPr>
                <w:rFonts w:hint="default" w:ascii="Times New Roman" w:hAnsi="Times New Roman" w:cs="Times New Roman"/>
                <w:bCs/>
                <w:color w:val="auto"/>
              </w:rPr>
              <w:t>与项目有关的原有环境污染和生态破坏问题</w:t>
            </w:r>
          </w:p>
        </w:tc>
        <w:tc>
          <w:tcPr>
            <w:tcW w:w="7984" w:type="dxa"/>
            <w:noWrap w:val="0"/>
            <w:vAlign w:val="center"/>
          </w:tcPr>
          <w:p w14:paraId="02A0E3C9">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rPr>
            </w:pPr>
            <w:r>
              <w:rPr>
                <w:rFonts w:hint="default" w:ascii="Times New Roman" w:hAnsi="Times New Roman" w:cs="Times New Roman"/>
                <w:color w:val="auto"/>
              </w:rPr>
              <w:t>1、现有工程环保手续履行情况</w:t>
            </w:r>
          </w:p>
          <w:p w14:paraId="364C74C5">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sz w:val="24"/>
              </w:rPr>
            </w:pPr>
            <w:r>
              <w:rPr>
                <w:rFonts w:hint="default" w:ascii="Times New Roman" w:hAnsi="Times New Roman" w:cs="Times New Roman"/>
                <w:color w:val="auto"/>
              </w:rPr>
              <w:t>原有旧路</w:t>
            </w:r>
            <w:r>
              <w:rPr>
                <w:rFonts w:hint="default" w:ascii="Times New Roman" w:hAnsi="Times New Roman" w:cs="Times New Roman"/>
                <w:color w:val="auto"/>
                <w:lang w:val="en-US" w:eastAsia="zh-CN"/>
              </w:rPr>
              <w:t>于</w:t>
            </w:r>
            <w:r>
              <w:rPr>
                <w:rFonts w:hint="default" w:ascii="Times New Roman" w:hAnsi="Times New Roman" w:cs="Times New Roman"/>
                <w:color w:val="auto"/>
                <w:sz w:val="24"/>
              </w:rPr>
              <w:t>2010年建成通车，路面宽度8.5m，路基宽度10.5m，路面结构为24cm水泥混凝土面层+16cm 6%水泥稳定（80%砂砾+20%碎石）基层+20cm 5%水泥稳定（80%砂砾+20%碎石）</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道路两侧地势较为平坦，现有旧路路堤除村屯段外，平均填高为0.3m至3.5m，路基边坡坡率为1:1.5，路基边坡主要依靠边坡自然生长的草皮防护</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排水依靠原有路基修建时就近取土在两侧形成的土质边沟。路基密实稳定，路拱横坡基本保持不变，未出现边坡滑塌等变形</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旧路路基填料以粉质粘土为主，部分路段采用碎石土或风化砂。</w:t>
            </w:r>
          </w:p>
          <w:p w14:paraId="4170A7D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color w:val="auto"/>
                <w:sz w:val="24"/>
                <w:lang w:val="zh-TW"/>
              </w:rPr>
            </w:pPr>
            <w:r>
              <w:rPr>
                <w:rFonts w:hint="default" w:ascii="Times New Roman" w:hAnsi="Times New Roman" w:cs="Times New Roman"/>
                <w:color w:val="auto"/>
                <w:sz w:val="24"/>
              </w:rPr>
              <w:t>近来由于交通量逐年增大，重载车辆较多，冬季撒布融雪剂腐蚀路面，现在局部路面病害情况较为严重，部分路段存在重度中缝开裂，且存在板块破碎，少数路段路面产生板角断裂、麻面及坑槽等病害。由于麻面严重，K193+000-K195+000段于2022年加铺5cm沥青混凝土、K195+000-</w:t>
            </w:r>
            <w:r>
              <w:rPr>
                <w:rFonts w:hint="default" w:ascii="Times New Roman" w:hAnsi="Times New Roman" w:cs="Times New Roman"/>
                <w:color w:val="auto"/>
                <w:sz w:val="24"/>
                <w:lang w:val="en-US" w:eastAsia="zh-CN"/>
              </w:rPr>
              <w:t xml:space="preserve"> </w:t>
            </w:r>
            <w:r>
              <w:rPr>
                <w:rFonts w:hint="default" w:ascii="Times New Roman" w:hAnsi="Times New Roman" w:cs="Times New Roman"/>
                <w:color w:val="auto"/>
                <w:sz w:val="24"/>
              </w:rPr>
              <w:t>K198+000段于2021年加铺5cm沥青混凝土，现有沥青混凝土路面坑槽较多，一部分是沥青层较薄，撒布融雪剂腐蚀路面，经车碾压后形成坑槽；一部分是反射裂缝处粒料缺失形成坑槽。</w:t>
            </w:r>
          </w:p>
          <w:p w14:paraId="6B87F057">
            <w:pPr>
              <w:pStyle w:val="76"/>
              <w:rPr>
                <w:rFonts w:hint="eastAsia"/>
                <w:color w:val="auto"/>
              </w:rPr>
            </w:pPr>
            <w:r>
              <w:rPr>
                <w:rFonts w:hint="default" w:ascii="Times New Roman" w:hAnsi="Times New Roman" w:cs="Times New Roman"/>
                <w:color w:val="auto"/>
                <w:lang w:val="en-US" w:eastAsia="zh-CN"/>
              </w:rPr>
              <w:t>经调查，</w:t>
            </w:r>
            <w:r>
              <w:rPr>
                <w:rFonts w:hint="eastAsia"/>
                <w:color w:val="auto"/>
              </w:rPr>
              <w:t>由于原有旧路修建较早，无环境影响评价、竣工环境保护验收等手续。根据&lt;&lt;关于建设项目"未批先建"违法行为法律适用问题的意见&gt;&gt;(环政法函[2018]31号)</w:t>
            </w:r>
            <w:r>
              <w:rPr>
                <w:rFonts w:hint="eastAsia"/>
                <w:color w:val="auto"/>
                <w:lang w:eastAsia="zh-CN"/>
              </w:rPr>
              <w:t>：</w:t>
            </w:r>
            <w:r>
              <w:rPr>
                <w:rFonts w:hint="eastAsia"/>
                <w:color w:val="auto"/>
              </w:rPr>
              <w:t>"行政处罚法(2017年修订)规定，违法行为在两年内未被发现的，不再给予行政处罚"。本项目涉及的原有旧路于</w:t>
            </w:r>
            <w:r>
              <w:rPr>
                <w:rFonts w:hint="default" w:ascii="Times New Roman" w:hAnsi="Times New Roman" w:cs="Times New Roman"/>
                <w:color w:val="auto"/>
                <w:sz w:val="24"/>
              </w:rPr>
              <w:t>2010年建成通车</w:t>
            </w:r>
            <w:r>
              <w:rPr>
                <w:rFonts w:hint="eastAsia"/>
                <w:color w:val="auto"/>
              </w:rPr>
              <w:t>，因此，对原有旧路无环境影响评价不予处罚。</w:t>
            </w:r>
          </w:p>
          <w:p w14:paraId="10BDA5EC">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rPr>
            </w:pPr>
            <w:r>
              <w:rPr>
                <w:rFonts w:hint="default" w:ascii="Times New Roman" w:hAnsi="Times New Roman" w:cs="Times New Roman"/>
                <w:color w:val="auto"/>
              </w:rPr>
              <w:t>2、原有环境污染和生态破坏问题</w:t>
            </w:r>
          </w:p>
          <w:p w14:paraId="4BC538A0">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lang w:val="en-US" w:eastAsia="zh-CN"/>
              </w:rPr>
              <w:t>本次对原有道路两侧进行了调查，未发现未恢复的取弃土坑及临时堆土场，</w:t>
            </w:r>
            <w:r>
              <w:rPr>
                <w:rFonts w:hint="default" w:ascii="Times New Roman" w:hAnsi="Times New Roman" w:cs="Times New Roman"/>
                <w:color w:val="auto"/>
                <w:sz w:val="24"/>
                <w:szCs w:val="24"/>
              </w:rPr>
              <w:t>经调查，原有道路沿线植被生长良好，未发现历史遗留问题。现有主要污染为交通噪声、汽车尾气。</w:t>
            </w:r>
          </w:p>
          <w:p w14:paraId="578EC67D">
            <w:pPr>
              <w:pStyle w:val="22"/>
              <w:keepNext w:val="0"/>
              <w:keepLines w:val="0"/>
              <w:pageBreakBefore w:val="0"/>
              <w:widowControl w:val="0"/>
              <w:kinsoku/>
              <w:wordWrap/>
              <w:overflowPunct/>
              <w:topLinePunct w:val="0"/>
              <w:autoSpaceDE/>
              <w:autoSpaceDN/>
              <w:bidi w:val="0"/>
              <w:adjustRightInd/>
              <w:snapToGrid/>
              <w:spacing w:line="480" w:lineRule="exact"/>
              <w:ind w:left="0" w:leftChars="0" w:firstLine="480" w:firstLineChars="200"/>
              <w:textAlignment w:val="auto"/>
              <w:rPr>
                <w:rFonts w:hint="default" w:ascii="Times New Roman" w:hAnsi="Times New Roman" w:cs="Times New Roman"/>
                <w:smallCaps w:val="0"/>
                <w:color w:val="auto"/>
                <w:sz w:val="24"/>
                <w:szCs w:val="24"/>
                <w:lang w:val="en-US" w:eastAsia="zh-CN"/>
              </w:rPr>
            </w:pPr>
            <w:r>
              <w:rPr>
                <w:rFonts w:hint="default" w:ascii="Times New Roman" w:hAnsi="Times New Roman" w:cs="Times New Roman"/>
                <w:smallCaps w:val="0"/>
                <w:color w:val="auto"/>
                <w:sz w:val="24"/>
                <w:szCs w:val="24"/>
                <w:lang w:val="en-US" w:eastAsia="zh-CN"/>
              </w:rPr>
              <w:t>根据现场调查，现有路面存在</w:t>
            </w:r>
            <w:r>
              <w:rPr>
                <w:rFonts w:hint="default" w:ascii="Times New Roman" w:hAnsi="Times New Roman" w:cs="Times New Roman"/>
                <w:color w:val="auto"/>
                <w:sz w:val="24"/>
              </w:rPr>
              <w:t>板角断裂</w:t>
            </w:r>
            <w:r>
              <w:rPr>
                <w:rFonts w:hint="default" w:ascii="Times New Roman" w:hAnsi="Times New Roman" w:cs="Times New Roman"/>
                <w:color w:val="auto"/>
                <w:sz w:val="24"/>
                <w:lang w:eastAsia="zh-CN"/>
              </w:rPr>
              <w:t>、</w:t>
            </w:r>
            <w:r>
              <w:rPr>
                <w:rFonts w:hint="default" w:ascii="Times New Roman" w:hAnsi="Times New Roman" w:cs="Times New Roman"/>
                <w:smallCaps w:val="0"/>
                <w:color w:val="auto"/>
                <w:sz w:val="24"/>
                <w:szCs w:val="24"/>
                <w:lang w:val="en-US" w:eastAsia="zh-CN"/>
              </w:rPr>
              <w:t>麻面和坑槽，导致行车经过相应路段时，产生的噪声量增大。</w:t>
            </w:r>
          </w:p>
          <w:p w14:paraId="2AEC77DE">
            <w:pPr>
              <w:pStyle w:val="22"/>
              <w:keepNext w:val="0"/>
              <w:keepLines w:val="0"/>
              <w:pageBreakBefore w:val="0"/>
              <w:widowControl w:val="0"/>
              <w:kinsoku/>
              <w:wordWrap/>
              <w:overflowPunct/>
              <w:topLinePunct w:val="0"/>
              <w:autoSpaceDE/>
              <w:autoSpaceDN/>
              <w:bidi w:val="0"/>
              <w:adjustRightInd/>
              <w:snapToGrid/>
              <w:spacing w:line="480" w:lineRule="exact"/>
              <w:ind w:left="0" w:leftChars="0" w:firstLine="480" w:firstLineChars="20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24"/>
              </w:rPr>
              <w:t>根据</w:t>
            </w:r>
            <w:r>
              <w:rPr>
                <w:rFonts w:hint="default" w:ascii="Times New Roman" w:hAnsi="Times New Roman" w:cs="Times New Roman"/>
                <w:color w:val="auto"/>
                <w:sz w:val="24"/>
                <w:szCs w:val="24"/>
                <w:lang w:val="en-US" w:eastAsia="zh-CN"/>
              </w:rPr>
              <w:t>《2024年黑龙江省生态环境质量状况》</w:t>
            </w:r>
            <w:r>
              <w:rPr>
                <w:rFonts w:hint="default" w:ascii="Times New Roman" w:hAnsi="Times New Roman" w:cs="Times New Roman"/>
                <w:color w:val="auto"/>
                <w:sz w:val="24"/>
                <w:szCs w:val="24"/>
              </w:rPr>
              <w:t>，原有道路区域空气环境质量达标。根据对噪声现状监测结果分析，</w:t>
            </w:r>
            <w:r>
              <w:rPr>
                <w:rFonts w:hint="default" w:ascii="Times New Roman" w:hAnsi="Times New Roman" w:cs="Times New Roman"/>
                <w:color w:val="auto"/>
                <w:sz w:val="24"/>
                <w:szCs w:val="24"/>
                <w:lang w:val="en-US" w:eastAsia="zh-CN"/>
              </w:rPr>
              <w:t>各代表性敏感点的昼夜噪声监测值均满足</w:t>
            </w:r>
            <w:r>
              <w:rPr>
                <w:rFonts w:hint="default" w:ascii="Times New Roman" w:hAnsi="Times New Roman" w:cs="Times New Roman"/>
                <w:color w:val="auto"/>
                <w:sz w:val="24"/>
                <w:szCs w:val="24"/>
              </w:rPr>
              <w:t>《声环境质量标准》（GB3096-2008）中4a类</w:t>
            </w:r>
            <w:r>
              <w:rPr>
                <w:rFonts w:hint="default" w:ascii="Times New Roman" w:hAnsi="Times New Roman" w:cs="Times New Roman"/>
                <w:color w:val="auto"/>
                <w:sz w:val="24"/>
                <w:szCs w:val="24"/>
                <w:lang w:eastAsia="zh-CN"/>
              </w:rPr>
              <w:t>、</w:t>
            </w:r>
            <w:r>
              <w:rPr>
                <w:rFonts w:hint="default" w:ascii="Times New Roman" w:hAnsi="Times New Roman" w:cs="Times New Roman"/>
                <w:color w:val="auto"/>
                <w:sz w:val="24"/>
                <w:szCs w:val="24"/>
                <w:lang w:val="en-US" w:eastAsia="zh-CN"/>
              </w:rPr>
              <w:t>2类</w:t>
            </w:r>
            <w:r>
              <w:rPr>
                <w:rFonts w:hint="default" w:ascii="Times New Roman" w:hAnsi="Times New Roman" w:cs="Times New Roman"/>
                <w:color w:val="auto"/>
                <w:sz w:val="24"/>
                <w:szCs w:val="24"/>
              </w:rPr>
              <w:t>标准</w:t>
            </w:r>
            <w:r>
              <w:rPr>
                <w:rFonts w:hint="default" w:ascii="Times New Roman" w:hAnsi="Times New Roman" w:cs="Times New Roman"/>
                <w:color w:val="auto"/>
                <w:sz w:val="24"/>
                <w:szCs w:val="24"/>
                <w:lang w:eastAsia="zh-CN"/>
              </w:rPr>
              <w:t>。</w:t>
            </w:r>
          </w:p>
          <w:p w14:paraId="09DE41B7">
            <w:pPr>
              <w:pStyle w:val="76"/>
              <w:rPr>
                <w:rFonts w:hint="default" w:ascii="Times New Roman" w:hAnsi="Times New Roman" w:cs="Times New Roman"/>
                <w:color w:val="auto"/>
              </w:rPr>
            </w:pPr>
            <w:r>
              <w:rPr>
                <w:rFonts w:hint="default" w:ascii="Times New Roman" w:hAnsi="Times New Roman" w:cs="Times New Roman"/>
                <w:color w:val="auto"/>
              </w:rPr>
              <w:t>综上所述，</w:t>
            </w:r>
            <w:r>
              <w:rPr>
                <w:rFonts w:hint="default" w:ascii="Times New Roman" w:hAnsi="Times New Roman" w:cs="Times New Roman"/>
                <w:color w:val="auto"/>
                <w:lang w:val="en-US" w:eastAsia="zh-CN"/>
              </w:rPr>
              <w:t>未发现</w:t>
            </w:r>
            <w:r>
              <w:rPr>
                <w:rFonts w:hint="default" w:ascii="Times New Roman" w:hAnsi="Times New Roman" w:cs="Times New Roman"/>
                <w:color w:val="auto"/>
              </w:rPr>
              <w:t>原有工程存在环境污染和生态破坏问题。</w:t>
            </w:r>
          </w:p>
          <w:p w14:paraId="54FE0298">
            <w:pPr>
              <w:pStyle w:val="76"/>
              <w:ind w:left="0" w:leftChars="0" w:firstLine="0" w:firstLineChars="0"/>
              <w:rPr>
                <w:rFonts w:hint="default" w:ascii="Times New Roman" w:hAnsi="Times New Roman" w:cs="Times New Roman"/>
                <w:color w:val="auto"/>
                <w:szCs w:val="21"/>
              </w:rPr>
            </w:pPr>
          </w:p>
        </w:tc>
      </w:tr>
      <w:tr w14:paraId="75FB9D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05" w:hRule="atLeast"/>
          <w:jc w:val="center"/>
        </w:trPr>
        <w:tc>
          <w:tcPr>
            <w:tcW w:w="730" w:type="dxa"/>
            <w:noWrap w:val="0"/>
            <w:vAlign w:val="center"/>
          </w:tcPr>
          <w:p w14:paraId="7C988DD2">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生态环境保护目标</w:t>
            </w:r>
          </w:p>
        </w:tc>
        <w:tc>
          <w:tcPr>
            <w:tcW w:w="7984" w:type="dxa"/>
            <w:noWrap w:val="0"/>
            <w:vAlign w:val="center"/>
          </w:tcPr>
          <w:p w14:paraId="591330FD">
            <w:pPr>
              <w:keepNext w:val="0"/>
              <w:keepLines w:val="0"/>
              <w:pageBreakBefore w:val="0"/>
              <w:widowControl w:val="0"/>
              <w:kinsoku/>
              <w:wordWrap/>
              <w:overflowPunct/>
              <w:topLinePunct w:val="0"/>
              <w:autoSpaceDE/>
              <w:autoSpaceDN/>
              <w:bidi w:val="0"/>
              <w:adjustRightInd/>
              <w:snapToGrid/>
              <w:spacing w:line="480" w:lineRule="exact"/>
              <w:ind w:firstLine="422"/>
              <w:textAlignment w:val="auto"/>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1、大气环境保护目标</w:t>
            </w:r>
          </w:p>
          <w:p w14:paraId="2A1F6D0D">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根据《环境影响评价技术导则 公路建设项目》(HJ 1358-2024)，大气环境保护目标包括主要集中式排放源（如特长隧道洞口、长隧道洞口、通风井洞口、服务区）周围200m范围内的居住区、文化区和农村地区中人群较集中的区域。</w:t>
            </w:r>
          </w:p>
          <w:p w14:paraId="6A03CE7F">
            <w:pPr>
              <w:keepNext w:val="0"/>
              <w:keepLines w:val="0"/>
              <w:pageBreakBefore w:val="0"/>
              <w:widowControl w:val="0"/>
              <w:kinsoku/>
              <w:wordWrap/>
              <w:overflowPunct/>
              <w:topLinePunct w:val="0"/>
              <w:autoSpaceDE/>
              <w:autoSpaceDN/>
              <w:bidi w:val="0"/>
              <w:adjustRightInd/>
              <w:snapToGrid/>
              <w:spacing w:line="480" w:lineRule="exact"/>
              <w:ind w:firstLine="42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本项目无特长隧道洞口、长隧道洞口、通风井洞口、服务区等集中式排放源。经调查，本项目</w:t>
            </w:r>
            <w:r>
              <w:rPr>
                <w:rFonts w:hint="default" w:ascii="Times New Roman" w:hAnsi="Times New Roman" w:cs="Times New Roman"/>
                <w:color w:val="auto"/>
                <w:kern w:val="0"/>
                <w:highlight w:val="none"/>
                <w:lang w:bidi="ar"/>
              </w:rPr>
              <w:t>施工</w:t>
            </w:r>
            <w:r>
              <w:rPr>
                <w:rFonts w:hint="default" w:ascii="Times New Roman" w:hAnsi="Times New Roman" w:cs="Times New Roman"/>
                <w:color w:val="auto"/>
                <w:kern w:val="0"/>
                <w:highlight w:val="none"/>
                <w:lang w:val="en-US" w:eastAsia="zh-CN" w:bidi="ar"/>
              </w:rPr>
              <w:t>驻地</w:t>
            </w:r>
            <w:r>
              <w:rPr>
                <w:rFonts w:hint="default" w:ascii="Times New Roman" w:hAnsi="Times New Roman" w:cs="Times New Roman"/>
                <w:color w:val="auto"/>
                <w:highlight w:val="none"/>
              </w:rPr>
              <w:t>、</w:t>
            </w:r>
            <w:r>
              <w:rPr>
                <w:rFonts w:hint="eastAsia" w:cs="Times New Roman"/>
                <w:color w:val="auto"/>
                <w:highlight w:val="none"/>
                <w:lang w:val="en-US" w:eastAsia="zh-CN"/>
              </w:rPr>
              <w:t>沥青混凝土拌合站</w:t>
            </w:r>
            <w:r>
              <w:rPr>
                <w:rFonts w:hint="default" w:ascii="Times New Roman" w:hAnsi="Times New Roman" w:cs="Times New Roman"/>
                <w:color w:val="auto"/>
                <w:highlight w:val="none"/>
              </w:rPr>
              <w:t>周围200m范围内无居住区、文化区和农村地区中人群较集中的区域。</w:t>
            </w:r>
          </w:p>
          <w:p w14:paraId="2ADF6952">
            <w:pPr>
              <w:pStyle w:val="76"/>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因此，本项目不设置大气环境保护目标。</w:t>
            </w:r>
          </w:p>
          <w:p w14:paraId="73C664AE">
            <w:pPr>
              <w:keepNext w:val="0"/>
              <w:keepLines w:val="0"/>
              <w:pageBreakBefore w:val="0"/>
              <w:widowControl w:val="0"/>
              <w:kinsoku/>
              <w:wordWrap/>
              <w:overflowPunct/>
              <w:topLinePunct w:val="0"/>
              <w:autoSpaceDE/>
              <w:autoSpaceDN/>
              <w:bidi w:val="0"/>
              <w:snapToGrid/>
              <w:spacing w:line="480" w:lineRule="exact"/>
              <w:ind w:firstLine="422"/>
              <w:textAlignment w:val="auto"/>
              <w:rPr>
                <w:rFonts w:hint="default" w:ascii="Times New Roman" w:hAnsi="Times New Roman" w:cs="Times New Roman"/>
                <w:b/>
                <w:bCs/>
                <w:color w:val="auto"/>
              </w:rPr>
            </w:pPr>
            <w:r>
              <w:rPr>
                <w:rFonts w:hint="default" w:ascii="Times New Roman" w:hAnsi="Times New Roman" w:cs="Times New Roman"/>
                <w:b/>
                <w:bCs/>
                <w:color w:val="auto"/>
              </w:rPr>
              <w:t>2、地表水保护目标</w:t>
            </w:r>
          </w:p>
          <w:p w14:paraId="49CF540F">
            <w:pPr>
              <w:keepNext w:val="0"/>
              <w:keepLines w:val="0"/>
              <w:pageBreakBefore w:val="0"/>
              <w:widowControl w:val="0"/>
              <w:kinsoku/>
              <w:wordWrap/>
              <w:overflowPunct/>
              <w:topLinePunct w:val="0"/>
              <w:autoSpaceDE/>
              <w:autoSpaceDN/>
              <w:bidi w:val="0"/>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本项目</w:t>
            </w:r>
            <w:r>
              <w:rPr>
                <w:rFonts w:hint="default" w:ascii="Times New Roman" w:hAnsi="Times New Roman" w:cs="Times New Roman"/>
                <w:color w:val="auto"/>
                <w:lang w:val="en-US" w:eastAsia="zh-CN"/>
              </w:rPr>
              <w:t>附近地表水体为偏脸河</w:t>
            </w:r>
            <w:r>
              <w:rPr>
                <w:rFonts w:hint="default" w:ascii="Times New Roman" w:hAnsi="Times New Roman" w:cs="Times New Roman"/>
                <w:color w:val="auto"/>
              </w:rPr>
              <w:t>，根据《全国重要江河湖泊水功能区划（2011-2030年）（黑龙江省）》，</w:t>
            </w:r>
            <w:r>
              <w:rPr>
                <w:rFonts w:hint="default" w:ascii="Times New Roman" w:hAnsi="Times New Roman" w:cs="Times New Roman"/>
                <w:color w:val="auto"/>
                <w:lang w:val="en-US" w:eastAsia="zh-CN"/>
              </w:rPr>
              <w:t>偏脸河</w:t>
            </w:r>
            <w:r>
              <w:rPr>
                <w:rFonts w:hint="default" w:ascii="Times New Roman" w:hAnsi="Times New Roman" w:cs="Times New Roman"/>
                <w:color w:val="auto"/>
              </w:rPr>
              <w:t>无水体功能类别，</w:t>
            </w:r>
            <w:r>
              <w:rPr>
                <w:rFonts w:hint="default" w:ascii="Times New Roman" w:hAnsi="Times New Roman" w:cs="Times New Roman"/>
                <w:color w:val="auto"/>
                <w:lang w:val="en-US" w:eastAsia="zh-CN"/>
              </w:rPr>
              <w:t>偏脸河</w:t>
            </w:r>
            <w:r>
              <w:rPr>
                <w:rFonts w:hint="default" w:ascii="Times New Roman" w:hAnsi="Times New Roman" w:cs="Times New Roman"/>
                <w:color w:val="auto"/>
              </w:rPr>
              <w:t>汇入</w:t>
            </w:r>
            <w:r>
              <w:rPr>
                <w:rFonts w:hint="default" w:ascii="Times New Roman" w:hAnsi="Times New Roman" w:cs="Times New Roman"/>
                <w:color w:val="auto"/>
                <w:lang w:val="en-US" w:eastAsia="zh-CN"/>
              </w:rPr>
              <w:t>穆棱河</w:t>
            </w:r>
            <w:r>
              <w:rPr>
                <w:rFonts w:hint="default" w:ascii="Times New Roman" w:hAnsi="Times New Roman" w:cs="Times New Roman"/>
                <w:color w:val="auto"/>
              </w:rPr>
              <w:t>，本项目所在地断面为</w:t>
            </w:r>
            <w:r>
              <w:rPr>
                <w:rFonts w:hint="default" w:ascii="Times New Roman" w:hAnsi="Times New Roman" w:eastAsia="宋体" w:cs="Times New Roman"/>
                <w:color w:val="auto"/>
                <w:sz w:val="24"/>
                <w:szCs w:val="24"/>
                <w:highlight w:val="none"/>
              </w:rPr>
              <w:t>穆棱河</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b w:val="0"/>
                <w:bCs w:val="0"/>
                <w:color w:val="auto"/>
                <w:spacing w:val="0"/>
                <w:sz w:val="24"/>
                <w:szCs w:val="24"/>
                <w:highlight w:val="none"/>
                <w:lang w:val="en-US" w:eastAsia="zh-CN"/>
              </w:rPr>
              <w:t>鸡古路西100m-凯北站</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rPr>
              <w:t>，水质目标为Ⅲ类区。</w:t>
            </w:r>
          </w:p>
          <w:p w14:paraId="0836DB86">
            <w:pPr>
              <w:pStyle w:val="95"/>
              <w:keepNext w:val="0"/>
              <w:keepLines w:val="0"/>
              <w:pageBreakBefore w:val="0"/>
              <w:widowControl w:val="0"/>
              <w:kinsoku/>
              <w:wordWrap/>
              <w:overflowPunct/>
              <w:topLinePunct w:val="0"/>
              <w:autoSpaceDE/>
              <w:autoSpaceDN/>
              <w:bidi w:val="0"/>
              <w:snapToGrid/>
              <w:spacing w:line="480" w:lineRule="exact"/>
              <w:ind w:firstLine="0" w:firstLineChars="0"/>
              <w:jc w:val="center"/>
              <w:textAlignment w:val="auto"/>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表3-</w:t>
            </w:r>
            <w:r>
              <w:rPr>
                <w:rFonts w:hint="default" w:ascii="Times New Roman" w:hAnsi="Times New Roman" w:cs="Times New Roman"/>
                <w:b/>
                <w:color w:val="auto"/>
                <w:kern w:val="0"/>
                <w:sz w:val="24"/>
                <w:szCs w:val="24"/>
                <w:lang w:val="en-US" w:eastAsia="zh-CN"/>
              </w:rPr>
              <w:t>3</w:t>
            </w:r>
            <w:r>
              <w:rPr>
                <w:rFonts w:hint="default" w:ascii="Times New Roman" w:hAnsi="Times New Roman" w:cs="Times New Roman"/>
                <w:b/>
                <w:color w:val="auto"/>
                <w:kern w:val="0"/>
                <w:sz w:val="24"/>
                <w:szCs w:val="24"/>
              </w:rPr>
              <w:t xml:space="preserve">  </w:t>
            </w:r>
            <w:r>
              <w:rPr>
                <w:rFonts w:hint="eastAsia" w:ascii="Times New Roman" w:hAnsi="Times New Roman" w:cs="Times New Roman"/>
                <w:b/>
                <w:color w:val="auto"/>
                <w:kern w:val="0"/>
                <w:sz w:val="24"/>
                <w:szCs w:val="24"/>
                <w:lang w:val="en-US" w:eastAsia="zh-CN"/>
              </w:rPr>
              <w:t xml:space="preserve"> </w:t>
            </w:r>
            <w:r>
              <w:rPr>
                <w:rFonts w:hint="default" w:ascii="Times New Roman" w:hAnsi="Times New Roman" w:cs="Times New Roman"/>
                <w:b/>
                <w:color w:val="auto"/>
                <w:kern w:val="0"/>
                <w:sz w:val="24"/>
                <w:szCs w:val="24"/>
              </w:rPr>
              <w:t>地表水环境保护目标</w:t>
            </w:r>
          </w:p>
          <w:tbl>
            <w:tblPr>
              <w:tblStyle w:val="3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11"/>
              <w:gridCol w:w="1344"/>
              <w:gridCol w:w="1959"/>
              <w:gridCol w:w="1254"/>
              <w:gridCol w:w="2397"/>
            </w:tblGrid>
            <w:tr w14:paraId="27C944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22" w:type="pct"/>
                  <w:vAlign w:val="center"/>
                </w:tcPr>
                <w:p w14:paraId="06915293">
                  <w:pPr>
                    <w:pStyle w:val="96"/>
                    <w:spacing w:line="320" w:lineRule="exact"/>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序号</w:t>
                  </w:r>
                </w:p>
              </w:tc>
              <w:tc>
                <w:tcPr>
                  <w:tcW w:w="865" w:type="pct"/>
                  <w:vAlign w:val="center"/>
                </w:tcPr>
                <w:p w14:paraId="78CF0B5A">
                  <w:pPr>
                    <w:pStyle w:val="96"/>
                    <w:spacing w:line="320" w:lineRule="exact"/>
                    <w:ind w:firstLine="0" w:firstLineChars="0"/>
                    <w:jc w:val="center"/>
                    <w:rPr>
                      <w:rFonts w:hint="default" w:ascii="Times New Roman" w:hAnsi="Times New Roman" w:cs="Times New Roman"/>
                      <w:color w:val="auto"/>
                      <w:sz w:val="21"/>
                      <w:szCs w:val="21"/>
                      <w:lang w:val="en-GB"/>
                    </w:rPr>
                  </w:pPr>
                  <w:r>
                    <w:rPr>
                      <w:rFonts w:hint="default" w:ascii="Times New Roman" w:hAnsi="Times New Roman" w:cs="Times New Roman"/>
                      <w:color w:val="auto"/>
                      <w:sz w:val="21"/>
                      <w:szCs w:val="21"/>
                      <w:lang w:val="en-GB"/>
                    </w:rPr>
                    <w:t>保护目标</w:t>
                  </w:r>
                </w:p>
              </w:tc>
              <w:tc>
                <w:tcPr>
                  <w:tcW w:w="1261" w:type="pct"/>
                  <w:vAlign w:val="center"/>
                </w:tcPr>
                <w:p w14:paraId="0AEE96F0">
                  <w:pPr>
                    <w:pStyle w:val="96"/>
                    <w:spacing w:line="320" w:lineRule="exact"/>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与工程位置关系</w:t>
                  </w:r>
                </w:p>
              </w:tc>
              <w:tc>
                <w:tcPr>
                  <w:tcW w:w="807" w:type="pct"/>
                  <w:vAlign w:val="center"/>
                </w:tcPr>
                <w:p w14:paraId="34F59339">
                  <w:pPr>
                    <w:pStyle w:val="96"/>
                    <w:spacing w:line="320" w:lineRule="exact"/>
                    <w:ind w:firstLine="0" w:firstLineChars="0"/>
                    <w:jc w:val="center"/>
                    <w:rPr>
                      <w:rFonts w:hint="default" w:ascii="Times New Roman" w:hAnsi="Times New Roman" w:cs="Times New Roman"/>
                      <w:color w:val="auto"/>
                      <w:sz w:val="21"/>
                      <w:szCs w:val="21"/>
                      <w:lang w:val="en-GB"/>
                    </w:rPr>
                  </w:pPr>
                  <w:r>
                    <w:rPr>
                      <w:rFonts w:hint="default" w:ascii="Times New Roman" w:hAnsi="Times New Roman" w:cs="Times New Roman"/>
                      <w:color w:val="auto"/>
                      <w:sz w:val="21"/>
                      <w:szCs w:val="21"/>
                      <w:lang w:val="en-GB"/>
                    </w:rPr>
                    <w:t>保护内容</w:t>
                  </w:r>
                </w:p>
              </w:tc>
              <w:tc>
                <w:tcPr>
                  <w:tcW w:w="1543" w:type="pct"/>
                  <w:vAlign w:val="center"/>
                </w:tcPr>
                <w:p w14:paraId="00241463">
                  <w:pPr>
                    <w:pStyle w:val="96"/>
                    <w:spacing w:line="320" w:lineRule="exact"/>
                    <w:ind w:firstLine="0" w:firstLineChars="0"/>
                    <w:jc w:val="center"/>
                    <w:rPr>
                      <w:rFonts w:hint="default" w:ascii="Times New Roman" w:hAnsi="Times New Roman" w:cs="Times New Roman"/>
                      <w:color w:val="auto"/>
                      <w:sz w:val="21"/>
                      <w:szCs w:val="21"/>
                      <w:lang w:val="en-GB"/>
                    </w:rPr>
                  </w:pPr>
                  <w:r>
                    <w:rPr>
                      <w:rFonts w:hint="default" w:ascii="Times New Roman" w:hAnsi="Times New Roman" w:cs="Times New Roman"/>
                      <w:color w:val="auto"/>
                      <w:sz w:val="21"/>
                      <w:szCs w:val="21"/>
                      <w:lang w:val="en-GB"/>
                    </w:rPr>
                    <w:t>功能区划</w:t>
                  </w:r>
                </w:p>
              </w:tc>
            </w:tr>
            <w:tr w14:paraId="6A6E6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522" w:type="pct"/>
                  <w:vAlign w:val="center"/>
                </w:tcPr>
                <w:p w14:paraId="7217BFE7">
                  <w:pPr>
                    <w:pStyle w:val="96"/>
                    <w:spacing w:line="320" w:lineRule="exact"/>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865" w:type="pct"/>
                  <w:vAlign w:val="center"/>
                </w:tcPr>
                <w:p w14:paraId="2B7DEC52">
                  <w:pPr>
                    <w:pStyle w:val="96"/>
                    <w:spacing w:line="320" w:lineRule="exact"/>
                    <w:ind w:firstLine="0" w:firstLineChars="0"/>
                    <w:jc w:val="center"/>
                    <w:rPr>
                      <w:rFonts w:hint="default" w:ascii="Times New Roman" w:hAnsi="Times New Roman" w:cs="Times New Roman"/>
                      <w:color w:val="auto"/>
                      <w:sz w:val="21"/>
                      <w:szCs w:val="21"/>
                      <w:lang w:val="en-GB"/>
                    </w:rPr>
                  </w:pPr>
                  <w:r>
                    <w:rPr>
                      <w:rFonts w:hint="default" w:ascii="Times New Roman" w:hAnsi="Times New Roman" w:cs="Times New Roman"/>
                      <w:color w:val="auto"/>
                      <w:sz w:val="21"/>
                      <w:szCs w:val="21"/>
                      <w:lang w:val="en-GB" w:eastAsia="zh-CN"/>
                    </w:rPr>
                    <w:t>偏脸河</w:t>
                  </w:r>
                </w:p>
              </w:tc>
              <w:tc>
                <w:tcPr>
                  <w:tcW w:w="1261" w:type="pct"/>
                  <w:vAlign w:val="center"/>
                </w:tcPr>
                <w:p w14:paraId="3D0C6FF3">
                  <w:pPr>
                    <w:pStyle w:val="96"/>
                    <w:spacing w:line="320" w:lineRule="exact"/>
                    <w:ind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val="en-US" w:eastAsia="zh-CN"/>
                    </w:rPr>
                    <w:t>并行</w:t>
                  </w:r>
                </w:p>
              </w:tc>
              <w:tc>
                <w:tcPr>
                  <w:tcW w:w="807" w:type="pct"/>
                  <w:vAlign w:val="center"/>
                </w:tcPr>
                <w:p w14:paraId="7AD56D93">
                  <w:pPr>
                    <w:pStyle w:val="96"/>
                    <w:spacing w:line="320" w:lineRule="exact"/>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确保河流水质不受污染</w:t>
                  </w:r>
                </w:p>
              </w:tc>
              <w:tc>
                <w:tcPr>
                  <w:tcW w:w="1543" w:type="pct"/>
                  <w:vAlign w:val="center"/>
                </w:tcPr>
                <w:p w14:paraId="29B7CDCD">
                  <w:pPr>
                    <w:pStyle w:val="96"/>
                    <w:spacing w:line="320" w:lineRule="exact"/>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参照《地表水环境质量标准》（GB3838-2002）Ⅲ类</w:t>
                  </w:r>
                </w:p>
              </w:tc>
            </w:tr>
          </w:tbl>
          <w:p w14:paraId="3312EA2E">
            <w:pPr>
              <w:keepNext w:val="0"/>
              <w:keepLines w:val="0"/>
              <w:pageBreakBefore w:val="0"/>
              <w:widowControl w:val="0"/>
              <w:kinsoku/>
              <w:wordWrap/>
              <w:overflowPunct/>
              <w:topLinePunct w:val="0"/>
              <w:autoSpaceDE/>
              <w:autoSpaceDN/>
              <w:bidi w:val="0"/>
              <w:adjustRightInd/>
              <w:snapToGrid/>
              <w:spacing w:line="480" w:lineRule="exact"/>
              <w:ind w:firstLine="422"/>
              <w:textAlignment w:val="auto"/>
              <w:rPr>
                <w:rFonts w:hint="default" w:ascii="Times New Roman" w:hAnsi="Times New Roman" w:cs="Times New Roman"/>
                <w:b/>
                <w:bCs/>
                <w:color w:val="auto"/>
              </w:rPr>
            </w:pPr>
            <w:r>
              <w:rPr>
                <w:rFonts w:hint="default" w:ascii="Times New Roman" w:hAnsi="Times New Roman" w:cs="Times New Roman"/>
                <w:b/>
                <w:bCs/>
                <w:color w:val="auto"/>
              </w:rPr>
              <w:t>3、地下水保护目标</w:t>
            </w:r>
          </w:p>
          <w:p w14:paraId="3B2D7E5C">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根据《环境影响评价技术导则 公路建设项目》（HJ1358-2024）：“7.2.4.2 其他区段，一般情况下不设置评价范围；当路中心线两侧各200m及两端各延长200m的范围与地下水饮用水水源保护区（或饮用水取水井）范围有空间交叠时应将整个水源保护区（饮用水取水井群区）纳入评价范围。”</w:t>
            </w:r>
          </w:p>
          <w:p w14:paraId="1FA84EAD">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通过《黑龙江省生态环境分区管控数据应用平台》查询，</w:t>
            </w:r>
            <w:r>
              <w:rPr>
                <w:rFonts w:hint="default" w:ascii="Times New Roman" w:hAnsi="Times New Roman" w:cs="Times New Roman"/>
                <w:color w:val="auto"/>
                <w:lang w:val="en-US" w:eastAsia="zh-CN"/>
              </w:rPr>
              <w:t>并对</w:t>
            </w:r>
            <w:r>
              <w:rPr>
                <w:rFonts w:hint="default" w:ascii="Times New Roman" w:hAnsi="Times New Roman" w:cs="Times New Roman"/>
                <w:color w:val="auto"/>
              </w:rPr>
              <w:t>本项目道路中线两侧各200m及两端各延长200m的范围进行了实地调查核实，确定该范围内无地下水饮用水水源保护区。</w:t>
            </w:r>
          </w:p>
          <w:p w14:paraId="3BB5212A">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因此，本项目不设置地下水环境影响评价范围，本项目无地下水环境保护目标。</w:t>
            </w:r>
          </w:p>
          <w:p w14:paraId="46C6A26C">
            <w:pPr>
              <w:ind w:firstLine="470"/>
              <w:rPr>
                <w:rFonts w:hint="default" w:ascii="Times New Roman" w:hAnsi="Times New Roman" w:eastAsia="宋体" w:cs="Times New Roman"/>
                <w:b/>
                <w:bCs/>
                <w:color w:val="auto"/>
                <w:lang w:val="en-US" w:eastAsia="zh-CN"/>
              </w:rPr>
            </w:pPr>
            <w:r>
              <w:rPr>
                <w:rFonts w:hint="default" w:ascii="Times New Roman" w:hAnsi="Times New Roman" w:cs="Times New Roman"/>
                <w:b/>
                <w:bCs/>
                <w:color w:val="auto"/>
                <w:lang w:val="en-US" w:eastAsia="zh-CN"/>
              </w:rPr>
              <w:t>4、生态环境保护目标</w:t>
            </w:r>
          </w:p>
          <w:p w14:paraId="62EFB8C9">
            <w:pPr>
              <w:ind w:firstLine="470"/>
              <w:rPr>
                <w:rFonts w:hint="default" w:ascii="Times New Roman" w:hAnsi="Times New Roman" w:cs="Times New Roman"/>
                <w:color w:val="auto"/>
              </w:rPr>
            </w:pPr>
            <w:r>
              <w:rPr>
                <w:rFonts w:hint="default" w:ascii="Times New Roman" w:hAnsi="Times New Roman" w:cs="Times New Roman"/>
                <w:color w:val="auto"/>
              </w:rPr>
              <w:t>根据</w:t>
            </w:r>
            <w:r>
              <w:rPr>
                <w:rFonts w:hint="default" w:ascii="Times New Roman" w:hAnsi="Times New Roman" w:eastAsia="宋体" w:cs="Times New Roman"/>
                <w:color w:val="auto"/>
                <w:kern w:val="0"/>
                <w:sz w:val="24"/>
                <w:szCs w:val="24"/>
                <w:lang w:val="en-US" w:eastAsia="zh-CN" w:bidi="ar-SA"/>
              </w:rPr>
              <w:t>密山市“三区三线”划定成果，本项目评价范围内</w:t>
            </w:r>
            <w:r>
              <w:rPr>
                <w:rFonts w:hint="default" w:ascii="Times New Roman" w:hAnsi="Times New Roman" w:cs="Times New Roman"/>
                <w:color w:val="auto"/>
                <w:kern w:val="0"/>
                <w:sz w:val="24"/>
                <w:szCs w:val="24"/>
                <w:lang w:val="en-US" w:eastAsia="zh-CN" w:bidi="ar-SA"/>
              </w:rPr>
              <w:t>不</w:t>
            </w:r>
            <w:r>
              <w:rPr>
                <w:rFonts w:hint="default" w:ascii="Times New Roman" w:hAnsi="Times New Roman" w:eastAsia="宋体" w:cs="Times New Roman"/>
                <w:color w:val="auto"/>
                <w:kern w:val="0"/>
                <w:sz w:val="24"/>
                <w:szCs w:val="24"/>
                <w:lang w:val="en-US" w:eastAsia="zh-CN" w:bidi="ar-SA"/>
              </w:rPr>
              <w:t>涉及自然保护区、风景名胜区、地质公园等自然保护地，不涉及重要生境。</w:t>
            </w:r>
            <w:r>
              <w:rPr>
                <w:rFonts w:hint="default" w:ascii="Times New Roman" w:hAnsi="Times New Roman" w:cs="Times New Roman"/>
                <w:color w:val="auto"/>
              </w:rPr>
              <w:t>根据本项目的选址周围环境状况及其排污特点和环境影响特征，其主要环境保护目标详见表</w:t>
            </w:r>
            <w:r>
              <w:rPr>
                <w:rFonts w:hint="default" w:ascii="Times New Roman" w:hAnsi="Times New Roman" w:cs="Times New Roman"/>
                <w:color w:val="auto"/>
                <w:lang w:val="en-US" w:eastAsia="zh-CN"/>
              </w:rPr>
              <w:t>3-4</w:t>
            </w:r>
            <w:r>
              <w:rPr>
                <w:rFonts w:hint="default" w:ascii="Times New Roman" w:hAnsi="Times New Roman" w:cs="Times New Roman"/>
                <w:color w:val="auto"/>
              </w:rPr>
              <w:t>。</w:t>
            </w:r>
          </w:p>
          <w:p w14:paraId="5F4DCD9E">
            <w:pPr>
              <w:pStyle w:val="72"/>
              <w:spacing w:line="240" w:lineRule="auto"/>
              <w:rPr>
                <w:rFonts w:hint="default" w:ascii="Times New Roman" w:hAnsi="Times New Roman" w:eastAsia="宋体" w:cs="Times New Roman"/>
                <w:color w:val="auto"/>
              </w:rPr>
            </w:pPr>
            <w:r>
              <w:rPr>
                <w:rFonts w:hint="default" w:ascii="Times New Roman" w:hAnsi="Times New Roman" w:eastAsia="宋体" w:cs="Times New Roman"/>
                <w:b/>
                <w:bCs/>
                <w:color w:val="auto"/>
              </w:rPr>
              <w:t>表</w:t>
            </w:r>
            <w:r>
              <w:rPr>
                <w:rFonts w:hint="default" w:ascii="Times New Roman" w:hAnsi="Times New Roman" w:eastAsia="宋体" w:cs="Times New Roman"/>
                <w:b/>
                <w:bCs/>
                <w:color w:val="auto"/>
                <w:lang w:val="en-US" w:eastAsia="zh-CN"/>
              </w:rPr>
              <w:t xml:space="preserve">3-4 </w:t>
            </w:r>
            <w:r>
              <w:rPr>
                <w:rFonts w:hint="default" w:ascii="Times New Roman" w:hAnsi="Times New Roman" w:eastAsia="宋体" w:cs="Times New Roman"/>
                <w:b/>
                <w:bCs/>
                <w:color w:val="auto"/>
              </w:rPr>
              <w:t xml:space="preserve"> 生态环境保护目标</w:t>
            </w:r>
          </w:p>
          <w:tbl>
            <w:tblPr>
              <w:tblStyle w:val="30"/>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50"/>
              <w:gridCol w:w="1438"/>
              <w:gridCol w:w="2014"/>
              <w:gridCol w:w="3666"/>
            </w:tblGrid>
            <w:tr w14:paraId="759C216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8" w:type="pct"/>
                  <w:tcBorders>
                    <w:tl2br w:val="nil"/>
                    <w:tr2bl w:val="nil"/>
                  </w:tcBorders>
                  <w:noWrap w:val="0"/>
                  <w:vAlign w:val="center"/>
                </w:tcPr>
                <w:p w14:paraId="2095452B">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序号</w:t>
                  </w:r>
                </w:p>
              </w:tc>
              <w:tc>
                <w:tcPr>
                  <w:tcW w:w="925" w:type="pct"/>
                  <w:tcBorders>
                    <w:tl2br w:val="nil"/>
                    <w:tr2bl w:val="nil"/>
                  </w:tcBorders>
                  <w:noWrap w:val="0"/>
                  <w:vAlign w:val="center"/>
                </w:tcPr>
                <w:p w14:paraId="76A6F3BA">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主要关注目标</w:t>
                  </w:r>
                </w:p>
              </w:tc>
              <w:tc>
                <w:tcPr>
                  <w:tcW w:w="1296" w:type="pct"/>
                  <w:tcBorders>
                    <w:tl2br w:val="nil"/>
                    <w:tr2bl w:val="nil"/>
                  </w:tcBorders>
                  <w:noWrap w:val="0"/>
                  <w:vAlign w:val="center"/>
                </w:tcPr>
                <w:p w14:paraId="06ED53B4">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位置及备注</w:t>
                  </w:r>
                </w:p>
              </w:tc>
              <w:tc>
                <w:tcPr>
                  <w:tcW w:w="2359" w:type="pct"/>
                  <w:tcBorders>
                    <w:tl2br w:val="nil"/>
                    <w:tr2bl w:val="nil"/>
                  </w:tcBorders>
                  <w:noWrap w:val="0"/>
                  <w:vAlign w:val="center"/>
                </w:tcPr>
                <w:p w14:paraId="6BEA9FB0">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主要保护内容</w:t>
                  </w:r>
                </w:p>
              </w:tc>
            </w:tr>
            <w:tr w14:paraId="797E95F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8" w:type="pct"/>
                  <w:tcBorders>
                    <w:tl2br w:val="nil"/>
                    <w:tr2bl w:val="nil"/>
                  </w:tcBorders>
                  <w:noWrap w:val="0"/>
                  <w:vAlign w:val="center"/>
                </w:tcPr>
                <w:p w14:paraId="6FD30E1E">
                  <w:pPr>
                    <w:pStyle w:val="80"/>
                    <w:spacing w:line="240" w:lineRule="auto"/>
                    <w:rPr>
                      <w:rFonts w:hint="default" w:ascii="Times New Roman" w:hAnsi="Times New Roman" w:eastAsia="宋体" w:cs="Times New Roman"/>
                      <w:b w:val="0"/>
                      <w:bCs/>
                      <w:snapToGrid w:val="0"/>
                      <w:color w:val="auto"/>
                      <w:kern w:val="2"/>
                      <w:sz w:val="21"/>
                      <w:szCs w:val="21"/>
                      <w:lang w:val="en-US" w:eastAsia="zh-CN" w:bidi="ar-SA"/>
                    </w:rPr>
                  </w:pPr>
                  <w:r>
                    <w:rPr>
                      <w:rFonts w:hint="default" w:ascii="Times New Roman" w:hAnsi="Times New Roman" w:eastAsia="宋体" w:cs="Times New Roman"/>
                      <w:b w:val="0"/>
                      <w:bCs/>
                      <w:snapToGrid w:val="0"/>
                      <w:color w:val="auto"/>
                      <w:kern w:val="2"/>
                      <w:sz w:val="21"/>
                      <w:szCs w:val="21"/>
                      <w:lang w:val="en-US" w:eastAsia="zh-CN" w:bidi="ar-SA"/>
                    </w:rPr>
                    <w:t>1</w:t>
                  </w:r>
                </w:p>
              </w:tc>
              <w:tc>
                <w:tcPr>
                  <w:tcW w:w="925" w:type="pct"/>
                  <w:tcBorders>
                    <w:tl2br w:val="nil"/>
                    <w:tr2bl w:val="nil"/>
                  </w:tcBorders>
                  <w:shd w:val="clear" w:color="auto" w:fill="auto"/>
                  <w:noWrap w:val="0"/>
                  <w:vAlign w:val="center"/>
                </w:tcPr>
                <w:p w14:paraId="78981D78">
                  <w:pPr>
                    <w:pStyle w:val="80"/>
                    <w:spacing w:line="240" w:lineRule="auto"/>
                    <w:outlineLvl w:val="9"/>
                    <w:rPr>
                      <w:rFonts w:hint="default" w:ascii="Times New Roman" w:hAnsi="Times New Roman" w:eastAsia="宋体" w:cs="Times New Roman"/>
                      <w:b w:val="0"/>
                      <w:bCs/>
                      <w:snapToGrid w:val="0"/>
                      <w:color w:val="auto"/>
                      <w:kern w:val="2"/>
                      <w:sz w:val="21"/>
                      <w:szCs w:val="21"/>
                      <w:lang w:val="en-US" w:eastAsia="zh-CN" w:bidi="ar-SA"/>
                    </w:rPr>
                  </w:pPr>
                  <w:r>
                    <w:rPr>
                      <w:rFonts w:hint="default" w:ascii="Times New Roman" w:hAnsi="Times New Roman" w:eastAsia="宋体" w:cs="Times New Roman"/>
                      <w:b w:val="0"/>
                      <w:bCs/>
                      <w:snapToGrid w:val="0"/>
                      <w:color w:val="auto"/>
                      <w:kern w:val="2"/>
                      <w:sz w:val="21"/>
                      <w:szCs w:val="21"/>
                      <w:lang w:val="en-US" w:eastAsia="zh-CN" w:bidi="ar-SA"/>
                    </w:rPr>
                    <w:t>陆生生态系统</w:t>
                  </w:r>
                </w:p>
              </w:tc>
              <w:tc>
                <w:tcPr>
                  <w:tcW w:w="1296" w:type="pct"/>
                  <w:tcBorders>
                    <w:tl2br w:val="nil"/>
                    <w:tr2bl w:val="nil"/>
                  </w:tcBorders>
                  <w:shd w:val="clear" w:color="auto" w:fill="auto"/>
                  <w:noWrap w:val="0"/>
                  <w:vAlign w:val="center"/>
                </w:tcPr>
                <w:p w14:paraId="74943324">
                  <w:pPr>
                    <w:pStyle w:val="80"/>
                    <w:spacing w:line="240" w:lineRule="auto"/>
                    <w:rPr>
                      <w:rFonts w:hint="default" w:ascii="Times New Roman" w:hAnsi="Times New Roman" w:eastAsia="宋体" w:cs="Times New Roman"/>
                      <w:b w:val="0"/>
                      <w:bCs/>
                      <w:snapToGrid w:val="0"/>
                      <w:color w:val="auto"/>
                      <w:kern w:val="2"/>
                      <w:sz w:val="21"/>
                      <w:szCs w:val="21"/>
                      <w:lang w:val="en-US" w:eastAsia="zh-CN" w:bidi="ar-SA"/>
                    </w:rPr>
                  </w:pPr>
                  <w:r>
                    <w:rPr>
                      <w:rFonts w:hint="default" w:ascii="Times New Roman" w:hAnsi="Times New Roman" w:cs="Times New Roman"/>
                      <w:color w:val="auto"/>
                    </w:rPr>
                    <w:t>全线涉及</w:t>
                  </w:r>
                </w:p>
              </w:tc>
              <w:tc>
                <w:tcPr>
                  <w:tcW w:w="2359" w:type="pct"/>
                  <w:tcBorders>
                    <w:tl2br w:val="nil"/>
                    <w:tr2bl w:val="nil"/>
                  </w:tcBorders>
                  <w:noWrap w:val="0"/>
                  <w:vAlign w:val="center"/>
                </w:tcPr>
                <w:p w14:paraId="4C1D4982">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保护沿线植被的覆盖率、生物量、群落完整，尽量减少水土流失</w:t>
                  </w:r>
                </w:p>
              </w:tc>
            </w:tr>
            <w:tr w14:paraId="7ABBA27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547" w:hRule="atLeast"/>
                <w:tblHeader/>
                <w:jc w:val="center"/>
              </w:trPr>
              <w:tc>
                <w:tcPr>
                  <w:tcW w:w="418" w:type="pct"/>
                  <w:tcBorders>
                    <w:tl2br w:val="nil"/>
                    <w:tr2bl w:val="nil"/>
                  </w:tcBorders>
                  <w:noWrap w:val="0"/>
                  <w:vAlign w:val="center"/>
                </w:tcPr>
                <w:p w14:paraId="5FC292AB">
                  <w:pPr>
                    <w:pStyle w:val="80"/>
                    <w:spacing w:line="240" w:lineRule="auto"/>
                    <w:rPr>
                      <w:rFonts w:hint="default" w:ascii="Times New Roman" w:hAnsi="Times New Roman" w:eastAsia="宋体" w:cs="Times New Roman"/>
                      <w:color w:val="auto"/>
                      <w:lang w:eastAsia="zh-CN"/>
                    </w:rPr>
                  </w:pPr>
                  <w:r>
                    <w:rPr>
                      <w:rFonts w:hint="default" w:ascii="Times New Roman" w:hAnsi="Times New Roman" w:cs="Times New Roman"/>
                      <w:color w:val="auto"/>
                      <w:lang w:val="en-US" w:eastAsia="zh-CN"/>
                    </w:rPr>
                    <w:t>2</w:t>
                  </w:r>
                </w:p>
              </w:tc>
              <w:tc>
                <w:tcPr>
                  <w:tcW w:w="925" w:type="pct"/>
                  <w:tcBorders>
                    <w:tl2br w:val="nil"/>
                    <w:tr2bl w:val="nil"/>
                  </w:tcBorders>
                  <w:noWrap w:val="0"/>
                  <w:vAlign w:val="center"/>
                </w:tcPr>
                <w:p w14:paraId="745C4429">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景观</w:t>
                  </w:r>
                </w:p>
              </w:tc>
              <w:tc>
                <w:tcPr>
                  <w:tcW w:w="1296" w:type="pct"/>
                  <w:tcBorders>
                    <w:tl2br w:val="nil"/>
                    <w:tr2bl w:val="nil"/>
                  </w:tcBorders>
                  <w:noWrap w:val="0"/>
                  <w:vAlign w:val="center"/>
                </w:tcPr>
                <w:p w14:paraId="5FA49CFE">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全线涉及</w:t>
                  </w:r>
                </w:p>
              </w:tc>
              <w:tc>
                <w:tcPr>
                  <w:tcW w:w="2359" w:type="pct"/>
                  <w:tcBorders>
                    <w:tl2br w:val="nil"/>
                    <w:tr2bl w:val="nil"/>
                  </w:tcBorders>
                  <w:noWrap w:val="0"/>
                  <w:vAlign w:val="center"/>
                </w:tcPr>
                <w:p w14:paraId="7A089036">
                  <w:pPr>
                    <w:pStyle w:val="80"/>
                    <w:spacing w:line="240" w:lineRule="auto"/>
                    <w:rPr>
                      <w:rFonts w:hint="default" w:ascii="Times New Roman" w:hAnsi="Times New Roman" w:cs="Times New Roman"/>
                      <w:color w:val="auto"/>
                    </w:rPr>
                  </w:pPr>
                  <w:r>
                    <w:rPr>
                      <w:rFonts w:hint="default" w:ascii="Times New Roman" w:hAnsi="Times New Roman" w:cs="Times New Roman"/>
                      <w:color w:val="auto"/>
                    </w:rPr>
                    <w:t>线路保护措施与沿线景观的协调保护</w:t>
                  </w:r>
                </w:p>
              </w:tc>
            </w:tr>
          </w:tbl>
          <w:p w14:paraId="36D1271C">
            <w:pPr>
              <w:pStyle w:val="76"/>
              <w:rPr>
                <w:rFonts w:hint="default" w:ascii="Times New Roman" w:hAnsi="Times New Roman" w:eastAsia="宋体" w:cs="Times New Roman"/>
                <w:b/>
                <w:bCs/>
                <w:color w:val="auto"/>
                <w:lang w:val="en-US" w:eastAsia="zh-CN"/>
              </w:rPr>
            </w:pPr>
            <w:r>
              <w:rPr>
                <w:rFonts w:hint="default" w:ascii="Times New Roman" w:hAnsi="Times New Roman" w:cs="Times New Roman"/>
                <w:b/>
                <w:bCs/>
                <w:color w:val="auto"/>
                <w:lang w:val="en-US" w:eastAsia="zh-CN"/>
              </w:rPr>
              <w:t>5、</w:t>
            </w:r>
            <w:r>
              <w:rPr>
                <w:rFonts w:hint="default" w:ascii="Times New Roman" w:hAnsi="Times New Roman" w:cs="Times New Roman"/>
                <w:b/>
                <w:bCs/>
                <w:color w:val="auto"/>
              </w:rPr>
              <w:t>声环境</w:t>
            </w:r>
            <w:r>
              <w:rPr>
                <w:rFonts w:hint="default" w:ascii="Times New Roman" w:hAnsi="Times New Roman" w:cs="Times New Roman"/>
                <w:b/>
                <w:bCs/>
                <w:color w:val="auto"/>
                <w:lang w:val="en-US" w:eastAsia="zh-CN"/>
              </w:rPr>
              <w:t>保护目标</w:t>
            </w:r>
          </w:p>
          <w:p w14:paraId="559EFC2A">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lang w:val="en-US" w:eastAsia="zh-CN"/>
              </w:rPr>
            </w:pPr>
            <w:r>
              <w:rPr>
                <w:rFonts w:hint="default" w:ascii="Times New Roman" w:hAnsi="Times New Roman" w:cs="Times New Roman"/>
                <w:color w:val="auto"/>
              </w:rPr>
              <w:t>本项目沿线声环境保护目标为公路中心线两侧200m范围内以居住、医疗卫生、文化、教育、科研、行政办公为主要功能的区域，通过对评价范围内人群分布等情况进行调查，确定为本项目评价范围内具有代表性的声环境主要环境保护目标</w:t>
            </w:r>
            <w:r>
              <w:rPr>
                <w:rFonts w:hint="default" w:ascii="Times New Roman" w:hAnsi="Times New Roman" w:cs="Times New Roman"/>
                <w:color w:val="auto"/>
                <w:lang w:eastAsia="zh-CN"/>
              </w:rPr>
              <w:t>情况</w:t>
            </w:r>
            <w:r>
              <w:rPr>
                <w:rFonts w:hint="default" w:ascii="Times New Roman" w:hAnsi="Times New Roman" w:cs="Times New Roman"/>
                <w:color w:val="auto"/>
              </w:rPr>
              <w:t>详见表3-</w:t>
            </w:r>
            <w:r>
              <w:rPr>
                <w:rFonts w:hint="eastAsia" w:ascii="Times New Roman" w:hAnsi="Times New Roman" w:cs="Times New Roman"/>
                <w:color w:val="auto"/>
                <w:lang w:val="en-US" w:eastAsia="zh-CN"/>
              </w:rPr>
              <w:t>5</w:t>
            </w:r>
            <w:r>
              <w:rPr>
                <w:rFonts w:hint="default" w:ascii="Times New Roman" w:hAnsi="Times New Roman" w:cs="Times New Roman"/>
                <w:color w:val="auto"/>
                <w:lang w:val="en-US" w:eastAsia="zh-CN"/>
              </w:rPr>
              <w:t>。</w:t>
            </w:r>
          </w:p>
          <w:p w14:paraId="1AD7E142">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lang w:val="en-US" w:eastAsia="zh-CN"/>
              </w:rPr>
            </w:pPr>
          </w:p>
          <w:p w14:paraId="75BA62B1">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lang w:val="en-US" w:eastAsia="zh-CN"/>
              </w:rPr>
            </w:pPr>
          </w:p>
          <w:p w14:paraId="6B69036B">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lang w:val="en-US" w:eastAsia="zh-CN"/>
              </w:rPr>
            </w:pPr>
          </w:p>
          <w:p w14:paraId="744FB1B1">
            <w:pPr>
              <w:keepNext w:val="0"/>
              <w:keepLines w:val="0"/>
              <w:pageBreakBefore w:val="0"/>
              <w:widowControl w:val="0"/>
              <w:kinsoku/>
              <w:wordWrap/>
              <w:overflowPunct/>
              <w:topLinePunct w:val="0"/>
              <w:autoSpaceDE/>
              <w:autoSpaceDN/>
              <w:bidi w:val="0"/>
              <w:adjustRightInd/>
              <w:snapToGrid/>
              <w:spacing w:line="480" w:lineRule="exact"/>
              <w:ind w:firstLine="420"/>
              <w:jc w:val="left"/>
              <w:textAlignment w:val="auto"/>
              <w:rPr>
                <w:rFonts w:hint="default" w:ascii="Times New Roman" w:hAnsi="Times New Roman" w:cs="Times New Roman"/>
                <w:color w:val="auto"/>
                <w:lang w:val="en-US" w:eastAsia="zh-CN"/>
              </w:rPr>
            </w:pPr>
          </w:p>
        </w:tc>
      </w:tr>
    </w:tbl>
    <w:p w14:paraId="22536C74">
      <w:pPr>
        <w:rPr>
          <w:rFonts w:hint="default" w:ascii="Times New Roman" w:hAnsi="Times New Roman" w:cs="Times New Roman"/>
          <w:color w:val="auto"/>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74"/>
      </w:tblGrid>
      <w:tr w14:paraId="1E0B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14:paraId="29EF92BB">
            <w:pPr>
              <w:pStyle w:val="72"/>
              <w:rPr>
                <w:rFonts w:hint="default" w:ascii="Times New Roman" w:hAnsi="Times New Roman" w:eastAsia="宋体" w:cs="Times New Roman"/>
                <w:b/>
                <w:bCs/>
                <w:color w:val="auto"/>
                <w:shd w:val="clear" w:color="auto" w:fill="auto"/>
              </w:rPr>
            </w:pPr>
            <w:r>
              <w:rPr>
                <w:rFonts w:hint="default" w:ascii="Times New Roman" w:hAnsi="Times New Roman" w:eastAsia="宋体" w:cs="Times New Roman"/>
                <w:b/>
                <w:bCs/>
                <w:color w:val="auto"/>
                <w:shd w:val="clear" w:color="auto" w:fill="auto"/>
              </w:rPr>
              <w:t>表</w:t>
            </w:r>
            <w:r>
              <w:rPr>
                <w:rFonts w:hint="default" w:ascii="Times New Roman" w:hAnsi="Times New Roman" w:eastAsia="宋体" w:cs="Times New Roman"/>
                <w:b/>
                <w:bCs/>
                <w:color w:val="auto"/>
                <w:shd w:val="clear" w:color="auto" w:fill="auto"/>
                <w:lang w:val="en-US" w:eastAsia="zh-CN"/>
              </w:rPr>
              <w:t>3-</w:t>
            </w:r>
            <w:r>
              <w:rPr>
                <w:rFonts w:hint="eastAsia" w:ascii="Times New Roman" w:hAnsi="Times New Roman" w:eastAsia="宋体" w:cs="Times New Roman"/>
                <w:b/>
                <w:bCs/>
                <w:color w:val="auto"/>
                <w:shd w:val="clear" w:color="auto" w:fill="auto"/>
                <w:lang w:val="en-US" w:eastAsia="zh-CN"/>
              </w:rPr>
              <w:t>5</w:t>
            </w:r>
            <w:r>
              <w:rPr>
                <w:rFonts w:hint="default" w:ascii="Times New Roman" w:hAnsi="Times New Roman" w:eastAsia="宋体" w:cs="Times New Roman"/>
                <w:b/>
                <w:bCs/>
                <w:color w:val="auto"/>
                <w:shd w:val="clear" w:color="auto" w:fill="auto"/>
              </w:rPr>
              <w:t xml:space="preserve"> </w:t>
            </w:r>
            <w:r>
              <w:rPr>
                <w:rFonts w:hint="default" w:ascii="Times New Roman" w:hAnsi="Times New Roman" w:eastAsia="宋体" w:cs="Times New Roman"/>
                <w:b/>
                <w:bCs/>
                <w:color w:val="auto"/>
                <w:shd w:val="clear" w:color="auto" w:fill="auto"/>
                <w:lang w:val="en-US" w:eastAsia="zh-CN"/>
              </w:rPr>
              <w:t xml:space="preserve"> </w:t>
            </w:r>
            <w:r>
              <w:rPr>
                <w:rFonts w:hint="default" w:ascii="Times New Roman" w:hAnsi="Times New Roman" w:eastAsia="宋体" w:cs="Times New Roman"/>
                <w:b/>
                <w:bCs/>
                <w:color w:val="auto"/>
                <w:shd w:val="clear" w:color="auto" w:fill="auto"/>
              </w:rPr>
              <w:t>声环境保护目标表</w:t>
            </w:r>
          </w:p>
          <w:tbl>
            <w:tblPr>
              <w:tblStyle w:val="30"/>
              <w:tblW w:w="14020"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72"/>
              <w:gridCol w:w="616"/>
              <w:gridCol w:w="1050"/>
              <w:gridCol w:w="450"/>
              <w:gridCol w:w="394"/>
              <w:gridCol w:w="506"/>
              <w:gridCol w:w="619"/>
              <w:gridCol w:w="525"/>
              <w:gridCol w:w="506"/>
              <w:gridCol w:w="544"/>
              <w:gridCol w:w="1069"/>
              <w:gridCol w:w="3600"/>
              <w:gridCol w:w="3769"/>
            </w:tblGrid>
            <w:tr w14:paraId="4726F2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blHeader/>
              </w:trPr>
              <w:tc>
                <w:tcPr>
                  <w:tcW w:w="132" w:type="pct"/>
                  <w:noWrap w:val="0"/>
                  <w:vAlign w:val="center"/>
                </w:tcPr>
                <w:p w14:paraId="2A32410B">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序号</w:t>
                  </w:r>
                </w:p>
              </w:tc>
              <w:tc>
                <w:tcPr>
                  <w:tcW w:w="219" w:type="pct"/>
                  <w:noWrap w:val="0"/>
                  <w:vAlign w:val="center"/>
                </w:tcPr>
                <w:p w14:paraId="31F178CD">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名称</w:t>
                  </w:r>
                </w:p>
              </w:tc>
              <w:tc>
                <w:tcPr>
                  <w:tcW w:w="374" w:type="pct"/>
                  <w:noWrap w:val="0"/>
                  <w:vAlign w:val="center"/>
                </w:tcPr>
                <w:p w14:paraId="5510E8E2">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里程范围</w:t>
                  </w:r>
                </w:p>
              </w:tc>
              <w:tc>
                <w:tcPr>
                  <w:tcW w:w="160" w:type="pct"/>
                  <w:noWrap w:val="0"/>
                  <w:vAlign w:val="center"/>
                </w:tcPr>
                <w:p w14:paraId="565942F0">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线路形式</w:t>
                  </w:r>
                </w:p>
              </w:tc>
              <w:tc>
                <w:tcPr>
                  <w:tcW w:w="140" w:type="pct"/>
                  <w:noWrap w:val="0"/>
                  <w:vAlign w:val="center"/>
                </w:tcPr>
                <w:p w14:paraId="2DAC7144">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方位</w:t>
                  </w:r>
                </w:p>
              </w:tc>
              <w:tc>
                <w:tcPr>
                  <w:tcW w:w="180" w:type="pct"/>
                  <w:noWrap w:val="0"/>
                  <w:vAlign w:val="center"/>
                </w:tcPr>
                <w:p w14:paraId="04229DC8">
                  <w:pPr>
                    <w:pStyle w:val="68"/>
                    <w:spacing w:line="240" w:lineRule="exact"/>
                    <w:rPr>
                      <w:rFonts w:hint="default" w:ascii="Times New Roman" w:hAnsi="Times New Roman" w:eastAsia="宋体" w:cs="Times New Roman"/>
                      <w:color w:val="auto"/>
                      <w:spacing w:val="-10"/>
                      <w:sz w:val="21"/>
                      <w:szCs w:val="21"/>
                      <w:shd w:val="clear" w:color="auto" w:fill="auto"/>
                    </w:rPr>
                  </w:pPr>
                  <w:r>
                    <w:rPr>
                      <w:rFonts w:hint="default" w:ascii="Times New Roman" w:hAnsi="Times New Roman" w:eastAsia="宋体" w:cs="Times New Roman"/>
                      <w:color w:val="auto"/>
                      <w:spacing w:val="-10"/>
                      <w:sz w:val="21"/>
                      <w:szCs w:val="21"/>
                      <w:shd w:val="clear" w:color="auto" w:fill="auto"/>
                    </w:rPr>
                    <w:t>与路面高差m</w:t>
                  </w:r>
                </w:p>
              </w:tc>
              <w:tc>
                <w:tcPr>
                  <w:tcW w:w="220" w:type="pct"/>
                  <w:noWrap w:val="0"/>
                  <w:vAlign w:val="center"/>
                </w:tcPr>
                <w:p w14:paraId="369DAB64">
                  <w:pPr>
                    <w:pStyle w:val="68"/>
                    <w:spacing w:line="240" w:lineRule="exact"/>
                    <w:rPr>
                      <w:rFonts w:hint="default" w:ascii="Times New Roman" w:hAnsi="Times New Roman" w:eastAsia="宋体" w:cs="Times New Roman"/>
                      <w:color w:val="auto"/>
                      <w:spacing w:val="-10"/>
                      <w:sz w:val="21"/>
                      <w:szCs w:val="21"/>
                      <w:shd w:val="clear" w:color="auto" w:fill="auto"/>
                    </w:rPr>
                  </w:pPr>
                  <w:r>
                    <w:rPr>
                      <w:rFonts w:hint="default" w:ascii="Times New Roman" w:hAnsi="Times New Roman" w:eastAsia="宋体" w:cs="Times New Roman"/>
                      <w:color w:val="auto"/>
                      <w:spacing w:val="-10"/>
                      <w:sz w:val="21"/>
                      <w:szCs w:val="21"/>
                      <w:shd w:val="clear" w:color="auto" w:fill="auto"/>
                    </w:rPr>
                    <w:t>距边界（红线）距离/m</w:t>
                  </w:r>
                </w:p>
              </w:tc>
              <w:tc>
                <w:tcPr>
                  <w:tcW w:w="187" w:type="pct"/>
                  <w:noWrap w:val="0"/>
                  <w:vAlign w:val="center"/>
                </w:tcPr>
                <w:p w14:paraId="3E076118">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距中心线距离/m</w:t>
                  </w:r>
                </w:p>
              </w:tc>
              <w:tc>
                <w:tcPr>
                  <w:tcW w:w="180" w:type="pct"/>
                  <w:noWrap w:val="0"/>
                  <w:vAlign w:val="center"/>
                </w:tcPr>
                <w:p w14:paraId="298430BD">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4a类功能区户数</w:t>
                  </w:r>
                </w:p>
              </w:tc>
              <w:tc>
                <w:tcPr>
                  <w:tcW w:w="194" w:type="pct"/>
                  <w:noWrap w:val="0"/>
                  <w:vAlign w:val="center"/>
                </w:tcPr>
                <w:p w14:paraId="41D474CF">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2类功能区户数</w:t>
                  </w:r>
                </w:p>
              </w:tc>
              <w:tc>
                <w:tcPr>
                  <w:tcW w:w="381" w:type="pct"/>
                  <w:noWrap w:val="0"/>
                  <w:vAlign w:val="center"/>
                </w:tcPr>
                <w:p w14:paraId="30F129B7">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保护目标</w:t>
                  </w:r>
                </w:p>
                <w:p w14:paraId="35F81F0C">
                  <w:pPr>
                    <w:pStyle w:val="68"/>
                    <w:spacing w:line="240" w:lineRule="exact"/>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情况</w:t>
                  </w:r>
                </w:p>
              </w:tc>
              <w:tc>
                <w:tcPr>
                  <w:tcW w:w="1283" w:type="pct"/>
                  <w:noWrap w:val="0"/>
                  <w:vAlign w:val="center"/>
                </w:tcPr>
                <w:p w14:paraId="6970644C">
                  <w:pPr>
                    <w:pStyle w:val="68"/>
                    <w:spacing w:line="240" w:lineRule="auto"/>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敏感点现场照片</w:t>
                  </w:r>
                </w:p>
              </w:tc>
              <w:tc>
                <w:tcPr>
                  <w:tcW w:w="1344" w:type="pct"/>
                  <w:noWrap w:val="0"/>
                  <w:vAlign w:val="center"/>
                </w:tcPr>
                <w:p w14:paraId="67F956F2">
                  <w:pPr>
                    <w:pStyle w:val="68"/>
                    <w:spacing w:line="240" w:lineRule="auto"/>
                    <w:rPr>
                      <w:rFonts w:hint="default" w:ascii="Times New Roman" w:hAnsi="Times New Roman" w:cs="Times New Roman"/>
                      <w:color w:val="auto"/>
                      <w:spacing w:val="-10"/>
                      <w:sz w:val="21"/>
                      <w:szCs w:val="21"/>
                      <w:shd w:val="clear" w:color="auto" w:fill="auto"/>
                    </w:rPr>
                  </w:pPr>
                  <w:r>
                    <w:rPr>
                      <w:rFonts w:hint="default" w:ascii="Times New Roman" w:hAnsi="Times New Roman" w:cs="Times New Roman"/>
                      <w:color w:val="auto"/>
                      <w:spacing w:val="-10"/>
                      <w:sz w:val="21"/>
                      <w:szCs w:val="21"/>
                      <w:shd w:val="clear" w:color="auto" w:fill="auto"/>
                    </w:rPr>
                    <w:t>与线路位置图</w:t>
                  </w:r>
                </w:p>
              </w:tc>
            </w:tr>
            <w:tr w14:paraId="25CDA8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32" w:type="pct"/>
                  <w:noWrap w:val="0"/>
                  <w:vAlign w:val="center"/>
                </w:tcPr>
                <w:p w14:paraId="17DA5C51">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1</w:t>
                  </w:r>
                </w:p>
              </w:tc>
              <w:tc>
                <w:tcPr>
                  <w:tcW w:w="219" w:type="pct"/>
                  <w:noWrap w:val="0"/>
                  <w:vAlign w:val="center"/>
                </w:tcPr>
                <w:p w14:paraId="41293F5C">
                  <w:pPr>
                    <w:pStyle w:val="68"/>
                    <w:spacing w:line="240" w:lineRule="exact"/>
                    <w:rPr>
                      <w:rFonts w:hint="default" w:ascii="Times New Roman" w:hAnsi="Times New Roman" w:eastAsia="宋体" w:cs="Times New Roman"/>
                      <w:color w:val="auto"/>
                      <w:spacing w:val="-11"/>
                      <w:sz w:val="21"/>
                      <w:szCs w:val="21"/>
                      <w:lang w:val="en-US" w:eastAsia="zh-CN"/>
                    </w:rPr>
                  </w:pPr>
                  <w:r>
                    <w:rPr>
                      <w:rFonts w:hint="default" w:ascii="Times New Roman" w:hAnsi="Times New Roman" w:cs="Times New Roman"/>
                      <w:color w:val="auto"/>
                      <w:spacing w:val="-11"/>
                      <w:sz w:val="21"/>
                      <w:szCs w:val="21"/>
                      <w:lang w:val="en-US" w:eastAsia="zh-CN"/>
                    </w:rPr>
                    <w:t>八五一一农场九队</w:t>
                  </w:r>
                </w:p>
              </w:tc>
              <w:tc>
                <w:tcPr>
                  <w:tcW w:w="374" w:type="pct"/>
                  <w:noWrap w:val="0"/>
                  <w:vAlign w:val="center"/>
                </w:tcPr>
                <w:p w14:paraId="30CF9593">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190+800</w:t>
                  </w:r>
                  <w:r>
                    <w:rPr>
                      <w:rFonts w:hint="default" w:ascii="Times New Roman" w:hAnsi="Times New Roman" w:cs="Times New Roman"/>
                      <w:color w:val="auto"/>
                      <w:spacing w:val="-10"/>
                      <w:sz w:val="21"/>
                      <w:szCs w:val="21"/>
                    </w:rPr>
                    <w:t>~</w:t>
                  </w:r>
                </w:p>
                <w:p w14:paraId="6D352907">
                  <w:pPr>
                    <w:pStyle w:val="68"/>
                    <w:spacing w:line="240" w:lineRule="exact"/>
                    <w:rPr>
                      <w:rFonts w:hint="default" w:ascii="Times New Roman" w:hAnsi="Times New Roman" w:cs="Times New Roman"/>
                      <w:color w:val="auto"/>
                      <w:spacing w:val="-10"/>
                      <w:sz w:val="21"/>
                      <w:szCs w:val="21"/>
                      <w:lang w:val="en-US"/>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191+250</w:t>
                  </w:r>
                </w:p>
              </w:tc>
              <w:tc>
                <w:tcPr>
                  <w:tcW w:w="160" w:type="pct"/>
                  <w:noWrap w:val="0"/>
                  <w:vAlign w:val="center"/>
                </w:tcPr>
                <w:p w14:paraId="1CEC30B7">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路基</w:t>
                  </w:r>
                </w:p>
              </w:tc>
              <w:tc>
                <w:tcPr>
                  <w:tcW w:w="140" w:type="pct"/>
                  <w:noWrap w:val="0"/>
                  <w:vAlign w:val="center"/>
                </w:tcPr>
                <w:p w14:paraId="75421FCE">
                  <w:pPr>
                    <w:pStyle w:val="68"/>
                    <w:spacing w:line="240" w:lineRule="exact"/>
                    <w:jc w:val="both"/>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右</w:t>
                  </w:r>
                  <w:r>
                    <w:rPr>
                      <w:rFonts w:hint="default" w:ascii="Times New Roman" w:hAnsi="Times New Roman" w:cs="Times New Roman"/>
                      <w:color w:val="auto"/>
                      <w:spacing w:val="-10"/>
                      <w:sz w:val="21"/>
                      <w:szCs w:val="21"/>
                    </w:rPr>
                    <w:t>侧</w:t>
                  </w:r>
                </w:p>
              </w:tc>
              <w:tc>
                <w:tcPr>
                  <w:tcW w:w="180" w:type="pct"/>
                  <w:noWrap w:val="0"/>
                  <w:vAlign w:val="center"/>
                </w:tcPr>
                <w:p w14:paraId="5447CB17">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rPr>
                    <w:t>0.</w:t>
                  </w:r>
                  <w:r>
                    <w:rPr>
                      <w:rFonts w:hint="default" w:ascii="Times New Roman" w:hAnsi="Times New Roman" w:cs="Times New Roman"/>
                      <w:color w:val="auto"/>
                      <w:spacing w:val="-10"/>
                      <w:sz w:val="21"/>
                      <w:szCs w:val="21"/>
                      <w:lang w:val="en-US" w:eastAsia="zh-CN"/>
                    </w:rPr>
                    <w:t>2-</w:t>
                  </w:r>
                </w:p>
                <w:p w14:paraId="335436F4">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0.5</w:t>
                  </w:r>
                </w:p>
              </w:tc>
              <w:tc>
                <w:tcPr>
                  <w:tcW w:w="220" w:type="pct"/>
                  <w:noWrap w:val="0"/>
                  <w:vAlign w:val="center"/>
                </w:tcPr>
                <w:p w14:paraId="6E8DBE41">
                  <w:pPr>
                    <w:widowControl/>
                    <w:kinsoku w:val="0"/>
                    <w:autoSpaceDE w:val="0"/>
                    <w:autoSpaceDN w:val="0"/>
                    <w:adjustRightInd w:val="0"/>
                    <w:snapToGrid w:val="0"/>
                    <w:spacing w:line="240" w:lineRule="exact"/>
                    <w:ind w:firstLine="0" w:firstLineChars="0"/>
                    <w:jc w:val="center"/>
                    <w:textAlignment w:val="baseline"/>
                    <w:rPr>
                      <w:rFonts w:hint="eastAsia"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22.</w:t>
                  </w:r>
                </w:p>
                <w:p w14:paraId="50FBD4E4">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25</w:t>
                  </w:r>
                </w:p>
              </w:tc>
              <w:tc>
                <w:tcPr>
                  <w:tcW w:w="187" w:type="pct"/>
                  <w:noWrap w:val="0"/>
                  <w:vAlign w:val="center"/>
                </w:tcPr>
                <w:p w14:paraId="441AFB45">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3</w:t>
                  </w:r>
                  <w:r>
                    <w:rPr>
                      <w:rFonts w:hint="eastAsia" w:cs="Times New Roman"/>
                      <w:color w:val="auto"/>
                      <w:spacing w:val="-10"/>
                      <w:sz w:val="21"/>
                      <w:szCs w:val="21"/>
                      <w:lang w:val="en-US" w:eastAsia="zh-CN"/>
                    </w:rPr>
                    <w:t>0</w:t>
                  </w:r>
                </w:p>
              </w:tc>
              <w:tc>
                <w:tcPr>
                  <w:tcW w:w="180" w:type="pct"/>
                  <w:noWrap w:val="0"/>
                  <w:vAlign w:val="center"/>
                </w:tcPr>
                <w:p w14:paraId="28E639B3">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8</w:t>
                  </w:r>
                </w:p>
              </w:tc>
              <w:tc>
                <w:tcPr>
                  <w:tcW w:w="194" w:type="pct"/>
                  <w:noWrap w:val="0"/>
                  <w:vAlign w:val="center"/>
                </w:tcPr>
                <w:p w14:paraId="0DE349A2">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58</w:t>
                  </w:r>
                </w:p>
              </w:tc>
              <w:tc>
                <w:tcPr>
                  <w:tcW w:w="381" w:type="pct"/>
                  <w:noWrap w:val="0"/>
                  <w:vAlign w:val="center"/>
                </w:tcPr>
                <w:p w14:paraId="7DBA290E">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0"/>
                      <w:sz w:val="21"/>
                      <w:szCs w:val="21"/>
                    </w:rPr>
                    <w:t>一层砖混，</w:t>
                  </w:r>
                  <w:r>
                    <w:rPr>
                      <w:rFonts w:hint="default" w:ascii="Times New Roman" w:hAnsi="Times New Roman" w:cs="Times New Roman"/>
                      <w:color w:val="auto"/>
                      <w:spacing w:val="0"/>
                      <w:sz w:val="21"/>
                      <w:szCs w:val="21"/>
                      <w:lang w:val="en-US" w:eastAsia="zh-CN"/>
                    </w:rPr>
                    <w:t>南北朝向，</w:t>
                  </w:r>
                  <w:r>
                    <w:rPr>
                      <w:rFonts w:hint="default" w:ascii="Times New Roman" w:hAnsi="Times New Roman" w:cs="Times New Roman"/>
                      <w:color w:val="auto"/>
                      <w:spacing w:val="0"/>
                      <w:sz w:val="21"/>
                      <w:szCs w:val="21"/>
                    </w:rPr>
                    <w:t>斜对</w:t>
                  </w:r>
                  <w:r>
                    <w:rPr>
                      <w:rFonts w:hint="default" w:ascii="Times New Roman" w:hAnsi="Times New Roman" w:cs="Times New Roman"/>
                      <w:color w:val="auto"/>
                      <w:spacing w:val="0"/>
                      <w:sz w:val="21"/>
                      <w:szCs w:val="21"/>
                      <w:lang w:val="en-US" w:eastAsia="zh-CN"/>
                    </w:rPr>
                    <w:t>道路</w:t>
                  </w:r>
                  <w:r>
                    <w:rPr>
                      <w:rFonts w:hint="default" w:ascii="Times New Roman" w:hAnsi="Times New Roman" w:cs="Times New Roman"/>
                      <w:color w:val="auto"/>
                      <w:spacing w:val="0"/>
                      <w:sz w:val="21"/>
                      <w:szCs w:val="21"/>
                    </w:rPr>
                    <w:t>，</w:t>
                  </w:r>
                  <w:r>
                    <w:rPr>
                      <w:rFonts w:hint="default" w:ascii="Times New Roman" w:hAnsi="Times New Roman" w:cs="Times New Roman"/>
                      <w:color w:val="auto"/>
                      <w:spacing w:val="0"/>
                      <w:sz w:val="21"/>
                      <w:szCs w:val="21"/>
                      <w:lang w:val="en-US" w:eastAsia="zh-CN"/>
                    </w:rPr>
                    <w:t>居民房屋与公路之间有一条进村辅道，并有树林隔开</w:t>
                  </w:r>
                </w:p>
              </w:tc>
              <w:tc>
                <w:tcPr>
                  <w:tcW w:w="1283" w:type="pct"/>
                  <w:noWrap w:val="0"/>
                  <w:vAlign w:val="center"/>
                </w:tcPr>
                <w:p w14:paraId="1FACDC3D">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279650" cy="1352550"/>
                        <wp:effectExtent l="0" t="0" r="6350" b="0"/>
                        <wp:docPr id="9" name="图片 9" descr="微信图片_20251201102546_203_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51201102546_203_94"/>
                                <pic:cNvPicPr>
                                  <a:picLocks noChangeAspect="1"/>
                                </pic:cNvPicPr>
                              </pic:nvPicPr>
                              <pic:blipFill>
                                <a:blip r:embed="rId23">
                                  <a:lum bright="18000"/>
                                </a:blip>
                                <a:srcRect t="38600" b="38353"/>
                                <a:stretch>
                                  <a:fillRect/>
                                </a:stretch>
                              </pic:blipFill>
                              <pic:spPr>
                                <a:xfrm>
                                  <a:off x="0" y="0"/>
                                  <a:ext cx="2279650" cy="1352550"/>
                                </a:xfrm>
                                <a:prstGeom prst="rect">
                                  <a:avLst/>
                                </a:prstGeom>
                              </pic:spPr>
                            </pic:pic>
                          </a:graphicData>
                        </a:graphic>
                      </wp:inline>
                    </w:drawing>
                  </w:r>
                </w:p>
              </w:tc>
              <w:tc>
                <w:tcPr>
                  <w:tcW w:w="1344" w:type="pct"/>
                  <w:noWrap w:val="0"/>
                  <w:vAlign w:val="center"/>
                </w:tcPr>
                <w:p w14:paraId="42BE8E26">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397760" cy="1744345"/>
                        <wp:effectExtent l="0" t="0" r="2540" b="8255"/>
                        <wp:docPr id="63" name="图片 63" descr="敏感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敏感点1"/>
                                <pic:cNvPicPr>
                                  <a:picLocks noChangeAspect="1"/>
                                </pic:cNvPicPr>
                              </pic:nvPicPr>
                              <pic:blipFill>
                                <a:blip r:embed="rId24"/>
                                <a:stretch>
                                  <a:fillRect/>
                                </a:stretch>
                              </pic:blipFill>
                              <pic:spPr>
                                <a:xfrm>
                                  <a:off x="0" y="0"/>
                                  <a:ext cx="2397760" cy="1744345"/>
                                </a:xfrm>
                                <a:prstGeom prst="rect">
                                  <a:avLst/>
                                </a:prstGeom>
                              </pic:spPr>
                            </pic:pic>
                          </a:graphicData>
                        </a:graphic>
                      </wp:inline>
                    </w:drawing>
                  </w:r>
                </w:p>
              </w:tc>
            </w:tr>
            <w:tr w14:paraId="563FD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2" w:type="pct"/>
                  <w:noWrap w:val="0"/>
                  <w:vAlign w:val="center"/>
                </w:tcPr>
                <w:p w14:paraId="77527F23">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2</w:t>
                  </w:r>
                </w:p>
              </w:tc>
              <w:tc>
                <w:tcPr>
                  <w:tcW w:w="219" w:type="pct"/>
                  <w:noWrap w:val="0"/>
                  <w:vAlign w:val="center"/>
                </w:tcPr>
                <w:p w14:paraId="009B211B">
                  <w:pPr>
                    <w:pStyle w:val="80"/>
                    <w:wordWrap/>
                    <w:rPr>
                      <w:rFonts w:hint="default" w:ascii="Times New Roman" w:hAnsi="Times New Roman" w:eastAsia="宋体" w:cs="Times New Roman"/>
                      <w:color w:val="auto"/>
                      <w:spacing w:val="-11"/>
                      <w:kern w:val="0"/>
                      <w:sz w:val="21"/>
                      <w:szCs w:val="21"/>
                      <w:lang w:eastAsia="zh-CN"/>
                    </w:rPr>
                  </w:pPr>
                  <w:r>
                    <w:rPr>
                      <w:rFonts w:hint="default" w:ascii="Times New Roman" w:hAnsi="Times New Roman" w:eastAsia="宋体" w:cs="Times New Roman"/>
                      <w:snapToGrid w:val="0"/>
                      <w:color w:val="auto"/>
                      <w:spacing w:val="-11"/>
                      <w:kern w:val="0"/>
                      <w:sz w:val="21"/>
                      <w:szCs w:val="21"/>
                      <w:lang w:val="en-US" w:eastAsia="zh-CN" w:bidi="ar-SA"/>
                    </w:rPr>
                    <w:t>八五一一农场七队</w:t>
                  </w:r>
                </w:p>
              </w:tc>
              <w:tc>
                <w:tcPr>
                  <w:tcW w:w="374" w:type="pct"/>
                  <w:noWrap w:val="0"/>
                  <w:vAlign w:val="center"/>
                </w:tcPr>
                <w:p w14:paraId="1E343CC6">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199+400</w:t>
                  </w:r>
                  <w:r>
                    <w:rPr>
                      <w:rFonts w:hint="default" w:ascii="Times New Roman" w:hAnsi="Times New Roman" w:cs="Times New Roman"/>
                      <w:color w:val="auto"/>
                      <w:spacing w:val="-10"/>
                      <w:sz w:val="21"/>
                      <w:szCs w:val="21"/>
                    </w:rPr>
                    <w:t>~</w:t>
                  </w:r>
                </w:p>
                <w:p w14:paraId="66677D00">
                  <w:pPr>
                    <w:pStyle w:val="68"/>
                    <w:spacing w:line="240" w:lineRule="exact"/>
                    <w:rPr>
                      <w:rFonts w:hint="default" w:ascii="Times New Roman" w:hAnsi="Times New Roman" w:cs="Times New Roman"/>
                      <w:color w:val="auto"/>
                      <w:spacing w:val="-10"/>
                      <w:sz w:val="21"/>
                      <w:szCs w:val="21"/>
                      <w:lang w:val="en-US"/>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200+000</w:t>
                  </w:r>
                </w:p>
              </w:tc>
              <w:tc>
                <w:tcPr>
                  <w:tcW w:w="160" w:type="pct"/>
                  <w:noWrap w:val="0"/>
                  <w:vAlign w:val="center"/>
                </w:tcPr>
                <w:p w14:paraId="4A4EF7A5">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路基</w:t>
                  </w:r>
                </w:p>
              </w:tc>
              <w:tc>
                <w:tcPr>
                  <w:tcW w:w="140" w:type="pct"/>
                  <w:noWrap w:val="0"/>
                  <w:vAlign w:val="center"/>
                </w:tcPr>
                <w:p w14:paraId="1A36D659">
                  <w:pPr>
                    <w:pStyle w:val="68"/>
                    <w:spacing w:line="240" w:lineRule="exact"/>
                    <w:rPr>
                      <w:rFonts w:hint="default" w:ascii="Times New Roman" w:hAnsi="Times New Roman" w:eastAsia="宋体" w:cs="Times New Roman"/>
                      <w:color w:val="auto"/>
                      <w:spacing w:val="-10"/>
                      <w:sz w:val="21"/>
                      <w:szCs w:val="21"/>
                      <w:lang w:eastAsia="zh-CN"/>
                    </w:rPr>
                  </w:pPr>
                  <w:r>
                    <w:rPr>
                      <w:rFonts w:hint="default" w:ascii="Times New Roman" w:hAnsi="Times New Roman" w:cs="Times New Roman"/>
                      <w:color w:val="auto"/>
                      <w:spacing w:val="-10"/>
                      <w:sz w:val="21"/>
                      <w:szCs w:val="21"/>
                      <w:lang w:val="en-US" w:eastAsia="zh-CN"/>
                    </w:rPr>
                    <w:t>右侧</w:t>
                  </w:r>
                </w:p>
              </w:tc>
              <w:tc>
                <w:tcPr>
                  <w:tcW w:w="180" w:type="pct"/>
                  <w:noWrap w:val="0"/>
                  <w:vAlign w:val="center"/>
                </w:tcPr>
                <w:p w14:paraId="12148B95">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rPr>
                    <w:t>0.</w:t>
                  </w:r>
                  <w:r>
                    <w:rPr>
                      <w:rFonts w:hint="default" w:ascii="Times New Roman" w:hAnsi="Times New Roman" w:cs="Times New Roman"/>
                      <w:color w:val="auto"/>
                      <w:spacing w:val="-10"/>
                      <w:sz w:val="21"/>
                      <w:szCs w:val="21"/>
                      <w:lang w:val="en-US" w:eastAsia="zh-CN"/>
                    </w:rPr>
                    <w:t>2-</w:t>
                  </w:r>
                </w:p>
                <w:p w14:paraId="26CA6A7D">
                  <w:pPr>
                    <w:pStyle w:val="68"/>
                    <w:spacing w:line="240" w:lineRule="exact"/>
                    <w:rPr>
                      <w:rFonts w:hint="default" w:ascii="Times New Roman" w:hAnsi="Times New Roman" w:cs="Times New Roman"/>
                      <w:color w:val="auto"/>
                      <w:spacing w:val="-10"/>
                      <w:sz w:val="21"/>
                      <w:szCs w:val="21"/>
                      <w:lang w:val="en-US"/>
                    </w:rPr>
                  </w:pPr>
                  <w:r>
                    <w:rPr>
                      <w:rFonts w:hint="default" w:ascii="Times New Roman" w:hAnsi="Times New Roman" w:cs="Times New Roman"/>
                      <w:color w:val="auto"/>
                      <w:spacing w:val="-10"/>
                      <w:sz w:val="21"/>
                      <w:szCs w:val="21"/>
                      <w:lang w:val="en-US" w:eastAsia="zh-CN"/>
                    </w:rPr>
                    <w:t>0.5</w:t>
                  </w:r>
                </w:p>
              </w:tc>
              <w:tc>
                <w:tcPr>
                  <w:tcW w:w="220" w:type="pct"/>
                  <w:noWrap w:val="0"/>
                  <w:vAlign w:val="center"/>
                </w:tcPr>
                <w:p w14:paraId="7D3F1998">
                  <w:pPr>
                    <w:widowControl/>
                    <w:kinsoku w:val="0"/>
                    <w:autoSpaceDE w:val="0"/>
                    <w:autoSpaceDN w:val="0"/>
                    <w:adjustRightInd w:val="0"/>
                    <w:snapToGrid w:val="0"/>
                    <w:spacing w:line="240" w:lineRule="exact"/>
                    <w:ind w:firstLine="0" w:firstLineChars="0"/>
                    <w:jc w:val="center"/>
                    <w:textAlignment w:val="baseline"/>
                    <w:rPr>
                      <w:rFonts w:hint="eastAsia"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87.</w:t>
                  </w:r>
                </w:p>
                <w:p w14:paraId="1F2F140C">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25</w:t>
                  </w:r>
                </w:p>
              </w:tc>
              <w:tc>
                <w:tcPr>
                  <w:tcW w:w="187" w:type="pct"/>
                  <w:noWrap w:val="0"/>
                  <w:vAlign w:val="center"/>
                </w:tcPr>
                <w:p w14:paraId="7F926D1E">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default" w:ascii="Times New Roman" w:hAnsi="Times New Roman" w:eastAsia="宋体" w:cs="Times New Roman"/>
                      <w:color w:val="auto"/>
                      <w:spacing w:val="-10"/>
                      <w:kern w:val="21"/>
                      <w:sz w:val="21"/>
                      <w:szCs w:val="21"/>
                      <w:lang w:val="en-US" w:eastAsia="zh-CN"/>
                    </w:rPr>
                    <w:t>9</w:t>
                  </w:r>
                  <w:r>
                    <w:rPr>
                      <w:rFonts w:hint="eastAsia" w:cs="Times New Roman"/>
                      <w:color w:val="auto"/>
                      <w:spacing w:val="-10"/>
                      <w:kern w:val="21"/>
                      <w:sz w:val="21"/>
                      <w:szCs w:val="21"/>
                      <w:lang w:val="en-US" w:eastAsia="zh-CN"/>
                    </w:rPr>
                    <w:t>5</w:t>
                  </w:r>
                </w:p>
              </w:tc>
              <w:tc>
                <w:tcPr>
                  <w:tcW w:w="180" w:type="pct"/>
                  <w:noWrap w:val="0"/>
                  <w:vAlign w:val="center"/>
                </w:tcPr>
                <w:p w14:paraId="1C61DF92">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w:t>
                  </w:r>
                </w:p>
              </w:tc>
              <w:tc>
                <w:tcPr>
                  <w:tcW w:w="194" w:type="pct"/>
                  <w:noWrap w:val="0"/>
                  <w:vAlign w:val="center"/>
                </w:tcPr>
                <w:p w14:paraId="0C95375B">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4</w:t>
                  </w:r>
                </w:p>
              </w:tc>
              <w:tc>
                <w:tcPr>
                  <w:tcW w:w="381" w:type="pct"/>
                  <w:noWrap w:val="0"/>
                  <w:vAlign w:val="center"/>
                </w:tcPr>
                <w:p w14:paraId="5BC23493">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一层砖混，南北朝向，</w:t>
                  </w:r>
                  <w:r>
                    <w:rPr>
                      <w:rFonts w:hint="default" w:ascii="Times New Roman" w:hAnsi="Times New Roman" w:cs="Times New Roman"/>
                      <w:color w:val="auto"/>
                      <w:spacing w:val="0"/>
                      <w:sz w:val="21"/>
                      <w:szCs w:val="21"/>
                    </w:rPr>
                    <w:t>斜对</w:t>
                  </w:r>
                  <w:r>
                    <w:rPr>
                      <w:rFonts w:hint="default" w:ascii="Times New Roman" w:hAnsi="Times New Roman" w:cs="Times New Roman"/>
                      <w:color w:val="auto"/>
                      <w:spacing w:val="0"/>
                      <w:sz w:val="21"/>
                      <w:szCs w:val="21"/>
                      <w:lang w:val="en-US" w:eastAsia="zh-CN"/>
                    </w:rPr>
                    <w:t>道路，民房较少，多为企业用房</w:t>
                  </w:r>
                </w:p>
              </w:tc>
              <w:tc>
                <w:tcPr>
                  <w:tcW w:w="1283" w:type="pct"/>
                  <w:noWrap w:val="0"/>
                  <w:vAlign w:val="center"/>
                </w:tcPr>
                <w:p w14:paraId="081F6458">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201545" cy="1651000"/>
                        <wp:effectExtent l="0" t="0" r="8255" b="6350"/>
                        <wp:docPr id="15" name="图片 15" descr="ea1299fab573879b09cbb7dec5935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a1299fab573879b09cbb7dec5935bbc"/>
                                <pic:cNvPicPr>
                                  <a:picLocks noChangeAspect="1"/>
                                </pic:cNvPicPr>
                              </pic:nvPicPr>
                              <pic:blipFill>
                                <a:blip r:embed="rId25">
                                  <a:lum bright="18000"/>
                                </a:blip>
                                <a:srcRect t="38766" b="38589"/>
                                <a:stretch>
                                  <a:fillRect/>
                                </a:stretch>
                              </pic:blipFill>
                              <pic:spPr>
                                <a:xfrm>
                                  <a:off x="0" y="0"/>
                                  <a:ext cx="2201545" cy="1651000"/>
                                </a:xfrm>
                                <a:prstGeom prst="rect">
                                  <a:avLst/>
                                </a:prstGeom>
                              </pic:spPr>
                            </pic:pic>
                          </a:graphicData>
                        </a:graphic>
                      </wp:inline>
                    </w:drawing>
                  </w:r>
                </w:p>
              </w:tc>
              <w:tc>
                <w:tcPr>
                  <w:tcW w:w="1344" w:type="pct"/>
                  <w:noWrap w:val="0"/>
                  <w:vAlign w:val="center"/>
                </w:tcPr>
                <w:p w14:paraId="738ACBB2">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403475" cy="1653540"/>
                        <wp:effectExtent l="0" t="0" r="15875" b="3810"/>
                        <wp:docPr id="65" name="图片 65" descr="敏感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敏感点2"/>
                                <pic:cNvPicPr>
                                  <a:picLocks noChangeAspect="1"/>
                                </pic:cNvPicPr>
                              </pic:nvPicPr>
                              <pic:blipFill>
                                <a:blip r:embed="rId26"/>
                                <a:stretch>
                                  <a:fillRect/>
                                </a:stretch>
                              </pic:blipFill>
                              <pic:spPr>
                                <a:xfrm>
                                  <a:off x="0" y="0"/>
                                  <a:ext cx="2403475" cy="1653540"/>
                                </a:xfrm>
                                <a:prstGeom prst="rect">
                                  <a:avLst/>
                                </a:prstGeom>
                              </pic:spPr>
                            </pic:pic>
                          </a:graphicData>
                        </a:graphic>
                      </wp:inline>
                    </w:drawing>
                  </w:r>
                </w:p>
              </w:tc>
            </w:tr>
            <w:tr w14:paraId="37BCB6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2" w:type="pct"/>
                  <w:noWrap w:val="0"/>
                  <w:vAlign w:val="center"/>
                </w:tcPr>
                <w:p w14:paraId="5D796FF7">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3</w:t>
                  </w:r>
                </w:p>
              </w:tc>
              <w:tc>
                <w:tcPr>
                  <w:tcW w:w="219" w:type="pct"/>
                  <w:noWrap w:val="0"/>
                  <w:vAlign w:val="center"/>
                </w:tcPr>
                <w:p w14:paraId="556A3C32">
                  <w:pPr>
                    <w:pStyle w:val="80"/>
                    <w:wordWrap/>
                    <w:rPr>
                      <w:rFonts w:hint="default" w:ascii="Times New Roman" w:hAnsi="Times New Roman" w:eastAsia="宋体" w:cs="Times New Roman"/>
                      <w:color w:val="auto"/>
                      <w:spacing w:val="-11"/>
                      <w:sz w:val="21"/>
                      <w:szCs w:val="21"/>
                      <w:lang w:val="en-US" w:eastAsia="zh-CN"/>
                    </w:rPr>
                  </w:pPr>
                  <w:r>
                    <w:rPr>
                      <w:rFonts w:hint="default" w:ascii="Times New Roman" w:hAnsi="Times New Roman" w:eastAsia="宋体" w:cs="Times New Roman"/>
                      <w:color w:val="auto"/>
                      <w:spacing w:val="-11"/>
                      <w:sz w:val="21"/>
                      <w:szCs w:val="21"/>
                      <w:lang w:val="en-US" w:eastAsia="zh-CN"/>
                    </w:rPr>
                    <w:t>兴凯镇</w:t>
                  </w:r>
                </w:p>
              </w:tc>
              <w:tc>
                <w:tcPr>
                  <w:tcW w:w="374" w:type="pct"/>
                  <w:noWrap w:val="0"/>
                  <w:vAlign w:val="center"/>
                </w:tcPr>
                <w:p w14:paraId="5D97889C">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K200+400</w:t>
                  </w:r>
                  <w:r>
                    <w:rPr>
                      <w:rFonts w:hint="default" w:ascii="Times New Roman" w:hAnsi="Times New Roman" w:cs="Times New Roman"/>
                      <w:color w:val="auto"/>
                      <w:spacing w:val="-10"/>
                      <w:sz w:val="21"/>
                      <w:szCs w:val="21"/>
                    </w:rPr>
                    <w:t>~</w:t>
                  </w:r>
                </w:p>
                <w:p w14:paraId="4A32FCAC">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202+383</w:t>
                  </w:r>
                </w:p>
              </w:tc>
              <w:tc>
                <w:tcPr>
                  <w:tcW w:w="160" w:type="pct"/>
                  <w:noWrap w:val="0"/>
                  <w:vAlign w:val="center"/>
                </w:tcPr>
                <w:p w14:paraId="41F9E0B1">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路基</w:t>
                  </w:r>
                </w:p>
              </w:tc>
              <w:tc>
                <w:tcPr>
                  <w:tcW w:w="140" w:type="pct"/>
                  <w:noWrap w:val="0"/>
                  <w:vAlign w:val="center"/>
                </w:tcPr>
                <w:p w14:paraId="4BEF657D">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两侧</w:t>
                  </w:r>
                </w:p>
              </w:tc>
              <w:tc>
                <w:tcPr>
                  <w:tcW w:w="180" w:type="pct"/>
                  <w:noWrap w:val="0"/>
                  <w:vAlign w:val="center"/>
                </w:tcPr>
                <w:p w14:paraId="572A1662">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0.1-</w:t>
                  </w:r>
                </w:p>
                <w:p w14:paraId="0B197E91">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0.2</w:t>
                  </w:r>
                </w:p>
              </w:tc>
              <w:tc>
                <w:tcPr>
                  <w:tcW w:w="220" w:type="pct"/>
                  <w:noWrap w:val="0"/>
                  <w:vAlign w:val="center"/>
                </w:tcPr>
                <w:p w14:paraId="77E26921">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2.25</w:t>
                  </w:r>
                </w:p>
              </w:tc>
              <w:tc>
                <w:tcPr>
                  <w:tcW w:w="187" w:type="pct"/>
                  <w:noWrap w:val="0"/>
                  <w:vAlign w:val="center"/>
                </w:tcPr>
                <w:p w14:paraId="07AF46FF">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default" w:ascii="Times New Roman" w:hAnsi="Times New Roman" w:eastAsia="宋体" w:cs="Times New Roman"/>
                      <w:color w:val="auto"/>
                      <w:spacing w:val="-10"/>
                      <w:kern w:val="21"/>
                      <w:sz w:val="21"/>
                      <w:szCs w:val="21"/>
                      <w:lang w:val="en-US" w:eastAsia="zh-CN"/>
                    </w:rPr>
                    <w:t>10</w:t>
                  </w:r>
                </w:p>
              </w:tc>
              <w:tc>
                <w:tcPr>
                  <w:tcW w:w="180" w:type="pct"/>
                  <w:noWrap w:val="0"/>
                  <w:vAlign w:val="center"/>
                </w:tcPr>
                <w:p w14:paraId="57541AD0">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128</w:t>
                  </w:r>
                </w:p>
              </w:tc>
              <w:tc>
                <w:tcPr>
                  <w:tcW w:w="194" w:type="pct"/>
                  <w:noWrap w:val="0"/>
                  <w:vAlign w:val="center"/>
                </w:tcPr>
                <w:p w14:paraId="69875498">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1"/>
                      <w:sz w:val="21"/>
                      <w:szCs w:val="21"/>
                      <w:lang w:val="en-US" w:eastAsia="zh-CN"/>
                    </w:rPr>
                    <w:t>1206</w:t>
                  </w:r>
                </w:p>
              </w:tc>
              <w:tc>
                <w:tcPr>
                  <w:tcW w:w="381" w:type="pct"/>
                  <w:noWrap w:val="0"/>
                  <w:vAlign w:val="center"/>
                </w:tcPr>
                <w:p w14:paraId="0E848B44">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大部分一层砖混，临路一侧部分为</w:t>
                  </w:r>
                  <w:r>
                    <w:rPr>
                      <w:rFonts w:hint="default" w:ascii="Times New Roman" w:hAnsi="Times New Roman" w:cs="Times New Roman"/>
                      <w:color w:val="auto"/>
                      <w:spacing w:val="-10"/>
                      <w:sz w:val="21"/>
                      <w:szCs w:val="21"/>
                      <w:lang w:val="en-US" w:eastAsia="zh-CN"/>
                    </w:rPr>
                    <w:t>多</w:t>
                  </w:r>
                  <w:r>
                    <w:rPr>
                      <w:rFonts w:hint="default" w:ascii="Times New Roman" w:hAnsi="Times New Roman" w:eastAsia="宋体" w:cs="Times New Roman"/>
                      <w:color w:val="auto"/>
                      <w:spacing w:val="-10"/>
                      <w:sz w:val="21"/>
                      <w:szCs w:val="21"/>
                      <w:lang w:val="en-US" w:eastAsia="zh-CN"/>
                    </w:rPr>
                    <w:t>层</w:t>
                  </w:r>
                  <w:r>
                    <w:rPr>
                      <w:rFonts w:hint="default" w:ascii="Times New Roman" w:hAnsi="Times New Roman" w:cs="Times New Roman"/>
                      <w:color w:val="auto"/>
                      <w:spacing w:val="-10"/>
                      <w:sz w:val="21"/>
                      <w:szCs w:val="21"/>
                      <w:lang w:val="en-US" w:eastAsia="zh-CN"/>
                    </w:rPr>
                    <w:t>住宅</w:t>
                  </w:r>
                  <w:r>
                    <w:rPr>
                      <w:rFonts w:hint="default" w:ascii="Times New Roman" w:hAnsi="Times New Roman" w:eastAsia="宋体" w:cs="Times New Roman"/>
                      <w:color w:val="auto"/>
                      <w:spacing w:val="-10"/>
                      <w:sz w:val="21"/>
                      <w:szCs w:val="21"/>
                      <w:lang w:val="en-US" w:eastAsia="zh-CN"/>
                    </w:rPr>
                    <w:t>，南北朝向，部分</w:t>
                  </w:r>
                  <w:r>
                    <w:rPr>
                      <w:rFonts w:hint="default" w:ascii="Times New Roman" w:hAnsi="Times New Roman" w:cs="Times New Roman"/>
                      <w:color w:val="auto"/>
                      <w:spacing w:val="-10"/>
                      <w:sz w:val="21"/>
                      <w:szCs w:val="21"/>
                      <w:lang w:val="en-US" w:eastAsia="zh-CN"/>
                    </w:rPr>
                    <w:t>平行</w:t>
                  </w:r>
                  <w:r>
                    <w:rPr>
                      <w:rFonts w:hint="default" w:ascii="Times New Roman" w:hAnsi="Times New Roman" w:eastAsia="宋体" w:cs="Times New Roman"/>
                      <w:color w:val="auto"/>
                      <w:spacing w:val="-10"/>
                      <w:sz w:val="21"/>
                      <w:szCs w:val="21"/>
                      <w:lang w:val="en-US" w:eastAsia="zh-CN"/>
                    </w:rPr>
                    <w:t>于道路，部分为斜对道路</w:t>
                  </w:r>
                </w:p>
              </w:tc>
              <w:tc>
                <w:tcPr>
                  <w:tcW w:w="1283" w:type="pct"/>
                  <w:noWrap w:val="0"/>
                  <w:vAlign w:val="center"/>
                </w:tcPr>
                <w:p w14:paraId="21114C4C">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201545" cy="1436370"/>
                        <wp:effectExtent l="0" t="0" r="8255" b="11430"/>
                        <wp:docPr id="16" name="图片 16" descr="ff21f3e84b66e87e3d2aca0dfc81fd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f21f3e84b66e87e3d2aca0dfc81fd3d"/>
                                <pic:cNvPicPr>
                                  <a:picLocks noChangeAspect="1"/>
                                </pic:cNvPicPr>
                              </pic:nvPicPr>
                              <pic:blipFill>
                                <a:blip r:embed="rId27"/>
                                <a:srcRect t="38766" b="38235"/>
                                <a:stretch>
                                  <a:fillRect/>
                                </a:stretch>
                              </pic:blipFill>
                              <pic:spPr>
                                <a:xfrm>
                                  <a:off x="0" y="0"/>
                                  <a:ext cx="2201545" cy="1436370"/>
                                </a:xfrm>
                                <a:prstGeom prst="rect">
                                  <a:avLst/>
                                </a:prstGeom>
                              </pic:spPr>
                            </pic:pic>
                          </a:graphicData>
                        </a:graphic>
                      </wp:inline>
                    </w:drawing>
                  </w:r>
                </w:p>
              </w:tc>
              <w:tc>
                <w:tcPr>
                  <w:tcW w:w="1344" w:type="pct"/>
                  <w:noWrap w:val="0"/>
                  <w:vAlign w:val="center"/>
                </w:tcPr>
                <w:p w14:paraId="6B4B9221">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329180" cy="1736725"/>
                        <wp:effectExtent l="0" t="0" r="13970" b="15875"/>
                        <wp:docPr id="66" name="图片 66" descr="敏感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敏感点3"/>
                                <pic:cNvPicPr>
                                  <a:picLocks noChangeAspect="1"/>
                                </pic:cNvPicPr>
                              </pic:nvPicPr>
                              <pic:blipFill>
                                <a:blip r:embed="rId28"/>
                                <a:stretch>
                                  <a:fillRect/>
                                </a:stretch>
                              </pic:blipFill>
                              <pic:spPr>
                                <a:xfrm>
                                  <a:off x="0" y="0"/>
                                  <a:ext cx="2329180" cy="1736725"/>
                                </a:xfrm>
                                <a:prstGeom prst="rect">
                                  <a:avLst/>
                                </a:prstGeom>
                              </pic:spPr>
                            </pic:pic>
                          </a:graphicData>
                        </a:graphic>
                      </wp:inline>
                    </w:drawing>
                  </w:r>
                </w:p>
              </w:tc>
            </w:tr>
            <w:tr w14:paraId="53EA07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2" w:type="pct"/>
                  <w:noWrap w:val="0"/>
                  <w:vAlign w:val="center"/>
                </w:tcPr>
                <w:p w14:paraId="3615F74A">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4</w:t>
                  </w:r>
                </w:p>
              </w:tc>
              <w:tc>
                <w:tcPr>
                  <w:tcW w:w="219" w:type="pct"/>
                  <w:noWrap w:val="0"/>
                  <w:vAlign w:val="center"/>
                </w:tcPr>
                <w:p w14:paraId="021D58E1">
                  <w:pPr>
                    <w:pStyle w:val="80"/>
                    <w:wordWrap/>
                    <w:rPr>
                      <w:rFonts w:hint="default" w:ascii="Times New Roman" w:hAnsi="Times New Roman" w:eastAsia="宋体" w:cs="Times New Roman"/>
                      <w:color w:val="auto"/>
                      <w:spacing w:val="-11"/>
                      <w:sz w:val="21"/>
                      <w:szCs w:val="21"/>
                      <w:lang w:val="en-US" w:eastAsia="zh-CN"/>
                    </w:rPr>
                  </w:pPr>
                  <w:r>
                    <w:rPr>
                      <w:rFonts w:hint="default" w:ascii="Times New Roman" w:hAnsi="Times New Roman" w:eastAsia="宋体" w:cs="Times New Roman"/>
                      <w:snapToGrid w:val="0"/>
                      <w:color w:val="auto"/>
                      <w:spacing w:val="-11"/>
                      <w:kern w:val="0"/>
                      <w:sz w:val="21"/>
                      <w:szCs w:val="21"/>
                      <w:lang w:val="en-US" w:eastAsia="zh-CN"/>
                    </w:rPr>
                    <w:t>牡丹江管理局兽医实验室</w:t>
                  </w:r>
                </w:p>
              </w:tc>
              <w:tc>
                <w:tcPr>
                  <w:tcW w:w="374" w:type="pct"/>
                  <w:noWrap w:val="0"/>
                  <w:vAlign w:val="center"/>
                </w:tcPr>
                <w:p w14:paraId="2EF7B487">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K201+850</w:t>
                  </w:r>
                  <w:r>
                    <w:rPr>
                      <w:rFonts w:hint="default" w:ascii="Times New Roman" w:hAnsi="Times New Roman" w:cs="Times New Roman"/>
                      <w:color w:val="auto"/>
                      <w:spacing w:val="-10"/>
                      <w:sz w:val="21"/>
                      <w:szCs w:val="21"/>
                    </w:rPr>
                    <w:t>~</w:t>
                  </w:r>
                </w:p>
                <w:p w14:paraId="54B17D2B">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201-900</w:t>
                  </w:r>
                </w:p>
              </w:tc>
              <w:tc>
                <w:tcPr>
                  <w:tcW w:w="160" w:type="pct"/>
                  <w:noWrap w:val="0"/>
                  <w:vAlign w:val="center"/>
                </w:tcPr>
                <w:p w14:paraId="6B3D5BD2">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路基</w:t>
                  </w:r>
                </w:p>
              </w:tc>
              <w:tc>
                <w:tcPr>
                  <w:tcW w:w="140" w:type="pct"/>
                  <w:noWrap w:val="0"/>
                  <w:vAlign w:val="center"/>
                </w:tcPr>
                <w:p w14:paraId="10D68C13">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左侧</w:t>
                  </w:r>
                </w:p>
              </w:tc>
              <w:tc>
                <w:tcPr>
                  <w:tcW w:w="180" w:type="pct"/>
                  <w:noWrap w:val="0"/>
                  <w:vAlign w:val="center"/>
                </w:tcPr>
                <w:p w14:paraId="0A2B68B7">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0.1-</w:t>
                  </w:r>
                </w:p>
                <w:p w14:paraId="7368F391">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0.2</w:t>
                  </w:r>
                </w:p>
              </w:tc>
              <w:tc>
                <w:tcPr>
                  <w:tcW w:w="220" w:type="pct"/>
                  <w:noWrap w:val="0"/>
                  <w:vAlign w:val="center"/>
                </w:tcPr>
                <w:p w14:paraId="4E1D2F73">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6.25</w:t>
                  </w:r>
                </w:p>
              </w:tc>
              <w:tc>
                <w:tcPr>
                  <w:tcW w:w="187" w:type="pct"/>
                  <w:noWrap w:val="0"/>
                  <w:vAlign w:val="center"/>
                </w:tcPr>
                <w:p w14:paraId="6CDC6195">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default" w:ascii="Times New Roman" w:hAnsi="Times New Roman" w:eastAsia="宋体" w:cs="Times New Roman"/>
                      <w:color w:val="auto"/>
                      <w:spacing w:val="-10"/>
                      <w:kern w:val="21"/>
                      <w:sz w:val="21"/>
                      <w:szCs w:val="21"/>
                      <w:lang w:val="en-US" w:eastAsia="zh-CN"/>
                    </w:rPr>
                    <w:t>1</w:t>
                  </w:r>
                  <w:r>
                    <w:rPr>
                      <w:rFonts w:hint="eastAsia" w:cs="Times New Roman"/>
                      <w:color w:val="auto"/>
                      <w:spacing w:val="-10"/>
                      <w:kern w:val="21"/>
                      <w:sz w:val="21"/>
                      <w:szCs w:val="21"/>
                      <w:lang w:val="en-US" w:eastAsia="zh-CN"/>
                    </w:rPr>
                    <w:t>4</w:t>
                  </w:r>
                </w:p>
              </w:tc>
              <w:tc>
                <w:tcPr>
                  <w:tcW w:w="180" w:type="pct"/>
                  <w:noWrap w:val="0"/>
                  <w:vAlign w:val="center"/>
                </w:tcPr>
                <w:p w14:paraId="521D8340">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w:t>
                  </w:r>
                </w:p>
              </w:tc>
              <w:tc>
                <w:tcPr>
                  <w:tcW w:w="194" w:type="pct"/>
                  <w:noWrap w:val="0"/>
                  <w:vAlign w:val="center"/>
                </w:tcPr>
                <w:p w14:paraId="2F093EA7">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w:t>
                  </w:r>
                </w:p>
              </w:tc>
              <w:tc>
                <w:tcPr>
                  <w:tcW w:w="381" w:type="pct"/>
                  <w:noWrap w:val="0"/>
                  <w:vAlign w:val="center"/>
                </w:tcPr>
                <w:p w14:paraId="7CD5C2F3">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两层砖混，南北朝向，斜对道路</w:t>
                  </w:r>
                </w:p>
              </w:tc>
              <w:tc>
                <w:tcPr>
                  <w:tcW w:w="1283" w:type="pct"/>
                  <w:noWrap w:val="0"/>
                  <w:vAlign w:val="center"/>
                </w:tcPr>
                <w:p w14:paraId="7A693E71">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048510" cy="1417320"/>
                        <wp:effectExtent l="0" t="0" r="8890" b="11430"/>
                        <wp:docPr id="2" name="图片 2" descr="实验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实验室"/>
                                <pic:cNvPicPr>
                                  <a:picLocks noChangeAspect="1"/>
                                </pic:cNvPicPr>
                              </pic:nvPicPr>
                              <pic:blipFill>
                                <a:blip r:embed="rId29"/>
                                <a:srcRect t="14441"/>
                                <a:stretch>
                                  <a:fillRect/>
                                </a:stretch>
                              </pic:blipFill>
                              <pic:spPr>
                                <a:xfrm>
                                  <a:off x="0" y="0"/>
                                  <a:ext cx="2048510" cy="1417320"/>
                                </a:xfrm>
                                <a:prstGeom prst="rect">
                                  <a:avLst/>
                                </a:prstGeom>
                              </pic:spPr>
                            </pic:pic>
                          </a:graphicData>
                        </a:graphic>
                      </wp:inline>
                    </w:drawing>
                  </w:r>
                </w:p>
              </w:tc>
              <w:tc>
                <w:tcPr>
                  <w:tcW w:w="1344" w:type="pct"/>
                  <w:noWrap w:val="0"/>
                  <w:vAlign w:val="center"/>
                </w:tcPr>
                <w:p w14:paraId="31E263B4">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323465" cy="1527810"/>
                        <wp:effectExtent l="0" t="0" r="635" b="15240"/>
                        <wp:docPr id="68" name="图片 68" descr="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7777"/>
                                <pic:cNvPicPr>
                                  <a:picLocks noChangeAspect="1"/>
                                </pic:cNvPicPr>
                              </pic:nvPicPr>
                              <pic:blipFill>
                                <a:blip r:embed="rId30"/>
                                <a:stretch>
                                  <a:fillRect/>
                                </a:stretch>
                              </pic:blipFill>
                              <pic:spPr>
                                <a:xfrm>
                                  <a:off x="0" y="0"/>
                                  <a:ext cx="2323465" cy="1527810"/>
                                </a:xfrm>
                                <a:prstGeom prst="rect">
                                  <a:avLst/>
                                </a:prstGeom>
                              </pic:spPr>
                            </pic:pic>
                          </a:graphicData>
                        </a:graphic>
                      </wp:inline>
                    </w:drawing>
                  </w:r>
                </w:p>
              </w:tc>
            </w:tr>
            <w:tr w14:paraId="575D53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rPr>
              <w:tc>
                <w:tcPr>
                  <w:tcW w:w="132" w:type="pct"/>
                  <w:noWrap w:val="0"/>
                  <w:vAlign w:val="center"/>
                </w:tcPr>
                <w:p w14:paraId="20843A01">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5</w:t>
                  </w:r>
                </w:p>
              </w:tc>
              <w:tc>
                <w:tcPr>
                  <w:tcW w:w="219" w:type="pct"/>
                  <w:noWrap w:val="0"/>
                  <w:vAlign w:val="center"/>
                </w:tcPr>
                <w:p w14:paraId="32A3DAD5">
                  <w:pPr>
                    <w:pStyle w:val="80"/>
                    <w:wordWrap/>
                    <w:rPr>
                      <w:rFonts w:hint="default" w:ascii="Times New Roman" w:hAnsi="Times New Roman" w:eastAsia="宋体" w:cs="Times New Roman"/>
                      <w:snapToGrid w:val="0"/>
                      <w:color w:val="auto"/>
                      <w:spacing w:val="-11"/>
                      <w:kern w:val="0"/>
                      <w:sz w:val="21"/>
                      <w:szCs w:val="21"/>
                      <w:lang w:val="en-US" w:eastAsia="zh-CN"/>
                    </w:rPr>
                  </w:pPr>
                  <w:r>
                    <w:rPr>
                      <w:rFonts w:hint="default" w:ascii="Times New Roman" w:hAnsi="Times New Roman" w:eastAsia="宋体" w:cs="Times New Roman"/>
                      <w:snapToGrid w:val="0"/>
                      <w:color w:val="auto"/>
                      <w:spacing w:val="-11"/>
                      <w:kern w:val="0"/>
                      <w:sz w:val="21"/>
                      <w:szCs w:val="21"/>
                      <w:lang w:val="en-US" w:eastAsia="zh-CN"/>
                    </w:rPr>
                    <w:t>省八五一一农场医院</w:t>
                  </w:r>
                </w:p>
              </w:tc>
              <w:tc>
                <w:tcPr>
                  <w:tcW w:w="374" w:type="pct"/>
                  <w:noWrap w:val="0"/>
                  <w:vAlign w:val="center"/>
                </w:tcPr>
                <w:p w14:paraId="354D2513">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K202+200</w:t>
                  </w:r>
                  <w:r>
                    <w:rPr>
                      <w:rFonts w:hint="default" w:ascii="Times New Roman" w:hAnsi="Times New Roman" w:cs="Times New Roman"/>
                      <w:color w:val="auto"/>
                      <w:spacing w:val="-10"/>
                      <w:sz w:val="21"/>
                      <w:szCs w:val="21"/>
                    </w:rPr>
                    <w:t>~</w:t>
                  </w:r>
                </w:p>
                <w:p w14:paraId="1E253271">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rPr>
                    <w:t>K</w:t>
                  </w:r>
                  <w:r>
                    <w:rPr>
                      <w:rFonts w:hint="default" w:ascii="Times New Roman" w:hAnsi="Times New Roman" w:cs="Times New Roman"/>
                      <w:color w:val="auto"/>
                      <w:spacing w:val="-10"/>
                      <w:sz w:val="21"/>
                      <w:szCs w:val="21"/>
                      <w:lang w:val="en-US" w:eastAsia="zh-CN"/>
                    </w:rPr>
                    <w:t>202+250</w:t>
                  </w:r>
                </w:p>
              </w:tc>
              <w:tc>
                <w:tcPr>
                  <w:tcW w:w="160" w:type="pct"/>
                  <w:noWrap w:val="0"/>
                  <w:vAlign w:val="center"/>
                </w:tcPr>
                <w:p w14:paraId="0B2820C4">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rPr>
                    <w:t>路基</w:t>
                  </w:r>
                </w:p>
              </w:tc>
              <w:tc>
                <w:tcPr>
                  <w:tcW w:w="140" w:type="pct"/>
                  <w:noWrap w:val="0"/>
                  <w:vAlign w:val="center"/>
                </w:tcPr>
                <w:p w14:paraId="1D484088">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左侧</w:t>
                  </w:r>
                </w:p>
              </w:tc>
              <w:tc>
                <w:tcPr>
                  <w:tcW w:w="180" w:type="pct"/>
                  <w:noWrap w:val="0"/>
                  <w:vAlign w:val="center"/>
                </w:tcPr>
                <w:p w14:paraId="564D0F2E">
                  <w:pPr>
                    <w:pStyle w:val="68"/>
                    <w:spacing w:line="240" w:lineRule="exact"/>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0.1-</w:t>
                  </w:r>
                </w:p>
                <w:p w14:paraId="7DA95C25">
                  <w:pPr>
                    <w:pStyle w:val="68"/>
                    <w:spacing w:line="240" w:lineRule="exact"/>
                    <w:rPr>
                      <w:rFonts w:hint="default" w:ascii="Times New Roman" w:hAnsi="Times New Roman" w:cs="Times New Roman"/>
                      <w:color w:val="auto"/>
                      <w:spacing w:val="-10"/>
                      <w:sz w:val="21"/>
                      <w:szCs w:val="21"/>
                    </w:rPr>
                  </w:pPr>
                  <w:r>
                    <w:rPr>
                      <w:rFonts w:hint="default" w:ascii="Times New Roman" w:hAnsi="Times New Roman" w:cs="Times New Roman"/>
                      <w:color w:val="auto"/>
                      <w:spacing w:val="-10"/>
                      <w:sz w:val="21"/>
                      <w:szCs w:val="21"/>
                      <w:lang w:val="en-US" w:eastAsia="zh-CN"/>
                    </w:rPr>
                    <w:t>0.2</w:t>
                  </w:r>
                </w:p>
              </w:tc>
              <w:tc>
                <w:tcPr>
                  <w:tcW w:w="220" w:type="pct"/>
                  <w:noWrap w:val="0"/>
                  <w:vAlign w:val="center"/>
                </w:tcPr>
                <w:p w14:paraId="45EA23C4">
                  <w:pPr>
                    <w:widowControl/>
                    <w:kinsoku w:val="0"/>
                    <w:autoSpaceDE w:val="0"/>
                    <w:autoSpaceDN w:val="0"/>
                    <w:adjustRightInd w:val="0"/>
                    <w:snapToGrid w:val="0"/>
                    <w:spacing w:line="240" w:lineRule="exact"/>
                    <w:ind w:firstLine="0" w:firstLineChars="0"/>
                    <w:jc w:val="center"/>
                    <w:textAlignment w:val="baseline"/>
                    <w:rPr>
                      <w:rFonts w:hint="eastAsia"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32.</w:t>
                  </w:r>
                </w:p>
                <w:p w14:paraId="68F9939B">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eastAsia" w:cs="Times New Roman"/>
                      <w:color w:val="auto"/>
                      <w:spacing w:val="-10"/>
                      <w:kern w:val="21"/>
                      <w:sz w:val="21"/>
                      <w:szCs w:val="21"/>
                      <w:lang w:val="en-US" w:eastAsia="zh-CN"/>
                    </w:rPr>
                    <w:t>25</w:t>
                  </w:r>
                </w:p>
              </w:tc>
              <w:tc>
                <w:tcPr>
                  <w:tcW w:w="187" w:type="pct"/>
                  <w:noWrap w:val="0"/>
                  <w:vAlign w:val="center"/>
                </w:tcPr>
                <w:p w14:paraId="44428EF6">
                  <w:pPr>
                    <w:widowControl/>
                    <w:kinsoku w:val="0"/>
                    <w:autoSpaceDE w:val="0"/>
                    <w:autoSpaceDN w:val="0"/>
                    <w:adjustRightInd w:val="0"/>
                    <w:snapToGrid w:val="0"/>
                    <w:spacing w:line="240" w:lineRule="exact"/>
                    <w:ind w:firstLine="0" w:firstLineChars="0"/>
                    <w:jc w:val="center"/>
                    <w:textAlignment w:val="baseline"/>
                    <w:rPr>
                      <w:rFonts w:hint="default" w:ascii="Times New Roman" w:hAnsi="Times New Roman" w:eastAsia="宋体" w:cs="Times New Roman"/>
                      <w:color w:val="auto"/>
                      <w:spacing w:val="-10"/>
                      <w:kern w:val="21"/>
                      <w:sz w:val="21"/>
                      <w:szCs w:val="21"/>
                      <w:lang w:val="en-US" w:eastAsia="zh-CN"/>
                    </w:rPr>
                  </w:pPr>
                  <w:r>
                    <w:rPr>
                      <w:rFonts w:hint="default" w:ascii="Times New Roman" w:hAnsi="Times New Roman" w:eastAsia="宋体" w:cs="Times New Roman"/>
                      <w:color w:val="auto"/>
                      <w:spacing w:val="-10"/>
                      <w:kern w:val="21"/>
                      <w:sz w:val="21"/>
                      <w:szCs w:val="21"/>
                      <w:lang w:val="en-US" w:eastAsia="zh-CN"/>
                    </w:rPr>
                    <w:t>4</w:t>
                  </w:r>
                  <w:r>
                    <w:rPr>
                      <w:rFonts w:hint="eastAsia" w:cs="Times New Roman"/>
                      <w:color w:val="auto"/>
                      <w:spacing w:val="-10"/>
                      <w:kern w:val="21"/>
                      <w:sz w:val="21"/>
                      <w:szCs w:val="21"/>
                      <w:lang w:val="en-US" w:eastAsia="zh-CN"/>
                    </w:rPr>
                    <w:t>0</w:t>
                  </w:r>
                </w:p>
              </w:tc>
              <w:tc>
                <w:tcPr>
                  <w:tcW w:w="180" w:type="pct"/>
                  <w:noWrap w:val="0"/>
                  <w:vAlign w:val="center"/>
                </w:tcPr>
                <w:p w14:paraId="196E8961">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w:t>
                  </w:r>
                </w:p>
              </w:tc>
              <w:tc>
                <w:tcPr>
                  <w:tcW w:w="194" w:type="pct"/>
                  <w:noWrap w:val="0"/>
                  <w:vAlign w:val="center"/>
                </w:tcPr>
                <w:p w14:paraId="1C8CB68C">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w:t>
                  </w:r>
                </w:p>
              </w:tc>
              <w:tc>
                <w:tcPr>
                  <w:tcW w:w="381" w:type="pct"/>
                  <w:noWrap w:val="0"/>
                  <w:vAlign w:val="center"/>
                </w:tcPr>
                <w:p w14:paraId="3BD349CC">
                  <w:pPr>
                    <w:pStyle w:val="68"/>
                    <w:spacing w:line="240" w:lineRule="exact"/>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3-4层砖混，南北朝向，位于道路第二排</w:t>
                  </w:r>
                </w:p>
              </w:tc>
              <w:tc>
                <w:tcPr>
                  <w:tcW w:w="1283" w:type="pct"/>
                  <w:noWrap w:val="0"/>
                  <w:vAlign w:val="center"/>
                </w:tcPr>
                <w:p w14:paraId="432B490F">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322830" cy="1419860"/>
                        <wp:effectExtent l="0" t="0" r="1270" b="8890"/>
                        <wp:docPr id="7" name="图片 7" descr="c5feb8581e55adbc6ebb5da86eefc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5feb8581e55adbc6ebb5da86eefc361"/>
                                <pic:cNvPicPr>
                                  <a:picLocks noChangeAspect="1"/>
                                </pic:cNvPicPr>
                              </pic:nvPicPr>
                              <pic:blipFill>
                                <a:blip r:embed="rId31"/>
                                <a:srcRect b="18455"/>
                                <a:stretch>
                                  <a:fillRect/>
                                </a:stretch>
                              </pic:blipFill>
                              <pic:spPr>
                                <a:xfrm>
                                  <a:off x="0" y="0"/>
                                  <a:ext cx="2322830" cy="1419860"/>
                                </a:xfrm>
                                <a:prstGeom prst="rect">
                                  <a:avLst/>
                                </a:prstGeom>
                              </pic:spPr>
                            </pic:pic>
                          </a:graphicData>
                        </a:graphic>
                      </wp:inline>
                    </w:drawing>
                  </w:r>
                </w:p>
              </w:tc>
              <w:tc>
                <w:tcPr>
                  <w:tcW w:w="1344" w:type="pct"/>
                  <w:noWrap w:val="0"/>
                  <w:vAlign w:val="center"/>
                </w:tcPr>
                <w:p w14:paraId="10F3C53B">
                  <w:pPr>
                    <w:pStyle w:val="68"/>
                    <w:spacing w:line="240" w:lineRule="auto"/>
                    <w:rPr>
                      <w:rFonts w:hint="default" w:ascii="Times New Roman" w:hAnsi="Times New Roman" w:eastAsia="宋体" w:cs="Times New Roman"/>
                      <w:color w:val="auto"/>
                      <w:spacing w:val="-10"/>
                      <w:sz w:val="21"/>
                      <w:szCs w:val="21"/>
                      <w:lang w:eastAsia="zh-CN"/>
                    </w:rPr>
                  </w:pPr>
                  <w:r>
                    <w:rPr>
                      <w:rFonts w:hint="default" w:ascii="Times New Roman" w:hAnsi="Times New Roman" w:eastAsia="宋体" w:cs="Times New Roman"/>
                      <w:color w:val="auto"/>
                      <w:spacing w:val="-10"/>
                      <w:sz w:val="21"/>
                      <w:szCs w:val="21"/>
                      <w:lang w:eastAsia="zh-CN"/>
                    </w:rPr>
                    <w:drawing>
                      <wp:inline distT="0" distB="0" distL="114300" distR="114300">
                        <wp:extent cx="2327910" cy="1425575"/>
                        <wp:effectExtent l="0" t="0" r="15240" b="3175"/>
                        <wp:docPr id="69" name="图片 69" descr="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888"/>
                                <pic:cNvPicPr>
                                  <a:picLocks noChangeAspect="1"/>
                                </pic:cNvPicPr>
                              </pic:nvPicPr>
                              <pic:blipFill>
                                <a:blip r:embed="rId32"/>
                                <a:stretch>
                                  <a:fillRect/>
                                </a:stretch>
                              </pic:blipFill>
                              <pic:spPr>
                                <a:xfrm>
                                  <a:off x="0" y="0"/>
                                  <a:ext cx="2327910" cy="1425575"/>
                                </a:xfrm>
                                <a:prstGeom prst="rect">
                                  <a:avLst/>
                                </a:prstGeom>
                              </pic:spPr>
                            </pic:pic>
                          </a:graphicData>
                        </a:graphic>
                      </wp:inline>
                    </w:drawing>
                  </w:r>
                </w:p>
              </w:tc>
            </w:tr>
          </w:tbl>
          <w:p w14:paraId="4C1ECE97">
            <w:pPr>
              <w:rPr>
                <w:rFonts w:hint="default" w:ascii="Times New Roman" w:hAnsi="Times New Roman" w:cs="Times New Roman"/>
                <w:color w:val="auto"/>
                <w:vertAlign w:val="baseline"/>
              </w:rPr>
            </w:pPr>
          </w:p>
        </w:tc>
      </w:tr>
    </w:tbl>
    <w:p w14:paraId="7B5F3685">
      <w:pPr>
        <w:rPr>
          <w:rFonts w:hint="default" w:ascii="Times New Roman" w:hAnsi="Times New Roman" w:cs="Times New Roman"/>
          <w:color w:val="auto"/>
        </w:rPr>
      </w:pPr>
    </w:p>
    <w:p w14:paraId="662500BD">
      <w:pPr>
        <w:rPr>
          <w:rFonts w:hint="default" w:ascii="Times New Roman" w:hAnsi="Times New Roman" w:cs="Times New Roman"/>
          <w:color w:val="auto"/>
        </w:rPr>
        <w:sectPr>
          <w:pgSz w:w="16838" w:h="11906" w:orient="landscape"/>
          <w:pgMar w:top="1701" w:right="1440" w:bottom="1701" w:left="1440" w:header="851" w:footer="992" w:gutter="0"/>
          <w:pgBorders>
            <w:top w:val="none" w:sz="0" w:space="0"/>
            <w:left w:val="none" w:sz="0" w:space="0"/>
            <w:bottom w:val="none" w:sz="0" w:space="0"/>
            <w:right w:val="none" w:sz="0" w:space="0"/>
          </w:pgBorders>
          <w:cols w:space="720" w:num="1"/>
          <w:docGrid w:type="lines" w:linePitch="312" w:charSpace="0"/>
        </w:sectPr>
      </w:pP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7954"/>
      </w:tblGrid>
      <w:tr w14:paraId="6E146B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38" w:hRule="atLeast"/>
          <w:jc w:val="center"/>
        </w:trPr>
        <w:tc>
          <w:tcPr>
            <w:tcW w:w="456" w:type="dxa"/>
            <w:noWrap w:val="0"/>
            <w:vAlign w:val="center"/>
          </w:tcPr>
          <w:p w14:paraId="6267689B">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评价</w:t>
            </w:r>
          </w:p>
          <w:p w14:paraId="2277C2F2">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标准</w:t>
            </w:r>
          </w:p>
        </w:tc>
        <w:tc>
          <w:tcPr>
            <w:tcW w:w="7954" w:type="dxa"/>
            <w:noWrap w:val="0"/>
            <w:vAlign w:val="top"/>
          </w:tcPr>
          <w:p w14:paraId="4803CE2E">
            <w:pPr>
              <w:pStyle w:val="76"/>
              <w:rPr>
                <w:rFonts w:hint="default" w:ascii="Times New Roman" w:hAnsi="Times New Roman" w:cs="Times New Roman"/>
                <w:color w:val="auto"/>
                <w:szCs w:val="21"/>
              </w:rPr>
            </w:pPr>
            <w:r>
              <w:rPr>
                <w:rFonts w:hint="default" w:ascii="Times New Roman" w:hAnsi="Times New Roman" w:cs="Times New Roman"/>
                <w:color w:val="auto"/>
                <w:szCs w:val="21"/>
              </w:rPr>
              <w:t>1、</w:t>
            </w:r>
            <w:r>
              <w:rPr>
                <w:rFonts w:hint="default" w:ascii="Times New Roman" w:hAnsi="Times New Roman" w:cs="Times New Roman"/>
                <w:color w:val="auto"/>
              </w:rPr>
              <w:t>环境质量标准</w:t>
            </w:r>
          </w:p>
          <w:p w14:paraId="1B4401CB">
            <w:pPr>
              <w:pStyle w:val="76"/>
              <w:rPr>
                <w:rFonts w:hint="default" w:ascii="Times New Roman" w:hAnsi="Times New Roman" w:cs="Times New Roman"/>
                <w:bCs/>
                <w:color w:val="auto"/>
              </w:rPr>
            </w:pPr>
            <w:r>
              <w:rPr>
                <w:rFonts w:hint="default" w:ascii="Times New Roman" w:hAnsi="Times New Roman" w:cs="Times New Roman"/>
                <w:bCs/>
                <w:color w:val="auto"/>
              </w:rPr>
              <w:t>（1）环境空气</w:t>
            </w:r>
          </w:p>
          <w:p w14:paraId="447FDDD6">
            <w:pPr>
              <w:pStyle w:val="76"/>
              <w:rPr>
                <w:rFonts w:hint="default" w:ascii="Times New Roman" w:hAnsi="Times New Roman" w:cs="Times New Roman"/>
                <w:color w:val="auto"/>
              </w:rPr>
            </w:pPr>
            <w:r>
              <w:rPr>
                <w:rFonts w:hint="default" w:ascii="Times New Roman" w:hAnsi="Times New Roman" w:cs="Times New Roman"/>
                <w:bCs/>
                <w:color w:val="auto"/>
                <w:lang w:val="en-US" w:eastAsia="zh-CN"/>
              </w:rPr>
              <w:t>本项目</w:t>
            </w:r>
            <w:r>
              <w:rPr>
                <w:rFonts w:hint="default" w:ascii="Times New Roman" w:hAnsi="Times New Roman" w:cs="Times New Roman"/>
                <w:bCs/>
                <w:color w:val="auto"/>
              </w:rPr>
              <w:t>环境空气质量</w:t>
            </w:r>
            <w:r>
              <w:rPr>
                <w:rFonts w:hint="default" w:ascii="Times New Roman" w:hAnsi="Times New Roman" w:cs="Times New Roman"/>
                <w:color w:val="auto"/>
              </w:rPr>
              <w:t>执行《环境空气质量标准》（GB3095-2012）中的二级标准。</w:t>
            </w:r>
          </w:p>
          <w:p w14:paraId="1AEE2991">
            <w:pPr>
              <w:pStyle w:val="72"/>
              <w:rPr>
                <w:rFonts w:hint="default" w:ascii="Times New Roman" w:hAnsi="Times New Roman" w:cs="Times New Roman"/>
                <w:color w:val="auto"/>
                <w:kern w:val="21"/>
              </w:rPr>
            </w:pPr>
            <w:r>
              <w:rPr>
                <w:rFonts w:hint="default"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6</w:t>
            </w:r>
            <w:r>
              <w:rPr>
                <w:rFonts w:hint="default" w:ascii="Times New Roman" w:hAnsi="Times New Roman" w:eastAsia="宋体" w:cs="Times New Roman"/>
                <w:b/>
                <w:bCs/>
                <w:color w:val="auto"/>
              </w:rPr>
              <w:t xml:space="preserve">  环境空气质量标准一览表</w:t>
            </w:r>
          </w:p>
          <w:tbl>
            <w:tblPr>
              <w:tblStyle w:val="3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54"/>
              <w:gridCol w:w="801"/>
              <w:gridCol w:w="1691"/>
              <w:gridCol w:w="1471"/>
              <w:gridCol w:w="1150"/>
              <w:gridCol w:w="2071"/>
            </w:tblGrid>
            <w:tr w14:paraId="415C8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21FD52A1">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序号</w:t>
                  </w:r>
                </w:p>
              </w:tc>
              <w:tc>
                <w:tcPr>
                  <w:tcW w:w="801" w:type="dxa"/>
                  <w:vMerge w:val="restart"/>
                  <w:noWrap w:val="0"/>
                  <w:vAlign w:val="center"/>
                </w:tcPr>
                <w:p w14:paraId="57A0DD08">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污染物</w:t>
                  </w:r>
                </w:p>
              </w:tc>
              <w:tc>
                <w:tcPr>
                  <w:tcW w:w="3162" w:type="dxa"/>
                  <w:gridSpan w:val="2"/>
                  <w:noWrap w:val="0"/>
                  <w:vAlign w:val="center"/>
                </w:tcPr>
                <w:p w14:paraId="3413D75E">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标准值</w:t>
                  </w:r>
                </w:p>
              </w:tc>
              <w:tc>
                <w:tcPr>
                  <w:tcW w:w="1150" w:type="dxa"/>
                  <w:vMerge w:val="restart"/>
                  <w:noWrap w:val="0"/>
                  <w:vAlign w:val="center"/>
                </w:tcPr>
                <w:p w14:paraId="72143E9A">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单位</w:t>
                  </w:r>
                </w:p>
              </w:tc>
              <w:tc>
                <w:tcPr>
                  <w:tcW w:w="2071" w:type="dxa"/>
                  <w:vMerge w:val="restart"/>
                  <w:noWrap w:val="0"/>
                  <w:vAlign w:val="center"/>
                </w:tcPr>
                <w:p w14:paraId="7EFF41CD">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标准来源</w:t>
                  </w:r>
                </w:p>
              </w:tc>
            </w:tr>
            <w:tr w14:paraId="10373C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44ED5A99">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36810661">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3EE6A323">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平均时间</w:t>
                  </w:r>
                </w:p>
              </w:tc>
              <w:tc>
                <w:tcPr>
                  <w:tcW w:w="1471" w:type="dxa"/>
                  <w:noWrap w:val="0"/>
                  <w:vAlign w:val="center"/>
                </w:tcPr>
                <w:p w14:paraId="1AE3841D">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浓度限值</w:t>
                  </w:r>
                </w:p>
              </w:tc>
              <w:tc>
                <w:tcPr>
                  <w:tcW w:w="1150" w:type="dxa"/>
                  <w:vMerge w:val="continue"/>
                  <w:noWrap w:val="0"/>
                  <w:vAlign w:val="center"/>
                </w:tcPr>
                <w:p w14:paraId="0602E034">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4657084B">
                  <w:pPr>
                    <w:pStyle w:val="68"/>
                    <w:adjustRightInd w:val="0"/>
                    <w:snapToGrid w:val="0"/>
                    <w:spacing w:line="240" w:lineRule="auto"/>
                    <w:rPr>
                      <w:rFonts w:hint="default" w:ascii="Times New Roman" w:hAnsi="Times New Roman" w:cs="Times New Roman"/>
                      <w:color w:val="auto"/>
                      <w:kern w:val="21"/>
                      <w:sz w:val="21"/>
                      <w:szCs w:val="21"/>
                    </w:rPr>
                  </w:pPr>
                </w:p>
              </w:tc>
            </w:tr>
            <w:tr w14:paraId="5DEBF1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4BCC98E9">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w:t>
                  </w:r>
                </w:p>
              </w:tc>
              <w:tc>
                <w:tcPr>
                  <w:tcW w:w="801" w:type="dxa"/>
                  <w:vMerge w:val="restart"/>
                  <w:noWrap w:val="0"/>
                  <w:vAlign w:val="center"/>
                </w:tcPr>
                <w:p w14:paraId="1A9BC3B2">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SO</w:t>
                  </w:r>
                  <w:r>
                    <w:rPr>
                      <w:rFonts w:hint="default" w:ascii="Times New Roman" w:hAnsi="Times New Roman" w:cs="Times New Roman"/>
                      <w:color w:val="auto"/>
                      <w:kern w:val="21"/>
                      <w:sz w:val="21"/>
                      <w:szCs w:val="21"/>
                      <w:vertAlign w:val="subscript"/>
                    </w:rPr>
                    <w:t>2</w:t>
                  </w:r>
                </w:p>
              </w:tc>
              <w:tc>
                <w:tcPr>
                  <w:tcW w:w="1691" w:type="dxa"/>
                  <w:noWrap w:val="0"/>
                  <w:vAlign w:val="center"/>
                </w:tcPr>
                <w:p w14:paraId="0D3F1295">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年平均</w:t>
                  </w:r>
                </w:p>
              </w:tc>
              <w:tc>
                <w:tcPr>
                  <w:tcW w:w="1471" w:type="dxa"/>
                  <w:noWrap w:val="0"/>
                  <w:vAlign w:val="center"/>
                </w:tcPr>
                <w:p w14:paraId="26F1E256">
                  <w:pPr>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 w:val="21"/>
                      <w:szCs w:val="21"/>
                    </w:rPr>
                    <w:t>60</w:t>
                  </w:r>
                </w:p>
              </w:tc>
              <w:tc>
                <w:tcPr>
                  <w:tcW w:w="1150" w:type="dxa"/>
                  <w:vMerge w:val="restart"/>
                  <w:noWrap w:val="0"/>
                  <w:vAlign w:val="center"/>
                </w:tcPr>
                <w:p w14:paraId="451DA050">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μg/Nm</w:t>
                  </w:r>
                  <w:r>
                    <w:rPr>
                      <w:rFonts w:hint="default" w:ascii="Times New Roman" w:hAnsi="Times New Roman" w:cs="Times New Roman"/>
                      <w:color w:val="auto"/>
                      <w:kern w:val="21"/>
                      <w:sz w:val="21"/>
                      <w:szCs w:val="21"/>
                      <w:vertAlign w:val="superscript"/>
                    </w:rPr>
                    <w:t>3</w:t>
                  </w:r>
                </w:p>
              </w:tc>
              <w:tc>
                <w:tcPr>
                  <w:tcW w:w="2071" w:type="dxa"/>
                  <w:vMerge w:val="restart"/>
                  <w:noWrap w:val="0"/>
                  <w:vAlign w:val="center"/>
                </w:tcPr>
                <w:p w14:paraId="3EB18C03">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《环境空气质量标准》（GB3095-2012）及其修改单中二级标准</w:t>
                  </w:r>
                </w:p>
              </w:tc>
            </w:tr>
            <w:tr w14:paraId="73C4FA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5E9232CF">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3AAF94C2">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17BFEDF6">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24小时平均</w:t>
                  </w:r>
                </w:p>
              </w:tc>
              <w:tc>
                <w:tcPr>
                  <w:tcW w:w="1471" w:type="dxa"/>
                  <w:noWrap w:val="0"/>
                  <w:vAlign w:val="center"/>
                </w:tcPr>
                <w:p w14:paraId="509BA5D5">
                  <w:pPr>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 w:val="21"/>
                      <w:szCs w:val="21"/>
                    </w:rPr>
                    <w:t>150</w:t>
                  </w:r>
                </w:p>
              </w:tc>
              <w:tc>
                <w:tcPr>
                  <w:tcW w:w="1150" w:type="dxa"/>
                  <w:vMerge w:val="continue"/>
                  <w:noWrap w:val="0"/>
                  <w:vAlign w:val="center"/>
                </w:tcPr>
                <w:p w14:paraId="0CC6DDB1">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235D29BC">
                  <w:pPr>
                    <w:pStyle w:val="68"/>
                    <w:adjustRightInd w:val="0"/>
                    <w:snapToGrid w:val="0"/>
                    <w:spacing w:line="240" w:lineRule="auto"/>
                    <w:rPr>
                      <w:rFonts w:hint="default" w:ascii="Times New Roman" w:hAnsi="Times New Roman" w:cs="Times New Roman"/>
                      <w:color w:val="auto"/>
                      <w:kern w:val="21"/>
                      <w:sz w:val="21"/>
                      <w:szCs w:val="21"/>
                    </w:rPr>
                  </w:pPr>
                </w:p>
              </w:tc>
            </w:tr>
            <w:tr w14:paraId="478475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63A6A459">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6F7DE005">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467E9F2B">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1小时平均</w:t>
                  </w:r>
                </w:p>
              </w:tc>
              <w:tc>
                <w:tcPr>
                  <w:tcW w:w="1471" w:type="dxa"/>
                  <w:noWrap w:val="0"/>
                  <w:vAlign w:val="center"/>
                </w:tcPr>
                <w:p w14:paraId="774E62B9">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500</w:t>
                  </w:r>
                </w:p>
              </w:tc>
              <w:tc>
                <w:tcPr>
                  <w:tcW w:w="1150" w:type="dxa"/>
                  <w:vMerge w:val="continue"/>
                  <w:noWrap w:val="0"/>
                  <w:vAlign w:val="center"/>
                </w:tcPr>
                <w:p w14:paraId="1CA2FE5E">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61065AB3">
                  <w:pPr>
                    <w:pStyle w:val="68"/>
                    <w:adjustRightInd w:val="0"/>
                    <w:snapToGrid w:val="0"/>
                    <w:spacing w:line="240" w:lineRule="auto"/>
                    <w:rPr>
                      <w:rFonts w:hint="default" w:ascii="Times New Roman" w:hAnsi="Times New Roman" w:cs="Times New Roman"/>
                      <w:color w:val="auto"/>
                      <w:kern w:val="21"/>
                      <w:sz w:val="21"/>
                      <w:szCs w:val="21"/>
                    </w:rPr>
                  </w:pPr>
                </w:p>
              </w:tc>
            </w:tr>
            <w:tr w14:paraId="306030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75ACBAEC">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w:t>
                  </w:r>
                </w:p>
              </w:tc>
              <w:tc>
                <w:tcPr>
                  <w:tcW w:w="801" w:type="dxa"/>
                  <w:vMerge w:val="restart"/>
                  <w:noWrap w:val="0"/>
                  <w:vAlign w:val="center"/>
                </w:tcPr>
                <w:p w14:paraId="0AE138B8">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NO</w:t>
                  </w:r>
                  <w:r>
                    <w:rPr>
                      <w:rFonts w:hint="default" w:ascii="Times New Roman" w:hAnsi="Times New Roman" w:cs="Times New Roman"/>
                      <w:color w:val="auto"/>
                      <w:kern w:val="21"/>
                      <w:sz w:val="21"/>
                      <w:szCs w:val="21"/>
                      <w:vertAlign w:val="subscript"/>
                    </w:rPr>
                    <w:t>2</w:t>
                  </w:r>
                </w:p>
              </w:tc>
              <w:tc>
                <w:tcPr>
                  <w:tcW w:w="1691" w:type="dxa"/>
                  <w:noWrap w:val="0"/>
                  <w:vAlign w:val="center"/>
                </w:tcPr>
                <w:p w14:paraId="2A42F497">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年平均</w:t>
                  </w:r>
                </w:p>
              </w:tc>
              <w:tc>
                <w:tcPr>
                  <w:tcW w:w="1471" w:type="dxa"/>
                  <w:noWrap w:val="0"/>
                  <w:vAlign w:val="center"/>
                </w:tcPr>
                <w:p w14:paraId="1D3A63C5">
                  <w:pPr>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 w:val="21"/>
                      <w:szCs w:val="21"/>
                    </w:rPr>
                    <w:t>40</w:t>
                  </w:r>
                </w:p>
              </w:tc>
              <w:tc>
                <w:tcPr>
                  <w:tcW w:w="1150" w:type="dxa"/>
                  <w:vMerge w:val="continue"/>
                  <w:noWrap w:val="0"/>
                  <w:vAlign w:val="center"/>
                </w:tcPr>
                <w:p w14:paraId="1519BCFE">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4872FC48">
                  <w:pPr>
                    <w:pStyle w:val="68"/>
                    <w:adjustRightInd w:val="0"/>
                    <w:snapToGrid w:val="0"/>
                    <w:spacing w:line="240" w:lineRule="auto"/>
                    <w:rPr>
                      <w:rFonts w:hint="default" w:ascii="Times New Roman" w:hAnsi="Times New Roman" w:cs="Times New Roman"/>
                      <w:color w:val="auto"/>
                      <w:kern w:val="21"/>
                      <w:sz w:val="21"/>
                      <w:szCs w:val="21"/>
                    </w:rPr>
                  </w:pPr>
                </w:p>
              </w:tc>
            </w:tr>
            <w:tr w14:paraId="10803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5415897B">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6883D2D9">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3F33E360">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24小时平均</w:t>
                  </w:r>
                </w:p>
              </w:tc>
              <w:tc>
                <w:tcPr>
                  <w:tcW w:w="1471" w:type="dxa"/>
                  <w:noWrap w:val="0"/>
                  <w:vAlign w:val="center"/>
                </w:tcPr>
                <w:p w14:paraId="44BBC791">
                  <w:pPr>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 w:val="21"/>
                      <w:szCs w:val="21"/>
                    </w:rPr>
                    <w:t>80</w:t>
                  </w:r>
                </w:p>
              </w:tc>
              <w:tc>
                <w:tcPr>
                  <w:tcW w:w="1150" w:type="dxa"/>
                  <w:vMerge w:val="continue"/>
                  <w:noWrap w:val="0"/>
                  <w:vAlign w:val="center"/>
                </w:tcPr>
                <w:p w14:paraId="693D768B">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1A188D2E">
                  <w:pPr>
                    <w:pStyle w:val="68"/>
                    <w:adjustRightInd w:val="0"/>
                    <w:snapToGrid w:val="0"/>
                    <w:spacing w:line="240" w:lineRule="auto"/>
                    <w:rPr>
                      <w:rFonts w:hint="default" w:ascii="Times New Roman" w:hAnsi="Times New Roman" w:cs="Times New Roman"/>
                      <w:color w:val="auto"/>
                      <w:kern w:val="21"/>
                      <w:sz w:val="21"/>
                      <w:szCs w:val="21"/>
                    </w:rPr>
                  </w:pPr>
                </w:p>
              </w:tc>
            </w:tr>
            <w:tr w14:paraId="39857B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757747AC">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2EE80DA8">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72026433">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1小时平均</w:t>
                  </w:r>
                </w:p>
              </w:tc>
              <w:tc>
                <w:tcPr>
                  <w:tcW w:w="1471" w:type="dxa"/>
                  <w:noWrap w:val="0"/>
                  <w:vAlign w:val="center"/>
                </w:tcPr>
                <w:p w14:paraId="6737E069">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200</w:t>
                  </w:r>
                </w:p>
              </w:tc>
              <w:tc>
                <w:tcPr>
                  <w:tcW w:w="1150" w:type="dxa"/>
                  <w:vMerge w:val="continue"/>
                  <w:noWrap w:val="0"/>
                  <w:vAlign w:val="center"/>
                </w:tcPr>
                <w:p w14:paraId="265278A9">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22935627">
                  <w:pPr>
                    <w:pStyle w:val="68"/>
                    <w:adjustRightInd w:val="0"/>
                    <w:snapToGrid w:val="0"/>
                    <w:spacing w:line="240" w:lineRule="auto"/>
                    <w:rPr>
                      <w:rFonts w:hint="default" w:ascii="Times New Roman" w:hAnsi="Times New Roman" w:cs="Times New Roman"/>
                      <w:color w:val="auto"/>
                      <w:kern w:val="21"/>
                      <w:sz w:val="21"/>
                      <w:szCs w:val="21"/>
                    </w:rPr>
                  </w:pPr>
                </w:p>
              </w:tc>
            </w:tr>
            <w:tr w14:paraId="697651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076C60EE">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3</w:t>
                  </w:r>
                </w:p>
              </w:tc>
              <w:tc>
                <w:tcPr>
                  <w:tcW w:w="801" w:type="dxa"/>
                  <w:vMerge w:val="restart"/>
                  <w:noWrap w:val="0"/>
                  <w:vAlign w:val="center"/>
                </w:tcPr>
                <w:p w14:paraId="551D5296">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CO</w:t>
                  </w:r>
                </w:p>
              </w:tc>
              <w:tc>
                <w:tcPr>
                  <w:tcW w:w="1691" w:type="dxa"/>
                  <w:noWrap w:val="0"/>
                  <w:vAlign w:val="center"/>
                </w:tcPr>
                <w:p w14:paraId="36A30120">
                  <w:pPr>
                    <w:pStyle w:val="70"/>
                    <w:spacing w:line="240" w:lineRule="auto"/>
                    <w:ind w:firstLine="0"/>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24小时平均</w:t>
                  </w:r>
                </w:p>
              </w:tc>
              <w:tc>
                <w:tcPr>
                  <w:tcW w:w="1471" w:type="dxa"/>
                  <w:noWrap w:val="0"/>
                  <w:vAlign w:val="center"/>
                </w:tcPr>
                <w:p w14:paraId="6870A9D1">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4000</w:t>
                  </w:r>
                </w:p>
              </w:tc>
              <w:tc>
                <w:tcPr>
                  <w:tcW w:w="1150" w:type="dxa"/>
                  <w:vMerge w:val="continue"/>
                  <w:noWrap w:val="0"/>
                  <w:vAlign w:val="center"/>
                </w:tcPr>
                <w:p w14:paraId="57C8D2CB">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11E8186D">
                  <w:pPr>
                    <w:pStyle w:val="68"/>
                    <w:adjustRightInd w:val="0"/>
                    <w:snapToGrid w:val="0"/>
                    <w:spacing w:line="240" w:lineRule="auto"/>
                    <w:rPr>
                      <w:rFonts w:hint="default" w:ascii="Times New Roman" w:hAnsi="Times New Roman" w:cs="Times New Roman"/>
                      <w:color w:val="auto"/>
                      <w:kern w:val="21"/>
                      <w:sz w:val="21"/>
                      <w:szCs w:val="21"/>
                    </w:rPr>
                  </w:pPr>
                </w:p>
              </w:tc>
            </w:tr>
            <w:tr w14:paraId="136E8A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7BEC167D">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6E442BAE">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718B499E">
                  <w:pPr>
                    <w:pStyle w:val="70"/>
                    <w:spacing w:line="240" w:lineRule="auto"/>
                    <w:ind w:firstLine="0"/>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1小时平均</w:t>
                  </w:r>
                </w:p>
              </w:tc>
              <w:tc>
                <w:tcPr>
                  <w:tcW w:w="1471" w:type="dxa"/>
                  <w:noWrap w:val="0"/>
                  <w:vAlign w:val="center"/>
                </w:tcPr>
                <w:p w14:paraId="4BD64117">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10000</w:t>
                  </w:r>
                </w:p>
              </w:tc>
              <w:tc>
                <w:tcPr>
                  <w:tcW w:w="1150" w:type="dxa"/>
                  <w:vMerge w:val="continue"/>
                  <w:noWrap w:val="0"/>
                  <w:vAlign w:val="center"/>
                </w:tcPr>
                <w:p w14:paraId="0E882B64">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46D8B5C5">
                  <w:pPr>
                    <w:pStyle w:val="68"/>
                    <w:adjustRightInd w:val="0"/>
                    <w:snapToGrid w:val="0"/>
                    <w:spacing w:line="240" w:lineRule="auto"/>
                    <w:rPr>
                      <w:rFonts w:hint="default" w:ascii="Times New Roman" w:hAnsi="Times New Roman" w:cs="Times New Roman"/>
                      <w:color w:val="auto"/>
                      <w:kern w:val="21"/>
                      <w:sz w:val="21"/>
                      <w:szCs w:val="21"/>
                    </w:rPr>
                  </w:pPr>
                </w:p>
              </w:tc>
            </w:tr>
            <w:tr w14:paraId="5C8669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5762A4B9">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4</w:t>
                  </w:r>
                </w:p>
              </w:tc>
              <w:tc>
                <w:tcPr>
                  <w:tcW w:w="801" w:type="dxa"/>
                  <w:vMerge w:val="restart"/>
                  <w:noWrap w:val="0"/>
                  <w:vAlign w:val="center"/>
                </w:tcPr>
                <w:p w14:paraId="5C6A992E">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O</w:t>
                  </w:r>
                  <w:r>
                    <w:rPr>
                      <w:rFonts w:hint="default" w:ascii="Times New Roman" w:hAnsi="Times New Roman" w:cs="Times New Roman"/>
                      <w:color w:val="auto"/>
                      <w:kern w:val="21"/>
                      <w:sz w:val="21"/>
                      <w:szCs w:val="21"/>
                      <w:vertAlign w:val="subscript"/>
                    </w:rPr>
                    <w:t>3</w:t>
                  </w:r>
                </w:p>
              </w:tc>
              <w:tc>
                <w:tcPr>
                  <w:tcW w:w="1691" w:type="dxa"/>
                  <w:noWrap w:val="0"/>
                  <w:vAlign w:val="center"/>
                </w:tcPr>
                <w:p w14:paraId="4C47BAE5">
                  <w:pPr>
                    <w:pStyle w:val="70"/>
                    <w:spacing w:line="240" w:lineRule="auto"/>
                    <w:ind w:firstLine="0"/>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日最大8小时</w:t>
                  </w:r>
                </w:p>
                <w:p w14:paraId="209B6187">
                  <w:pPr>
                    <w:pStyle w:val="70"/>
                    <w:spacing w:line="240" w:lineRule="auto"/>
                    <w:ind w:firstLine="0"/>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平均</w:t>
                  </w:r>
                </w:p>
              </w:tc>
              <w:tc>
                <w:tcPr>
                  <w:tcW w:w="1471" w:type="dxa"/>
                  <w:noWrap w:val="0"/>
                  <w:vAlign w:val="center"/>
                </w:tcPr>
                <w:p w14:paraId="7C84CBCF">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sz w:val="21"/>
                      <w:szCs w:val="21"/>
                    </w:rPr>
                    <w:t>160</w:t>
                  </w:r>
                </w:p>
              </w:tc>
              <w:tc>
                <w:tcPr>
                  <w:tcW w:w="1150" w:type="dxa"/>
                  <w:vMerge w:val="continue"/>
                  <w:noWrap w:val="0"/>
                  <w:vAlign w:val="center"/>
                </w:tcPr>
                <w:p w14:paraId="7C08E7EB">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0AA4E4CB">
                  <w:pPr>
                    <w:pStyle w:val="68"/>
                    <w:adjustRightInd w:val="0"/>
                    <w:snapToGrid w:val="0"/>
                    <w:spacing w:line="240" w:lineRule="auto"/>
                    <w:rPr>
                      <w:rFonts w:hint="default" w:ascii="Times New Roman" w:hAnsi="Times New Roman" w:cs="Times New Roman"/>
                      <w:color w:val="auto"/>
                      <w:kern w:val="21"/>
                      <w:sz w:val="21"/>
                      <w:szCs w:val="21"/>
                    </w:rPr>
                  </w:pPr>
                </w:p>
              </w:tc>
            </w:tr>
            <w:tr w14:paraId="28B56B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08C2566D">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296D4A66">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08B44DF3">
                  <w:pPr>
                    <w:pStyle w:val="70"/>
                    <w:spacing w:line="240" w:lineRule="auto"/>
                    <w:ind w:firstLine="0"/>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1小时平均</w:t>
                  </w:r>
                </w:p>
              </w:tc>
              <w:tc>
                <w:tcPr>
                  <w:tcW w:w="1471" w:type="dxa"/>
                  <w:noWrap w:val="0"/>
                  <w:vAlign w:val="center"/>
                </w:tcPr>
                <w:p w14:paraId="21A05804">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200</w:t>
                  </w:r>
                </w:p>
              </w:tc>
              <w:tc>
                <w:tcPr>
                  <w:tcW w:w="1150" w:type="dxa"/>
                  <w:vMerge w:val="continue"/>
                  <w:noWrap w:val="0"/>
                  <w:vAlign w:val="center"/>
                </w:tcPr>
                <w:p w14:paraId="5B7F3858">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08C9CB0F">
                  <w:pPr>
                    <w:pStyle w:val="68"/>
                    <w:adjustRightInd w:val="0"/>
                    <w:snapToGrid w:val="0"/>
                    <w:spacing w:line="240" w:lineRule="auto"/>
                    <w:rPr>
                      <w:rFonts w:hint="default" w:ascii="Times New Roman" w:hAnsi="Times New Roman" w:cs="Times New Roman"/>
                      <w:color w:val="auto"/>
                      <w:kern w:val="21"/>
                      <w:sz w:val="21"/>
                      <w:szCs w:val="21"/>
                    </w:rPr>
                  </w:pPr>
                </w:p>
              </w:tc>
            </w:tr>
            <w:tr w14:paraId="7B7EC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7E1247C0">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5</w:t>
                  </w:r>
                </w:p>
              </w:tc>
              <w:tc>
                <w:tcPr>
                  <w:tcW w:w="801" w:type="dxa"/>
                  <w:vMerge w:val="restart"/>
                  <w:noWrap w:val="0"/>
                  <w:vAlign w:val="center"/>
                </w:tcPr>
                <w:p w14:paraId="6FC44E55">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PM</w:t>
                  </w:r>
                  <w:r>
                    <w:rPr>
                      <w:rFonts w:hint="default" w:ascii="Times New Roman" w:hAnsi="Times New Roman" w:cs="Times New Roman"/>
                      <w:color w:val="auto"/>
                      <w:kern w:val="21"/>
                      <w:sz w:val="21"/>
                      <w:szCs w:val="21"/>
                      <w:vertAlign w:val="subscript"/>
                    </w:rPr>
                    <w:t>10</w:t>
                  </w:r>
                </w:p>
              </w:tc>
              <w:tc>
                <w:tcPr>
                  <w:tcW w:w="1691" w:type="dxa"/>
                  <w:noWrap w:val="0"/>
                  <w:vAlign w:val="center"/>
                </w:tcPr>
                <w:p w14:paraId="70913771">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年平均</w:t>
                  </w:r>
                </w:p>
              </w:tc>
              <w:tc>
                <w:tcPr>
                  <w:tcW w:w="1471" w:type="dxa"/>
                  <w:noWrap w:val="0"/>
                  <w:vAlign w:val="center"/>
                </w:tcPr>
                <w:p w14:paraId="29E66803">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70</w:t>
                  </w:r>
                </w:p>
              </w:tc>
              <w:tc>
                <w:tcPr>
                  <w:tcW w:w="1150" w:type="dxa"/>
                  <w:vMerge w:val="continue"/>
                  <w:noWrap w:val="0"/>
                  <w:vAlign w:val="center"/>
                </w:tcPr>
                <w:p w14:paraId="17B22BF1">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5DEBA601">
                  <w:pPr>
                    <w:pStyle w:val="68"/>
                    <w:adjustRightInd w:val="0"/>
                    <w:snapToGrid w:val="0"/>
                    <w:spacing w:line="240" w:lineRule="auto"/>
                    <w:rPr>
                      <w:rFonts w:hint="default" w:ascii="Times New Roman" w:hAnsi="Times New Roman" w:cs="Times New Roman"/>
                      <w:color w:val="auto"/>
                      <w:kern w:val="21"/>
                      <w:sz w:val="21"/>
                      <w:szCs w:val="21"/>
                    </w:rPr>
                  </w:pPr>
                </w:p>
              </w:tc>
            </w:tr>
            <w:tr w14:paraId="0B8979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4F5A0F6A">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11930D09">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634690E0">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24小时平均</w:t>
                  </w:r>
                </w:p>
              </w:tc>
              <w:tc>
                <w:tcPr>
                  <w:tcW w:w="1471" w:type="dxa"/>
                  <w:noWrap w:val="0"/>
                  <w:vAlign w:val="center"/>
                </w:tcPr>
                <w:p w14:paraId="3AAFB028">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150</w:t>
                  </w:r>
                </w:p>
              </w:tc>
              <w:tc>
                <w:tcPr>
                  <w:tcW w:w="1150" w:type="dxa"/>
                  <w:vMerge w:val="continue"/>
                  <w:noWrap w:val="0"/>
                  <w:vAlign w:val="center"/>
                </w:tcPr>
                <w:p w14:paraId="425CA2B8">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09BE2273">
                  <w:pPr>
                    <w:pStyle w:val="68"/>
                    <w:adjustRightInd w:val="0"/>
                    <w:snapToGrid w:val="0"/>
                    <w:spacing w:line="240" w:lineRule="auto"/>
                    <w:rPr>
                      <w:rFonts w:hint="default" w:ascii="Times New Roman" w:hAnsi="Times New Roman" w:cs="Times New Roman"/>
                      <w:color w:val="auto"/>
                      <w:kern w:val="21"/>
                      <w:sz w:val="21"/>
                      <w:szCs w:val="21"/>
                    </w:rPr>
                  </w:pPr>
                </w:p>
              </w:tc>
            </w:tr>
            <w:tr w14:paraId="32ABA1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noWrap w:val="0"/>
                  <w:vAlign w:val="center"/>
                </w:tcPr>
                <w:p w14:paraId="085EF3CE">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6</w:t>
                  </w:r>
                </w:p>
              </w:tc>
              <w:tc>
                <w:tcPr>
                  <w:tcW w:w="801" w:type="dxa"/>
                  <w:vMerge w:val="restart"/>
                  <w:noWrap w:val="0"/>
                  <w:vAlign w:val="center"/>
                </w:tcPr>
                <w:p w14:paraId="150DCB22">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PM</w:t>
                  </w:r>
                  <w:r>
                    <w:rPr>
                      <w:rFonts w:hint="default" w:ascii="Times New Roman" w:hAnsi="Times New Roman" w:cs="Times New Roman"/>
                      <w:color w:val="auto"/>
                      <w:kern w:val="21"/>
                      <w:sz w:val="21"/>
                      <w:szCs w:val="21"/>
                      <w:vertAlign w:val="subscript"/>
                    </w:rPr>
                    <w:t>2.5</w:t>
                  </w:r>
                </w:p>
              </w:tc>
              <w:tc>
                <w:tcPr>
                  <w:tcW w:w="1691" w:type="dxa"/>
                  <w:noWrap w:val="0"/>
                  <w:vAlign w:val="center"/>
                </w:tcPr>
                <w:p w14:paraId="692D8D72">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年平均</w:t>
                  </w:r>
                </w:p>
              </w:tc>
              <w:tc>
                <w:tcPr>
                  <w:tcW w:w="1471" w:type="dxa"/>
                  <w:noWrap w:val="0"/>
                  <w:vAlign w:val="center"/>
                </w:tcPr>
                <w:p w14:paraId="19C2BB9A">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35</w:t>
                  </w:r>
                </w:p>
              </w:tc>
              <w:tc>
                <w:tcPr>
                  <w:tcW w:w="1150" w:type="dxa"/>
                  <w:vMerge w:val="continue"/>
                  <w:noWrap w:val="0"/>
                  <w:vAlign w:val="center"/>
                </w:tcPr>
                <w:p w14:paraId="4308A62B">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4DF5756A">
                  <w:pPr>
                    <w:pStyle w:val="68"/>
                    <w:adjustRightInd w:val="0"/>
                    <w:snapToGrid w:val="0"/>
                    <w:spacing w:line="240" w:lineRule="auto"/>
                    <w:rPr>
                      <w:rFonts w:hint="default" w:ascii="Times New Roman" w:hAnsi="Times New Roman" w:cs="Times New Roman"/>
                      <w:color w:val="auto"/>
                      <w:kern w:val="21"/>
                      <w:sz w:val="21"/>
                      <w:szCs w:val="21"/>
                    </w:rPr>
                  </w:pPr>
                </w:p>
              </w:tc>
            </w:tr>
            <w:tr w14:paraId="72D3B9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noWrap w:val="0"/>
                  <w:vAlign w:val="center"/>
                </w:tcPr>
                <w:p w14:paraId="106C5364">
                  <w:pPr>
                    <w:pStyle w:val="68"/>
                    <w:adjustRightInd w:val="0"/>
                    <w:snapToGrid w:val="0"/>
                    <w:spacing w:line="240" w:lineRule="auto"/>
                    <w:rPr>
                      <w:rFonts w:hint="default" w:ascii="Times New Roman" w:hAnsi="Times New Roman" w:cs="Times New Roman"/>
                      <w:color w:val="auto"/>
                      <w:kern w:val="21"/>
                      <w:sz w:val="21"/>
                      <w:szCs w:val="21"/>
                    </w:rPr>
                  </w:pPr>
                </w:p>
              </w:tc>
              <w:tc>
                <w:tcPr>
                  <w:tcW w:w="801" w:type="dxa"/>
                  <w:vMerge w:val="continue"/>
                  <w:noWrap w:val="0"/>
                  <w:vAlign w:val="center"/>
                </w:tcPr>
                <w:p w14:paraId="609228C9">
                  <w:pPr>
                    <w:pStyle w:val="68"/>
                    <w:adjustRightInd w:val="0"/>
                    <w:snapToGrid w:val="0"/>
                    <w:spacing w:line="240" w:lineRule="auto"/>
                    <w:rPr>
                      <w:rFonts w:hint="default" w:ascii="Times New Roman" w:hAnsi="Times New Roman" w:cs="Times New Roman"/>
                      <w:color w:val="auto"/>
                      <w:kern w:val="21"/>
                      <w:sz w:val="21"/>
                      <w:szCs w:val="21"/>
                    </w:rPr>
                  </w:pPr>
                </w:p>
              </w:tc>
              <w:tc>
                <w:tcPr>
                  <w:tcW w:w="1691" w:type="dxa"/>
                  <w:noWrap w:val="0"/>
                  <w:vAlign w:val="center"/>
                </w:tcPr>
                <w:p w14:paraId="28316066">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24小时平均</w:t>
                  </w:r>
                </w:p>
              </w:tc>
              <w:tc>
                <w:tcPr>
                  <w:tcW w:w="1471" w:type="dxa"/>
                  <w:noWrap w:val="0"/>
                  <w:vAlign w:val="center"/>
                </w:tcPr>
                <w:p w14:paraId="4C56DE0E">
                  <w:pPr>
                    <w:pStyle w:val="68"/>
                    <w:adjustRightInd w:val="0"/>
                    <w:snapToGrid w:val="0"/>
                    <w:spacing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75</w:t>
                  </w:r>
                </w:p>
              </w:tc>
              <w:tc>
                <w:tcPr>
                  <w:tcW w:w="1150" w:type="dxa"/>
                  <w:vMerge w:val="continue"/>
                  <w:noWrap w:val="0"/>
                  <w:vAlign w:val="center"/>
                </w:tcPr>
                <w:p w14:paraId="2D5C3FF8">
                  <w:pPr>
                    <w:pStyle w:val="68"/>
                    <w:adjustRightInd w:val="0"/>
                    <w:snapToGrid w:val="0"/>
                    <w:spacing w:line="240" w:lineRule="auto"/>
                    <w:rPr>
                      <w:rFonts w:hint="default" w:ascii="Times New Roman" w:hAnsi="Times New Roman" w:cs="Times New Roman"/>
                      <w:color w:val="auto"/>
                      <w:kern w:val="21"/>
                      <w:sz w:val="21"/>
                      <w:szCs w:val="21"/>
                    </w:rPr>
                  </w:pPr>
                </w:p>
              </w:tc>
              <w:tc>
                <w:tcPr>
                  <w:tcW w:w="2071" w:type="dxa"/>
                  <w:vMerge w:val="continue"/>
                  <w:noWrap w:val="0"/>
                  <w:vAlign w:val="center"/>
                </w:tcPr>
                <w:p w14:paraId="1E909D33">
                  <w:pPr>
                    <w:pStyle w:val="68"/>
                    <w:adjustRightInd w:val="0"/>
                    <w:snapToGrid w:val="0"/>
                    <w:spacing w:line="240" w:lineRule="auto"/>
                    <w:rPr>
                      <w:rFonts w:hint="default" w:ascii="Times New Roman" w:hAnsi="Times New Roman" w:cs="Times New Roman"/>
                      <w:color w:val="auto"/>
                      <w:kern w:val="21"/>
                      <w:sz w:val="21"/>
                      <w:szCs w:val="21"/>
                    </w:rPr>
                  </w:pPr>
                </w:p>
              </w:tc>
            </w:tr>
          </w:tbl>
          <w:p w14:paraId="305105AF">
            <w:pPr>
              <w:pStyle w:val="76"/>
              <w:rPr>
                <w:rFonts w:hint="default" w:ascii="Times New Roman" w:hAnsi="Times New Roman" w:cs="Times New Roman"/>
                <w:color w:val="auto"/>
                <w:highlight w:val="none"/>
              </w:rPr>
            </w:pPr>
            <w:r>
              <w:rPr>
                <w:rFonts w:hint="default" w:ascii="Times New Roman" w:hAnsi="Times New Roman" w:cs="Times New Roman"/>
                <w:bCs/>
                <w:color w:val="auto"/>
                <w:highlight w:val="none"/>
              </w:rPr>
              <w:t>（2）</w:t>
            </w:r>
            <w:r>
              <w:rPr>
                <w:rFonts w:hint="default" w:ascii="Times New Roman" w:hAnsi="Times New Roman" w:cs="Times New Roman"/>
                <w:color w:val="auto"/>
                <w:highlight w:val="none"/>
              </w:rPr>
              <w:t>声环境</w:t>
            </w:r>
          </w:p>
          <w:p w14:paraId="028E28BE">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本次</w:t>
            </w:r>
            <w:r>
              <w:rPr>
                <w:rFonts w:hint="eastAsia"/>
                <w:color w:val="auto"/>
              </w:rPr>
              <w:t>改建前后</w:t>
            </w:r>
            <w:r>
              <w:rPr>
                <w:rFonts w:hint="default" w:ascii="Times New Roman" w:hAnsi="Times New Roman" w:cs="Times New Roman"/>
                <w:color w:val="auto"/>
                <w:highlight w:val="none"/>
                <w:lang w:val="en-US" w:eastAsia="zh-CN"/>
              </w:rPr>
              <w:t>均</w:t>
            </w:r>
            <w:r>
              <w:rPr>
                <w:rFonts w:hint="default" w:ascii="Times New Roman" w:hAnsi="Times New Roman" w:cs="Times New Roman"/>
                <w:color w:val="auto"/>
                <w:highlight w:val="none"/>
              </w:rPr>
              <w:t>为二级公路，</w:t>
            </w:r>
            <w:r>
              <w:rPr>
                <w:rFonts w:hint="default" w:ascii="Times New Roman" w:hAnsi="Times New Roman" w:cs="Times New Roman"/>
                <w:color w:val="auto"/>
                <w:szCs w:val="28"/>
                <w:highlight w:val="none"/>
              </w:rPr>
              <w:t>运营期公路边界线</w:t>
            </w:r>
            <w:r>
              <w:rPr>
                <w:rFonts w:hint="eastAsia" w:cs="Times New Roman"/>
                <w:color w:val="auto"/>
                <w:szCs w:val="28"/>
                <w:highlight w:val="none"/>
                <w:lang w:val="en-US" w:eastAsia="zh-CN"/>
              </w:rPr>
              <w:t>35</w:t>
            </w:r>
            <w:r>
              <w:rPr>
                <w:rFonts w:hint="default" w:ascii="Times New Roman" w:hAnsi="Times New Roman" w:cs="Times New Roman"/>
                <w:color w:val="auto"/>
                <w:szCs w:val="28"/>
                <w:highlight w:val="none"/>
              </w:rPr>
              <w:t>m以内的区域执行《声环境质量标准》(GB3096-2008)中4a类标准，</w:t>
            </w:r>
            <w:r>
              <w:rPr>
                <w:rFonts w:hint="eastAsia" w:cs="Times New Roman"/>
                <w:color w:val="auto"/>
                <w:szCs w:val="28"/>
                <w:highlight w:val="none"/>
                <w:lang w:val="en-US" w:eastAsia="zh-CN"/>
              </w:rPr>
              <w:t>35</w:t>
            </w:r>
            <w:r>
              <w:rPr>
                <w:rFonts w:hint="default" w:ascii="Times New Roman" w:hAnsi="Times New Roman" w:cs="Times New Roman"/>
                <w:color w:val="auto"/>
                <w:szCs w:val="28"/>
                <w:highlight w:val="none"/>
              </w:rPr>
              <w:t>m以外区域执行《声环境质量标准》(GB3096-2008)中2类标准。道路边界线</w:t>
            </w:r>
            <w:r>
              <w:rPr>
                <w:rFonts w:hint="eastAsia" w:cs="Times New Roman"/>
                <w:color w:val="auto"/>
                <w:szCs w:val="28"/>
                <w:highlight w:val="none"/>
                <w:lang w:val="en-US" w:eastAsia="zh-CN"/>
              </w:rPr>
              <w:t>35</w:t>
            </w:r>
            <w:r>
              <w:rPr>
                <w:rFonts w:hint="default" w:ascii="Times New Roman" w:hAnsi="Times New Roman" w:cs="Times New Roman"/>
                <w:color w:val="auto"/>
                <w:szCs w:val="28"/>
                <w:highlight w:val="none"/>
              </w:rPr>
              <w:t>m范围内，临街建筑高于三层楼房以上（含三层）时，将临街建筑面向本项目公路一侧至交通干线边界线的区域执行4a类标准，其余区域执行2类区标准。</w:t>
            </w:r>
          </w:p>
          <w:p w14:paraId="6C1FE3CA">
            <w:pPr>
              <w:pStyle w:val="72"/>
              <w:ind w:firstLine="480" w:firstLineChars="200"/>
              <w:jc w:val="both"/>
              <w:rPr>
                <w:rFonts w:hint="eastAsia" w:ascii="Times New Roman" w:hAnsi="Times New Roman" w:eastAsia="宋体" w:cs="Times New Roman"/>
                <w:b w:val="0"/>
                <w:bCs w:val="0"/>
                <w:color w:val="auto"/>
                <w:highlight w:val="none"/>
                <w:lang w:eastAsia="zh-CN"/>
              </w:rPr>
            </w:pPr>
            <w:r>
              <w:rPr>
                <w:rFonts w:hint="default" w:ascii="Times New Roman" w:hAnsi="Times New Roman" w:eastAsia="宋体" w:cs="Times New Roman"/>
                <w:b w:val="0"/>
                <w:bCs w:val="0"/>
                <w:color w:val="auto"/>
                <w:highlight w:val="none"/>
              </w:rPr>
              <w:t>本项目沿线敏感保护目标室内环境噪声均符合敏感点室内昼夜噪声值满足《建筑环境通用规范》（GB 55016-2021）相应规定</w:t>
            </w:r>
            <w:r>
              <w:rPr>
                <w:rFonts w:hint="eastAsia" w:ascii="Times New Roman" w:hAnsi="Times New Roman" w:eastAsia="宋体" w:cs="Times New Roman"/>
                <w:b w:val="0"/>
                <w:bCs w:val="0"/>
                <w:color w:val="auto"/>
                <w:highlight w:val="none"/>
                <w:lang w:eastAsia="zh-CN"/>
              </w:rPr>
              <w:t>。</w:t>
            </w:r>
          </w:p>
          <w:p w14:paraId="4F508F4D">
            <w:pPr>
              <w:pStyle w:val="72"/>
              <w:rPr>
                <w:rFonts w:hint="default" w:ascii="Times New Roman" w:hAnsi="Times New Roman" w:eastAsia="宋体" w:cs="Times New Roman"/>
                <w:b/>
                <w:bCs/>
                <w:color w:val="auto"/>
                <w:highlight w:val="none"/>
              </w:rPr>
            </w:pPr>
          </w:p>
          <w:p w14:paraId="0837A599">
            <w:pPr>
              <w:pStyle w:val="72"/>
              <w:rPr>
                <w:rFonts w:hint="default" w:ascii="Times New Roman" w:hAnsi="Times New Roman" w:cs="Times New Roman"/>
                <w:color w:val="auto"/>
                <w:highlight w:val="none"/>
              </w:rPr>
            </w:pPr>
            <w:r>
              <w:rPr>
                <w:rFonts w:hint="default" w:ascii="Times New Roman" w:hAnsi="Times New Roman" w:eastAsia="宋体" w:cs="Times New Roman"/>
                <w:b/>
                <w:bCs/>
                <w:color w:val="auto"/>
                <w:highlight w:val="none"/>
              </w:rPr>
              <w:t>表3-</w:t>
            </w:r>
            <w:r>
              <w:rPr>
                <w:rFonts w:hint="eastAsia" w:ascii="Times New Roman" w:hAnsi="Times New Roman" w:eastAsia="宋体" w:cs="Times New Roman"/>
                <w:b/>
                <w:bCs/>
                <w:color w:val="auto"/>
                <w:highlight w:val="none"/>
                <w:lang w:val="en-US" w:eastAsia="zh-CN"/>
              </w:rPr>
              <w:t>7</w:t>
            </w:r>
            <w:r>
              <w:rPr>
                <w:rFonts w:hint="default" w:ascii="Times New Roman" w:hAnsi="Times New Roman" w:eastAsia="宋体" w:cs="Times New Roman"/>
                <w:b/>
                <w:bCs/>
                <w:color w:val="auto"/>
                <w:highlight w:val="none"/>
              </w:rPr>
              <w:t xml:space="preserve">  声环境质量标准  </w:t>
            </w:r>
            <w:r>
              <w:rPr>
                <w:rFonts w:hint="default" w:ascii="Times New Roman" w:hAnsi="Times New Roman" w:eastAsia="宋体" w:cs="Times New Roman"/>
                <w:b/>
                <w:bCs/>
                <w:color w:val="auto"/>
                <w:highlight w:val="none"/>
                <w:lang w:val="en-US" w:eastAsia="zh-CN"/>
              </w:rPr>
              <w:t xml:space="preserve">   </w:t>
            </w:r>
            <w:r>
              <w:rPr>
                <w:rFonts w:hint="default" w:ascii="Times New Roman" w:hAnsi="Times New Roman" w:eastAsia="宋体" w:cs="Times New Roman"/>
                <w:b/>
                <w:bCs/>
                <w:color w:val="auto"/>
                <w:highlight w:val="none"/>
              </w:rPr>
              <w:t>单位：dB（A）</w:t>
            </w:r>
          </w:p>
          <w:tbl>
            <w:tblPr>
              <w:tblStyle w:val="30"/>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4"/>
              <w:gridCol w:w="1967"/>
              <w:gridCol w:w="1969"/>
              <w:gridCol w:w="2556"/>
            </w:tblGrid>
            <w:tr w14:paraId="3BB9AC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vMerge w:val="restart"/>
                  <w:noWrap w:val="0"/>
                  <w:vAlign w:val="center"/>
                </w:tcPr>
                <w:p w14:paraId="500F2051">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类别</w:t>
                  </w:r>
                </w:p>
              </w:tc>
              <w:tc>
                <w:tcPr>
                  <w:tcW w:w="2543" w:type="pct"/>
                  <w:gridSpan w:val="2"/>
                  <w:noWrap w:val="0"/>
                  <w:vAlign w:val="center"/>
                </w:tcPr>
                <w:p w14:paraId="78E6F416">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标准值dB(A)</w:t>
                  </w:r>
                </w:p>
              </w:tc>
              <w:tc>
                <w:tcPr>
                  <w:tcW w:w="1651" w:type="pct"/>
                  <w:noWrap w:val="0"/>
                  <w:vAlign w:val="center"/>
                </w:tcPr>
                <w:p w14:paraId="1DD4D7F3">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标准来源</w:t>
                  </w:r>
                </w:p>
              </w:tc>
            </w:tr>
            <w:tr w14:paraId="59C6B5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vMerge w:val="continue"/>
                  <w:noWrap w:val="0"/>
                  <w:vAlign w:val="center"/>
                </w:tcPr>
                <w:p w14:paraId="47E50FC4">
                  <w:pPr>
                    <w:pStyle w:val="68"/>
                    <w:adjustRightInd w:val="0"/>
                    <w:snapToGrid w:val="0"/>
                    <w:spacing w:line="240" w:lineRule="auto"/>
                    <w:rPr>
                      <w:rFonts w:hint="default" w:ascii="Times New Roman" w:hAnsi="Times New Roman" w:cs="Times New Roman"/>
                      <w:color w:val="auto"/>
                      <w:sz w:val="21"/>
                      <w:szCs w:val="21"/>
                      <w:highlight w:val="none"/>
                    </w:rPr>
                  </w:pPr>
                </w:p>
              </w:tc>
              <w:tc>
                <w:tcPr>
                  <w:tcW w:w="1271" w:type="pct"/>
                  <w:noWrap w:val="0"/>
                  <w:vAlign w:val="center"/>
                </w:tcPr>
                <w:p w14:paraId="27FC0AE2">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昼间</w:t>
                  </w:r>
                </w:p>
              </w:tc>
              <w:tc>
                <w:tcPr>
                  <w:tcW w:w="1272" w:type="pct"/>
                  <w:noWrap w:val="0"/>
                  <w:vAlign w:val="center"/>
                </w:tcPr>
                <w:p w14:paraId="58DD4B13">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夜间</w:t>
                  </w:r>
                </w:p>
              </w:tc>
              <w:tc>
                <w:tcPr>
                  <w:tcW w:w="1651" w:type="pct"/>
                  <w:vMerge w:val="restart"/>
                  <w:noWrap w:val="0"/>
                  <w:vAlign w:val="center"/>
                </w:tcPr>
                <w:p w14:paraId="25BC87E2">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《声环境质量标准》（GB  3096-2008）</w:t>
                  </w:r>
                </w:p>
              </w:tc>
            </w:tr>
            <w:tr w14:paraId="20A4F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noWrap w:val="0"/>
                  <w:vAlign w:val="center"/>
                </w:tcPr>
                <w:p w14:paraId="576D77A1">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2类</w:t>
                  </w:r>
                </w:p>
              </w:tc>
              <w:tc>
                <w:tcPr>
                  <w:tcW w:w="1271" w:type="pct"/>
                  <w:noWrap w:val="0"/>
                  <w:vAlign w:val="center"/>
                </w:tcPr>
                <w:p w14:paraId="3241D753">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60</w:t>
                  </w:r>
                </w:p>
              </w:tc>
              <w:tc>
                <w:tcPr>
                  <w:tcW w:w="1272" w:type="pct"/>
                  <w:noWrap w:val="0"/>
                  <w:vAlign w:val="center"/>
                </w:tcPr>
                <w:p w14:paraId="71E5624E">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50</w:t>
                  </w:r>
                </w:p>
              </w:tc>
              <w:tc>
                <w:tcPr>
                  <w:tcW w:w="1651" w:type="pct"/>
                  <w:vMerge w:val="continue"/>
                  <w:noWrap w:val="0"/>
                  <w:vAlign w:val="center"/>
                </w:tcPr>
                <w:p w14:paraId="1ADBDC37">
                  <w:pPr>
                    <w:adjustRightInd w:val="0"/>
                    <w:snapToGrid w:val="0"/>
                    <w:jc w:val="center"/>
                    <w:rPr>
                      <w:rFonts w:hint="default" w:ascii="Times New Roman" w:hAnsi="Times New Roman" w:cs="Times New Roman"/>
                      <w:color w:val="auto"/>
                      <w:highlight w:val="none"/>
                    </w:rPr>
                  </w:pPr>
                </w:p>
              </w:tc>
            </w:tr>
            <w:tr w14:paraId="35378D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noWrap w:val="0"/>
                  <w:vAlign w:val="center"/>
                </w:tcPr>
                <w:p w14:paraId="3730A7E8">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4a类</w:t>
                  </w:r>
                </w:p>
              </w:tc>
              <w:tc>
                <w:tcPr>
                  <w:tcW w:w="1271" w:type="pct"/>
                  <w:noWrap w:val="0"/>
                  <w:vAlign w:val="center"/>
                </w:tcPr>
                <w:p w14:paraId="1008ED44">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70</w:t>
                  </w:r>
                </w:p>
              </w:tc>
              <w:tc>
                <w:tcPr>
                  <w:tcW w:w="1272" w:type="pct"/>
                  <w:tcBorders>
                    <w:bottom w:val="single" w:color="000000" w:sz="12" w:space="0"/>
                  </w:tcBorders>
                  <w:noWrap w:val="0"/>
                  <w:vAlign w:val="center"/>
                </w:tcPr>
                <w:p w14:paraId="3BB4A73A">
                  <w:pPr>
                    <w:pStyle w:val="68"/>
                    <w:adjustRightInd w:val="0"/>
                    <w:snapToGrid w:val="0"/>
                    <w:spacing w:line="240" w:lineRule="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55</w:t>
                  </w:r>
                </w:p>
              </w:tc>
              <w:tc>
                <w:tcPr>
                  <w:tcW w:w="1651" w:type="pct"/>
                  <w:vMerge w:val="continue"/>
                  <w:tcBorders>
                    <w:bottom w:val="single" w:color="000000" w:sz="12" w:space="0"/>
                  </w:tcBorders>
                  <w:noWrap w:val="0"/>
                  <w:vAlign w:val="center"/>
                </w:tcPr>
                <w:p w14:paraId="49CF7663">
                  <w:pPr>
                    <w:adjustRightInd w:val="0"/>
                    <w:snapToGrid w:val="0"/>
                    <w:jc w:val="center"/>
                    <w:rPr>
                      <w:rFonts w:hint="default" w:ascii="Times New Roman" w:hAnsi="Times New Roman" w:cs="Times New Roman"/>
                      <w:color w:val="auto"/>
                      <w:highlight w:val="none"/>
                    </w:rPr>
                  </w:pPr>
                </w:p>
              </w:tc>
            </w:tr>
          </w:tbl>
          <w:p w14:paraId="2EE1D104">
            <w:pPr>
              <w:pStyle w:val="76"/>
              <w:rPr>
                <w:rFonts w:hint="default" w:ascii="Times New Roman" w:hAnsi="Times New Roman" w:cs="Times New Roman"/>
                <w:color w:val="auto"/>
              </w:rPr>
            </w:pPr>
            <w:r>
              <w:rPr>
                <w:rFonts w:hint="default" w:ascii="Times New Roman" w:hAnsi="Times New Roman" w:cs="Times New Roman"/>
                <w:bCs/>
                <w:color w:val="auto"/>
              </w:rPr>
              <w:t>（3）</w:t>
            </w:r>
            <w:r>
              <w:rPr>
                <w:rFonts w:hint="default" w:ascii="Times New Roman" w:hAnsi="Times New Roman" w:cs="Times New Roman"/>
                <w:color w:val="auto"/>
              </w:rPr>
              <w:t>地表水</w:t>
            </w:r>
          </w:p>
          <w:p w14:paraId="5FE23D3E">
            <w:pPr>
              <w:keepNext w:val="0"/>
              <w:keepLines w:val="0"/>
              <w:pageBreakBefore w:val="0"/>
              <w:widowControl w:val="0"/>
              <w:kinsoku/>
              <w:wordWrap/>
              <w:overflowPunct/>
              <w:topLinePunct w:val="0"/>
              <w:autoSpaceDE/>
              <w:autoSpaceDN/>
              <w:bidi w:val="0"/>
              <w:snapToGrid/>
              <w:spacing w:line="48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本工程建设不会造成水体扰动。</w:t>
            </w:r>
            <w:r>
              <w:rPr>
                <w:rFonts w:hint="default" w:ascii="Times New Roman" w:hAnsi="Times New Roman" w:cs="Times New Roman"/>
                <w:color w:val="auto"/>
              </w:rPr>
              <w:t>本项目</w:t>
            </w:r>
            <w:r>
              <w:rPr>
                <w:rFonts w:hint="default" w:ascii="Times New Roman" w:hAnsi="Times New Roman" w:cs="Times New Roman"/>
                <w:color w:val="auto"/>
                <w:lang w:val="en-US" w:eastAsia="zh-CN"/>
              </w:rPr>
              <w:t>附近地表水体为偏脸河</w:t>
            </w:r>
            <w:r>
              <w:rPr>
                <w:rFonts w:hint="default" w:ascii="Times New Roman" w:hAnsi="Times New Roman" w:cs="Times New Roman"/>
                <w:color w:val="auto"/>
              </w:rPr>
              <w:t>，根据《全国重要江河湖泊水功能区划（2011-2030年）（黑龙江省）》，</w:t>
            </w:r>
            <w:r>
              <w:rPr>
                <w:rFonts w:hint="default" w:ascii="Times New Roman" w:hAnsi="Times New Roman" w:cs="Times New Roman"/>
                <w:color w:val="auto"/>
                <w:lang w:val="en-US" w:eastAsia="zh-CN"/>
              </w:rPr>
              <w:t>偏脸河</w:t>
            </w:r>
            <w:r>
              <w:rPr>
                <w:rFonts w:hint="default" w:ascii="Times New Roman" w:hAnsi="Times New Roman" w:cs="Times New Roman"/>
                <w:color w:val="auto"/>
              </w:rPr>
              <w:t>无水体功能类别，</w:t>
            </w:r>
            <w:r>
              <w:rPr>
                <w:rFonts w:hint="default" w:ascii="Times New Roman" w:hAnsi="Times New Roman" w:cs="Times New Roman"/>
                <w:color w:val="auto"/>
                <w:lang w:val="en-US" w:eastAsia="zh-CN"/>
              </w:rPr>
              <w:t>偏脸河</w:t>
            </w:r>
            <w:r>
              <w:rPr>
                <w:rFonts w:hint="default" w:ascii="Times New Roman" w:hAnsi="Times New Roman" w:cs="Times New Roman"/>
                <w:color w:val="auto"/>
              </w:rPr>
              <w:t>汇入</w:t>
            </w:r>
            <w:r>
              <w:rPr>
                <w:rFonts w:hint="default" w:ascii="Times New Roman" w:hAnsi="Times New Roman" w:cs="Times New Roman"/>
                <w:color w:val="auto"/>
                <w:lang w:val="en-US" w:eastAsia="zh-CN"/>
              </w:rPr>
              <w:t>穆棱河</w:t>
            </w:r>
            <w:r>
              <w:rPr>
                <w:rFonts w:hint="default" w:ascii="Times New Roman" w:hAnsi="Times New Roman" w:cs="Times New Roman"/>
                <w:color w:val="auto"/>
              </w:rPr>
              <w:t>，</w:t>
            </w:r>
            <w:r>
              <w:rPr>
                <w:rFonts w:hint="default" w:ascii="Times New Roman" w:hAnsi="Times New Roman" w:eastAsia="宋体" w:cs="Times New Roman"/>
                <w:color w:val="auto"/>
                <w:sz w:val="24"/>
                <w:szCs w:val="24"/>
                <w:highlight w:val="none"/>
              </w:rPr>
              <w:t>穆棱河</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b w:val="0"/>
                <w:bCs w:val="0"/>
                <w:color w:val="auto"/>
                <w:spacing w:val="0"/>
                <w:sz w:val="24"/>
                <w:szCs w:val="24"/>
                <w:highlight w:val="none"/>
                <w:lang w:val="en-US" w:eastAsia="zh-CN"/>
              </w:rPr>
              <w:t>鸡古路西100m-凯北站</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断面</w:t>
            </w:r>
            <w:r>
              <w:rPr>
                <w:rFonts w:hint="default" w:ascii="Times New Roman" w:hAnsi="Times New Roman" w:cs="Times New Roman"/>
                <w:color w:val="auto"/>
              </w:rPr>
              <w:t>水质目标为Ⅲ类区。</w:t>
            </w:r>
            <w:r>
              <w:rPr>
                <w:rFonts w:hint="default" w:ascii="Times New Roman" w:hAnsi="Times New Roman" w:cs="Times New Roman"/>
                <w:color w:val="auto"/>
                <w:lang w:val="en-US" w:eastAsia="zh-CN"/>
              </w:rPr>
              <w:t>因此，本项目</w:t>
            </w:r>
            <w:r>
              <w:rPr>
                <w:rFonts w:hint="default" w:ascii="Times New Roman" w:hAnsi="Times New Roman" w:cs="Times New Roman"/>
                <w:color w:val="auto"/>
              </w:rPr>
              <w:t>地表水环境质量执行《地表水环境质量标准》（GB3838-2002）Ⅲ类标准。</w:t>
            </w:r>
          </w:p>
          <w:p w14:paraId="6D3BB40B">
            <w:pPr>
              <w:pStyle w:val="72"/>
              <w:rPr>
                <w:rFonts w:hint="default" w:ascii="Times New Roman" w:hAnsi="Times New Roman" w:cs="Times New Roman"/>
                <w:color w:val="auto"/>
              </w:rPr>
            </w:pPr>
            <w:r>
              <w:rPr>
                <w:rFonts w:hint="default"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8</w:t>
            </w:r>
            <w:r>
              <w:rPr>
                <w:rFonts w:hint="default" w:ascii="Times New Roman" w:hAnsi="Times New Roman" w:eastAsia="宋体" w:cs="Times New Roman"/>
                <w:b/>
                <w:bCs/>
                <w:color w:val="auto"/>
              </w:rPr>
              <w:t xml:space="preserve">  地表水环境质量标准</w:t>
            </w:r>
            <w:r>
              <w:rPr>
                <w:rFonts w:hint="default" w:ascii="Times New Roman" w:hAnsi="Times New Roman" w:eastAsia="宋体" w:cs="Times New Roman"/>
                <w:b/>
                <w:bCs/>
                <w:color w:val="auto"/>
                <w:lang w:val="en-US" w:eastAsia="zh-CN"/>
              </w:rPr>
              <w:t xml:space="preserve">      </w:t>
            </w:r>
            <w:r>
              <w:rPr>
                <w:rFonts w:hint="default" w:ascii="Times New Roman" w:hAnsi="Times New Roman" w:eastAsia="宋体" w:cs="Times New Roman"/>
                <w:b/>
                <w:bCs/>
                <w:color w:val="auto"/>
              </w:rPr>
              <w:t>单位：mg/L</w:t>
            </w:r>
          </w:p>
          <w:tbl>
            <w:tblPr>
              <w:tblStyle w:val="30"/>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30"/>
              <w:gridCol w:w="2103"/>
              <w:gridCol w:w="1971"/>
              <w:gridCol w:w="2334"/>
            </w:tblGrid>
            <w:tr w14:paraId="39A91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330" w:type="dxa"/>
                  <w:noWrap w:val="0"/>
                  <w:tcMar>
                    <w:top w:w="17" w:type="dxa"/>
                    <w:left w:w="17" w:type="dxa"/>
                    <w:bottom w:w="0" w:type="dxa"/>
                    <w:right w:w="17" w:type="dxa"/>
                  </w:tcMar>
                  <w:vAlign w:val="center"/>
                </w:tcPr>
                <w:p w14:paraId="49D2FC7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序号</w:t>
                  </w:r>
                </w:p>
              </w:tc>
              <w:tc>
                <w:tcPr>
                  <w:tcW w:w="2103" w:type="dxa"/>
                  <w:noWrap w:val="0"/>
                  <w:tcMar>
                    <w:top w:w="17" w:type="dxa"/>
                    <w:left w:w="17" w:type="dxa"/>
                    <w:bottom w:w="0" w:type="dxa"/>
                    <w:right w:w="17" w:type="dxa"/>
                  </w:tcMar>
                  <w:vAlign w:val="center"/>
                </w:tcPr>
                <w:p w14:paraId="5E6FDC4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项目</w:t>
                  </w:r>
                </w:p>
              </w:tc>
              <w:tc>
                <w:tcPr>
                  <w:tcW w:w="1971" w:type="dxa"/>
                  <w:noWrap w:val="0"/>
                  <w:tcMar>
                    <w:top w:w="17" w:type="dxa"/>
                    <w:left w:w="17" w:type="dxa"/>
                    <w:bottom w:w="0" w:type="dxa"/>
                    <w:right w:w="17" w:type="dxa"/>
                  </w:tcMar>
                  <w:vAlign w:val="center"/>
                </w:tcPr>
                <w:p w14:paraId="6B8BECD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评价标准</w:t>
                  </w:r>
                </w:p>
              </w:tc>
              <w:tc>
                <w:tcPr>
                  <w:tcW w:w="2334" w:type="dxa"/>
                  <w:noWrap w:val="0"/>
                  <w:tcMar>
                    <w:top w:w="17" w:type="dxa"/>
                    <w:left w:w="17" w:type="dxa"/>
                    <w:bottom w:w="0" w:type="dxa"/>
                    <w:right w:w="17" w:type="dxa"/>
                  </w:tcMar>
                  <w:vAlign w:val="center"/>
                </w:tcPr>
                <w:p w14:paraId="1B248E2D">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标准来源</w:t>
                  </w:r>
                </w:p>
              </w:tc>
            </w:tr>
            <w:tr w14:paraId="145F79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330" w:type="dxa"/>
                  <w:noWrap w:val="0"/>
                  <w:tcMar>
                    <w:top w:w="17" w:type="dxa"/>
                    <w:left w:w="17" w:type="dxa"/>
                    <w:bottom w:w="0" w:type="dxa"/>
                    <w:right w:w="17" w:type="dxa"/>
                  </w:tcMar>
                  <w:vAlign w:val="center"/>
                </w:tcPr>
                <w:p w14:paraId="4D2A18A7">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2103" w:type="dxa"/>
                  <w:noWrap w:val="0"/>
                  <w:tcMar>
                    <w:top w:w="17" w:type="dxa"/>
                    <w:left w:w="17" w:type="dxa"/>
                    <w:bottom w:w="0" w:type="dxa"/>
                    <w:right w:w="17" w:type="dxa"/>
                  </w:tcMar>
                  <w:vAlign w:val="center"/>
                </w:tcPr>
                <w:p w14:paraId="12813B55">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pH（无量纲）</w:t>
                  </w:r>
                </w:p>
              </w:tc>
              <w:tc>
                <w:tcPr>
                  <w:tcW w:w="1971" w:type="dxa"/>
                  <w:noWrap w:val="0"/>
                  <w:tcMar>
                    <w:top w:w="17" w:type="dxa"/>
                    <w:left w:w="17" w:type="dxa"/>
                    <w:bottom w:w="0" w:type="dxa"/>
                    <w:right w:w="17" w:type="dxa"/>
                  </w:tcMar>
                  <w:vAlign w:val="center"/>
                </w:tcPr>
                <w:p w14:paraId="5A39173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6~9</w:t>
                  </w:r>
                </w:p>
              </w:tc>
              <w:tc>
                <w:tcPr>
                  <w:tcW w:w="2334" w:type="dxa"/>
                  <w:vMerge w:val="restart"/>
                  <w:noWrap w:val="0"/>
                  <w:tcMar>
                    <w:top w:w="17" w:type="dxa"/>
                    <w:left w:w="17" w:type="dxa"/>
                    <w:bottom w:w="0" w:type="dxa"/>
                    <w:right w:w="17" w:type="dxa"/>
                  </w:tcMar>
                  <w:vAlign w:val="center"/>
                </w:tcPr>
                <w:p w14:paraId="53E18F93">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《地表水环境质量标准》(GB3838-2002)Ⅲ类</w:t>
                  </w:r>
                </w:p>
              </w:tc>
            </w:tr>
            <w:tr w14:paraId="3221B6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330" w:type="dxa"/>
                  <w:noWrap w:val="0"/>
                  <w:tcMar>
                    <w:top w:w="17" w:type="dxa"/>
                    <w:left w:w="17" w:type="dxa"/>
                    <w:bottom w:w="0" w:type="dxa"/>
                    <w:right w:w="17" w:type="dxa"/>
                  </w:tcMar>
                  <w:vAlign w:val="center"/>
                </w:tcPr>
                <w:p w14:paraId="5A553EB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2103" w:type="dxa"/>
                  <w:noWrap w:val="0"/>
                  <w:tcMar>
                    <w:top w:w="17" w:type="dxa"/>
                    <w:left w:w="17" w:type="dxa"/>
                    <w:bottom w:w="0" w:type="dxa"/>
                    <w:right w:w="17" w:type="dxa"/>
                  </w:tcMar>
                  <w:vAlign w:val="center"/>
                </w:tcPr>
                <w:p w14:paraId="2CCA90AA">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高锰酸盐指数</w:t>
                  </w:r>
                </w:p>
              </w:tc>
              <w:tc>
                <w:tcPr>
                  <w:tcW w:w="1971" w:type="dxa"/>
                  <w:noWrap w:val="0"/>
                  <w:tcMar>
                    <w:top w:w="17" w:type="dxa"/>
                    <w:left w:w="17" w:type="dxa"/>
                    <w:bottom w:w="0" w:type="dxa"/>
                    <w:right w:w="17" w:type="dxa"/>
                  </w:tcMar>
                  <w:vAlign w:val="center"/>
                </w:tcPr>
                <w:p w14:paraId="7CF784C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w:t>
                  </w:r>
                </w:p>
              </w:tc>
              <w:tc>
                <w:tcPr>
                  <w:tcW w:w="2334" w:type="dxa"/>
                  <w:vMerge w:val="continue"/>
                  <w:noWrap w:val="0"/>
                  <w:tcMar>
                    <w:top w:w="17" w:type="dxa"/>
                    <w:left w:w="17" w:type="dxa"/>
                    <w:bottom w:w="0" w:type="dxa"/>
                    <w:right w:w="17" w:type="dxa"/>
                  </w:tcMar>
                  <w:vAlign w:val="center"/>
                </w:tcPr>
                <w:p w14:paraId="73AD92A7">
                  <w:pPr>
                    <w:spacing w:line="240" w:lineRule="auto"/>
                    <w:jc w:val="center"/>
                    <w:rPr>
                      <w:rFonts w:hint="default" w:ascii="Times New Roman" w:hAnsi="Times New Roman" w:cs="Times New Roman"/>
                      <w:color w:val="auto"/>
                      <w:sz w:val="21"/>
                      <w:szCs w:val="21"/>
                    </w:rPr>
                  </w:pPr>
                </w:p>
              </w:tc>
            </w:tr>
            <w:tr w14:paraId="14A50F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330" w:type="dxa"/>
                  <w:noWrap w:val="0"/>
                  <w:tcMar>
                    <w:top w:w="17" w:type="dxa"/>
                    <w:left w:w="17" w:type="dxa"/>
                    <w:bottom w:w="0" w:type="dxa"/>
                    <w:right w:w="17" w:type="dxa"/>
                  </w:tcMar>
                  <w:vAlign w:val="center"/>
                </w:tcPr>
                <w:p w14:paraId="58485024">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2103" w:type="dxa"/>
                  <w:noWrap w:val="0"/>
                  <w:tcMar>
                    <w:top w:w="17" w:type="dxa"/>
                    <w:left w:w="17" w:type="dxa"/>
                    <w:bottom w:w="0" w:type="dxa"/>
                    <w:right w:w="17" w:type="dxa"/>
                  </w:tcMar>
                  <w:vAlign w:val="center"/>
                </w:tcPr>
                <w:p w14:paraId="4CE1D13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BOD</w:t>
                  </w:r>
                  <w:r>
                    <w:rPr>
                      <w:rFonts w:hint="default" w:ascii="Times New Roman" w:hAnsi="Times New Roman" w:cs="Times New Roman"/>
                      <w:color w:val="auto"/>
                      <w:sz w:val="21"/>
                      <w:szCs w:val="21"/>
                      <w:vertAlign w:val="subscript"/>
                    </w:rPr>
                    <w:t>5</w:t>
                  </w:r>
                </w:p>
              </w:tc>
              <w:tc>
                <w:tcPr>
                  <w:tcW w:w="1971" w:type="dxa"/>
                  <w:noWrap w:val="0"/>
                  <w:tcMar>
                    <w:top w:w="17" w:type="dxa"/>
                    <w:left w:w="17" w:type="dxa"/>
                    <w:bottom w:w="0" w:type="dxa"/>
                    <w:right w:w="17" w:type="dxa"/>
                  </w:tcMar>
                  <w:vAlign w:val="center"/>
                </w:tcPr>
                <w:p w14:paraId="61482E8A">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2334" w:type="dxa"/>
                  <w:vMerge w:val="continue"/>
                  <w:noWrap w:val="0"/>
                  <w:tcMar>
                    <w:top w:w="17" w:type="dxa"/>
                    <w:left w:w="17" w:type="dxa"/>
                    <w:bottom w:w="0" w:type="dxa"/>
                    <w:right w:w="17" w:type="dxa"/>
                  </w:tcMar>
                  <w:vAlign w:val="center"/>
                </w:tcPr>
                <w:p w14:paraId="62BD9C7C">
                  <w:pPr>
                    <w:spacing w:line="240" w:lineRule="auto"/>
                    <w:jc w:val="center"/>
                    <w:rPr>
                      <w:rFonts w:hint="default" w:ascii="Times New Roman" w:hAnsi="Times New Roman" w:cs="Times New Roman"/>
                      <w:color w:val="auto"/>
                      <w:sz w:val="21"/>
                      <w:szCs w:val="21"/>
                    </w:rPr>
                  </w:pPr>
                </w:p>
              </w:tc>
            </w:tr>
            <w:tr w14:paraId="5F269C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330" w:type="dxa"/>
                  <w:noWrap w:val="0"/>
                  <w:tcMar>
                    <w:top w:w="17" w:type="dxa"/>
                    <w:left w:w="17" w:type="dxa"/>
                    <w:bottom w:w="0" w:type="dxa"/>
                    <w:right w:w="17" w:type="dxa"/>
                  </w:tcMar>
                  <w:vAlign w:val="center"/>
                </w:tcPr>
                <w:p w14:paraId="30369E6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2103" w:type="dxa"/>
                  <w:noWrap w:val="0"/>
                  <w:tcMar>
                    <w:top w:w="17" w:type="dxa"/>
                    <w:left w:w="17" w:type="dxa"/>
                    <w:bottom w:w="0" w:type="dxa"/>
                    <w:right w:w="17" w:type="dxa"/>
                  </w:tcMar>
                  <w:vAlign w:val="center"/>
                </w:tcPr>
                <w:p w14:paraId="42040455">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氨氮</w:t>
                  </w:r>
                </w:p>
              </w:tc>
              <w:tc>
                <w:tcPr>
                  <w:tcW w:w="1971" w:type="dxa"/>
                  <w:noWrap w:val="0"/>
                  <w:tcMar>
                    <w:top w:w="17" w:type="dxa"/>
                    <w:left w:w="17" w:type="dxa"/>
                    <w:bottom w:w="0" w:type="dxa"/>
                    <w:right w:w="17" w:type="dxa"/>
                  </w:tcMar>
                  <w:vAlign w:val="center"/>
                </w:tcPr>
                <w:p w14:paraId="5A26DD5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c>
                <w:tcPr>
                  <w:tcW w:w="2334" w:type="dxa"/>
                  <w:vMerge w:val="continue"/>
                  <w:noWrap w:val="0"/>
                  <w:tcMar>
                    <w:top w:w="17" w:type="dxa"/>
                    <w:left w:w="17" w:type="dxa"/>
                    <w:bottom w:w="0" w:type="dxa"/>
                    <w:right w:w="17" w:type="dxa"/>
                  </w:tcMar>
                  <w:vAlign w:val="center"/>
                </w:tcPr>
                <w:p w14:paraId="3283D583">
                  <w:pPr>
                    <w:spacing w:line="240" w:lineRule="auto"/>
                    <w:jc w:val="center"/>
                    <w:rPr>
                      <w:rFonts w:hint="default" w:ascii="Times New Roman" w:hAnsi="Times New Roman" w:cs="Times New Roman"/>
                      <w:color w:val="auto"/>
                      <w:sz w:val="21"/>
                      <w:szCs w:val="21"/>
                    </w:rPr>
                  </w:pPr>
                </w:p>
              </w:tc>
            </w:tr>
          </w:tbl>
          <w:p w14:paraId="5469B490">
            <w:pPr>
              <w:pStyle w:val="76"/>
              <w:rPr>
                <w:rFonts w:hint="default" w:ascii="Times New Roman" w:hAnsi="Times New Roman" w:cs="Times New Roman"/>
                <w:b/>
                <w:bCs/>
                <w:color w:val="auto"/>
                <w:highlight w:val="none"/>
              </w:rPr>
            </w:pPr>
            <w:r>
              <w:rPr>
                <w:rFonts w:hint="default" w:ascii="Times New Roman" w:hAnsi="Times New Roman" w:cs="Times New Roman"/>
                <w:color w:val="auto"/>
                <w:highlight w:val="none"/>
              </w:rPr>
              <w:t>2、污染物排放标准</w:t>
            </w:r>
          </w:p>
          <w:p w14:paraId="2F58168F">
            <w:pPr>
              <w:pStyle w:val="76"/>
              <w:rPr>
                <w:rFonts w:hint="eastAsia"/>
                <w:bCs/>
                <w:color w:val="auto"/>
                <w:lang w:val="en-US" w:eastAsia="zh-CN"/>
              </w:rPr>
            </w:pPr>
            <w:r>
              <w:rPr>
                <w:rFonts w:hint="eastAsia"/>
                <w:bCs/>
                <w:color w:val="auto"/>
                <w:lang w:eastAsia="zh-CN"/>
              </w:rPr>
              <w:t>（</w:t>
            </w:r>
            <w:r>
              <w:rPr>
                <w:rFonts w:hint="eastAsia"/>
                <w:bCs/>
                <w:color w:val="auto"/>
                <w:lang w:val="en-US" w:eastAsia="zh-CN"/>
              </w:rPr>
              <w:t>1</w:t>
            </w:r>
            <w:r>
              <w:rPr>
                <w:rFonts w:hint="eastAsia"/>
                <w:bCs/>
                <w:color w:val="auto"/>
                <w:lang w:eastAsia="zh-CN"/>
              </w:rPr>
              <w:t>）</w:t>
            </w:r>
            <w:r>
              <w:rPr>
                <w:rFonts w:hint="eastAsia"/>
                <w:bCs/>
                <w:color w:val="auto"/>
                <w:lang w:val="en-US" w:eastAsia="zh-CN"/>
              </w:rPr>
              <w:t>废气</w:t>
            </w:r>
          </w:p>
          <w:p w14:paraId="2C493B46">
            <w:pPr>
              <w:pStyle w:val="76"/>
              <w:rPr>
                <w:color w:val="auto"/>
              </w:rPr>
            </w:pPr>
            <w:r>
              <w:rPr>
                <w:rFonts w:hint="eastAsia"/>
                <w:color w:val="auto"/>
              </w:rPr>
              <w:t>本项目施工场地颗粒物和沥青混凝土拌合站沥青烟等</w:t>
            </w:r>
            <w:r>
              <w:rPr>
                <w:rFonts w:hint="eastAsia"/>
                <w:color w:val="auto"/>
                <w:lang w:val="en-US" w:eastAsia="zh-CN"/>
              </w:rPr>
              <w:t>废气</w:t>
            </w:r>
            <w:r>
              <w:rPr>
                <w:rFonts w:hint="eastAsia"/>
                <w:color w:val="auto"/>
              </w:rPr>
              <w:t>无组织排放的污染物执行《大气污染物综合排放标准》（GB16297-1996）表2中无组织排放监控浓度限值</w:t>
            </w:r>
            <w:r>
              <w:rPr>
                <w:rFonts w:hint="eastAsia"/>
                <w:color w:val="auto"/>
                <w:lang w:eastAsia="zh-CN"/>
              </w:rPr>
              <w:t>；</w:t>
            </w:r>
            <w:r>
              <w:rPr>
                <w:rFonts w:hint="eastAsia"/>
                <w:color w:val="auto"/>
                <w:lang w:val="en-US" w:eastAsia="zh-CN"/>
              </w:rPr>
              <w:t>导热油炉烟气</w:t>
            </w:r>
            <w:r>
              <w:rPr>
                <w:rFonts w:hint="eastAsia"/>
                <w:color w:val="auto"/>
              </w:rPr>
              <w:t>有组织排放的污染物执行</w:t>
            </w:r>
            <w:r>
              <w:rPr>
                <w:color w:val="auto"/>
              </w:rPr>
              <w:t>《</w:t>
            </w:r>
            <w:r>
              <w:rPr>
                <w:rFonts w:hint="eastAsia"/>
                <w:color w:val="auto"/>
                <w:lang w:val="en-US" w:eastAsia="zh-CN"/>
              </w:rPr>
              <w:t>锅炉</w:t>
            </w:r>
            <w:r>
              <w:rPr>
                <w:color w:val="auto"/>
              </w:rPr>
              <w:t>大气污染物排放标准》（GB1</w:t>
            </w:r>
            <w:r>
              <w:rPr>
                <w:rFonts w:hint="eastAsia"/>
                <w:color w:val="auto"/>
                <w:lang w:val="en-US" w:eastAsia="zh-CN"/>
              </w:rPr>
              <w:t>3271</w:t>
            </w:r>
            <w:r>
              <w:rPr>
                <w:color w:val="auto"/>
              </w:rPr>
              <w:t>-</w:t>
            </w:r>
            <w:r>
              <w:rPr>
                <w:rFonts w:hint="eastAsia"/>
                <w:color w:val="auto"/>
                <w:lang w:val="en-US" w:eastAsia="zh-CN"/>
              </w:rPr>
              <w:t>2014</w:t>
            </w:r>
            <w:r>
              <w:rPr>
                <w:color w:val="auto"/>
              </w:rPr>
              <w:t>）表2标准</w:t>
            </w:r>
            <w:r>
              <w:rPr>
                <w:rFonts w:hint="eastAsia"/>
                <w:color w:val="auto"/>
              </w:rPr>
              <w:t>。</w:t>
            </w:r>
          </w:p>
          <w:p w14:paraId="27B04D9D">
            <w:pPr>
              <w:pStyle w:val="72"/>
              <w:rPr>
                <w:rFonts w:hint="default" w:ascii="Times New Roman" w:hAnsi="Times New Roman" w:eastAsia="宋体" w:cs="Times New Roman"/>
                <w:color w:val="auto"/>
              </w:rPr>
            </w:pPr>
            <w:r>
              <w:rPr>
                <w:rFonts w:hint="default" w:ascii="Times New Roman" w:hAnsi="Times New Roman" w:eastAsia="宋体" w:cs="Times New Roman"/>
                <w:b/>
                <w:bCs/>
                <w:color w:val="auto"/>
              </w:rPr>
              <w:t>表</w:t>
            </w:r>
            <w:r>
              <w:rPr>
                <w:rFonts w:hint="eastAsia" w:ascii="Times New Roman" w:hAnsi="Times New Roman" w:eastAsia="宋体" w:cs="Times New Roman"/>
                <w:b/>
                <w:bCs/>
                <w:color w:val="auto"/>
              </w:rPr>
              <w:t>3-</w:t>
            </w:r>
            <w:r>
              <w:rPr>
                <w:rFonts w:hint="eastAsia" w:ascii="Times New Roman" w:hAnsi="Times New Roman" w:eastAsia="宋体" w:cs="Times New Roman"/>
                <w:b/>
                <w:bCs/>
                <w:color w:val="auto"/>
                <w:lang w:val="en-US" w:eastAsia="zh-CN"/>
              </w:rPr>
              <w:t>9</w:t>
            </w:r>
            <w:r>
              <w:rPr>
                <w:rFonts w:hint="default" w:ascii="Times New Roman" w:hAnsi="Times New Roman" w:eastAsia="宋体" w:cs="Times New Roman"/>
                <w:b/>
                <w:bCs/>
                <w:color w:val="auto"/>
              </w:rPr>
              <w:t xml:space="preserve">  大气污染物排放标准  单位：mg/Nm</w:t>
            </w:r>
            <w:r>
              <w:rPr>
                <w:rFonts w:hint="default" w:ascii="Times New Roman" w:hAnsi="Times New Roman" w:eastAsia="宋体" w:cs="Times New Roman"/>
                <w:b/>
                <w:bCs/>
                <w:color w:val="auto"/>
                <w:vertAlign w:val="superscript"/>
              </w:rPr>
              <w:t>3</w:t>
            </w:r>
          </w:p>
          <w:tbl>
            <w:tblPr>
              <w:tblStyle w:val="30"/>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534"/>
              <w:gridCol w:w="2336"/>
              <w:gridCol w:w="1218"/>
              <w:gridCol w:w="1302"/>
              <w:gridCol w:w="1063"/>
              <w:gridCol w:w="1285"/>
            </w:tblGrid>
            <w:tr w14:paraId="308C5E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restart"/>
                  <w:tcBorders>
                    <w:tl2br w:val="nil"/>
                    <w:tr2bl w:val="nil"/>
                  </w:tcBorders>
                  <w:noWrap w:val="0"/>
                  <w:vAlign w:val="center"/>
                </w:tcPr>
                <w:p w14:paraId="1DB047B2">
                  <w:pPr>
                    <w:pStyle w:val="80"/>
                    <w:rPr>
                      <w:color w:val="auto"/>
                      <w:sz w:val="21"/>
                      <w:szCs w:val="21"/>
                    </w:rPr>
                  </w:pPr>
                  <w:r>
                    <w:rPr>
                      <w:color w:val="auto"/>
                      <w:sz w:val="21"/>
                      <w:szCs w:val="21"/>
                    </w:rPr>
                    <w:t>类别</w:t>
                  </w:r>
                </w:p>
              </w:tc>
              <w:tc>
                <w:tcPr>
                  <w:tcW w:w="1509" w:type="pct"/>
                  <w:vMerge w:val="restart"/>
                  <w:tcBorders>
                    <w:tl2br w:val="nil"/>
                    <w:tr2bl w:val="nil"/>
                  </w:tcBorders>
                  <w:noWrap w:val="0"/>
                  <w:vAlign w:val="center"/>
                </w:tcPr>
                <w:p w14:paraId="0D26B15B">
                  <w:pPr>
                    <w:pStyle w:val="80"/>
                    <w:rPr>
                      <w:color w:val="auto"/>
                      <w:sz w:val="21"/>
                      <w:szCs w:val="21"/>
                    </w:rPr>
                  </w:pPr>
                  <w:r>
                    <w:rPr>
                      <w:color w:val="auto"/>
                      <w:sz w:val="21"/>
                      <w:szCs w:val="21"/>
                    </w:rPr>
                    <w:t>标准名称及级（类）别</w:t>
                  </w:r>
                </w:p>
              </w:tc>
              <w:tc>
                <w:tcPr>
                  <w:tcW w:w="787" w:type="pct"/>
                  <w:vMerge w:val="restart"/>
                  <w:tcBorders>
                    <w:tl2br w:val="nil"/>
                    <w:tr2bl w:val="nil"/>
                  </w:tcBorders>
                  <w:noWrap w:val="0"/>
                  <w:vAlign w:val="center"/>
                </w:tcPr>
                <w:p w14:paraId="64B1D7B7">
                  <w:pPr>
                    <w:pStyle w:val="80"/>
                    <w:rPr>
                      <w:color w:val="auto"/>
                      <w:sz w:val="21"/>
                      <w:szCs w:val="21"/>
                    </w:rPr>
                  </w:pPr>
                  <w:r>
                    <w:rPr>
                      <w:color w:val="auto"/>
                      <w:sz w:val="21"/>
                      <w:szCs w:val="21"/>
                    </w:rPr>
                    <w:t>污染因子</w:t>
                  </w:r>
                </w:p>
              </w:tc>
              <w:tc>
                <w:tcPr>
                  <w:tcW w:w="2358" w:type="pct"/>
                  <w:gridSpan w:val="3"/>
                  <w:tcBorders>
                    <w:tl2br w:val="nil"/>
                    <w:tr2bl w:val="nil"/>
                  </w:tcBorders>
                  <w:noWrap w:val="0"/>
                  <w:vAlign w:val="center"/>
                </w:tcPr>
                <w:p w14:paraId="6044DB60">
                  <w:pPr>
                    <w:pStyle w:val="80"/>
                    <w:rPr>
                      <w:color w:val="auto"/>
                      <w:sz w:val="21"/>
                      <w:szCs w:val="21"/>
                    </w:rPr>
                  </w:pPr>
                  <w:r>
                    <w:rPr>
                      <w:color w:val="auto"/>
                      <w:sz w:val="21"/>
                      <w:szCs w:val="21"/>
                    </w:rPr>
                    <w:t>标准值</w:t>
                  </w:r>
                </w:p>
              </w:tc>
            </w:tr>
            <w:tr w14:paraId="26B3315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161CA16C">
                  <w:pPr>
                    <w:pStyle w:val="80"/>
                    <w:rPr>
                      <w:color w:val="auto"/>
                      <w:sz w:val="21"/>
                      <w:szCs w:val="21"/>
                    </w:rPr>
                  </w:pPr>
                </w:p>
              </w:tc>
              <w:tc>
                <w:tcPr>
                  <w:tcW w:w="1509" w:type="pct"/>
                  <w:vMerge w:val="continue"/>
                  <w:tcBorders>
                    <w:tl2br w:val="nil"/>
                    <w:tr2bl w:val="nil"/>
                  </w:tcBorders>
                  <w:noWrap w:val="0"/>
                  <w:vAlign w:val="center"/>
                </w:tcPr>
                <w:p w14:paraId="1EC25908">
                  <w:pPr>
                    <w:pStyle w:val="80"/>
                    <w:rPr>
                      <w:color w:val="auto"/>
                      <w:sz w:val="21"/>
                      <w:szCs w:val="21"/>
                    </w:rPr>
                  </w:pPr>
                </w:p>
              </w:tc>
              <w:tc>
                <w:tcPr>
                  <w:tcW w:w="787" w:type="pct"/>
                  <w:vMerge w:val="continue"/>
                  <w:tcBorders>
                    <w:tl2br w:val="nil"/>
                    <w:tr2bl w:val="nil"/>
                  </w:tcBorders>
                  <w:noWrap w:val="0"/>
                  <w:vAlign w:val="center"/>
                </w:tcPr>
                <w:p w14:paraId="276A5A7D">
                  <w:pPr>
                    <w:pStyle w:val="80"/>
                    <w:rPr>
                      <w:color w:val="auto"/>
                      <w:sz w:val="21"/>
                      <w:szCs w:val="21"/>
                    </w:rPr>
                  </w:pPr>
                </w:p>
              </w:tc>
              <w:tc>
                <w:tcPr>
                  <w:tcW w:w="1528" w:type="pct"/>
                  <w:gridSpan w:val="2"/>
                  <w:tcBorders>
                    <w:tl2br w:val="nil"/>
                    <w:tr2bl w:val="nil"/>
                  </w:tcBorders>
                  <w:noWrap w:val="0"/>
                  <w:vAlign w:val="center"/>
                </w:tcPr>
                <w:p w14:paraId="122BB110">
                  <w:pPr>
                    <w:pStyle w:val="80"/>
                    <w:rPr>
                      <w:color w:val="auto"/>
                      <w:sz w:val="21"/>
                      <w:szCs w:val="21"/>
                    </w:rPr>
                  </w:pPr>
                  <w:r>
                    <w:rPr>
                      <w:color w:val="auto"/>
                      <w:sz w:val="21"/>
                      <w:szCs w:val="21"/>
                    </w:rPr>
                    <w:t>单位</w:t>
                  </w:r>
                </w:p>
              </w:tc>
              <w:tc>
                <w:tcPr>
                  <w:tcW w:w="830" w:type="pct"/>
                  <w:tcBorders>
                    <w:tl2br w:val="nil"/>
                    <w:tr2bl w:val="nil"/>
                  </w:tcBorders>
                  <w:noWrap w:val="0"/>
                  <w:vAlign w:val="center"/>
                </w:tcPr>
                <w:p w14:paraId="2E896DFB">
                  <w:pPr>
                    <w:pStyle w:val="80"/>
                    <w:rPr>
                      <w:color w:val="auto"/>
                      <w:sz w:val="21"/>
                      <w:szCs w:val="21"/>
                    </w:rPr>
                  </w:pPr>
                  <w:r>
                    <w:rPr>
                      <w:color w:val="auto"/>
                      <w:sz w:val="21"/>
                      <w:szCs w:val="21"/>
                    </w:rPr>
                    <w:t>数值</w:t>
                  </w:r>
                </w:p>
              </w:tc>
            </w:tr>
            <w:tr w14:paraId="4CBAB4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07FAE682">
                  <w:pPr>
                    <w:pStyle w:val="80"/>
                    <w:rPr>
                      <w:color w:val="auto"/>
                      <w:sz w:val="21"/>
                      <w:szCs w:val="21"/>
                    </w:rPr>
                  </w:pPr>
                </w:p>
              </w:tc>
              <w:tc>
                <w:tcPr>
                  <w:tcW w:w="1509" w:type="pct"/>
                  <w:vMerge w:val="restart"/>
                  <w:tcBorders>
                    <w:tl2br w:val="nil"/>
                    <w:tr2bl w:val="nil"/>
                  </w:tcBorders>
                  <w:noWrap w:val="0"/>
                  <w:vAlign w:val="center"/>
                </w:tcPr>
                <w:p w14:paraId="72F12A45">
                  <w:pPr>
                    <w:pStyle w:val="80"/>
                    <w:rPr>
                      <w:color w:val="auto"/>
                      <w:sz w:val="21"/>
                      <w:szCs w:val="21"/>
                    </w:rPr>
                  </w:pPr>
                  <w:r>
                    <w:rPr>
                      <w:color w:val="auto"/>
                      <w:sz w:val="21"/>
                      <w:szCs w:val="21"/>
                    </w:rPr>
                    <w:t>《大气污染物综合排放标准》</w:t>
                  </w:r>
                </w:p>
                <w:p w14:paraId="75C60735">
                  <w:pPr>
                    <w:pStyle w:val="80"/>
                    <w:rPr>
                      <w:color w:val="auto"/>
                      <w:sz w:val="21"/>
                      <w:szCs w:val="21"/>
                    </w:rPr>
                  </w:pPr>
                  <w:r>
                    <w:rPr>
                      <w:color w:val="auto"/>
                      <w:sz w:val="21"/>
                      <w:szCs w:val="21"/>
                    </w:rPr>
                    <w:t>（GB16297-1996）</w:t>
                  </w:r>
                  <w:r>
                    <w:rPr>
                      <w:rFonts w:hint="eastAsia"/>
                      <w:color w:val="auto"/>
                      <w:sz w:val="21"/>
                      <w:szCs w:val="21"/>
                    </w:rPr>
                    <w:t>无组织排放</w:t>
                  </w:r>
                  <w:r>
                    <w:rPr>
                      <w:color w:val="auto"/>
                      <w:sz w:val="21"/>
                      <w:szCs w:val="21"/>
                    </w:rPr>
                    <w:t>标准要求</w:t>
                  </w:r>
                </w:p>
              </w:tc>
              <w:tc>
                <w:tcPr>
                  <w:tcW w:w="787" w:type="pct"/>
                  <w:tcBorders>
                    <w:tl2br w:val="nil"/>
                    <w:tr2bl w:val="nil"/>
                  </w:tcBorders>
                  <w:noWrap w:val="0"/>
                  <w:vAlign w:val="center"/>
                </w:tcPr>
                <w:p w14:paraId="53DE08B0">
                  <w:pPr>
                    <w:pStyle w:val="80"/>
                    <w:rPr>
                      <w:color w:val="auto"/>
                      <w:sz w:val="21"/>
                      <w:szCs w:val="21"/>
                    </w:rPr>
                  </w:pPr>
                  <w:r>
                    <w:rPr>
                      <w:color w:val="auto"/>
                      <w:sz w:val="21"/>
                      <w:szCs w:val="21"/>
                    </w:rPr>
                    <w:t>颗粒物</w:t>
                  </w:r>
                </w:p>
              </w:tc>
              <w:tc>
                <w:tcPr>
                  <w:tcW w:w="841" w:type="pct"/>
                  <w:tcBorders>
                    <w:tl2br w:val="nil"/>
                    <w:tr2bl w:val="nil"/>
                  </w:tcBorders>
                  <w:noWrap w:val="0"/>
                  <w:vAlign w:val="center"/>
                </w:tcPr>
                <w:p w14:paraId="751BBBE9">
                  <w:pPr>
                    <w:pStyle w:val="80"/>
                    <w:rPr>
                      <w:color w:val="auto"/>
                      <w:sz w:val="21"/>
                      <w:szCs w:val="21"/>
                    </w:rPr>
                  </w:pPr>
                  <w:r>
                    <w:rPr>
                      <w:color w:val="auto"/>
                      <w:sz w:val="21"/>
                      <w:szCs w:val="21"/>
                    </w:rPr>
                    <w:t>无组织</w:t>
                  </w:r>
                </w:p>
              </w:tc>
              <w:tc>
                <w:tcPr>
                  <w:tcW w:w="686" w:type="pct"/>
                  <w:tcBorders>
                    <w:tl2br w:val="nil"/>
                    <w:tr2bl w:val="nil"/>
                  </w:tcBorders>
                  <w:noWrap w:val="0"/>
                  <w:vAlign w:val="center"/>
                </w:tcPr>
                <w:p w14:paraId="1F14B6E1">
                  <w:pPr>
                    <w:pStyle w:val="80"/>
                    <w:rPr>
                      <w:color w:val="auto"/>
                      <w:sz w:val="21"/>
                      <w:szCs w:val="21"/>
                    </w:rPr>
                  </w:pPr>
                  <w:r>
                    <w:rPr>
                      <w:color w:val="auto"/>
                      <w:sz w:val="21"/>
                      <w:szCs w:val="21"/>
                    </w:rPr>
                    <w:t>mg/m</w:t>
                  </w:r>
                  <w:r>
                    <w:rPr>
                      <w:color w:val="auto"/>
                      <w:sz w:val="21"/>
                      <w:szCs w:val="21"/>
                      <w:vertAlign w:val="superscript"/>
                    </w:rPr>
                    <w:t>3</w:t>
                  </w:r>
                </w:p>
              </w:tc>
              <w:tc>
                <w:tcPr>
                  <w:tcW w:w="830" w:type="pct"/>
                  <w:tcBorders>
                    <w:tl2br w:val="nil"/>
                    <w:tr2bl w:val="nil"/>
                  </w:tcBorders>
                  <w:noWrap w:val="0"/>
                  <w:vAlign w:val="center"/>
                </w:tcPr>
                <w:p w14:paraId="3400F071">
                  <w:pPr>
                    <w:pStyle w:val="80"/>
                    <w:rPr>
                      <w:color w:val="auto"/>
                      <w:sz w:val="21"/>
                      <w:szCs w:val="21"/>
                    </w:rPr>
                  </w:pPr>
                  <w:r>
                    <w:rPr>
                      <w:color w:val="auto"/>
                      <w:sz w:val="21"/>
                      <w:szCs w:val="21"/>
                    </w:rPr>
                    <w:t>1.0</w:t>
                  </w:r>
                </w:p>
              </w:tc>
            </w:tr>
            <w:tr w14:paraId="1DA05D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1C39D9BF">
                  <w:pPr>
                    <w:pStyle w:val="80"/>
                    <w:rPr>
                      <w:color w:val="auto"/>
                      <w:sz w:val="21"/>
                      <w:szCs w:val="21"/>
                    </w:rPr>
                  </w:pPr>
                </w:p>
              </w:tc>
              <w:tc>
                <w:tcPr>
                  <w:tcW w:w="1509" w:type="pct"/>
                  <w:vMerge w:val="continue"/>
                  <w:tcBorders>
                    <w:tl2br w:val="nil"/>
                    <w:tr2bl w:val="nil"/>
                  </w:tcBorders>
                  <w:noWrap w:val="0"/>
                  <w:vAlign w:val="center"/>
                </w:tcPr>
                <w:p w14:paraId="2F58C609">
                  <w:pPr>
                    <w:pStyle w:val="80"/>
                    <w:rPr>
                      <w:color w:val="auto"/>
                      <w:sz w:val="21"/>
                      <w:szCs w:val="21"/>
                    </w:rPr>
                  </w:pPr>
                </w:p>
              </w:tc>
              <w:tc>
                <w:tcPr>
                  <w:tcW w:w="787" w:type="pct"/>
                  <w:tcBorders>
                    <w:tl2br w:val="nil"/>
                    <w:tr2bl w:val="nil"/>
                  </w:tcBorders>
                  <w:noWrap w:val="0"/>
                  <w:vAlign w:val="center"/>
                </w:tcPr>
                <w:p w14:paraId="3D668CBB">
                  <w:pPr>
                    <w:pStyle w:val="80"/>
                    <w:rPr>
                      <w:color w:val="auto"/>
                      <w:sz w:val="21"/>
                      <w:szCs w:val="21"/>
                    </w:rPr>
                  </w:pPr>
                  <w:r>
                    <w:rPr>
                      <w:color w:val="auto"/>
                      <w:sz w:val="21"/>
                      <w:szCs w:val="21"/>
                    </w:rPr>
                    <w:t>非甲烷</w:t>
                  </w:r>
                </w:p>
                <w:p w14:paraId="01B8B861">
                  <w:pPr>
                    <w:pStyle w:val="80"/>
                    <w:rPr>
                      <w:color w:val="auto"/>
                      <w:sz w:val="21"/>
                      <w:szCs w:val="21"/>
                    </w:rPr>
                  </w:pPr>
                  <w:r>
                    <w:rPr>
                      <w:color w:val="auto"/>
                      <w:sz w:val="21"/>
                      <w:szCs w:val="21"/>
                    </w:rPr>
                    <w:t>总烃</w:t>
                  </w:r>
                </w:p>
              </w:tc>
              <w:tc>
                <w:tcPr>
                  <w:tcW w:w="841" w:type="pct"/>
                  <w:tcBorders>
                    <w:tl2br w:val="nil"/>
                    <w:tr2bl w:val="nil"/>
                  </w:tcBorders>
                  <w:noWrap w:val="0"/>
                  <w:vAlign w:val="center"/>
                </w:tcPr>
                <w:p w14:paraId="610D2B60">
                  <w:pPr>
                    <w:pStyle w:val="80"/>
                    <w:rPr>
                      <w:color w:val="auto"/>
                      <w:sz w:val="21"/>
                      <w:szCs w:val="21"/>
                    </w:rPr>
                  </w:pPr>
                  <w:r>
                    <w:rPr>
                      <w:color w:val="auto"/>
                      <w:sz w:val="21"/>
                      <w:szCs w:val="21"/>
                    </w:rPr>
                    <w:t>无组织</w:t>
                  </w:r>
                </w:p>
              </w:tc>
              <w:tc>
                <w:tcPr>
                  <w:tcW w:w="686" w:type="pct"/>
                  <w:tcBorders>
                    <w:tl2br w:val="nil"/>
                    <w:tr2bl w:val="nil"/>
                  </w:tcBorders>
                  <w:noWrap w:val="0"/>
                  <w:vAlign w:val="center"/>
                </w:tcPr>
                <w:p w14:paraId="657F4F5A">
                  <w:pPr>
                    <w:pStyle w:val="80"/>
                    <w:rPr>
                      <w:color w:val="auto"/>
                      <w:sz w:val="21"/>
                      <w:szCs w:val="21"/>
                    </w:rPr>
                  </w:pPr>
                  <w:r>
                    <w:rPr>
                      <w:color w:val="auto"/>
                      <w:sz w:val="21"/>
                      <w:szCs w:val="21"/>
                    </w:rPr>
                    <w:t>mg/m</w:t>
                  </w:r>
                  <w:r>
                    <w:rPr>
                      <w:color w:val="auto"/>
                      <w:sz w:val="21"/>
                      <w:szCs w:val="21"/>
                      <w:vertAlign w:val="superscript"/>
                    </w:rPr>
                    <w:t>3</w:t>
                  </w:r>
                </w:p>
              </w:tc>
              <w:tc>
                <w:tcPr>
                  <w:tcW w:w="830" w:type="pct"/>
                  <w:tcBorders>
                    <w:tl2br w:val="nil"/>
                    <w:tr2bl w:val="nil"/>
                  </w:tcBorders>
                  <w:noWrap w:val="0"/>
                  <w:vAlign w:val="center"/>
                </w:tcPr>
                <w:p w14:paraId="55C1E5E3">
                  <w:pPr>
                    <w:pStyle w:val="80"/>
                    <w:rPr>
                      <w:color w:val="auto"/>
                      <w:sz w:val="21"/>
                      <w:szCs w:val="21"/>
                    </w:rPr>
                  </w:pPr>
                  <w:r>
                    <w:rPr>
                      <w:color w:val="auto"/>
                      <w:sz w:val="21"/>
                      <w:szCs w:val="21"/>
                    </w:rPr>
                    <w:t>4.0</w:t>
                  </w:r>
                </w:p>
              </w:tc>
            </w:tr>
            <w:tr w14:paraId="2123F34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90" w:hRule="atLeast"/>
                <w:jc w:val="center"/>
              </w:trPr>
              <w:tc>
                <w:tcPr>
                  <w:tcW w:w="345" w:type="pct"/>
                  <w:vMerge w:val="continue"/>
                  <w:tcBorders>
                    <w:tl2br w:val="nil"/>
                    <w:tr2bl w:val="nil"/>
                  </w:tcBorders>
                  <w:noWrap w:val="0"/>
                  <w:vAlign w:val="center"/>
                </w:tcPr>
                <w:p w14:paraId="3B40E341">
                  <w:pPr>
                    <w:pStyle w:val="80"/>
                    <w:rPr>
                      <w:color w:val="auto"/>
                      <w:sz w:val="21"/>
                      <w:szCs w:val="21"/>
                    </w:rPr>
                  </w:pPr>
                </w:p>
              </w:tc>
              <w:tc>
                <w:tcPr>
                  <w:tcW w:w="1509" w:type="pct"/>
                  <w:vMerge w:val="continue"/>
                  <w:tcBorders>
                    <w:tl2br w:val="nil"/>
                    <w:tr2bl w:val="nil"/>
                  </w:tcBorders>
                  <w:noWrap w:val="0"/>
                  <w:vAlign w:val="center"/>
                </w:tcPr>
                <w:p w14:paraId="172FB3C3">
                  <w:pPr>
                    <w:pStyle w:val="80"/>
                    <w:rPr>
                      <w:color w:val="auto"/>
                      <w:sz w:val="21"/>
                      <w:szCs w:val="21"/>
                    </w:rPr>
                  </w:pPr>
                </w:p>
              </w:tc>
              <w:tc>
                <w:tcPr>
                  <w:tcW w:w="787" w:type="pct"/>
                  <w:tcBorders>
                    <w:tl2br w:val="nil"/>
                    <w:tr2bl w:val="nil"/>
                  </w:tcBorders>
                  <w:noWrap w:val="0"/>
                  <w:vAlign w:val="center"/>
                </w:tcPr>
                <w:p w14:paraId="5BF792A0">
                  <w:pPr>
                    <w:pStyle w:val="80"/>
                    <w:rPr>
                      <w:color w:val="auto"/>
                      <w:sz w:val="21"/>
                      <w:szCs w:val="21"/>
                    </w:rPr>
                  </w:pPr>
                  <w:r>
                    <w:rPr>
                      <w:color w:val="auto"/>
                      <w:sz w:val="21"/>
                      <w:szCs w:val="21"/>
                    </w:rPr>
                    <w:t>苯并芘</w:t>
                  </w:r>
                </w:p>
              </w:tc>
              <w:tc>
                <w:tcPr>
                  <w:tcW w:w="841" w:type="pct"/>
                  <w:tcBorders>
                    <w:tl2br w:val="nil"/>
                    <w:tr2bl w:val="nil"/>
                  </w:tcBorders>
                  <w:noWrap w:val="0"/>
                  <w:vAlign w:val="center"/>
                </w:tcPr>
                <w:p w14:paraId="2C99EC11">
                  <w:pPr>
                    <w:pStyle w:val="80"/>
                    <w:rPr>
                      <w:color w:val="auto"/>
                      <w:sz w:val="21"/>
                      <w:szCs w:val="21"/>
                    </w:rPr>
                  </w:pPr>
                  <w:r>
                    <w:rPr>
                      <w:color w:val="auto"/>
                      <w:sz w:val="21"/>
                      <w:szCs w:val="21"/>
                    </w:rPr>
                    <w:t>无组织</w:t>
                  </w:r>
                </w:p>
              </w:tc>
              <w:tc>
                <w:tcPr>
                  <w:tcW w:w="686" w:type="pct"/>
                  <w:tcBorders>
                    <w:tl2br w:val="nil"/>
                    <w:tr2bl w:val="nil"/>
                  </w:tcBorders>
                  <w:noWrap w:val="0"/>
                  <w:vAlign w:val="center"/>
                </w:tcPr>
                <w:p w14:paraId="7D30F444">
                  <w:pPr>
                    <w:pStyle w:val="80"/>
                    <w:rPr>
                      <w:color w:val="auto"/>
                      <w:sz w:val="21"/>
                      <w:szCs w:val="21"/>
                    </w:rPr>
                  </w:pPr>
                  <w:r>
                    <w:rPr>
                      <w:color w:val="auto"/>
                      <w:sz w:val="21"/>
                      <w:szCs w:val="21"/>
                    </w:rPr>
                    <w:t>μg/m</w:t>
                  </w:r>
                  <w:r>
                    <w:rPr>
                      <w:color w:val="auto"/>
                      <w:sz w:val="21"/>
                      <w:szCs w:val="21"/>
                      <w:vertAlign w:val="superscript"/>
                    </w:rPr>
                    <w:t>3</w:t>
                  </w:r>
                </w:p>
              </w:tc>
              <w:tc>
                <w:tcPr>
                  <w:tcW w:w="830" w:type="pct"/>
                  <w:tcBorders>
                    <w:tl2br w:val="nil"/>
                    <w:tr2bl w:val="nil"/>
                  </w:tcBorders>
                  <w:noWrap w:val="0"/>
                  <w:vAlign w:val="center"/>
                </w:tcPr>
                <w:p w14:paraId="54864F28">
                  <w:pPr>
                    <w:pStyle w:val="80"/>
                    <w:rPr>
                      <w:color w:val="auto"/>
                      <w:sz w:val="21"/>
                      <w:szCs w:val="21"/>
                    </w:rPr>
                  </w:pPr>
                  <w:r>
                    <w:rPr>
                      <w:color w:val="auto"/>
                      <w:sz w:val="21"/>
                      <w:szCs w:val="21"/>
                    </w:rPr>
                    <w:t>0.008</w:t>
                  </w:r>
                </w:p>
              </w:tc>
            </w:tr>
            <w:tr w14:paraId="39A0992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43928B7F">
                  <w:pPr>
                    <w:pStyle w:val="80"/>
                    <w:rPr>
                      <w:color w:val="auto"/>
                      <w:sz w:val="21"/>
                      <w:szCs w:val="21"/>
                    </w:rPr>
                  </w:pPr>
                </w:p>
              </w:tc>
              <w:tc>
                <w:tcPr>
                  <w:tcW w:w="1509" w:type="pct"/>
                  <w:vMerge w:val="continue"/>
                  <w:tcBorders>
                    <w:tl2br w:val="nil"/>
                    <w:tr2bl w:val="nil"/>
                  </w:tcBorders>
                  <w:noWrap w:val="0"/>
                  <w:vAlign w:val="center"/>
                </w:tcPr>
                <w:p w14:paraId="5DC0B72A">
                  <w:pPr>
                    <w:pStyle w:val="80"/>
                    <w:rPr>
                      <w:color w:val="auto"/>
                      <w:sz w:val="21"/>
                      <w:szCs w:val="21"/>
                    </w:rPr>
                  </w:pPr>
                </w:p>
              </w:tc>
              <w:tc>
                <w:tcPr>
                  <w:tcW w:w="787" w:type="pct"/>
                  <w:tcBorders>
                    <w:tl2br w:val="nil"/>
                    <w:tr2bl w:val="nil"/>
                  </w:tcBorders>
                  <w:noWrap w:val="0"/>
                  <w:vAlign w:val="center"/>
                </w:tcPr>
                <w:p w14:paraId="1F73F6C6">
                  <w:pPr>
                    <w:pStyle w:val="80"/>
                    <w:rPr>
                      <w:color w:val="auto"/>
                      <w:sz w:val="21"/>
                      <w:szCs w:val="21"/>
                    </w:rPr>
                  </w:pPr>
                  <w:r>
                    <w:rPr>
                      <w:color w:val="auto"/>
                      <w:sz w:val="21"/>
                      <w:szCs w:val="21"/>
                    </w:rPr>
                    <w:t>沥青烟</w:t>
                  </w:r>
                </w:p>
              </w:tc>
              <w:tc>
                <w:tcPr>
                  <w:tcW w:w="841" w:type="pct"/>
                  <w:tcBorders>
                    <w:tl2br w:val="nil"/>
                    <w:tr2bl w:val="nil"/>
                  </w:tcBorders>
                  <w:noWrap w:val="0"/>
                  <w:vAlign w:val="center"/>
                </w:tcPr>
                <w:p w14:paraId="5C2B81BE">
                  <w:pPr>
                    <w:pStyle w:val="80"/>
                    <w:rPr>
                      <w:color w:val="auto"/>
                      <w:sz w:val="21"/>
                      <w:szCs w:val="21"/>
                    </w:rPr>
                  </w:pPr>
                  <w:r>
                    <w:rPr>
                      <w:color w:val="auto"/>
                      <w:sz w:val="21"/>
                      <w:szCs w:val="21"/>
                    </w:rPr>
                    <w:t>无组织</w:t>
                  </w:r>
                </w:p>
              </w:tc>
              <w:tc>
                <w:tcPr>
                  <w:tcW w:w="1517" w:type="pct"/>
                  <w:gridSpan w:val="2"/>
                  <w:tcBorders>
                    <w:tl2br w:val="nil"/>
                    <w:tr2bl w:val="nil"/>
                  </w:tcBorders>
                  <w:noWrap w:val="0"/>
                  <w:vAlign w:val="center"/>
                </w:tcPr>
                <w:p w14:paraId="1C8B7BBE">
                  <w:pPr>
                    <w:pStyle w:val="80"/>
                    <w:rPr>
                      <w:color w:val="auto"/>
                      <w:sz w:val="21"/>
                      <w:szCs w:val="21"/>
                    </w:rPr>
                  </w:pPr>
                  <w:r>
                    <w:rPr>
                      <w:color w:val="auto"/>
                      <w:sz w:val="21"/>
                      <w:szCs w:val="21"/>
                    </w:rPr>
                    <w:t>生产设备不得有明显的</w:t>
                  </w:r>
                </w:p>
                <w:p w14:paraId="6E3B4BD6">
                  <w:pPr>
                    <w:pStyle w:val="80"/>
                    <w:rPr>
                      <w:color w:val="auto"/>
                      <w:sz w:val="21"/>
                      <w:szCs w:val="21"/>
                    </w:rPr>
                  </w:pPr>
                  <w:r>
                    <w:rPr>
                      <w:color w:val="auto"/>
                      <w:sz w:val="21"/>
                      <w:szCs w:val="21"/>
                    </w:rPr>
                    <w:t>无组织排放存在</w:t>
                  </w:r>
                </w:p>
              </w:tc>
            </w:tr>
            <w:tr w14:paraId="20F8296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7CB1AFC1">
                  <w:pPr>
                    <w:pStyle w:val="80"/>
                    <w:rPr>
                      <w:color w:val="auto"/>
                      <w:sz w:val="21"/>
                      <w:szCs w:val="21"/>
                    </w:rPr>
                  </w:pPr>
                </w:p>
              </w:tc>
              <w:tc>
                <w:tcPr>
                  <w:tcW w:w="1509" w:type="pct"/>
                  <w:vMerge w:val="restart"/>
                  <w:tcBorders>
                    <w:tl2br w:val="nil"/>
                    <w:tr2bl w:val="nil"/>
                  </w:tcBorders>
                  <w:noWrap w:val="0"/>
                  <w:vAlign w:val="center"/>
                </w:tcPr>
                <w:p w14:paraId="14965E80">
                  <w:pPr>
                    <w:pStyle w:val="80"/>
                    <w:rPr>
                      <w:color w:val="auto"/>
                      <w:sz w:val="21"/>
                      <w:szCs w:val="21"/>
                    </w:rPr>
                  </w:pPr>
                  <w:r>
                    <w:rPr>
                      <w:color w:val="auto"/>
                      <w:sz w:val="21"/>
                      <w:szCs w:val="21"/>
                    </w:rPr>
                    <w:t>《</w:t>
                  </w:r>
                  <w:r>
                    <w:rPr>
                      <w:rFonts w:hint="eastAsia"/>
                      <w:color w:val="auto"/>
                      <w:sz w:val="21"/>
                      <w:szCs w:val="21"/>
                      <w:lang w:val="en-US" w:eastAsia="zh-CN"/>
                    </w:rPr>
                    <w:t>锅炉</w:t>
                  </w:r>
                  <w:r>
                    <w:rPr>
                      <w:color w:val="auto"/>
                      <w:sz w:val="21"/>
                      <w:szCs w:val="21"/>
                    </w:rPr>
                    <w:t>大气污染物排放标准》（GB1</w:t>
                  </w:r>
                  <w:r>
                    <w:rPr>
                      <w:rFonts w:hint="eastAsia"/>
                      <w:color w:val="auto"/>
                      <w:sz w:val="21"/>
                      <w:szCs w:val="21"/>
                      <w:lang w:val="en-US" w:eastAsia="zh-CN"/>
                    </w:rPr>
                    <w:t>3271</w:t>
                  </w:r>
                  <w:r>
                    <w:rPr>
                      <w:color w:val="auto"/>
                      <w:sz w:val="21"/>
                      <w:szCs w:val="21"/>
                    </w:rPr>
                    <w:t>-</w:t>
                  </w:r>
                  <w:r>
                    <w:rPr>
                      <w:rFonts w:hint="eastAsia"/>
                      <w:color w:val="auto"/>
                      <w:sz w:val="21"/>
                      <w:szCs w:val="21"/>
                      <w:lang w:val="en-US" w:eastAsia="zh-CN"/>
                    </w:rPr>
                    <w:t>2014</w:t>
                  </w:r>
                  <w:r>
                    <w:rPr>
                      <w:color w:val="auto"/>
                      <w:sz w:val="21"/>
                      <w:szCs w:val="21"/>
                    </w:rPr>
                    <w:t>）表2标准</w:t>
                  </w:r>
                </w:p>
              </w:tc>
              <w:tc>
                <w:tcPr>
                  <w:tcW w:w="787" w:type="pct"/>
                  <w:tcBorders>
                    <w:tl2br w:val="nil"/>
                    <w:tr2bl w:val="nil"/>
                  </w:tcBorders>
                  <w:noWrap w:val="0"/>
                  <w:vAlign w:val="center"/>
                </w:tcPr>
                <w:p w14:paraId="2DA2796D">
                  <w:pPr>
                    <w:pStyle w:val="80"/>
                    <w:rPr>
                      <w:color w:val="auto"/>
                      <w:sz w:val="21"/>
                      <w:szCs w:val="21"/>
                    </w:rPr>
                  </w:pPr>
                  <w:r>
                    <w:rPr>
                      <w:color w:val="auto"/>
                      <w:sz w:val="21"/>
                      <w:szCs w:val="21"/>
                    </w:rPr>
                    <w:t>氮氧化物</w:t>
                  </w:r>
                </w:p>
              </w:tc>
              <w:tc>
                <w:tcPr>
                  <w:tcW w:w="841" w:type="pct"/>
                  <w:vMerge w:val="restart"/>
                  <w:tcBorders>
                    <w:tl2br w:val="nil"/>
                    <w:tr2bl w:val="nil"/>
                  </w:tcBorders>
                  <w:noWrap w:val="0"/>
                  <w:vAlign w:val="center"/>
                </w:tcPr>
                <w:p w14:paraId="28272F94">
                  <w:pPr>
                    <w:pStyle w:val="80"/>
                    <w:rPr>
                      <w:color w:val="auto"/>
                      <w:sz w:val="21"/>
                      <w:szCs w:val="21"/>
                    </w:rPr>
                  </w:pPr>
                  <w:r>
                    <w:rPr>
                      <w:color w:val="auto"/>
                      <w:sz w:val="21"/>
                      <w:szCs w:val="21"/>
                    </w:rPr>
                    <w:t>1</w:t>
                  </w:r>
                  <w:r>
                    <w:rPr>
                      <w:rFonts w:hint="eastAsia"/>
                      <w:color w:val="auto"/>
                      <w:sz w:val="21"/>
                      <w:szCs w:val="21"/>
                      <w:lang w:val="en-US" w:eastAsia="zh-CN"/>
                    </w:rPr>
                    <w:t>8</w:t>
                  </w:r>
                  <w:r>
                    <w:rPr>
                      <w:color w:val="auto"/>
                      <w:sz w:val="21"/>
                      <w:szCs w:val="21"/>
                    </w:rPr>
                    <w:t>m排气筒</w:t>
                  </w:r>
                </w:p>
              </w:tc>
              <w:tc>
                <w:tcPr>
                  <w:tcW w:w="686" w:type="pct"/>
                  <w:tcBorders>
                    <w:tl2br w:val="nil"/>
                    <w:tr2bl w:val="nil"/>
                  </w:tcBorders>
                  <w:noWrap w:val="0"/>
                  <w:vAlign w:val="center"/>
                </w:tcPr>
                <w:p w14:paraId="0D5CC783">
                  <w:pPr>
                    <w:pStyle w:val="80"/>
                    <w:rPr>
                      <w:color w:val="auto"/>
                      <w:sz w:val="21"/>
                      <w:szCs w:val="21"/>
                    </w:rPr>
                  </w:pPr>
                  <w:r>
                    <w:rPr>
                      <w:color w:val="auto"/>
                      <w:sz w:val="21"/>
                      <w:szCs w:val="21"/>
                    </w:rPr>
                    <w:t>mg/m</w:t>
                  </w:r>
                  <w:r>
                    <w:rPr>
                      <w:color w:val="auto"/>
                      <w:sz w:val="21"/>
                      <w:szCs w:val="21"/>
                      <w:vertAlign w:val="superscript"/>
                    </w:rPr>
                    <w:t>3</w:t>
                  </w:r>
                </w:p>
              </w:tc>
              <w:tc>
                <w:tcPr>
                  <w:tcW w:w="830" w:type="pct"/>
                  <w:tcBorders>
                    <w:tl2br w:val="nil"/>
                    <w:tr2bl w:val="nil"/>
                  </w:tcBorders>
                  <w:noWrap w:val="0"/>
                  <w:vAlign w:val="center"/>
                </w:tcPr>
                <w:p w14:paraId="09053282">
                  <w:pPr>
                    <w:pStyle w:val="80"/>
                    <w:rPr>
                      <w:color w:val="auto"/>
                      <w:sz w:val="21"/>
                      <w:szCs w:val="21"/>
                    </w:rPr>
                  </w:pPr>
                  <w:r>
                    <w:rPr>
                      <w:rFonts w:hint="eastAsia"/>
                      <w:color w:val="auto"/>
                      <w:sz w:val="21"/>
                      <w:szCs w:val="21"/>
                      <w:lang w:val="en-US" w:eastAsia="zh-CN"/>
                    </w:rPr>
                    <w:t>25</w:t>
                  </w:r>
                  <w:r>
                    <w:rPr>
                      <w:color w:val="auto"/>
                      <w:sz w:val="21"/>
                      <w:szCs w:val="21"/>
                    </w:rPr>
                    <w:t>0</w:t>
                  </w:r>
                </w:p>
              </w:tc>
            </w:tr>
            <w:tr w14:paraId="5CB4C6F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2AAE921C">
                  <w:pPr>
                    <w:pStyle w:val="80"/>
                    <w:rPr>
                      <w:color w:val="auto"/>
                      <w:sz w:val="21"/>
                      <w:szCs w:val="21"/>
                    </w:rPr>
                  </w:pPr>
                </w:p>
              </w:tc>
              <w:tc>
                <w:tcPr>
                  <w:tcW w:w="1509" w:type="pct"/>
                  <w:vMerge w:val="continue"/>
                  <w:tcBorders>
                    <w:tl2br w:val="nil"/>
                    <w:tr2bl w:val="nil"/>
                  </w:tcBorders>
                  <w:noWrap w:val="0"/>
                  <w:vAlign w:val="center"/>
                </w:tcPr>
                <w:p w14:paraId="42E62321">
                  <w:pPr>
                    <w:pStyle w:val="80"/>
                    <w:rPr>
                      <w:color w:val="auto"/>
                      <w:sz w:val="21"/>
                      <w:szCs w:val="21"/>
                    </w:rPr>
                  </w:pPr>
                </w:p>
              </w:tc>
              <w:tc>
                <w:tcPr>
                  <w:tcW w:w="787" w:type="pct"/>
                  <w:tcBorders>
                    <w:tl2br w:val="nil"/>
                    <w:tr2bl w:val="nil"/>
                  </w:tcBorders>
                  <w:noWrap w:val="0"/>
                  <w:vAlign w:val="center"/>
                </w:tcPr>
                <w:p w14:paraId="15379698">
                  <w:pPr>
                    <w:pStyle w:val="80"/>
                    <w:rPr>
                      <w:color w:val="auto"/>
                      <w:sz w:val="21"/>
                      <w:szCs w:val="21"/>
                    </w:rPr>
                  </w:pPr>
                  <w:r>
                    <w:rPr>
                      <w:color w:val="auto"/>
                      <w:sz w:val="21"/>
                      <w:szCs w:val="21"/>
                    </w:rPr>
                    <w:t>SO</w:t>
                  </w:r>
                  <w:r>
                    <w:rPr>
                      <w:color w:val="auto"/>
                      <w:sz w:val="21"/>
                      <w:szCs w:val="21"/>
                      <w:vertAlign w:val="subscript"/>
                    </w:rPr>
                    <w:t>2</w:t>
                  </w:r>
                </w:p>
              </w:tc>
              <w:tc>
                <w:tcPr>
                  <w:tcW w:w="841" w:type="pct"/>
                  <w:vMerge w:val="continue"/>
                  <w:tcBorders>
                    <w:tl2br w:val="nil"/>
                    <w:tr2bl w:val="nil"/>
                  </w:tcBorders>
                  <w:noWrap w:val="0"/>
                  <w:vAlign w:val="center"/>
                </w:tcPr>
                <w:p w14:paraId="48B57DC0">
                  <w:pPr>
                    <w:pStyle w:val="80"/>
                    <w:rPr>
                      <w:color w:val="auto"/>
                      <w:sz w:val="21"/>
                      <w:szCs w:val="21"/>
                    </w:rPr>
                  </w:pPr>
                </w:p>
              </w:tc>
              <w:tc>
                <w:tcPr>
                  <w:tcW w:w="686" w:type="pct"/>
                  <w:tcBorders>
                    <w:tl2br w:val="nil"/>
                    <w:tr2bl w:val="nil"/>
                  </w:tcBorders>
                  <w:noWrap w:val="0"/>
                  <w:vAlign w:val="center"/>
                </w:tcPr>
                <w:p w14:paraId="5BC99D6A">
                  <w:pPr>
                    <w:pStyle w:val="80"/>
                    <w:rPr>
                      <w:color w:val="auto"/>
                      <w:sz w:val="21"/>
                      <w:szCs w:val="21"/>
                    </w:rPr>
                  </w:pPr>
                  <w:r>
                    <w:rPr>
                      <w:color w:val="auto"/>
                      <w:sz w:val="21"/>
                      <w:szCs w:val="21"/>
                    </w:rPr>
                    <w:t>mg/m</w:t>
                  </w:r>
                  <w:r>
                    <w:rPr>
                      <w:color w:val="auto"/>
                      <w:sz w:val="21"/>
                      <w:szCs w:val="21"/>
                      <w:vertAlign w:val="superscript"/>
                    </w:rPr>
                    <w:t>3</w:t>
                  </w:r>
                </w:p>
              </w:tc>
              <w:tc>
                <w:tcPr>
                  <w:tcW w:w="830" w:type="pct"/>
                  <w:tcBorders>
                    <w:tl2br w:val="nil"/>
                    <w:tr2bl w:val="nil"/>
                  </w:tcBorders>
                  <w:noWrap w:val="0"/>
                  <w:vAlign w:val="center"/>
                </w:tcPr>
                <w:p w14:paraId="44CC1C7F">
                  <w:pPr>
                    <w:pStyle w:val="80"/>
                    <w:rPr>
                      <w:rFonts w:hint="default" w:eastAsia="宋体"/>
                      <w:color w:val="auto"/>
                      <w:sz w:val="21"/>
                      <w:szCs w:val="21"/>
                      <w:lang w:val="en-US" w:eastAsia="zh-CN"/>
                    </w:rPr>
                  </w:pPr>
                  <w:r>
                    <w:rPr>
                      <w:rFonts w:hint="eastAsia"/>
                      <w:color w:val="auto"/>
                      <w:sz w:val="21"/>
                      <w:szCs w:val="21"/>
                      <w:lang w:val="en-US" w:eastAsia="zh-CN"/>
                    </w:rPr>
                    <w:t>200</w:t>
                  </w:r>
                </w:p>
              </w:tc>
            </w:tr>
            <w:tr w14:paraId="193A0C0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6F64C7B4">
                  <w:pPr>
                    <w:pStyle w:val="80"/>
                    <w:rPr>
                      <w:color w:val="auto"/>
                      <w:sz w:val="21"/>
                      <w:szCs w:val="21"/>
                    </w:rPr>
                  </w:pPr>
                </w:p>
              </w:tc>
              <w:tc>
                <w:tcPr>
                  <w:tcW w:w="1509" w:type="pct"/>
                  <w:vMerge w:val="continue"/>
                  <w:tcBorders>
                    <w:tl2br w:val="nil"/>
                    <w:tr2bl w:val="nil"/>
                  </w:tcBorders>
                  <w:noWrap w:val="0"/>
                  <w:vAlign w:val="center"/>
                </w:tcPr>
                <w:p w14:paraId="4C461DB8">
                  <w:pPr>
                    <w:pStyle w:val="80"/>
                    <w:rPr>
                      <w:color w:val="auto"/>
                      <w:sz w:val="21"/>
                      <w:szCs w:val="21"/>
                    </w:rPr>
                  </w:pPr>
                </w:p>
              </w:tc>
              <w:tc>
                <w:tcPr>
                  <w:tcW w:w="787" w:type="pct"/>
                  <w:tcBorders>
                    <w:tl2br w:val="nil"/>
                    <w:tr2bl w:val="nil"/>
                  </w:tcBorders>
                  <w:noWrap w:val="0"/>
                  <w:vAlign w:val="center"/>
                </w:tcPr>
                <w:p w14:paraId="3C657B4A">
                  <w:pPr>
                    <w:pStyle w:val="80"/>
                    <w:rPr>
                      <w:rFonts w:hint="eastAsia" w:eastAsia="宋体"/>
                      <w:color w:val="auto"/>
                      <w:sz w:val="21"/>
                      <w:szCs w:val="21"/>
                      <w:lang w:val="en-US" w:eastAsia="zh-CN"/>
                    </w:rPr>
                  </w:pPr>
                  <w:r>
                    <w:rPr>
                      <w:rFonts w:hint="eastAsia"/>
                      <w:color w:val="auto"/>
                      <w:sz w:val="21"/>
                      <w:szCs w:val="21"/>
                      <w:lang w:val="en-US" w:eastAsia="zh-CN"/>
                    </w:rPr>
                    <w:t>颗粒物</w:t>
                  </w:r>
                </w:p>
              </w:tc>
              <w:tc>
                <w:tcPr>
                  <w:tcW w:w="841" w:type="pct"/>
                  <w:vMerge w:val="continue"/>
                  <w:tcBorders>
                    <w:tl2br w:val="nil"/>
                    <w:tr2bl w:val="nil"/>
                  </w:tcBorders>
                  <w:noWrap w:val="0"/>
                  <w:vAlign w:val="center"/>
                </w:tcPr>
                <w:p w14:paraId="7F91095E">
                  <w:pPr>
                    <w:pStyle w:val="80"/>
                    <w:rPr>
                      <w:color w:val="auto"/>
                      <w:sz w:val="21"/>
                      <w:szCs w:val="21"/>
                    </w:rPr>
                  </w:pPr>
                </w:p>
              </w:tc>
              <w:tc>
                <w:tcPr>
                  <w:tcW w:w="686" w:type="pct"/>
                  <w:tcBorders>
                    <w:tl2br w:val="nil"/>
                    <w:tr2bl w:val="nil"/>
                  </w:tcBorders>
                  <w:noWrap w:val="0"/>
                  <w:vAlign w:val="center"/>
                </w:tcPr>
                <w:p w14:paraId="660D3F6E">
                  <w:pPr>
                    <w:pStyle w:val="80"/>
                    <w:rPr>
                      <w:color w:val="auto"/>
                      <w:sz w:val="21"/>
                      <w:szCs w:val="21"/>
                    </w:rPr>
                  </w:pPr>
                  <w:r>
                    <w:rPr>
                      <w:color w:val="auto"/>
                      <w:sz w:val="21"/>
                      <w:szCs w:val="21"/>
                    </w:rPr>
                    <w:t>mg/m</w:t>
                  </w:r>
                  <w:r>
                    <w:rPr>
                      <w:color w:val="auto"/>
                      <w:sz w:val="21"/>
                      <w:szCs w:val="21"/>
                      <w:vertAlign w:val="superscript"/>
                    </w:rPr>
                    <w:t>3</w:t>
                  </w:r>
                </w:p>
              </w:tc>
              <w:tc>
                <w:tcPr>
                  <w:tcW w:w="830" w:type="pct"/>
                  <w:tcBorders>
                    <w:tl2br w:val="nil"/>
                    <w:tr2bl w:val="nil"/>
                  </w:tcBorders>
                  <w:noWrap w:val="0"/>
                  <w:vAlign w:val="center"/>
                </w:tcPr>
                <w:p w14:paraId="754120C2">
                  <w:pPr>
                    <w:pStyle w:val="80"/>
                    <w:rPr>
                      <w:rFonts w:hint="default" w:eastAsia="宋体"/>
                      <w:color w:val="auto"/>
                      <w:sz w:val="21"/>
                      <w:szCs w:val="21"/>
                      <w:lang w:val="en-US" w:eastAsia="zh-CN"/>
                    </w:rPr>
                  </w:pPr>
                  <w:r>
                    <w:rPr>
                      <w:rFonts w:hint="eastAsia"/>
                      <w:color w:val="auto"/>
                      <w:sz w:val="21"/>
                      <w:szCs w:val="21"/>
                      <w:lang w:val="en-US" w:eastAsia="zh-CN"/>
                    </w:rPr>
                    <w:t>30</w:t>
                  </w:r>
                </w:p>
              </w:tc>
            </w:tr>
            <w:tr w14:paraId="0DB2BB0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0D5EC204">
                  <w:pPr>
                    <w:pStyle w:val="80"/>
                    <w:rPr>
                      <w:color w:val="auto"/>
                      <w:sz w:val="21"/>
                      <w:szCs w:val="21"/>
                    </w:rPr>
                  </w:pPr>
                </w:p>
              </w:tc>
              <w:tc>
                <w:tcPr>
                  <w:tcW w:w="1509" w:type="pct"/>
                  <w:vMerge w:val="continue"/>
                  <w:tcBorders>
                    <w:tl2br w:val="nil"/>
                    <w:tr2bl w:val="nil"/>
                  </w:tcBorders>
                  <w:noWrap w:val="0"/>
                  <w:vAlign w:val="center"/>
                </w:tcPr>
                <w:p w14:paraId="0D2E6D7B">
                  <w:pPr>
                    <w:pStyle w:val="80"/>
                    <w:rPr>
                      <w:color w:val="auto"/>
                      <w:sz w:val="21"/>
                      <w:szCs w:val="21"/>
                    </w:rPr>
                  </w:pPr>
                </w:p>
              </w:tc>
              <w:tc>
                <w:tcPr>
                  <w:tcW w:w="787" w:type="pct"/>
                  <w:tcBorders>
                    <w:tl2br w:val="nil"/>
                    <w:tr2bl w:val="nil"/>
                  </w:tcBorders>
                  <w:noWrap w:val="0"/>
                  <w:vAlign w:val="center"/>
                </w:tcPr>
                <w:p w14:paraId="5E48D1A4">
                  <w:pPr>
                    <w:pStyle w:val="80"/>
                    <w:rPr>
                      <w:rFonts w:hint="default" w:eastAsia="宋体"/>
                      <w:color w:val="auto"/>
                      <w:sz w:val="21"/>
                      <w:szCs w:val="21"/>
                      <w:lang w:val="en-US" w:eastAsia="zh-CN"/>
                    </w:rPr>
                  </w:pPr>
                  <w:r>
                    <w:rPr>
                      <w:rFonts w:hint="eastAsia"/>
                      <w:color w:val="auto"/>
                      <w:sz w:val="21"/>
                      <w:szCs w:val="21"/>
                      <w:lang w:val="en-US" w:eastAsia="zh-CN"/>
                    </w:rPr>
                    <w:t>烟气黑度</w:t>
                  </w:r>
                </w:p>
              </w:tc>
              <w:tc>
                <w:tcPr>
                  <w:tcW w:w="841" w:type="pct"/>
                  <w:vMerge w:val="continue"/>
                  <w:tcBorders>
                    <w:tl2br w:val="nil"/>
                    <w:tr2bl w:val="nil"/>
                  </w:tcBorders>
                  <w:noWrap w:val="0"/>
                  <w:vAlign w:val="center"/>
                </w:tcPr>
                <w:p w14:paraId="485A6188">
                  <w:pPr>
                    <w:pStyle w:val="80"/>
                    <w:rPr>
                      <w:color w:val="auto"/>
                      <w:sz w:val="21"/>
                      <w:szCs w:val="21"/>
                    </w:rPr>
                  </w:pPr>
                </w:p>
              </w:tc>
              <w:tc>
                <w:tcPr>
                  <w:tcW w:w="686" w:type="pct"/>
                  <w:tcBorders>
                    <w:tl2br w:val="nil"/>
                    <w:tr2bl w:val="nil"/>
                  </w:tcBorders>
                  <w:noWrap w:val="0"/>
                  <w:vAlign w:val="center"/>
                </w:tcPr>
                <w:p w14:paraId="0E6973C0">
                  <w:pPr>
                    <w:pStyle w:val="80"/>
                    <w:rPr>
                      <w:rFonts w:hint="eastAsia" w:eastAsia="宋体"/>
                      <w:color w:val="auto"/>
                      <w:sz w:val="21"/>
                      <w:szCs w:val="21"/>
                      <w:lang w:eastAsia="zh-CN"/>
                    </w:rPr>
                  </w:pPr>
                  <w:r>
                    <w:rPr>
                      <w:rFonts w:hint="eastAsia"/>
                      <w:color w:val="auto"/>
                      <w:sz w:val="21"/>
                      <w:szCs w:val="21"/>
                      <w:lang w:val="en-US" w:eastAsia="zh-CN"/>
                    </w:rPr>
                    <w:t>级</w:t>
                  </w:r>
                </w:p>
              </w:tc>
              <w:tc>
                <w:tcPr>
                  <w:tcW w:w="830" w:type="pct"/>
                  <w:tcBorders>
                    <w:tl2br w:val="nil"/>
                    <w:tr2bl w:val="nil"/>
                  </w:tcBorders>
                  <w:noWrap w:val="0"/>
                  <w:vAlign w:val="center"/>
                </w:tcPr>
                <w:p w14:paraId="345E6C41">
                  <w:pPr>
                    <w:pStyle w:val="80"/>
                    <w:rPr>
                      <w:rFonts w:hint="default" w:eastAsia="宋体"/>
                      <w:color w:val="auto"/>
                      <w:sz w:val="21"/>
                      <w:szCs w:val="21"/>
                      <w:lang w:val="en-US" w:eastAsia="zh-CN"/>
                    </w:rPr>
                  </w:pPr>
                  <w:r>
                    <w:rPr>
                      <w:rFonts w:hint="eastAsia"/>
                      <w:color w:val="auto"/>
                      <w:sz w:val="21"/>
                      <w:szCs w:val="21"/>
                      <w:lang w:val="en-US" w:eastAsia="zh-CN"/>
                    </w:rPr>
                    <w:t>≤1</w:t>
                  </w:r>
                </w:p>
              </w:tc>
            </w:tr>
          </w:tbl>
          <w:p w14:paraId="0B584F10">
            <w:pPr>
              <w:pStyle w:val="76"/>
              <w:rPr>
                <w:color w:val="auto"/>
              </w:rPr>
            </w:pPr>
            <w:r>
              <w:rPr>
                <w:rFonts w:hint="eastAsia"/>
                <w:bCs/>
                <w:color w:val="auto"/>
              </w:rPr>
              <w:t>（</w:t>
            </w:r>
            <w:r>
              <w:rPr>
                <w:rFonts w:hint="eastAsia"/>
                <w:bCs/>
                <w:color w:val="auto"/>
                <w:lang w:val="en-US" w:eastAsia="zh-CN"/>
              </w:rPr>
              <w:t>2</w:t>
            </w:r>
            <w:r>
              <w:rPr>
                <w:rFonts w:hint="eastAsia"/>
                <w:bCs/>
                <w:color w:val="auto"/>
              </w:rPr>
              <w:t>）</w:t>
            </w:r>
            <w:r>
              <w:rPr>
                <w:color w:val="auto"/>
              </w:rPr>
              <w:t>噪声</w:t>
            </w:r>
          </w:p>
          <w:p w14:paraId="2E2941A3">
            <w:pPr>
              <w:pStyle w:val="76"/>
              <w:rPr>
                <w:color w:val="auto"/>
              </w:rPr>
            </w:pPr>
            <w:r>
              <w:rPr>
                <w:color w:val="auto"/>
              </w:rPr>
              <w:t>施工期噪声执行《</w:t>
            </w:r>
            <w:r>
              <w:rPr>
                <w:rFonts w:hint="default" w:ascii="Times New Roman" w:hAnsi="Times New Roman" w:eastAsia="宋体" w:cs="宋体"/>
                <w:color w:val="auto"/>
                <w:kern w:val="0"/>
                <w:sz w:val="24"/>
                <w:szCs w:val="21"/>
                <w:highlight w:val="none"/>
                <w:shd w:val="clear" w:color="auto" w:fill="auto"/>
                <w:lang w:val="en-US" w:eastAsia="zh-CN"/>
              </w:rPr>
              <w:t>建筑施工噪声排放标准</w:t>
            </w:r>
            <w:r>
              <w:rPr>
                <w:color w:val="auto"/>
              </w:rPr>
              <w:t>》（</w:t>
            </w:r>
            <w:bookmarkStart w:id="15" w:name="_GoBack"/>
            <w:bookmarkEnd w:id="15"/>
            <w:r>
              <w:rPr>
                <w:color w:val="auto"/>
              </w:rPr>
              <w:t>GB1252</w:t>
            </w:r>
            <w:r>
              <w:rPr>
                <w:rFonts w:hint="eastAsia"/>
                <w:color w:val="auto"/>
              </w:rPr>
              <w:t>3-</w:t>
            </w:r>
            <w:r>
              <w:rPr>
                <w:color w:val="auto"/>
              </w:rPr>
              <w:t>2</w:t>
            </w:r>
            <w:r>
              <w:rPr>
                <w:rFonts w:hint="eastAsia"/>
                <w:color w:val="auto"/>
              </w:rPr>
              <w:t>0</w:t>
            </w:r>
            <w:r>
              <w:rPr>
                <w:rFonts w:hint="eastAsia"/>
                <w:color w:val="auto"/>
                <w:lang w:val="en-US" w:eastAsia="zh-CN"/>
              </w:rPr>
              <w:t>25</w:t>
            </w:r>
            <w:r>
              <w:rPr>
                <w:color w:val="auto"/>
              </w:rPr>
              <w:t>）。</w:t>
            </w:r>
          </w:p>
          <w:p w14:paraId="60EA471D">
            <w:pPr>
              <w:pStyle w:val="72"/>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w:t>
            </w:r>
            <w:r>
              <w:rPr>
                <w:rFonts w:hint="eastAsia" w:ascii="Times New Roman" w:hAnsi="Times New Roman" w:eastAsia="宋体" w:cs="Times New Roman"/>
                <w:b/>
                <w:bCs/>
                <w:color w:val="auto"/>
              </w:rPr>
              <w:t>3-</w:t>
            </w:r>
            <w:r>
              <w:rPr>
                <w:rFonts w:hint="eastAsia" w:ascii="Times New Roman" w:hAnsi="Times New Roman" w:eastAsia="宋体" w:cs="Times New Roman"/>
                <w:b/>
                <w:bCs/>
                <w:color w:val="auto"/>
                <w:lang w:val="en-US" w:eastAsia="zh-CN"/>
              </w:rPr>
              <w:t>10</w:t>
            </w:r>
            <w:r>
              <w:rPr>
                <w:rFonts w:hint="default" w:ascii="Times New Roman" w:hAnsi="Times New Roman" w:eastAsia="宋体" w:cs="Times New Roman"/>
                <w:b/>
                <w:bCs/>
                <w:color w:val="auto"/>
              </w:rPr>
              <w:t xml:space="preserve">  噪声排放标准    单位：dB（A）</w:t>
            </w:r>
          </w:p>
          <w:tbl>
            <w:tblPr>
              <w:tblStyle w:val="30"/>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80"/>
              <w:gridCol w:w="1153"/>
              <w:gridCol w:w="4946"/>
            </w:tblGrid>
            <w:tr w14:paraId="30D32DF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1580" w:type="dxa"/>
                  <w:tcBorders>
                    <w:tl2br w:val="nil"/>
                    <w:tr2bl w:val="nil"/>
                  </w:tcBorders>
                  <w:noWrap w:val="0"/>
                  <w:vAlign w:val="center"/>
                </w:tcPr>
                <w:p w14:paraId="4A92B36C">
                  <w:pPr>
                    <w:pStyle w:val="65"/>
                    <w:spacing w:line="320" w:lineRule="exact"/>
                    <w:rPr>
                      <w:color w:val="auto"/>
                      <w:kern w:val="2"/>
                    </w:rPr>
                  </w:pPr>
                  <w:r>
                    <w:rPr>
                      <w:color w:val="auto"/>
                      <w:kern w:val="2"/>
                    </w:rPr>
                    <w:t>昼间</w:t>
                  </w:r>
                </w:p>
              </w:tc>
              <w:tc>
                <w:tcPr>
                  <w:tcW w:w="1153" w:type="dxa"/>
                  <w:tcBorders>
                    <w:tl2br w:val="nil"/>
                    <w:tr2bl w:val="nil"/>
                  </w:tcBorders>
                  <w:noWrap w:val="0"/>
                  <w:vAlign w:val="center"/>
                </w:tcPr>
                <w:p w14:paraId="1F06658B">
                  <w:pPr>
                    <w:pStyle w:val="65"/>
                    <w:spacing w:line="320" w:lineRule="exact"/>
                    <w:rPr>
                      <w:color w:val="auto"/>
                      <w:kern w:val="2"/>
                    </w:rPr>
                  </w:pPr>
                  <w:r>
                    <w:rPr>
                      <w:color w:val="auto"/>
                      <w:kern w:val="2"/>
                    </w:rPr>
                    <w:t>夜间</w:t>
                  </w:r>
                </w:p>
              </w:tc>
              <w:tc>
                <w:tcPr>
                  <w:tcW w:w="4946" w:type="dxa"/>
                  <w:tcBorders>
                    <w:tl2br w:val="nil"/>
                    <w:tr2bl w:val="nil"/>
                  </w:tcBorders>
                  <w:noWrap w:val="0"/>
                  <w:vAlign w:val="center"/>
                </w:tcPr>
                <w:p w14:paraId="22D54367">
                  <w:pPr>
                    <w:pStyle w:val="65"/>
                    <w:spacing w:line="320" w:lineRule="exact"/>
                    <w:rPr>
                      <w:color w:val="auto"/>
                      <w:kern w:val="2"/>
                    </w:rPr>
                  </w:pPr>
                  <w:r>
                    <w:rPr>
                      <w:color w:val="auto"/>
                      <w:kern w:val="2"/>
                    </w:rPr>
                    <w:t>标准来源</w:t>
                  </w:r>
                </w:p>
              </w:tc>
            </w:tr>
            <w:tr w14:paraId="7A69C77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80" w:type="dxa"/>
                  <w:tcBorders>
                    <w:tl2br w:val="nil"/>
                    <w:tr2bl w:val="nil"/>
                  </w:tcBorders>
                  <w:noWrap w:val="0"/>
                  <w:vAlign w:val="center"/>
                </w:tcPr>
                <w:p w14:paraId="0416C9C9">
                  <w:pPr>
                    <w:pStyle w:val="65"/>
                    <w:spacing w:line="320" w:lineRule="exact"/>
                    <w:rPr>
                      <w:rFonts w:hint="eastAsia"/>
                      <w:color w:val="auto"/>
                      <w:kern w:val="2"/>
                    </w:rPr>
                  </w:pPr>
                  <w:r>
                    <w:rPr>
                      <w:color w:val="auto"/>
                      <w:kern w:val="2"/>
                    </w:rPr>
                    <w:t>7</w:t>
                  </w:r>
                  <w:r>
                    <w:rPr>
                      <w:rFonts w:hint="eastAsia"/>
                      <w:color w:val="auto"/>
                      <w:kern w:val="2"/>
                    </w:rPr>
                    <w:t>0</w:t>
                  </w:r>
                </w:p>
              </w:tc>
              <w:tc>
                <w:tcPr>
                  <w:tcW w:w="1153" w:type="dxa"/>
                  <w:tcBorders>
                    <w:tl2br w:val="nil"/>
                    <w:tr2bl w:val="nil"/>
                  </w:tcBorders>
                  <w:noWrap w:val="0"/>
                  <w:vAlign w:val="center"/>
                </w:tcPr>
                <w:p w14:paraId="08CAF3E8">
                  <w:pPr>
                    <w:pStyle w:val="65"/>
                    <w:spacing w:line="320" w:lineRule="exact"/>
                    <w:rPr>
                      <w:rFonts w:hint="eastAsia"/>
                      <w:color w:val="auto"/>
                      <w:kern w:val="2"/>
                    </w:rPr>
                  </w:pPr>
                  <w:r>
                    <w:rPr>
                      <w:color w:val="auto"/>
                      <w:kern w:val="2"/>
                    </w:rPr>
                    <w:t>5</w:t>
                  </w:r>
                  <w:r>
                    <w:rPr>
                      <w:rFonts w:hint="eastAsia"/>
                      <w:color w:val="auto"/>
                      <w:kern w:val="2"/>
                    </w:rPr>
                    <w:t>5</w:t>
                  </w:r>
                </w:p>
              </w:tc>
              <w:tc>
                <w:tcPr>
                  <w:tcW w:w="4946" w:type="dxa"/>
                  <w:tcBorders>
                    <w:tl2br w:val="nil"/>
                    <w:tr2bl w:val="nil"/>
                  </w:tcBorders>
                  <w:noWrap w:val="0"/>
                  <w:vAlign w:val="center"/>
                </w:tcPr>
                <w:p w14:paraId="512E4138">
                  <w:pPr>
                    <w:pStyle w:val="65"/>
                    <w:spacing w:line="320" w:lineRule="exact"/>
                    <w:jc w:val="center"/>
                    <w:rPr>
                      <w:rFonts w:hint="eastAsia"/>
                      <w:color w:val="auto"/>
                      <w:kern w:val="2"/>
                    </w:rPr>
                  </w:pPr>
                  <w:r>
                    <w:rPr>
                      <w:color w:val="auto"/>
                      <w:kern w:val="2"/>
                    </w:rPr>
                    <w:t>《</w:t>
                  </w:r>
                  <w:r>
                    <w:rPr>
                      <w:rFonts w:hint="default"/>
                      <w:color w:val="auto"/>
                      <w:kern w:val="2"/>
                      <w:lang w:val="en-US" w:eastAsia="zh-CN"/>
                    </w:rPr>
                    <w:t>建筑施工噪声排放标准</w:t>
                  </w:r>
                  <w:r>
                    <w:rPr>
                      <w:color w:val="auto"/>
                      <w:kern w:val="2"/>
                    </w:rPr>
                    <w:t>》（GB1252</w:t>
                  </w:r>
                  <w:r>
                    <w:rPr>
                      <w:rFonts w:hint="eastAsia"/>
                      <w:color w:val="auto"/>
                      <w:kern w:val="2"/>
                    </w:rPr>
                    <w:t>3-</w:t>
                  </w:r>
                  <w:r>
                    <w:rPr>
                      <w:color w:val="auto"/>
                      <w:kern w:val="2"/>
                    </w:rPr>
                    <w:t>2</w:t>
                  </w:r>
                  <w:r>
                    <w:rPr>
                      <w:rFonts w:hint="eastAsia"/>
                      <w:color w:val="auto"/>
                      <w:kern w:val="2"/>
                    </w:rPr>
                    <w:t>0</w:t>
                  </w:r>
                  <w:r>
                    <w:rPr>
                      <w:rFonts w:hint="eastAsia"/>
                      <w:color w:val="auto"/>
                      <w:kern w:val="2"/>
                      <w:lang w:val="en-US" w:eastAsia="zh-CN"/>
                    </w:rPr>
                    <w:t>25</w:t>
                  </w:r>
                  <w:r>
                    <w:rPr>
                      <w:rFonts w:hint="eastAsia"/>
                      <w:color w:val="auto"/>
                      <w:kern w:val="2"/>
                    </w:rPr>
                    <w:t>）</w:t>
                  </w:r>
                </w:p>
              </w:tc>
            </w:tr>
          </w:tbl>
          <w:p w14:paraId="0EA30727">
            <w:pPr>
              <w:pStyle w:val="76"/>
              <w:rPr>
                <w:rFonts w:hint="eastAsia"/>
                <w:color w:val="auto"/>
                <w:kern w:val="21"/>
              </w:rPr>
            </w:pPr>
            <w:r>
              <w:rPr>
                <w:rFonts w:hint="eastAsia"/>
                <w:bCs/>
                <w:color w:val="auto"/>
              </w:rPr>
              <w:t>（</w:t>
            </w:r>
            <w:r>
              <w:rPr>
                <w:rFonts w:hint="eastAsia"/>
                <w:bCs/>
                <w:color w:val="auto"/>
                <w:lang w:val="en-US" w:eastAsia="zh-CN"/>
              </w:rPr>
              <w:t>3</w:t>
            </w:r>
            <w:r>
              <w:rPr>
                <w:rFonts w:hint="eastAsia"/>
                <w:bCs/>
                <w:color w:val="auto"/>
              </w:rPr>
              <w:t>）</w:t>
            </w:r>
            <w:r>
              <w:rPr>
                <w:rFonts w:hint="eastAsia"/>
                <w:color w:val="auto"/>
                <w:kern w:val="21"/>
              </w:rPr>
              <w:t>废水</w:t>
            </w:r>
          </w:p>
          <w:p w14:paraId="19FA7571">
            <w:pPr>
              <w:pStyle w:val="76"/>
              <w:rPr>
                <w:color w:val="auto"/>
              </w:rPr>
            </w:pPr>
            <w:r>
              <w:rPr>
                <w:snapToGrid w:val="0"/>
                <w:color w:val="auto"/>
              </w:rPr>
              <w:t>本项目</w:t>
            </w:r>
            <w:r>
              <w:rPr>
                <w:rFonts w:hint="eastAsia"/>
                <w:color w:val="auto"/>
                <w:lang w:eastAsia="zh-CN"/>
              </w:rPr>
              <w:t>施工废水设置临时防渗沉淀池处理后，回用于场地降尘，</w:t>
            </w:r>
            <w:r>
              <w:rPr>
                <w:rFonts w:hint="eastAsia"/>
                <w:color w:val="auto"/>
                <w:lang w:val="en-US" w:eastAsia="zh-CN"/>
              </w:rPr>
              <w:t>生活污水排入防渗旱厕，定期清掏</w:t>
            </w:r>
            <w:r>
              <w:rPr>
                <w:color w:val="auto"/>
              </w:rPr>
              <w:t>。</w:t>
            </w:r>
          </w:p>
          <w:p w14:paraId="47535BC2">
            <w:pPr>
              <w:pStyle w:val="76"/>
              <w:rPr>
                <w:color w:val="auto"/>
              </w:rPr>
            </w:pPr>
            <w:r>
              <w:rPr>
                <w:rFonts w:hint="eastAsia"/>
                <w:bCs/>
                <w:color w:val="auto"/>
                <w:lang w:eastAsia="zh-CN"/>
              </w:rPr>
              <w:t>（</w:t>
            </w:r>
            <w:r>
              <w:rPr>
                <w:rFonts w:hint="eastAsia"/>
                <w:bCs/>
                <w:color w:val="auto"/>
                <w:lang w:val="en-US" w:eastAsia="zh-CN"/>
              </w:rPr>
              <w:t>4</w:t>
            </w:r>
            <w:r>
              <w:rPr>
                <w:rFonts w:hint="eastAsia"/>
                <w:bCs/>
                <w:color w:val="auto"/>
                <w:lang w:eastAsia="zh-CN"/>
              </w:rPr>
              <w:t>）</w:t>
            </w:r>
            <w:r>
              <w:rPr>
                <w:color w:val="auto"/>
              </w:rPr>
              <w:t>固体废物</w:t>
            </w:r>
          </w:p>
          <w:p w14:paraId="1BF3899B">
            <w:pPr>
              <w:pStyle w:val="76"/>
              <w:rPr>
                <w:color w:val="auto"/>
              </w:rPr>
            </w:pPr>
            <w:r>
              <w:rPr>
                <w:color w:val="auto"/>
              </w:rPr>
              <w:t>固体废物执行《一般工业固体废物贮存和填埋污染控制标准》（GB18599-2020）</w:t>
            </w:r>
            <w:r>
              <w:rPr>
                <w:rFonts w:hint="eastAsia"/>
                <w:color w:val="auto"/>
              </w:rPr>
              <w:t>标准要求</w:t>
            </w:r>
            <w:r>
              <w:rPr>
                <w:color w:val="auto"/>
              </w:rPr>
              <w:t>。</w:t>
            </w:r>
          </w:p>
          <w:p w14:paraId="77B314F4">
            <w:pPr>
              <w:pStyle w:val="76"/>
              <w:rPr>
                <w:rFonts w:hint="default" w:ascii="Times New Roman" w:hAnsi="Times New Roman" w:cs="Times New Roman"/>
                <w:color w:val="auto"/>
                <w:highlight w:val="none"/>
              </w:rPr>
            </w:pPr>
          </w:p>
          <w:p w14:paraId="03EC09F1">
            <w:pPr>
              <w:pStyle w:val="76"/>
              <w:rPr>
                <w:rFonts w:hint="default" w:ascii="Times New Roman" w:hAnsi="Times New Roman" w:cs="Times New Roman"/>
                <w:color w:val="auto"/>
                <w:highlight w:val="none"/>
              </w:rPr>
            </w:pPr>
          </w:p>
          <w:p w14:paraId="148A8FA8">
            <w:pPr>
              <w:pStyle w:val="76"/>
              <w:rPr>
                <w:rFonts w:hint="default" w:ascii="Times New Roman" w:hAnsi="Times New Roman" w:cs="Times New Roman"/>
                <w:color w:val="auto"/>
                <w:highlight w:val="none"/>
              </w:rPr>
            </w:pPr>
          </w:p>
          <w:p w14:paraId="3D0BA365">
            <w:pPr>
              <w:pStyle w:val="76"/>
              <w:rPr>
                <w:rFonts w:hint="default" w:ascii="Times New Roman" w:hAnsi="Times New Roman" w:cs="Times New Roman"/>
                <w:color w:val="auto"/>
                <w:highlight w:val="none"/>
              </w:rPr>
            </w:pPr>
          </w:p>
          <w:p w14:paraId="4F286D65">
            <w:pPr>
              <w:pStyle w:val="76"/>
              <w:rPr>
                <w:rFonts w:hint="default" w:ascii="Times New Roman" w:hAnsi="Times New Roman" w:cs="Times New Roman"/>
                <w:color w:val="auto"/>
                <w:highlight w:val="none"/>
              </w:rPr>
            </w:pPr>
          </w:p>
          <w:p w14:paraId="3512D4AB">
            <w:pPr>
              <w:pStyle w:val="76"/>
              <w:rPr>
                <w:rFonts w:hint="default" w:ascii="Times New Roman" w:hAnsi="Times New Roman" w:cs="Times New Roman"/>
                <w:color w:val="auto"/>
              </w:rPr>
            </w:pPr>
          </w:p>
        </w:tc>
      </w:tr>
      <w:tr w14:paraId="2AA87E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83" w:hRule="atLeast"/>
          <w:jc w:val="center"/>
        </w:trPr>
        <w:tc>
          <w:tcPr>
            <w:tcW w:w="456" w:type="dxa"/>
            <w:noWrap w:val="0"/>
            <w:vAlign w:val="center"/>
          </w:tcPr>
          <w:p w14:paraId="6C95EA8E">
            <w:pPr>
              <w:adjustRightInd w:val="0"/>
              <w:snapToGrid w:val="0"/>
              <w:jc w:val="center"/>
              <w:rPr>
                <w:rFonts w:hint="default" w:ascii="Times New Roman" w:hAnsi="Times New Roman" w:cs="Times New Roman"/>
                <w:color w:val="auto"/>
                <w:kern w:val="0"/>
              </w:rPr>
            </w:pPr>
            <w:r>
              <w:rPr>
                <w:rFonts w:hint="default" w:ascii="Times New Roman" w:hAnsi="Times New Roman" w:cs="Times New Roman"/>
                <w:color w:val="auto"/>
                <w:kern w:val="0"/>
              </w:rPr>
              <w:t>其他</w:t>
            </w:r>
          </w:p>
        </w:tc>
        <w:tc>
          <w:tcPr>
            <w:tcW w:w="7954" w:type="dxa"/>
            <w:noWrap w:val="0"/>
            <w:vAlign w:val="center"/>
          </w:tcPr>
          <w:p w14:paraId="297080F9">
            <w:pPr>
              <w:spacing w:line="500" w:lineRule="exact"/>
              <w:ind w:firstLine="482"/>
              <w:rPr>
                <w:rFonts w:hint="default" w:ascii="Times New Roman" w:hAnsi="Times New Roman" w:cs="Times New Roman"/>
                <w:color w:val="auto"/>
                <w:kern w:val="0"/>
              </w:rPr>
            </w:pPr>
            <w:r>
              <w:rPr>
                <w:rFonts w:hint="default" w:ascii="Times New Roman" w:hAnsi="Times New Roman" w:cs="Times New Roman"/>
                <w:color w:val="auto"/>
                <w:sz w:val="24"/>
              </w:rPr>
              <w:t>本项目无总量控制指标。</w:t>
            </w:r>
          </w:p>
        </w:tc>
      </w:tr>
    </w:tbl>
    <w:p w14:paraId="3B8B0A56">
      <w:pPr>
        <w:rPr>
          <w:rFonts w:hint="default" w:ascii="Times New Roman" w:hAnsi="Times New Roman" w:cs="Times New Roman"/>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140B6402">
      <w:pPr>
        <w:pStyle w:val="25"/>
        <w:spacing w:before="0" w:beforeAutospacing="0" w:after="120" w:afterLines="50" w:afterAutospacing="0"/>
        <w:jc w:val="center"/>
        <w:outlineLvl w:val="0"/>
        <w:rPr>
          <w:rFonts w:hint="default" w:ascii="Times New Roman" w:hAnsi="Times New Roman" w:eastAsia="黑体" w:cs="Times New Roman"/>
          <w:snapToGrid w:val="0"/>
          <w:color w:val="auto"/>
          <w:kern w:val="21"/>
          <w:sz w:val="30"/>
          <w:szCs w:val="30"/>
          <w:highlight w:val="none"/>
        </w:rPr>
      </w:pPr>
      <w:bookmarkStart w:id="9" w:name="_Toc23563"/>
      <w:r>
        <w:rPr>
          <w:rFonts w:hint="default" w:ascii="Times New Roman" w:hAnsi="Times New Roman" w:eastAsia="黑体" w:cs="Times New Roman"/>
          <w:snapToGrid w:val="0"/>
          <w:color w:val="auto"/>
          <w:kern w:val="21"/>
          <w:sz w:val="30"/>
          <w:szCs w:val="30"/>
          <w:highlight w:val="none"/>
        </w:rPr>
        <w:t>四、生态环境影响分析</w:t>
      </w:r>
      <w:bookmarkEnd w:id="9"/>
    </w:p>
    <w:tbl>
      <w:tblPr>
        <w:tblStyle w:val="30"/>
        <w:tblW w:w="884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99"/>
        <w:gridCol w:w="8050"/>
      </w:tblGrid>
      <w:tr w14:paraId="7A6393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1" w:hRule="atLeast"/>
          <w:jc w:val="center"/>
        </w:trPr>
        <w:tc>
          <w:tcPr>
            <w:tcW w:w="799" w:type="dxa"/>
            <w:noWrap w:val="0"/>
            <w:tcMar>
              <w:left w:w="28" w:type="dxa"/>
              <w:right w:w="28" w:type="dxa"/>
            </w:tcMar>
            <w:vAlign w:val="center"/>
          </w:tcPr>
          <w:p w14:paraId="163927C5">
            <w:pPr>
              <w:pStyle w:val="25"/>
              <w:adjustRightInd w:val="0"/>
              <w:snapToGrid w:val="0"/>
              <w:spacing w:before="0" w:beforeAutospacing="0" w:after="0" w:afterAutospacing="0"/>
              <w:jc w:val="center"/>
              <w:rPr>
                <w:rFonts w:hint="default" w:ascii="Times New Roman" w:hAnsi="Times New Roman" w:cs="Times New Roman"/>
                <w:bCs/>
                <w:color w:val="auto"/>
                <w:kern w:val="2"/>
              </w:rPr>
            </w:pPr>
            <w:bookmarkStart w:id="10" w:name="_Hlk49796138"/>
            <w:r>
              <w:rPr>
                <w:rFonts w:hint="default" w:ascii="Times New Roman" w:hAnsi="Times New Roman" w:cs="Times New Roman"/>
                <w:bCs/>
                <w:color w:val="auto"/>
                <w:spacing w:val="10"/>
                <w:kern w:val="2"/>
                <w:highlight w:val="none"/>
              </w:rPr>
              <w:t>施工期生态环境影响分析</w:t>
            </w:r>
            <w:bookmarkEnd w:id="10"/>
          </w:p>
        </w:tc>
        <w:tc>
          <w:tcPr>
            <w:tcW w:w="8050" w:type="dxa"/>
            <w:noWrap w:val="0"/>
            <w:vAlign w:val="top"/>
          </w:tcPr>
          <w:p w14:paraId="6835E49A">
            <w:pPr>
              <w:keepNext w:val="0"/>
              <w:keepLines w:val="0"/>
              <w:pageBreakBefore w:val="0"/>
              <w:widowControl w:val="0"/>
              <w:kinsoku/>
              <w:wordWrap/>
              <w:overflowPunct/>
              <w:topLinePunct w:val="0"/>
              <w:autoSpaceDE/>
              <w:autoSpaceDN/>
              <w:bidi w:val="0"/>
              <w:adjustRightInd/>
              <w:snapToGrid/>
              <w:spacing w:line="460" w:lineRule="exact"/>
              <w:ind w:firstLine="422"/>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1</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rPr>
              <w:t>生态环境</w:t>
            </w:r>
          </w:p>
          <w:p w14:paraId="7AD4B4BC">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本项目为线性工程，其生态影响主要体现在施工期。施工期生态影响主要体现在占地方面，本工程</w:t>
            </w:r>
            <w:r>
              <w:rPr>
                <w:rFonts w:hint="default" w:ascii="Times New Roman" w:hAnsi="Times New Roman" w:eastAsia="宋体" w:cs="Times New Roman"/>
                <w:b w:val="0"/>
                <w:bCs w:val="0"/>
                <w:color w:val="auto"/>
                <w:lang w:val="en-US" w:eastAsia="zh-CN"/>
              </w:rPr>
              <w:t>无</w:t>
            </w:r>
            <w:r>
              <w:rPr>
                <w:rFonts w:hint="default" w:ascii="Times New Roman" w:hAnsi="Times New Roman" w:eastAsia="宋体" w:cs="Times New Roman"/>
                <w:b w:val="0"/>
                <w:bCs w:val="0"/>
                <w:color w:val="auto"/>
              </w:rPr>
              <w:t>新增永久占地</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lang w:val="en-US" w:eastAsia="zh-CN"/>
              </w:rPr>
              <w:t>施工期间不设施工便道，临时占地</w:t>
            </w:r>
            <w:r>
              <w:rPr>
                <w:rFonts w:hint="default" w:ascii="Times New Roman" w:hAnsi="Times New Roman" w:eastAsia="宋体" w:cs="Times New Roman"/>
                <w:b w:val="0"/>
                <w:bCs w:val="0"/>
                <w:color w:val="auto"/>
              </w:rPr>
              <w:t>工程</w:t>
            </w:r>
            <w:r>
              <w:rPr>
                <w:rFonts w:hint="default" w:ascii="Times New Roman" w:hAnsi="Times New Roman" w:eastAsia="宋体" w:cs="Times New Roman"/>
                <w:b w:val="0"/>
                <w:bCs w:val="0"/>
                <w:color w:val="auto"/>
                <w:lang w:val="en-US" w:eastAsia="zh-CN"/>
              </w:rPr>
              <w:t>包括</w:t>
            </w:r>
            <w:r>
              <w:rPr>
                <w:rFonts w:hint="default" w:ascii="Times New Roman" w:hAnsi="Times New Roman" w:eastAsia="宋体" w:cs="Times New Roman"/>
                <w:b w:val="0"/>
                <w:bCs w:val="0"/>
                <w:color w:val="auto"/>
              </w:rPr>
              <w:t>施工驻地、</w:t>
            </w:r>
            <w:r>
              <w:rPr>
                <w:rFonts w:hint="eastAsia" w:ascii="Times New Roman" w:hAnsi="Times New Roman" w:eastAsia="宋体" w:cs="Times New Roman"/>
                <w:b w:val="0"/>
                <w:bCs w:val="0"/>
                <w:color w:val="auto"/>
                <w:lang w:val="en-US" w:eastAsia="zh-CN"/>
              </w:rPr>
              <w:t>沥青混凝土拌合站</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lang w:val="en-US" w:eastAsia="zh-CN"/>
              </w:rPr>
              <w:t>其中施工驻地</w:t>
            </w:r>
            <w:r>
              <w:rPr>
                <w:rFonts w:hint="default" w:ascii="Times New Roman" w:hAnsi="Times New Roman" w:eastAsia="宋体" w:cs="Times New Roman"/>
                <w:b w:val="0"/>
                <w:bCs w:val="0"/>
                <w:color w:val="auto"/>
              </w:rPr>
              <w:t>占地面积</w:t>
            </w:r>
            <w:r>
              <w:rPr>
                <w:rFonts w:hint="default" w:ascii="Times New Roman" w:hAnsi="Times New Roman" w:eastAsia="宋体" w:cs="Times New Roman"/>
                <w:b w:val="0"/>
                <w:bCs w:val="0"/>
                <w:color w:val="auto"/>
                <w:lang w:val="en-US" w:eastAsia="zh-CN"/>
              </w:rPr>
              <w:t>约2600</w:t>
            </w:r>
            <w:r>
              <w:rPr>
                <w:rFonts w:hint="default" w:ascii="Times New Roman" w:hAnsi="Times New Roman" w:eastAsia="宋体" w:cs="Times New Roman"/>
                <w:b w:val="0"/>
                <w:bCs w:val="0"/>
                <w:color w:val="auto"/>
              </w:rPr>
              <w:t>m</w:t>
            </w:r>
            <w:r>
              <w:rPr>
                <w:rFonts w:hint="default" w:ascii="Times New Roman" w:hAnsi="Times New Roman" w:eastAsia="宋体" w:cs="Times New Roman"/>
                <w:b w:val="0"/>
                <w:bCs w:val="0"/>
                <w:color w:val="auto"/>
                <w:vertAlign w:val="superscript"/>
              </w:rPr>
              <w:t>2</w:t>
            </w:r>
            <w:r>
              <w:rPr>
                <w:rFonts w:hint="default" w:ascii="Times New Roman" w:hAnsi="Times New Roman" w:eastAsia="宋体" w:cs="Times New Roman"/>
                <w:b w:val="0"/>
                <w:bCs w:val="0"/>
                <w:color w:val="auto"/>
                <w:kern w:val="0"/>
                <w:lang w:bidi="ar"/>
              </w:rPr>
              <w:t>，</w:t>
            </w:r>
            <w:r>
              <w:rPr>
                <w:rFonts w:hint="default" w:ascii="Times New Roman" w:hAnsi="Times New Roman" w:eastAsia="宋体" w:cs="Times New Roman"/>
                <w:b w:val="0"/>
                <w:bCs w:val="0"/>
                <w:color w:val="auto"/>
              </w:rPr>
              <w:t>租赁现有闲置场地，地类为工业用地</w:t>
            </w:r>
            <w:r>
              <w:rPr>
                <w:rFonts w:hint="default" w:ascii="Times New Roman" w:hAnsi="Times New Roman" w:eastAsia="宋体" w:cs="Times New Roman"/>
                <w:b w:val="0"/>
                <w:bCs w:val="0"/>
                <w:color w:val="auto"/>
                <w:lang w:eastAsia="zh-CN"/>
              </w:rPr>
              <w:t>；</w:t>
            </w:r>
            <w:r>
              <w:rPr>
                <w:rFonts w:hint="eastAsia" w:ascii="Times New Roman" w:hAnsi="Times New Roman" w:eastAsia="宋体" w:cs="Times New Roman"/>
                <w:b w:val="0"/>
                <w:bCs w:val="0"/>
                <w:color w:val="auto"/>
                <w:lang w:val="en-US" w:eastAsia="zh-CN"/>
              </w:rPr>
              <w:t>沥青混凝土拌合站</w:t>
            </w:r>
            <w:r>
              <w:rPr>
                <w:rFonts w:hint="default" w:ascii="Times New Roman" w:hAnsi="Times New Roman" w:eastAsia="宋体" w:cs="Times New Roman"/>
                <w:b w:val="0"/>
                <w:bCs w:val="0"/>
                <w:color w:val="auto"/>
              </w:rPr>
              <w:t>占地面积</w:t>
            </w:r>
            <w:r>
              <w:rPr>
                <w:rFonts w:hint="default" w:ascii="Times New Roman" w:hAnsi="Times New Roman" w:eastAsia="宋体" w:cs="Times New Roman"/>
                <w:b w:val="0"/>
                <w:bCs w:val="0"/>
                <w:color w:val="auto"/>
                <w:lang w:val="en-US" w:eastAsia="zh-CN"/>
              </w:rPr>
              <w:t>约36</w:t>
            </w:r>
            <w:r>
              <w:rPr>
                <w:rFonts w:hint="default" w:ascii="Times New Roman" w:hAnsi="Times New Roman" w:eastAsia="宋体" w:cs="Times New Roman"/>
                <w:b w:val="0"/>
                <w:bCs w:val="0"/>
                <w:color w:val="auto"/>
              </w:rPr>
              <w:t>000m</w:t>
            </w:r>
            <w:r>
              <w:rPr>
                <w:rFonts w:hint="default" w:ascii="Times New Roman" w:hAnsi="Times New Roman" w:eastAsia="宋体" w:cs="Times New Roman"/>
                <w:b w:val="0"/>
                <w:bCs w:val="0"/>
                <w:color w:val="auto"/>
                <w:vertAlign w:val="superscript"/>
              </w:rPr>
              <w:t>2</w:t>
            </w:r>
            <w:r>
              <w:rPr>
                <w:rFonts w:hint="default" w:ascii="Times New Roman" w:hAnsi="Times New Roman" w:eastAsia="宋体" w:cs="Times New Roman"/>
                <w:b w:val="0"/>
                <w:bCs w:val="0"/>
                <w:color w:val="auto"/>
              </w:rPr>
              <w:t>，</w:t>
            </w:r>
            <w:r>
              <w:rPr>
                <w:rFonts w:hint="default" w:ascii="Times New Roman" w:hAnsi="Times New Roman" w:eastAsia="宋体" w:cs="Times New Roman"/>
                <w:b w:val="0"/>
                <w:bCs w:val="0"/>
                <w:color w:val="auto"/>
                <w:lang w:val="en-US" w:eastAsia="zh-CN"/>
              </w:rPr>
              <w:t>租赁现有</w:t>
            </w:r>
            <w:r>
              <w:rPr>
                <w:rFonts w:hint="eastAsia" w:ascii="Times New Roman" w:hAnsi="Times New Roman" w:eastAsia="宋体" w:cs="Times New Roman"/>
                <w:b w:val="0"/>
                <w:bCs w:val="0"/>
                <w:color w:val="auto"/>
                <w:lang w:val="en-US" w:eastAsia="zh-CN"/>
              </w:rPr>
              <w:t>沥青混凝土拌合站</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rPr>
              <w:t>地类为</w:t>
            </w:r>
            <w:r>
              <w:rPr>
                <w:rFonts w:hint="default" w:ascii="Times New Roman" w:hAnsi="Times New Roman" w:eastAsia="宋体" w:cs="Times New Roman"/>
                <w:b w:val="0"/>
                <w:bCs w:val="0"/>
                <w:color w:val="auto"/>
                <w:lang w:val="en-US" w:eastAsia="zh-CN"/>
              </w:rPr>
              <w:t>工业用地</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rPr>
              <w:t>工程占地范围内未发现重要野生植物及重要野生动物栖息地分布。项目建设</w:t>
            </w:r>
            <w:r>
              <w:rPr>
                <w:rFonts w:hint="default" w:ascii="Times New Roman" w:hAnsi="Times New Roman" w:eastAsia="宋体" w:cs="Times New Roman"/>
                <w:b w:val="0"/>
                <w:bCs w:val="0"/>
                <w:color w:val="auto"/>
                <w:lang w:val="en-US" w:eastAsia="zh-CN"/>
              </w:rPr>
              <w:t>不会</w:t>
            </w:r>
            <w:r>
              <w:rPr>
                <w:rFonts w:hint="default" w:ascii="Times New Roman" w:hAnsi="Times New Roman" w:eastAsia="宋体" w:cs="Times New Roman"/>
                <w:b w:val="0"/>
                <w:bCs w:val="0"/>
                <w:color w:val="auto"/>
              </w:rPr>
              <w:t>造成生物量的永久损失，</w:t>
            </w:r>
            <w:r>
              <w:rPr>
                <w:rFonts w:hint="default" w:ascii="Times New Roman" w:hAnsi="Times New Roman" w:eastAsia="宋体" w:cs="Times New Roman"/>
                <w:b w:val="0"/>
                <w:bCs w:val="0"/>
                <w:color w:val="auto"/>
                <w:lang w:val="en-US" w:eastAsia="zh-CN"/>
              </w:rPr>
              <w:t>施工过程中产生的扬尘、施工噪声等会对周边植被生长、动物生活产生</w:t>
            </w:r>
            <w:r>
              <w:rPr>
                <w:rFonts w:hint="default" w:ascii="Times New Roman" w:hAnsi="Times New Roman" w:eastAsia="宋体" w:cs="Times New Roman"/>
                <w:b w:val="0"/>
                <w:bCs w:val="0"/>
                <w:color w:val="auto"/>
              </w:rPr>
              <w:t>一定程度</w:t>
            </w:r>
            <w:r>
              <w:rPr>
                <w:rFonts w:hint="default" w:ascii="Times New Roman" w:hAnsi="Times New Roman" w:eastAsia="宋体" w:cs="Times New Roman"/>
                <w:b w:val="0"/>
                <w:bCs w:val="0"/>
                <w:color w:val="auto"/>
                <w:lang w:val="en-US" w:eastAsia="zh-CN"/>
              </w:rPr>
              <w:t>的影响。本项目</w:t>
            </w:r>
            <w:r>
              <w:rPr>
                <w:rFonts w:hint="default" w:ascii="Times New Roman" w:hAnsi="Times New Roman" w:eastAsia="宋体" w:cs="Times New Roman"/>
                <w:b w:val="0"/>
                <w:bCs w:val="0"/>
                <w:color w:val="auto"/>
              </w:rPr>
              <w:t>通过采取相应的</w:t>
            </w:r>
            <w:r>
              <w:rPr>
                <w:rFonts w:hint="default" w:ascii="Times New Roman" w:hAnsi="Times New Roman" w:eastAsia="宋体" w:cs="Times New Roman"/>
                <w:b w:val="0"/>
                <w:bCs w:val="0"/>
                <w:color w:val="auto"/>
                <w:lang w:val="en-US" w:eastAsia="zh-CN"/>
              </w:rPr>
              <w:t>污染防治措施，</w:t>
            </w:r>
            <w:r>
              <w:rPr>
                <w:rFonts w:hint="default" w:ascii="Times New Roman" w:hAnsi="Times New Roman" w:eastAsia="宋体" w:cs="Times New Roman"/>
                <w:b w:val="0"/>
                <w:bCs w:val="0"/>
                <w:color w:val="auto"/>
              </w:rPr>
              <w:t>可减缓本项目建设带来的不良影响。从区域角度看，本项目</w:t>
            </w:r>
            <w:r>
              <w:rPr>
                <w:rFonts w:hint="default" w:ascii="Times New Roman" w:hAnsi="Times New Roman" w:eastAsia="宋体" w:cs="Times New Roman"/>
                <w:b w:val="0"/>
                <w:bCs w:val="0"/>
                <w:color w:val="auto"/>
                <w:lang w:val="en-US" w:eastAsia="zh-CN"/>
              </w:rPr>
              <w:t>施工期间对外环境影响较小</w:t>
            </w:r>
            <w:r>
              <w:rPr>
                <w:rFonts w:hint="default" w:ascii="Times New Roman" w:hAnsi="Times New Roman" w:eastAsia="宋体" w:cs="Times New Roman"/>
                <w:b w:val="0"/>
                <w:bCs w:val="0"/>
                <w:color w:val="auto"/>
              </w:rPr>
              <w:t>，项目建设不会对生态系统的稳定性产生不利影响。</w:t>
            </w:r>
          </w:p>
          <w:p w14:paraId="4DFC6520">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生态环境影响分析详见生态环境影响评价专题报告。</w:t>
            </w:r>
          </w:p>
          <w:p w14:paraId="0FBBDD0D">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ascii="Times New Roman" w:hAnsi="Times New Roman" w:eastAsia="宋体" w:cs="Times New Roman"/>
                <w:b w:val="0"/>
                <w:bCs w:val="0"/>
                <w:color w:val="auto"/>
                <w:lang w:val="zh-CN"/>
              </w:rPr>
            </w:pPr>
            <w:r>
              <w:rPr>
                <w:rFonts w:hint="default" w:ascii="Times New Roman" w:hAnsi="Times New Roman" w:eastAsia="宋体" w:cs="Times New Roman"/>
                <w:b w:val="0"/>
                <w:bCs w:val="0"/>
                <w:color w:val="auto"/>
              </w:rPr>
              <w:t>2</w:t>
            </w:r>
            <w:r>
              <w:rPr>
                <w:rFonts w:hint="default" w:ascii="Times New Roman" w:hAnsi="Times New Roman" w:eastAsia="宋体" w:cs="Times New Roman"/>
                <w:b w:val="0"/>
                <w:bCs w:val="0"/>
                <w:color w:val="auto"/>
                <w:lang w:eastAsia="zh-CN"/>
              </w:rPr>
              <w:t>、</w:t>
            </w:r>
            <w:r>
              <w:rPr>
                <w:rFonts w:hint="default" w:ascii="Times New Roman" w:hAnsi="Times New Roman" w:eastAsia="宋体" w:cs="Times New Roman"/>
                <w:b w:val="0"/>
                <w:bCs w:val="0"/>
                <w:color w:val="auto"/>
                <w:lang w:val="zh-CN"/>
              </w:rPr>
              <w:t>噪声</w:t>
            </w:r>
          </w:p>
          <w:p w14:paraId="2333F1F0">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本项目施工期噪声影响主要体现在施工机械</w:t>
            </w:r>
            <w:r>
              <w:rPr>
                <w:rFonts w:hint="default" w:ascii="Times New Roman" w:hAnsi="Times New Roman" w:eastAsia="宋体" w:cs="Times New Roman"/>
                <w:b w:val="0"/>
                <w:bCs w:val="0"/>
                <w:color w:val="auto"/>
                <w:highlight w:val="none"/>
              </w:rPr>
              <w:t>对沿线居民的影响。根据预测结果，部分敏感点噪声无法满足《声环境质量标准》（GB3096-2008）中</w:t>
            </w:r>
            <w:r>
              <w:rPr>
                <w:rFonts w:hint="default" w:ascii="Times New Roman" w:hAnsi="Times New Roman" w:eastAsia="宋体" w:cs="Times New Roman"/>
                <w:b w:val="0"/>
                <w:bCs w:val="0"/>
                <w:color w:val="auto"/>
                <w:highlight w:val="none"/>
                <w:lang w:val="en-US" w:eastAsia="zh-CN"/>
              </w:rPr>
              <w:t>4a</w:t>
            </w:r>
            <w:r>
              <w:rPr>
                <w:rFonts w:hint="default" w:ascii="Times New Roman" w:hAnsi="Times New Roman" w:eastAsia="宋体" w:cs="Times New Roman"/>
                <w:b w:val="0"/>
                <w:bCs w:val="0"/>
                <w:color w:val="auto"/>
                <w:highlight w:val="none"/>
              </w:rPr>
              <w:t>类标准要求，夜间最大超标量为</w:t>
            </w:r>
            <w:r>
              <w:rPr>
                <w:rFonts w:hint="default" w:ascii="Times New Roman" w:hAnsi="Times New Roman" w:eastAsia="宋体" w:cs="Times New Roman"/>
                <w:b w:val="0"/>
                <w:bCs w:val="0"/>
                <w:color w:val="auto"/>
                <w:highlight w:val="none"/>
                <w:lang w:val="en-US" w:eastAsia="zh-CN"/>
              </w:rPr>
              <w:t>11.83</w:t>
            </w:r>
            <w:r>
              <w:rPr>
                <w:rFonts w:hint="default" w:ascii="Times New Roman" w:hAnsi="Times New Roman" w:eastAsia="宋体" w:cs="Times New Roman"/>
                <w:b w:val="0"/>
                <w:bCs w:val="0"/>
                <w:color w:val="auto"/>
                <w:highlight w:val="none"/>
              </w:rPr>
              <w:t>dB(A)，</w:t>
            </w:r>
            <w:r>
              <w:rPr>
                <w:rFonts w:hint="default" w:ascii="Times New Roman" w:hAnsi="Times New Roman" w:eastAsia="宋体" w:cs="Times New Roman"/>
                <w:b w:val="0"/>
                <w:bCs w:val="0"/>
                <w:color w:val="auto"/>
              </w:rPr>
              <w:t>禁止夜间施工（6：00-22：00），施工场界设置移动式隔声、防尘挡板，弱化施工噪声对居民影响。采取措施后</w:t>
            </w:r>
            <w:r>
              <w:rPr>
                <w:rFonts w:hint="default" w:ascii="Times New Roman" w:hAnsi="Times New Roman" w:eastAsia="宋体" w:cs="Times New Roman"/>
                <w:b w:val="0"/>
                <w:bCs w:val="0"/>
                <w:color w:val="auto"/>
                <w:lang w:val="en-US" w:eastAsia="zh-CN"/>
              </w:rPr>
              <w:t>各</w:t>
            </w:r>
            <w:r>
              <w:rPr>
                <w:rFonts w:hint="default" w:ascii="Times New Roman" w:hAnsi="Times New Roman" w:eastAsia="宋体" w:cs="Times New Roman"/>
                <w:b w:val="0"/>
                <w:bCs w:val="0"/>
                <w:color w:val="auto"/>
              </w:rPr>
              <w:t>敏感点昼间噪声《声环境质量标准》（GB3096-2008）中</w:t>
            </w:r>
            <w:r>
              <w:rPr>
                <w:rFonts w:hint="default" w:ascii="Times New Roman" w:hAnsi="Times New Roman" w:eastAsia="宋体" w:cs="Times New Roman"/>
                <w:b w:val="0"/>
                <w:bCs w:val="0"/>
                <w:color w:val="auto"/>
                <w:lang w:val="en-US" w:eastAsia="zh-CN"/>
              </w:rPr>
              <w:t>4a</w:t>
            </w:r>
            <w:r>
              <w:rPr>
                <w:rFonts w:hint="default" w:ascii="Times New Roman" w:hAnsi="Times New Roman" w:eastAsia="宋体" w:cs="Times New Roman"/>
                <w:b w:val="0"/>
                <w:bCs w:val="0"/>
                <w:color w:val="auto"/>
              </w:rPr>
              <w:t>类标准要求。</w:t>
            </w:r>
          </w:p>
          <w:p w14:paraId="6650D2DE">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施工期声环境影响分析详见声环境影响评价专题报告。</w:t>
            </w:r>
          </w:p>
          <w:p w14:paraId="46076DAC">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3</w:t>
            </w:r>
            <w:r>
              <w:rPr>
                <w:rFonts w:hint="eastAsia"/>
                <w:color w:val="auto"/>
                <w:lang w:eastAsia="zh-CN"/>
              </w:rPr>
              <w:t>、</w:t>
            </w:r>
            <w:r>
              <w:rPr>
                <w:color w:val="auto"/>
              </w:rPr>
              <w:t>环境空气</w:t>
            </w:r>
          </w:p>
          <w:p w14:paraId="62254056">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（1）施工扬尘</w:t>
            </w:r>
          </w:p>
          <w:p w14:paraId="172E0970">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本项目施工期拆除旧路</w:t>
            </w:r>
            <w:r>
              <w:rPr>
                <w:rFonts w:hint="eastAsia"/>
                <w:color w:val="auto"/>
                <w:lang w:eastAsia="zh-CN"/>
              </w:rPr>
              <w:t>、</w:t>
            </w:r>
            <w:r>
              <w:rPr>
                <w:rFonts w:hint="eastAsia"/>
                <w:color w:val="auto"/>
                <w:lang w:val="en-US" w:eastAsia="zh-CN"/>
              </w:rPr>
              <w:t>维修涵洞、铺设路面</w:t>
            </w:r>
            <w:r>
              <w:rPr>
                <w:color w:val="auto"/>
              </w:rPr>
              <w:t>等过程会产生一定粉尘，砂土等散体材料储料场在风力作用下会产生一定扬尘，砂土等散体物质运输引起粉尘污染，对环境影响较严重，影响范围较大。</w:t>
            </w:r>
          </w:p>
          <w:p w14:paraId="645F0E66">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本项目施工扬尘污染源强采用类比进行，根据交通部公路所对京津塘高速公路施工车辆扬尘监测，见下表，在风速2m/s情况下、道路下风向50m处TSP浓度大于10mg/m</w:t>
            </w:r>
            <w:r>
              <w:rPr>
                <w:color w:val="auto"/>
                <w:vertAlign w:val="superscript"/>
              </w:rPr>
              <w:t>3</w:t>
            </w:r>
            <w:r>
              <w:rPr>
                <w:color w:val="auto"/>
              </w:rPr>
              <w:t>，距离路边150m处TSP浓度大于5mg/m</w:t>
            </w:r>
            <w:r>
              <w:rPr>
                <w:color w:val="auto"/>
                <w:vertAlign w:val="superscript"/>
              </w:rPr>
              <w:t>3</w:t>
            </w:r>
            <w:r>
              <w:rPr>
                <w:color w:val="auto"/>
              </w:rPr>
              <w:t>。</w:t>
            </w:r>
          </w:p>
          <w:p w14:paraId="3D05D40F">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本项目道路等级、施工强度均小于京津塘公路，因此本工程类比分析数据有效，类比施工扬尘源强详见下表。</w:t>
            </w:r>
          </w:p>
          <w:p w14:paraId="0D232199">
            <w:pPr>
              <w:keepNext w:val="0"/>
              <w:keepLines w:val="0"/>
              <w:pageBreakBefore w:val="0"/>
              <w:widowControl w:val="0"/>
              <w:kinsoku/>
              <w:wordWrap/>
              <w:overflowPunct/>
              <w:topLinePunct w:val="0"/>
              <w:autoSpaceDE/>
              <w:autoSpaceDN/>
              <w:bidi w:val="0"/>
              <w:adjustRightInd/>
              <w:snapToGrid/>
              <w:spacing w:line="460" w:lineRule="exact"/>
              <w:ind w:firstLine="422"/>
              <w:jc w:val="center"/>
              <w:textAlignment w:val="auto"/>
              <w:rPr>
                <w:b/>
                <w:color w:val="auto"/>
              </w:rPr>
            </w:pPr>
            <w:r>
              <w:rPr>
                <w:b/>
                <w:color w:val="auto"/>
              </w:rPr>
              <w:t>表4-1  京津塘高速公路施工期车辆扬尘监测结果</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6"/>
              <w:gridCol w:w="1956"/>
              <w:gridCol w:w="1956"/>
              <w:gridCol w:w="1956"/>
            </w:tblGrid>
            <w:tr w14:paraId="70ED5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tcBorders>
                    <w:top w:val="single" w:color="auto" w:sz="12" w:space="0"/>
                    <w:left w:val="nil"/>
                    <w:bottom w:val="single" w:color="auto" w:sz="4" w:space="0"/>
                    <w:right w:val="single" w:color="auto" w:sz="4" w:space="0"/>
                  </w:tcBorders>
                  <w:vAlign w:val="center"/>
                </w:tcPr>
                <w:p w14:paraId="084D3CC8">
                  <w:pPr>
                    <w:spacing w:line="320" w:lineRule="exact"/>
                    <w:ind w:firstLine="0" w:firstLineChars="0"/>
                    <w:jc w:val="center"/>
                    <w:rPr>
                      <w:b/>
                      <w:bCs/>
                      <w:color w:val="auto"/>
                      <w:sz w:val="21"/>
                      <w:szCs w:val="21"/>
                    </w:rPr>
                  </w:pPr>
                  <w:r>
                    <w:rPr>
                      <w:b/>
                      <w:bCs/>
                      <w:color w:val="auto"/>
                      <w:sz w:val="21"/>
                      <w:szCs w:val="21"/>
                    </w:rPr>
                    <w:t>监测地点</w:t>
                  </w:r>
                </w:p>
              </w:tc>
              <w:tc>
                <w:tcPr>
                  <w:tcW w:w="1250" w:type="pct"/>
                  <w:tcBorders>
                    <w:top w:val="single" w:color="auto" w:sz="12" w:space="0"/>
                    <w:left w:val="single" w:color="auto" w:sz="4" w:space="0"/>
                    <w:bottom w:val="single" w:color="auto" w:sz="4" w:space="0"/>
                    <w:right w:val="single" w:color="auto" w:sz="4" w:space="0"/>
                  </w:tcBorders>
                  <w:vAlign w:val="center"/>
                </w:tcPr>
                <w:p w14:paraId="6E14B0AF">
                  <w:pPr>
                    <w:spacing w:line="320" w:lineRule="exact"/>
                    <w:ind w:firstLine="0" w:firstLineChars="0"/>
                    <w:jc w:val="center"/>
                    <w:rPr>
                      <w:b/>
                      <w:bCs/>
                      <w:color w:val="auto"/>
                      <w:sz w:val="21"/>
                      <w:szCs w:val="21"/>
                    </w:rPr>
                  </w:pPr>
                  <w:r>
                    <w:rPr>
                      <w:b/>
                      <w:bCs/>
                      <w:color w:val="auto"/>
                      <w:sz w:val="21"/>
                      <w:szCs w:val="21"/>
                    </w:rPr>
                    <w:t>扬尘污染源</w:t>
                  </w:r>
                </w:p>
              </w:tc>
              <w:tc>
                <w:tcPr>
                  <w:tcW w:w="1250" w:type="pct"/>
                  <w:tcBorders>
                    <w:top w:val="single" w:color="auto" w:sz="12" w:space="0"/>
                    <w:left w:val="single" w:color="auto" w:sz="4" w:space="0"/>
                    <w:bottom w:val="single" w:color="auto" w:sz="4" w:space="0"/>
                    <w:right w:val="single" w:color="auto" w:sz="4" w:space="0"/>
                  </w:tcBorders>
                  <w:vAlign w:val="center"/>
                </w:tcPr>
                <w:p w14:paraId="3AC9892A">
                  <w:pPr>
                    <w:spacing w:line="320" w:lineRule="exact"/>
                    <w:ind w:firstLine="0" w:firstLineChars="0"/>
                    <w:jc w:val="center"/>
                    <w:rPr>
                      <w:b/>
                      <w:bCs/>
                      <w:color w:val="auto"/>
                      <w:sz w:val="21"/>
                      <w:szCs w:val="21"/>
                    </w:rPr>
                  </w:pPr>
                  <w:r>
                    <w:rPr>
                      <w:b/>
                      <w:bCs/>
                      <w:color w:val="auto"/>
                      <w:sz w:val="21"/>
                      <w:szCs w:val="21"/>
                    </w:rPr>
                    <w:t>采样点距离（m）</w:t>
                  </w:r>
                </w:p>
              </w:tc>
              <w:tc>
                <w:tcPr>
                  <w:tcW w:w="1250" w:type="pct"/>
                  <w:tcBorders>
                    <w:top w:val="single" w:color="auto" w:sz="12" w:space="0"/>
                    <w:left w:val="single" w:color="auto" w:sz="4" w:space="0"/>
                    <w:bottom w:val="single" w:color="auto" w:sz="4" w:space="0"/>
                    <w:right w:val="nil"/>
                  </w:tcBorders>
                  <w:vAlign w:val="center"/>
                </w:tcPr>
                <w:p w14:paraId="30170FF2">
                  <w:pPr>
                    <w:spacing w:line="320" w:lineRule="exact"/>
                    <w:ind w:firstLine="0" w:firstLineChars="0"/>
                    <w:jc w:val="center"/>
                    <w:rPr>
                      <w:b/>
                      <w:bCs/>
                      <w:color w:val="auto"/>
                      <w:sz w:val="21"/>
                      <w:szCs w:val="21"/>
                    </w:rPr>
                  </w:pPr>
                  <w:r>
                    <w:rPr>
                      <w:b/>
                      <w:bCs/>
                      <w:color w:val="auto"/>
                      <w:sz w:val="21"/>
                      <w:szCs w:val="21"/>
                    </w:rPr>
                    <w:t>监测结果（mg/m</w:t>
                  </w:r>
                  <w:r>
                    <w:rPr>
                      <w:b/>
                      <w:bCs/>
                      <w:color w:val="auto"/>
                      <w:sz w:val="21"/>
                      <w:szCs w:val="21"/>
                      <w:vertAlign w:val="superscript"/>
                    </w:rPr>
                    <w:t>3</w:t>
                  </w:r>
                  <w:r>
                    <w:rPr>
                      <w:b/>
                      <w:bCs/>
                      <w:color w:val="auto"/>
                      <w:sz w:val="21"/>
                      <w:szCs w:val="21"/>
                    </w:rPr>
                    <w:t>）</w:t>
                  </w:r>
                </w:p>
              </w:tc>
            </w:tr>
            <w:tr w14:paraId="483D8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restart"/>
                  <w:tcBorders>
                    <w:top w:val="single" w:color="auto" w:sz="4" w:space="0"/>
                    <w:left w:val="nil"/>
                    <w:bottom w:val="single" w:color="auto" w:sz="4" w:space="0"/>
                    <w:right w:val="single" w:color="auto" w:sz="4" w:space="0"/>
                  </w:tcBorders>
                  <w:vAlign w:val="center"/>
                </w:tcPr>
                <w:p w14:paraId="68301DEA">
                  <w:pPr>
                    <w:spacing w:line="320" w:lineRule="exact"/>
                    <w:ind w:firstLine="0" w:firstLineChars="0"/>
                    <w:jc w:val="center"/>
                    <w:rPr>
                      <w:color w:val="auto"/>
                      <w:sz w:val="21"/>
                      <w:szCs w:val="21"/>
                    </w:rPr>
                  </w:pPr>
                  <w:r>
                    <w:rPr>
                      <w:color w:val="auto"/>
                      <w:sz w:val="21"/>
                      <w:szCs w:val="21"/>
                    </w:rPr>
                    <w:t>武清杨村施工路边</w:t>
                  </w:r>
                </w:p>
              </w:tc>
              <w:tc>
                <w:tcPr>
                  <w:tcW w:w="1250" w:type="pct"/>
                  <w:vMerge w:val="restart"/>
                  <w:tcBorders>
                    <w:top w:val="single" w:color="auto" w:sz="4" w:space="0"/>
                    <w:left w:val="single" w:color="auto" w:sz="4" w:space="0"/>
                    <w:bottom w:val="single" w:color="auto" w:sz="4" w:space="0"/>
                    <w:right w:val="single" w:color="auto" w:sz="4" w:space="0"/>
                  </w:tcBorders>
                  <w:vAlign w:val="center"/>
                </w:tcPr>
                <w:p w14:paraId="7BA293F7">
                  <w:pPr>
                    <w:spacing w:line="320" w:lineRule="exact"/>
                    <w:ind w:firstLine="0" w:firstLineChars="0"/>
                    <w:jc w:val="center"/>
                    <w:rPr>
                      <w:color w:val="auto"/>
                      <w:sz w:val="21"/>
                      <w:szCs w:val="21"/>
                    </w:rPr>
                  </w:pPr>
                  <w:r>
                    <w:rPr>
                      <w:color w:val="auto"/>
                      <w:sz w:val="21"/>
                      <w:szCs w:val="21"/>
                    </w:rPr>
                    <w:t>铺设水泥稳定类路顶基层时运输车辆扬尘</w:t>
                  </w:r>
                </w:p>
              </w:tc>
              <w:tc>
                <w:tcPr>
                  <w:tcW w:w="1250" w:type="pct"/>
                  <w:tcBorders>
                    <w:top w:val="single" w:color="auto" w:sz="4" w:space="0"/>
                    <w:left w:val="single" w:color="auto" w:sz="4" w:space="0"/>
                    <w:bottom w:val="single" w:color="auto" w:sz="4" w:space="0"/>
                    <w:right w:val="single" w:color="auto" w:sz="4" w:space="0"/>
                  </w:tcBorders>
                  <w:vAlign w:val="center"/>
                </w:tcPr>
                <w:p w14:paraId="548E4A68">
                  <w:pPr>
                    <w:spacing w:line="320" w:lineRule="exact"/>
                    <w:ind w:firstLine="0" w:firstLineChars="0"/>
                    <w:jc w:val="center"/>
                    <w:rPr>
                      <w:color w:val="auto"/>
                      <w:sz w:val="21"/>
                      <w:szCs w:val="21"/>
                    </w:rPr>
                  </w:pPr>
                  <w:r>
                    <w:rPr>
                      <w:color w:val="auto"/>
                      <w:sz w:val="21"/>
                      <w:szCs w:val="21"/>
                    </w:rPr>
                    <w:t>50</w:t>
                  </w:r>
                </w:p>
              </w:tc>
              <w:tc>
                <w:tcPr>
                  <w:tcW w:w="1250" w:type="pct"/>
                  <w:tcBorders>
                    <w:top w:val="single" w:color="auto" w:sz="4" w:space="0"/>
                    <w:left w:val="single" w:color="auto" w:sz="4" w:space="0"/>
                    <w:bottom w:val="single" w:color="auto" w:sz="4" w:space="0"/>
                    <w:right w:val="nil"/>
                  </w:tcBorders>
                  <w:vAlign w:val="center"/>
                </w:tcPr>
                <w:p w14:paraId="6701818E">
                  <w:pPr>
                    <w:spacing w:line="320" w:lineRule="exact"/>
                    <w:ind w:firstLine="0" w:firstLineChars="0"/>
                    <w:jc w:val="center"/>
                    <w:rPr>
                      <w:color w:val="auto"/>
                      <w:sz w:val="21"/>
                      <w:szCs w:val="21"/>
                    </w:rPr>
                  </w:pPr>
                  <w:r>
                    <w:rPr>
                      <w:color w:val="auto"/>
                      <w:sz w:val="21"/>
                      <w:szCs w:val="21"/>
                    </w:rPr>
                    <w:t>11.652</w:t>
                  </w:r>
                </w:p>
              </w:tc>
            </w:tr>
            <w:tr w14:paraId="4B270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continue"/>
                  <w:tcBorders>
                    <w:top w:val="single" w:color="auto" w:sz="4" w:space="0"/>
                    <w:left w:val="nil"/>
                    <w:bottom w:val="single" w:color="auto" w:sz="4" w:space="0"/>
                    <w:right w:val="single" w:color="auto" w:sz="4" w:space="0"/>
                  </w:tcBorders>
                  <w:vAlign w:val="center"/>
                </w:tcPr>
                <w:p w14:paraId="737663AA">
                  <w:pPr>
                    <w:spacing w:line="320" w:lineRule="exact"/>
                    <w:ind w:firstLine="0" w:firstLineChars="0"/>
                    <w:jc w:val="center"/>
                    <w:rPr>
                      <w:color w:val="auto"/>
                      <w:sz w:val="21"/>
                      <w:szCs w:val="21"/>
                    </w:rPr>
                  </w:pPr>
                </w:p>
              </w:tc>
              <w:tc>
                <w:tcPr>
                  <w:tcW w:w="1250" w:type="pct"/>
                  <w:vMerge w:val="continue"/>
                  <w:tcBorders>
                    <w:top w:val="single" w:color="auto" w:sz="4" w:space="0"/>
                    <w:left w:val="single" w:color="auto" w:sz="4" w:space="0"/>
                    <w:bottom w:val="single" w:color="auto" w:sz="4" w:space="0"/>
                    <w:right w:val="single" w:color="auto" w:sz="4" w:space="0"/>
                  </w:tcBorders>
                  <w:vAlign w:val="center"/>
                </w:tcPr>
                <w:p w14:paraId="15439B4E">
                  <w:pPr>
                    <w:spacing w:line="320" w:lineRule="exact"/>
                    <w:ind w:firstLine="0" w:firstLineChars="0"/>
                    <w:jc w:val="center"/>
                    <w:rPr>
                      <w:color w:val="auto"/>
                      <w:sz w:val="21"/>
                      <w:szCs w:val="21"/>
                    </w:rPr>
                  </w:pPr>
                </w:p>
              </w:tc>
              <w:tc>
                <w:tcPr>
                  <w:tcW w:w="1250" w:type="pct"/>
                  <w:tcBorders>
                    <w:top w:val="single" w:color="auto" w:sz="4" w:space="0"/>
                    <w:left w:val="single" w:color="auto" w:sz="4" w:space="0"/>
                    <w:bottom w:val="single" w:color="auto" w:sz="4" w:space="0"/>
                    <w:right w:val="single" w:color="auto" w:sz="4" w:space="0"/>
                  </w:tcBorders>
                  <w:vAlign w:val="center"/>
                </w:tcPr>
                <w:p w14:paraId="7F6924CD">
                  <w:pPr>
                    <w:spacing w:line="320" w:lineRule="exact"/>
                    <w:ind w:firstLine="0" w:firstLineChars="0"/>
                    <w:jc w:val="center"/>
                    <w:rPr>
                      <w:color w:val="auto"/>
                      <w:sz w:val="21"/>
                      <w:szCs w:val="21"/>
                    </w:rPr>
                  </w:pPr>
                  <w:r>
                    <w:rPr>
                      <w:color w:val="auto"/>
                      <w:sz w:val="21"/>
                      <w:szCs w:val="21"/>
                    </w:rPr>
                    <w:t>100</w:t>
                  </w:r>
                </w:p>
              </w:tc>
              <w:tc>
                <w:tcPr>
                  <w:tcW w:w="1250" w:type="pct"/>
                  <w:tcBorders>
                    <w:top w:val="single" w:color="auto" w:sz="4" w:space="0"/>
                    <w:left w:val="single" w:color="auto" w:sz="4" w:space="0"/>
                    <w:bottom w:val="single" w:color="auto" w:sz="4" w:space="0"/>
                    <w:right w:val="nil"/>
                  </w:tcBorders>
                  <w:vAlign w:val="center"/>
                </w:tcPr>
                <w:p w14:paraId="397E3AD7">
                  <w:pPr>
                    <w:spacing w:line="320" w:lineRule="exact"/>
                    <w:ind w:firstLine="0" w:firstLineChars="0"/>
                    <w:jc w:val="center"/>
                    <w:rPr>
                      <w:color w:val="auto"/>
                      <w:sz w:val="21"/>
                      <w:szCs w:val="21"/>
                    </w:rPr>
                  </w:pPr>
                  <w:r>
                    <w:rPr>
                      <w:color w:val="auto"/>
                      <w:sz w:val="21"/>
                      <w:szCs w:val="21"/>
                    </w:rPr>
                    <w:t>9.694</w:t>
                  </w:r>
                </w:p>
              </w:tc>
            </w:tr>
            <w:tr w14:paraId="3C14E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continue"/>
                  <w:tcBorders>
                    <w:top w:val="single" w:color="auto" w:sz="4" w:space="0"/>
                    <w:left w:val="nil"/>
                    <w:bottom w:val="single" w:color="auto" w:sz="12" w:space="0"/>
                    <w:right w:val="single" w:color="auto" w:sz="4" w:space="0"/>
                  </w:tcBorders>
                  <w:vAlign w:val="center"/>
                </w:tcPr>
                <w:p w14:paraId="18C03193">
                  <w:pPr>
                    <w:spacing w:line="320" w:lineRule="exact"/>
                    <w:ind w:firstLine="0" w:firstLineChars="0"/>
                    <w:jc w:val="center"/>
                    <w:rPr>
                      <w:color w:val="auto"/>
                      <w:sz w:val="21"/>
                      <w:szCs w:val="21"/>
                    </w:rPr>
                  </w:pPr>
                </w:p>
              </w:tc>
              <w:tc>
                <w:tcPr>
                  <w:tcW w:w="1250" w:type="pct"/>
                  <w:vMerge w:val="continue"/>
                  <w:tcBorders>
                    <w:top w:val="single" w:color="auto" w:sz="4" w:space="0"/>
                    <w:left w:val="single" w:color="auto" w:sz="4" w:space="0"/>
                    <w:bottom w:val="single" w:color="auto" w:sz="12" w:space="0"/>
                    <w:right w:val="single" w:color="auto" w:sz="4" w:space="0"/>
                  </w:tcBorders>
                  <w:vAlign w:val="center"/>
                </w:tcPr>
                <w:p w14:paraId="52834210">
                  <w:pPr>
                    <w:spacing w:line="320" w:lineRule="exact"/>
                    <w:ind w:firstLine="0" w:firstLineChars="0"/>
                    <w:jc w:val="center"/>
                    <w:rPr>
                      <w:color w:val="auto"/>
                      <w:sz w:val="21"/>
                      <w:szCs w:val="21"/>
                    </w:rPr>
                  </w:pPr>
                </w:p>
              </w:tc>
              <w:tc>
                <w:tcPr>
                  <w:tcW w:w="1250" w:type="pct"/>
                  <w:tcBorders>
                    <w:top w:val="single" w:color="auto" w:sz="4" w:space="0"/>
                    <w:left w:val="single" w:color="auto" w:sz="4" w:space="0"/>
                    <w:bottom w:val="single" w:color="auto" w:sz="12" w:space="0"/>
                    <w:right w:val="single" w:color="auto" w:sz="4" w:space="0"/>
                  </w:tcBorders>
                  <w:vAlign w:val="center"/>
                </w:tcPr>
                <w:p w14:paraId="75B02184">
                  <w:pPr>
                    <w:spacing w:line="320" w:lineRule="exact"/>
                    <w:ind w:firstLine="0" w:firstLineChars="0"/>
                    <w:jc w:val="center"/>
                    <w:rPr>
                      <w:color w:val="auto"/>
                      <w:sz w:val="21"/>
                      <w:szCs w:val="21"/>
                    </w:rPr>
                  </w:pPr>
                  <w:r>
                    <w:rPr>
                      <w:color w:val="auto"/>
                      <w:sz w:val="21"/>
                      <w:szCs w:val="21"/>
                    </w:rPr>
                    <w:t>150</w:t>
                  </w:r>
                </w:p>
              </w:tc>
              <w:tc>
                <w:tcPr>
                  <w:tcW w:w="1250" w:type="pct"/>
                  <w:tcBorders>
                    <w:top w:val="single" w:color="auto" w:sz="4" w:space="0"/>
                    <w:left w:val="single" w:color="auto" w:sz="4" w:space="0"/>
                    <w:bottom w:val="single" w:color="auto" w:sz="12" w:space="0"/>
                    <w:right w:val="nil"/>
                  </w:tcBorders>
                  <w:vAlign w:val="center"/>
                </w:tcPr>
                <w:p w14:paraId="4157BE11">
                  <w:pPr>
                    <w:spacing w:line="320" w:lineRule="exact"/>
                    <w:ind w:firstLine="0" w:firstLineChars="0"/>
                    <w:jc w:val="center"/>
                    <w:rPr>
                      <w:color w:val="auto"/>
                      <w:sz w:val="21"/>
                      <w:szCs w:val="21"/>
                    </w:rPr>
                  </w:pPr>
                  <w:r>
                    <w:rPr>
                      <w:color w:val="auto"/>
                      <w:sz w:val="21"/>
                      <w:szCs w:val="21"/>
                    </w:rPr>
                    <w:t>5.09</w:t>
                  </w:r>
                  <w:r>
                    <w:rPr>
                      <w:color w:val="auto"/>
                      <w:sz w:val="21"/>
                      <w:szCs w:val="21"/>
                    </w:rPr>
                    <w:cr/>
                  </w:r>
                  <w:r>
                    <w:rPr>
                      <w:color w:val="auto"/>
                      <w:sz w:val="21"/>
                      <w:szCs w:val="21"/>
                    </w:rPr>
                    <w:t>3</w:t>
                  </w:r>
                </w:p>
              </w:tc>
            </w:tr>
          </w:tbl>
          <w:p w14:paraId="51FCF82F">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施工扬尘将对沿线居民区产生一定的影响。通过洒水、防尘挡板等措施，可有效地防止扬尘的产生，降低对周围环境空气的影响，施工场界颗粒物浓度符合《大气污染物综合排放标准》（GB16297-1996）表2无组织排放监控浓度限值要求，且施工期短暂，对周围环境的影响控制在可接受的范围内。</w:t>
            </w:r>
          </w:p>
          <w:p w14:paraId="35C8DAA3">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w:t>
            </w:r>
            <w:r>
              <w:rPr>
                <w:rFonts w:hint="eastAsia"/>
                <w:color w:val="auto"/>
                <w:lang w:val="en-US" w:eastAsia="zh-CN"/>
              </w:rPr>
              <w:t>2</w:t>
            </w:r>
            <w:r>
              <w:rPr>
                <w:rFonts w:hint="eastAsia"/>
                <w:color w:val="auto"/>
              </w:rPr>
              <w:t>）</w:t>
            </w:r>
            <w:r>
              <w:rPr>
                <w:color w:val="auto"/>
              </w:rPr>
              <w:t>沥青烟的影响</w:t>
            </w:r>
          </w:p>
          <w:p w14:paraId="47E2E039">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lang w:val="en-US" w:eastAsia="zh-CN"/>
              </w:rPr>
              <w:t>本项目不设基层拌合站，为外购商品混凝土，仅设置面层拌合站</w:t>
            </w:r>
            <w:r>
              <w:rPr>
                <w:rFonts w:hint="eastAsia" w:cs="宋体"/>
                <w:color w:val="auto"/>
                <w:kern w:val="0"/>
                <w:lang w:bidi="ar"/>
              </w:rPr>
              <w:t>。</w:t>
            </w:r>
            <w:r>
              <w:rPr>
                <w:rFonts w:hint="eastAsia"/>
                <w:color w:val="auto"/>
              </w:rPr>
              <w:t>面层拌合站在拌合时会产生少量的沥青烟和</w:t>
            </w:r>
            <w:r>
              <w:rPr>
                <w:color w:val="auto"/>
              </w:rPr>
              <w:t>苯并[a]芘</w:t>
            </w:r>
            <w:r>
              <w:rPr>
                <w:rFonts w:hint="eastAsia"/>
                <w:color w:val="auto"/>
              </w:rPr>
              <w:t>，沥青烟和</w:t>
            </w:r>
            <w:r>
              <w:rPr>
                <w:color w:val="auto"/>
              </w:rPr>
              <w:t>苯并[a]芘</w:t>
            </w:r>
            <w:r>
              <w:rPr>
                <w:rFonts w:hint="eastAsia"/>
                <w:color w:val="auto"/>
              </w:rPr>
              <w:t>在公路铺设的过程中会有微量的挥发，随着摊铺后冷却，烟气散发量将逐渐减少，而且施工是暂时的，随着施工的结束，沥青烟污染也将随之结束。根据交通部公路所在京津唐大羊坊沥青搅拌站的监测结果表明，在设备正常运行时，配备相应沥青烟净化器，污染物可以达标排放，本项目沥青混凝土拌合设备自带集气系统和烟气治理设施，沥青烟和</w:t>
            </w:r>
            <w:r>
              <w:rPr>
                <w:color w:val="auto"/>
              </w:rPr>
              <w:t>苯并[a]芘</w:t>
            </w:r>
            <w:r>
              <w:rPr>
                <w:rFonts w:hint="eastAsia"/>
                <w:color w:val="auto"/>
              </w:rPr>
              <w:t>浓度排放浓度均符合《大气污染物综合排放标准》（GB16297-1996）要求，对周围环境影响较小。</w:t>
            </w:r>
          </w:p>
          <w:p w14:paraId="1C5E2D2E">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color w:val="auto"/>
              </w:rPr>
              <w:t>《公路环境保护设计规范》（JTGB 04-2010）中要求：</w:t>
            </w:r>
            <w:r>
              <w:rPr>
                <w:rFonts w:hint="eastAsia"/>
                <w:color w:val="auto"/>
                <w:lang w:eastAsia="zh-CN"/>
              </w:rPr>
              <w:t>沥青混凝土拌合站</w:t>
            </w:r>
            <w:r>
              <w:rPr>
                <w:color w:val="auto"/>
              </w:rPr>
              <w:t>应距离环境敏感点大于300m，并且应设置在当地施工季节最小频率风向的被保护对象的上风侧。本工程沥青混凝土面层拌和站300m范围内无居民分布，满足《公路环境保护设计规范》（JTGB 04-2010）要求。</w:t>
            </w:r>
          </w:p>
          <w:p w14:paraId="65341FCF">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eastAsia="宋体"/>
                <w:color w:val="auto"/>
                <w:lang w:val="en-US" w:eastAsia="zh-CN"/>
              </w:rPr>
            </w:pPr>
            <w:r>
              <w:rPr>
                <w:rFonts w:hint="eastAsia"/>
                <w:color w:val="auto"/>
              </w:rPr>
              <w:t>（</w:t>
            </w:r>
            <w:r>
              <w:rPr>
                <w:rFonts w:hint="eastAsia"/>
                <w:color w:val="auto"/>
                <w:lang w:val="en-US" w:eastAsia="zh-CN"/>
              </w:rPr>
              <w:t>3</w:t>
            </w:r>
            <w:r>
              <w:rPr>
                <w:rFonts w:hint="eastAsia"/>
                <w:color w:val="auto"/>
              </w:rPr>
              <w:t>）</w:t>
            </w:r>
            <w:r>
              <w:rPr>
                <w:rFonts w:hint="eastAsia"/>
                <w:color w:val="auto"/>
                <w:lang w:val="en-US" w:eastAsia="zh-CN"/>
              </w:rPr>
              <w:t>沥青搅拌站导热油炉废气</w:t>
            </w:r>
          </w:p>
          <w:p w14:paraId="49938C15">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rFonts w:hint="default" w:eastAsia="宋体"/>
                <w:color w:val="auto"/>
                <w:highlight w:val="yellow"/>
                <w:lang w:val="en-US" w:eastAsia="zh-CN"/>
              </w:rPr>
            </w:pPr>
            <w:r>
              <w:rPr>
                <w:rFonts w:hint="eastAsia"/>
                <w:color w:val="auto"/>
                <w:highlight w:val="none"/>
                <w:lang w:val="en-US" w:eastAsia="zh-CN"/>
              </w:rPr>
              <w:t>沥青搅拌站设置1台导热油炉，燃烧烟气采用布袋除尘器处理后由18m烟囱排放，烟气经处理后可达到</w:t>
            </w:r>
            <w:r>
              <w:rPr>
                <w:color w:val="auto"/>
              </w:rPr>
              <w:t>《</w:t>
            </w:r>
            <w:r>
              <w:rPr>
                <w:rFonts w:hint="eastAsia"/>
                <w:color w:val="auto"/>
                <w:lang w:val="en-US" w:eastAsia="zh-CN"/>
              </w:rPr>
              <w:t>锅炉</w:t>
            </w:r>
            <w:r>
              <w:rPr>
                <w:color w:val="auto"/>
              </w:rPr>
              <w:t>大气污染物排放标准》（GB1</w:t>
            </w:r>
            <w:r>
              <w:rPr>
                <w:rFonts w:hint="eastAsia"/>
                <w:color w:val="auto"/>
                <w:lang w:val="en-US" w:eastAsia="zh-CN"/>
              </w:rPr>
              <w:t>3271</w:t>
            </w:r>
            <w:r>
              <w:rPr>
                <w:color w:val="auto"/>
              </w:rPr>
              <w:t>-</w:t>
            </w:r>
            <w:r>
              <w:rPr>
                <w:rFonts w:hint="eastAsia"/>
                <w:color w:val="auto"/>
                <w:lang w:val="en-US" w:eastAsia="zh-CN"/>
              </w:rPr>
              <w:t>2014</w:t>
            </w:r>
            <w:r>
              <w:rPr>
                <w:color w:val="auto"/>
              </w:rPr>
              <w:t>）表2标准</w:t>
            </w:r>
            <w:r>
              <w:rPr>
                <w:rFonts w:hint="eastAsia"/>
                <w:color w:val="auto"/>
                <w:lang w:val="en-US" w:eastAsia="zh-CN"/>
              </w:rPr>
              <w:t>要求，对周边大气环境影响较小。</w:t>
            </w:r>
          </w:p>
          <w:p w14:paraId="32A1B203">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（4）施工机械及运输车辆尾气</w:t>
            </w:r>
          </w:p>
          <w:p w14:paraId="5CDCC9D9">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施工机械及运输车辆尾气</w:t>
            </w:r>
            <w:r>
              <w:rPr>
                <w:color w:val="auto"/>
              </w:rPr>
              <w:t>主要污染物为柴油燃烧产生的氮氧化物、一氧化碳、碳氢化合物等，该类大气污染物属于分散的移动源排放，排放量由使用的车辆、机械和设备的性能、数量以及作业率决定。总体来说由于其产生量少，排放点分散，其排放时间有限，因此不会对周围环境造成显著影响。施工单位在施工过程中应使用低污染排放的设备，加强对施工机械的日常维护和保养，减少施工机械的故障运行，保证设备在正常工况条件下运转，减少车辆怠速时间，以减少机动车尾气的排放量，降低环境影响。</w:t>
            </w:r>
          </w:p>
          <w:p w14:paraId="42ABD31F">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综上所述，本</w:t>
            </w:r>
            <w:r>
              <w:rPr>
                <w:color w:val="auto"/>
              </w:rPr>
              <w:t>项目施工期产生的废气对周围环境影响较小</w:t>
            </w:r>
            <w:r>
              <w:rPr>
                <w:rFonts w:hint="eastAsia"/>
                <w:color w:val="auto"/>
              </w:rPr>
              <w:t>。</w:t>
            </w:r>
          </w:p>
          <w:p w14:paraId="4A787A07">
            <w:pPr>
              <w:keepNext w:val="0"/>
              <w:keepLines w:val="0"/>
              <w:pageBreakBefore w:val="0"/>
              <w:widowControl w:val="0"/>
              <w:kinsoku/>
              <w:wordWrap/>
              <w:overflowPunct/>
              <w:topLinePunct w:val="0"/>
              <w:autoSpaceDE/>
              <w:autoSpaceDN/>
              <w:bidi w:val="0"/>
              <w:adjustRightInd/>
              <w:snapToGrid/>
              <w:spacing w:line="460" w:lineRule="exact"/>
              <w:ind w:firstLine="422"/>
              <w:textAlignment w:val="auto"/>
              <w:rPr>
                <w:b w:val="0"/>
                <w:bCs w:val="0"/>
                <w:color w:val="auto"/>
              </w:rPr>
            </w:pPr>
            <w:r>
              <w:rPr>
                <w:b w:val="0"/>
                <w:bCs w:val="0"/>
                <w:color w:val="auto"/>
              </w:rPr>
              <w:t>4</w:t>
            </w:r>
            <w:r>
              <w:rPr>
                <w:rFonts w:hint="eastAsia"/>
                <w:b w:val="0"/>
                <w:bCs w:val="0"/>
                <w:color w:val="auto"/>
                <w:lang w:eastAsia="zh-CN"/>
              </w:rPr>
              <w:t>、</w:t>
            </w:r>
            <w:r>
              <w:rPr>
                <w:b w:val="0"/>
                <w:bCs w:val="0"/>
                <w:color w:val="auto"/>
              </w:rPr>
              <w:t>地表水环境</w:t>
            </w:r>
          </w:p>
          <w:p w14:paraId="76A31FA5">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b w:val="0"/>
                <w:bCs w:val="0"/>
                <w:color w:val="auto"/>
              </w:rPr>
            </w:pPr>
            <w:r>
              <w:rPr>
                <w:rFonts w:hint="eastAsia"/>
                <w:b w:val="0"/>
                <w:bCs w:val="0"/>
                <w:color w:val="auto"/>
              </w:rPr>
              <w:t>（1）生活污水</w:t>
            </w:r>
          </w:p>
          <w:p w14:paraId="65439D76">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b w:val="0"/>
                <w:bCs w:val="0"/>
                <w:color w:val="auto"/>
              </w:rPr>
            </w:pPr>
            <w:r>
              <w:rPr>
                <w:rFonts w:hint="eastAsia"/>
                <w:b w:val="0"/>
                <w:bCs w:val="0"/>
                <w:color w:val="auto"/>
              </w:rPr>
              <w:t>本项目施工期工作人员生活污水主要污染物为COD、氨氮、SS等。施工期生活污水利用沿线的公共卫生设施，不外排</w:t>
            </w:r>
            <w:r>
              <w:rPr>
                <w:rFonts w:hint="eastAsia"/>
                <w:b w:val="0"/>
                <w:bCs w:val="0"/>
                <w:color w:val="auto"/>
                <w:lang w:eastAsia="zh-CN"/>
              </w:rPr>
              <w:t>。</w:t>
            </w:r>
            <w:r>
              <w:rPr>
                <w:rFonts w:hint="eastAsia"/>
                <w:b w:val="0"/>
                <w:bCs w:val="0"/>
                <w:color w:val="auto"/>
              </w:rPr>
              <w:t>施工生产生活区生活污水排入防渗旱厕，定期清掏，外运堆肥处理，不排入周边地表水体，不会对地表水体造成不良影响。</w:t>
            </w:r>
          </w:p>
          <w:p w14:paraId="1A971CD0">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b w:val="0"/>
                <w:bCs w:val="0"/>
                <w:color w:val="auto"/>
              </w:rPr>
            </w:pPr>
            <w:r>
              <w:rPr>
                <w:rFonts w:hint="eastAsia"/>
                <w:b w:val="0"/>
                <w:bCs w:val="0"/>
                <w:color w:val="auto"/>
              </w:rPr>
              <w:t>（2）拌合站生产废水</w:t>
            </w:r>
          </w:p>
          <w:p w14:paraId="637A3D85">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b w:val="0"/>
                <w:bCs w:val="0"/>
                <w:color w:val="auto"/>
              </w:rPr>
            </w:pPr>
            <w:r>
              <w:rPr>
                <w:rFonts w:hint="eastAsia"/>
                <w:b w:val="0"/>
                <w:bCs w:val="0"/>
                <w:color w:val="auto"/>
              </w:rPr>
              <w:t>本项目</w:t>
            </w:r>
            <w:r>
              <w:rPr>
                <w:b w:val="0"/>
                <w:bCs w:val="0"/>
                <w:color w:val="auto"/>
              </w:rPr>
              <w:t>沥青混凝土面层拌和站</w:t>
            </w:r>
            <w:r>
              <w:rPr>
                <w:rFonts w:hint="eastAsia"/>
                <w:b w:val="0"/>
                <w:bCs w:val="0"/>
                <w:color w:val="auto"/>
              </w:rPr>
              <w:t>拌和等过程会有废水产生，主要污染物为SS，浓度约5000mg/L，生产废水经设置的临时沉淀池沉淀处理后，回用于拌合站场地洒水降尘，不外排。</w:t>
            </w:r>
          </w:p>
          <w:p w14:paraId="4F283BCE">
            <w:pPr>
              <w:keepNext w:val="0"/>
              <w:keepLines w:val="0"/>
              <w:pageBreakBefore w:val="0"/>
              <w:widowControl w:val="0"/>
              <w:kinsoku/>
              <w:wordWrap/>
              <w:overflowPunct/>
              <w:topLinePunct w:val="0"/>
              <w:autoSpaceDE/>
              <w:autoSpaceDN/>
              <w:bidi w:val="0"/>
              <w:adjustRightInd/>
              <w:snapToGrid/>
              <w:spacing w:line="460" w:lineRule="exact"/>
              <w:ind w:firstLine="422"/>
              <w:textAlignment w:val="auto"/>
              <w:rPr>
                <w:b w:val="0"/>
                <w:bCs w:val="0"/>
                <w:color w:val="auto"/>
              </w:rPr>
            </w:pPr>
            <w:r>
              <w:rPr>
                <w:b w:val="0"/>
                <w:bCs w:val="0"/>
                <w:color w:val="auto"/>
              </w:rPr>
              <w:t>5</w:t>
            </w:r>
            <w:r>
              <w:rPr>
                <w:rFonts w:hint="eastAsia"/>
                <w:b w:val="0"/>
                <w:bCs w:val="0"/>
                <w:color w:val="auto"/>
                <w:lang w:eastAsia="zh-CN"/>
              </w:rPr>
              <w:t>、</w:t>
            </w:r>
            <w:r>
              <w:rPr>
                <w:b w:val="0"/>
                <w:bCs w:val="0"/>
                <w:color w:val="auto"/>
              </w:rPr>
              <w:t>固体废物</w:t>
            </w:r>
          </w:p>
          <w:p w14:paraId="185539E0">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b w:val="0"/>
                <w:bCs w:val="0"/>
                <w:color w:val="auto"/>
              </w:rPr>
            </w:pPr>
            <w:r>
              <w:rPr>
                <w:b w:val="0"/>
                <w:bCs w:val="0"/>
                <w:color w:val="auto"/>
              </w:rPr>
              <w:t>本项目施工期固体废物主要</w:t>
            </w:r>
            <w:r>
              <w:rPr>
                <w:rFonts w:hint="eastAsia"/>
                <w:b w:val="0"/>
                <w:bCs w:val="0"/>
                <w:color w:val="auto"/>
                <w:lang w:val="en-US" w:eastAsia="zh-CN"/>
              </w:rPr>
              <w:t>为路面拆除、涵洞维修</w:t>
            </w:r>
            <w:r>
              <w:rPr>
                <w:b w:val="0"/>
                <w:bCs w:val="0"/>
                <w:color w:val="auto"/>
              </w:rPr>
              <w:t>等产生的</w:t>
            </w:r>
            <w:r>
              <w:rPr>
                <w:rFonts w:hint="eastAsia"/>
                <w:b w:val="0"/>
                <w:bCs w:val="0"/>
                <w:color w:val="auto"/>
                <w:lang w:val="en-US" w:eastAsia="zh-CN"/>
              </w:rPr>
              <w:t>建筑垃圾</w:t>
            </w:r>
            <w:r>
              <w:rPr>
                <w:b w:val="0"/>
                <w:bCs w:val="0"/>
                <w:color w:val="auto"/>
              </w:rPr>
              <w:t>、以及施工</w:t>
            </w:r>
            <w:r>
              <w:rPr>
                <w:rFonts w:hint="eastAsia"/>
                <w:b w:val="0"/>
                <w:bCs w:val="0"/>
                <w:color w:val="auto"/>
              </w:rPr>
              <w:t>人员</w:t>
            </w:r>
            <w:r>
              <w:rPr>
                <w:b w:val="0"/>
                <w:bCs w:val="0"/>
                <w:color w:val="auto"/>
              </w:rPr>
              <w:t>产生的生活垃圾等。建筑垃圾</w:t>
            </w:r>
            <w:r>
              <w:rPr>
                <w:rFonts w:hint="eastAsia"/>
                <w:b w:val="0"/>
                <w:bCs w:val="0"/>
                <w:color w:val="auto"/>
              </w:rPr>
              <w:t>运送至指定地点处理，</w:t>
            </w:r>
            <w:r>
              <w:rPr>
                <w:b w:val="0"/>
                <w:bCs w:val="0"/>
                <w:color w:val="auto"/>
              </w:rPr>
              <w:t>生活垃圾集中收集后，运至市政指定地点由市政统一处理。</w:t>
            </w:r>
          </w:p>
          <w:p w14:paraId="726DDB45">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b w:val="0"/>
                <w:bCs w:val="0"/>
                <w:color w:val="auto"/>
              </w:rPr>
            </w:pPr>
            <w:r>
              <w:rPr>
                <w:b w:val="0"/>
                <w:bCs w:val="0"/>
                <w:color w:val="auto"/>
              </w:rPr>
              <w:t>本项目施工期固体废物均得到了妥善地处理处置，对环境影响较小，且影响是暂时的，施工固体废物将随着施工的结束而不再产生。因此，本项目施工期固体废物污染较小，可被周边环境所接受。</w:t>
            </w:r>
          </w:p>
          <w:p w14:paraId="6D21CFC1">
            <w:pPr>
              <w:pStyle w:val="76"/>
              <w:rPr>
                <w:rFonts w:hint="default" w:ascii="Times New Roman" w:hAnsi="Times New Roman" w:cs="Times New Roman"/>
                <w:color w:val="auto"/>
              </w:rPr>
            </w:pPr>
          </w:p>
          <w:p w14:paraId="335D6D1A">
            <w:pPr>
              <w:pStyle w:val="76"/>
              <w:rPr>
                <w:rFonts w:hint="default" w:ascii="Times New Roman" w:hAnsi="Times New Roman" w:cs="Times New Roman"/>
                <w:color w:val="auto"/>
              </w:rPr>
            </w:pPr>
          </w:p>
          <w:p w14:paraId="649EF55D">
            <w:pPr>
              <w:pStyle w:val="76"/>
              <w:rPr>
                <w:rFonts w:hint="default" w:ascii="Times New Roman" w:hAnsi="Times New Roman" w:cs="Times New Roman"/>
                <w:color w:val="auto"/>
              </w:rPr>
            </w:pPr>
          </w:p>
          <w:p w14:paraId="4F222568">
            <w:pPr>
              <w:pStyle w:val="76"/>
              <w:ind w:left="0" w:leftChars="0" w:firstLine="0" w:firstLineChars="0"/>
              <w:rPr>
                <w:rFonts w:hint="default" w:ascii="Times New Roman" w:hAnsi="Times New Roman" w:cs="Times New Roman"/>
                <w:color w:val="auto"/>
              </w:rPr>
            </w:pPr>
          </w:p>
          <w:p w14:paraId="0DF4CB6B">
            <w:pPr>
              <w:pStyle w:val="76"/>
              <w:rPr>
                <w:rFonts w:hint="default" w:ascii="Times New Roman" w:hAnsi="Times New Roman" w:cs="Times New Roman"/>
                <w:color w:val="auto"/>
              </w:rPr>
            </w:pPr>
          </w:p>
        </w:tc>
      </w:tr>
      <w:tr w14:paraId="0B530E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79" w:hRule="atLeast"/>
          <w:jc w:val="center"/>
        </w:trPr>
        <w:tc>
          <w:tcPr>
            <w:tcW w:w="799" w:type="dxa"/>
            <w:noWrap w:val="0"/>
            <w:tcMar>
              <w:left w:w="28" w:type="dxa"/>
              <w:right w:w="28" w:type="dxa"/>
            </w:tcMar>
            <w:vAlign w:val="center"/>
          </w:tcPr>
          <w:p w14:paraId="434F8C1A">
            <w:pPr>
              <w:pStyle w:val="25"/>
              <w:adjustRightInd w:val="0"/>
              <w:snapToGrid w:val="0"/>
              <w:spacing w:before="0" w:beforeAutospacing="0" w:after="0" w:afterAutospacing="0"/>
              <w:jc w:val="center"/>
              <w:rPr>
                <w:rFonts w:hint="default" w:ascii="Times New Roman" w:hAnsi="Times New Roman" w:cs="Times New Roman"/>
                <w:bCs/>
                <w:color w:val="auto"/>
                <w:kern w:val="2"/>
              </w:rPr>
            </w:pPr>
            <w:r>
              <w:rPr>
                <w:rFonts w:hint="default" w:ascii="Times New Roman" w:hAnsi="Times New Roman" w:cs="Times New Roman"/>
                <w:bCs/>
                <w:color w:val="auto"/>
                <w:spacing w:val="10"/>
                <w:kern w:val="2"/>
              </w:rPr>
              <w:t>运营期生态环境影响分析</w:t>
            </w:r>
          </w:p>
        </w:tc>
        <w:tc>
          <w:tcPr>
            <w:tcW w:w="8050" w:type="dxa"/>
            <w:noWrap w:val="0"/>
            <w:vAlign w:val="top"/>
          </w:tcPr>
          <w:p w14:paraId="600EC5CE">
            <w:pPr>
              <w:pStyle w:val="76"/>
              <w:rPr>
                <w:rFonts w:hint="default" w:ascii="Times New Roman" w:hAnsi="Times New Roman" w:cs="Times New Roman"/>
                <w:color w:val="auto"/>
              </w:rPr>
            </w:pPr>
            <w:r>
              <w:rPr>
                <w:rFonts w:hint="default" w:ascii="Times New Roman" w:hAnsi="Times New Roman" w:cs="Times New Roman"/>
                <w:color w:val="auto"/>
              </w:rPr>
              <w:t>1、生态影响分析</w:t>
            </w:r>
          </w:p>
          <w:p w14:paraId="3C006744">
            <w:pPr>
              <w:pStyle w:val="76"/>
              <w:rPr>
                <w:rFonts w:hint="default" w:ascii="Times New Roman" w:hAnsi="Times New Roman" w:cs="Times New Roman"/>
                <w:color w:val="auto"/>
              </w:rPr>
            </w:pPr>
            <w:r>
              <w:rPr>
                <w:rFonts w:hint="default" w:ascii="Times New Roman" w:hAnsi="Times New Roman" w:cs="Times New Roman"/>
                <w:color w:val="auto"/>
              </w:rPr>
              <w:t>本项目不新增永久占地，不会改变沿线土地利用</w:t>
            </w:r>
            <w:r>
              <w:rPr>
                <w:rFonts w:hint="default" w:ascii="Times New Roman" w:hAnsi="Times New Roman" w:cs="Times New Roman"/>
                <w:color w:val="auto"/>
                <w:lang w:val="en-US" w:eastAsia="zh-CN"/>
              </w:rPr>
              <w:t>现状</w:t>
            </w:r>
            <w:r>
              <w:rPr>
                <w:rFonts w:hint="default" w:ascii="Times New Roman" w:hAnsi="Times New Roman" w:cs="Times New Roman"/>
                <w:color w:val="auto"/>
              </w:rPr>
              <w:t>。</w:t>
            </w:r>
            <w:r>
              <w:rPr>
                <w:rFonts w:hint="default" w:ascii="Times New Roman" w:hAnsi="Times New Roman" w:eastAsia="宋体" w:cs="Times New Roman"/>
                <w:color w:val="auto"/>
                <w:kern w:val="0"/>
                <w:sz w:val="24"/>
                <w:szCs w:val="24"/>
                <w:lang w:val="en-US" w:eastAsia="zh-CN" w:bidi="ar-SA"/>
              </w:rPr>
              <w:t>本项目及评价范围内均</w:t>
            </w:r>
            <w:r>
              <w:rPr>
                <w:rFonts w:hint="default" w:ascii="Times New Roman" w:hAnsi="Times New Roman" w:cs="Times New Roman"/>
                <w:color w:val="auto"/>
                <w:kern w:val="0"/>
                <w:sz w:val="24"/>
                <w:szCs w:val="24"/>
                <w:lang w:val="en-US" w:eastAsia="zh-CN" w:bidi="ar-SA"/>
              </w:rPr>
              <w:t>不</w:t>
            </w:r>
            <w:r>
              <w:rPr>
                <w:rFonts w:hint="default" w:ascii="Times New Roman" w:hAnsi="Times New Roman" w:eastAsia="宋体" w:cs="Times New Roman"/>
                <w:color w:val="auto"/>
                <w:kern w:val="0"/>
                <w:sz w:val="24"/>
                <w:szCs w:val="24"/>
                <w:lang w:val="en-US" w:eastAsia="zh-CN" w:bidi="ar-SA"/>
              </w:rPr>
              <w:t>涉及生态保护红线、自然保护区、风景名胜区、地质公园等自然保护地，不涉及重要生境。</w:t>
            </w:r>
            <w:r>
              <w:rPr>
                <w:rFonts w:hint="default" w:ascii="Times New Roman" w:hAnsi="Times New Roman" w:cs="Times New Roman"/>
                <w:color w:val="auto"/>
              </w:rPr>
              <w:t>项目所在区域土地类型以耕地为主，产生的边缘效应基本不会改变项目两侧的植被类型，对其影响较小。项目建成后不封闭，基本不会对现有野生动物生境造成分割，动物生境片断化对动物影响不大；项目共设置涵洞</w:t>
            </w:r>
            <w:r>
              <w:rPr>
                <w:rFonts w:hint="default" w:ascii="Times New Roman" w:hAnsi="Times New Roman" w:cs="Times New Roman"/>
                <w:color w:val="auto"/>
                <w:lang w:val="en-US" w:eastAsia="zh-CN"/>
              </w:rPr>
              <w:t>12</w:t>
            </w:r>
            <w:r>
              <w:rPr>
                <w:rFonts w:hint="default" w:ascii="Times New Roman" w:hAnsi="Times New Roman" w:cs="Times New Roman"/>
                <w:color w:val="auto"/>
              </w:rPr>
              <w:t>道</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其中9道涵洞拆除重新，3道涵洞利旧</w:t>
            </w:r>
            <w:r>
              <w:rPr>
                <w:rFonts w:hint="default" w:ascii="Times New Roman" w:hAnsi="Times New Roman" w:cs="Times New Roman"/>
                <w:color w:val="auto"/>
                <w:lang w:eastAsia="zh-CN"/>
              </w:rPr>
              <w:t>）</w:t>
            </w:r>
            <w:r>
              <w:rPr>
                <w:rFonts w:hint="default" w:ascii="Times New Roman" w:hAnsi="Times New Roman" w:cs="Times New Roman"/>
                <w:color w:val="auto"/>
              </w:rPr>
              <w:t>，可充分发挥通行作用，基本不会影响地面动物迁移途经、觅食等，对动物影响较小。通过对本项目边坡采取绿化措施，对周围景观的影响是可以接受的。</w:t>
            </w:r>
          </w:p>
          <w:p w14:paraId="4BA9AFB9">
            <w:pPr>
              <w:pStyle w:val="76"/>
              <w:rPr>
                <w:color w:val="auto"/>
                <w:kern w:val="21"/>
              </w:rPr>
            </w:pPr>
            <w:r>
              <w:rPr>
                <w:rFonts w:hint="default" w:ascii="Times New Roman" w:hAnsi="Times New Roman" w:cs="Times New Roman"/>
                <w:color w:val="auto"/>
              </w:rPr>
              <w:t>综上所述，本项目运营期对生态环境的影响</w:t>
            </w:r>
            <w:r>
              <w:rPr>
                <w:rFonts w:hint="default" w:ascii="Times New Roman" w:hAnsi="Times New Roman" w:cs="Times New Roman"/>
                <w:color w:val="auto"/>
                <w:lang w:val="en-US" w:eastAsia="zh-CN"/>
              </w:rPr>
              <w:t>是</w:t>
            </w:r>
            <w:r>
              <w:rPr>
                <w:rFonts w:hint="default" w:ascii="Times New Roman" w:hAnsi="Times New Roman" w:cs="Times New Roman"/>
                <w:color w:val="auto"/>
              </w:rPr>
              <w:t>可以接受的。</w:t>
            </w:r>
            <w:r>
              <w:rPr>
                <w:color w:val="auto"/>
              </w:rPr>
              <w:t>运营期生态影响分析具体内容详见</w:t>
            </w:r>
            <w:r>
              <w:rPr>
                <w:rFonts w:hint="eastAsia"/>
                <w:color w:val="auto"/>
              </w:rPr>
              <w:t>生态环境影响专项评价报告</w:t>
            </w:r>
            <w:r>
              <w:rPr>
                <w:color w:val="auto"/>
              </w:rPr>
              <w:t>。</w:t>
            </w:r>
          </w:p>
          <w:p w14:paraId="7407301C">
            <w:pPr>
              <w:pStyle w:val="76"/>
              <w:rPr>
                <w:rFonts w:hint="default" w:ascii="Times New Roman" w:hAnsi="Times New Roman" w:eastAsia="宋体" w:cs="Times New Roman"/>
                <w:color w:val="auto"/>
                <w:lang w:val="en-US" w:eastAsia="zh-CN"/>
              </w:rPr>
            </w:pPr>
            <w:r>
              <w:rPr>
                <w:rFonts w:hint="default" w:ascii="Times New Roman" w:hAnsi="Times New Roman" w:cs="Times New Roman"/>
                <w:color w:val="auto"/>
              </w:rPr>
              <w:t>2、环境空气</w:t>
            </w:r>
            <w:r>
              <w:rPr>
                <w:rFonts w:hint="default" w:ascii="Times New Roman" w:hAnsi="Times New Roman" w:cs="Times New Roman"/>
                <w:color w:val="auto"/>
                <w:lang w:val="en-US" w:eastAsia="zh-CN"/>
              </w:rPr>
              <w:t>影响分析</w:t>
            </w:r>
          </w:p>
          <w:p w14:paraId="206E42DD">
            <w:pPr>
              <w:pStyle w:val="76"/>
              <w:rPr>
                <w:rFonts w:hint="default" w:ascii="Times New Roman" w:hAnsi="Times New Roman" w:cs="Times New Roman"/>
                <w:color w:val="auto"/>
              </w:rPr>
            </w:pPr>
            <w:r>
              <w:rPr>
                <w:rFonts w:hint="default" w:ascii="Times New Roman" w:hAnsi="Times New Roman" w:cs="Times New Roman"/>
                <w:color w:val="auto"/>
              </w:rPr>
              <w:t>本项目营运期大气污染源主要是各种机动车辆排放的尾气，主要污染物为CO、NOx、THC、TSP等。汽车尾气排放量的大小与交通量的大小、车辆的类型以及汽车运行的工况有关。根据近几年已建公路的竣工环境保护验收调查报告的综合结果，汽车尾气对环境的影响范围和程度十分有限，其中TSP扬尘主要源于环境本底，路面起尘贡献值较小；CO、NOx、THC均不存在超标现象。随着我国单车排放标准的不断提高，单车尾气的排放量将会不断降低，这对车辆尾气的环境污染可起到一定缓解作用。此外，本项目公路为开放式区域，扩散条件良好，本项目建设优化了道路路线，使之运行顺畅，可有效减少汽车怠速及路况不好降低汽车行驶速度而引起的大量尾气的排放。同时通过加强沿线绿化，栽种可吸收或吸附汽车尾气污染物的乔木、灌木等树种，也可减少机动车尾气对环境空气的影响。</w:t>
            </w:r>
          </w:p>
          <w:p w14:paraId="04318BF1">
            <w:pPr>
              <w:pStyle w:val="76"/>
              <w:rPr>
                <w:rFonts w:hint="default" w:ascii="Times New Roman" w:hAnsi="Times New Roman" w:cs="Times New Roman"/>
                <w:color w:val="auto"/>
              </w:rPr>
            </w:pPr>
            <w:r>
              <w:rPr>
                <w:rFonts w:hint="default" w:ascii="Times New Roman" w:hAnsi="Times New Roman" w:cs="Times New Roman"/>
                <w:color w:val="auto"/>
              </w:rPr>
              <w:t>因此，本工程运营期车辆尾气及扬尘排放污染物对环境的影响较小。</w:t>
            </w:r>
          </w:p>
          <w:p w14:paraId="6F6AD851">
            <w:pPr>
              <w:pStyle w:val="76"/>
              <w:keepNext w:val="0"/>
              <w:keepLines w:val="0"/>
              <w:pageBreakBefore w:val="0"/>
              <w:widowControl w:val="0"/>
              <w:numPr>
                <w:ilvl w:val="0"/>
                <w:numId w:val="2"/>
              </w:numPr>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kern w:val="21"/>
              </w:rPr>
            </w:pPr>
            <w:r>
              <w:rPr>
                <w:rFonts w:hint="default" w:ascii="Times New Roman" w:hAnsi="Times New Roman" w:cs="Times New Roman"/>
                <w:color w:val="auto"/>
                <w:kern w:val="21"/>
              </w:rPr>
              <w:t>地表水环境</w:t>
            </w:r>
            <w:r>
              <w:rPr>
                <w:rFonts w:hint="default" w:ascii="Times New Roman" w:hAnsi="Times New Roman" w:cs="Times New Roman"/>
                <w:color w:val="auto"/>
                <w:kern w:val="21"/>
                <w:lang w:val="en-US" w:eastAsia="zh-CN"/>
              </w:rPr>
              <w:t>影响分析</w:t>
            </w:r>
          </w:p>
          <w:p w14:paraId="68BF0AA2">
            <w:pPr>
              <w:pStyle w:val="76"/>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color w:val="auto"/>
                <w:kern w:val="21"/>
              </w:rPr>
            </w:pPr>
            <w:r>
              <w:rPr>
                <w:rFonts w:hint="default" w:ascii="Times New Roman" w:hAnsi="Times New Roman" w:cs="Times New Roman"/>
                <w:color w:val="auto"/>
                <w:kern w:val="21"/>
              </w:rPr>
              <w:t>本项目运营期不排放废水，主要水环境影响来自于初期雨水路面径流，路面径流污染物主要是悬浮物、石油类和有机物。根据国家环保总局华南环科所对路面径流污染情况的研究结果，路面径流在降雨开始到初步形成径流的30min内雨水中的悬浮物和油类物质比较多，30min后，随着降雨时间的延长，污染物浓度下降较快，总体而言降雨径流中污染物的平均浓度维持在较低的水平。</w:t>
            </w:r>
          </w:p>
          <w:p w14:paraId="4B5FE6AB">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本工程路面径流通过路面漫流汇入道路两侧排水沟，伴随着雨水稀释、泥沙对污染物吸附、沉降等各种作用，雨水在边沟汇入周边水系时，污染物浓度已经大大降低，不会对周边地表水造成影响。</w:t>
            </w:r>
          </w:p>
          <w:p w14:paraId="6490A236">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color w:val="auto"/>
                <w:lang w:val="en-US" w:eastAsia="zh-CN"/>
              </w:rPr>
            </w:pPr>
            <w:r>
              <w:rPr>
                <w:rFonts w:hint="default" w:ascii="Times New Roman" w:hAnsi="Times New Roman" w:cs="Times New Roman"/>
                <w:color w:val="auto"/>
              </w:rPr>
              <w:t>4、声环境</w:t>
            </w:r>
            <w:r>
              <w:rPr>
                <w:rFonts w:hint="default" w:ascii="Times New Roman" w:hAnsi="Times New Roman" w:cs="Times New Roman"/>
                <w:color w:val="auto"/>
                <w:lang w:val="en-US" w:eastAsia="zh-CN"/>
              </w:rPr>
              <w:t>影响分析</w:t>
            </w:r>
          </w:p>
          <w:p w14:paraId="621D35FD">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color w:val="auto"/>
                <w:lang w:val="en-US" w:eastAsia="zh-CN"/>
              </w:rPr>
            </w:pPr>
            <w:r>
              <w:rPr>
                <w:rFonts w:hint="default" w:ascii="Times New Roman" w:hAnsi="Times New Roman" w:cs="Times New Roman"/>
                <w:color w:val="auto"/>
              </w:rPr>
              <w:t>运营期声环境影响评价结论</w:t>
            </w:r>
            <w:r>
              <w:rPr>
                <w:rFonts w:hint="default" w:ascii="Times New Roman" w:hAnsi="Times New Roman" w:cs="Times New Roman"/>
                <w:color w:val="auto"/>
                <w:lang w:val="en-US" w:eastAsia="zh-CN"/>
              </w:rPr>
              <w:t>如下：</w:t>
            </w:r>
          </w:p>
          <w:p w14:paraId="46E67C58">
            <w:pPr>
              <w:pStyle w:val="76"/>
              <w:ind w:firstLine="471"/>
              <w:rPr>
                <w:rFonts w:hint="default" w:ascii="Times New Roman" w:hAnsi="Times New Roman" w:cs="Times New Roman"/>
                <w:color w:val="auto"/>
                <w:highlight w:val="none"/>
              </w:rPr>
            </w:pPr>
            <w:r>
              <w:rPr>
                <w:rFonts w:hint="default" w:ascii="Times New Roman" w:hAnsi="Times New Roman" w:cs="Times New Roman"/>
                <w:color w:val="auto"/>
                <w:highlight w:val="none"/>
              </w:rPr>
              <w:t>（1）公路两侧声功能区达标情况</w:t>
            </w:r>
          </w:p>
          <w:p w14:paraId="1AE9423D">
            <w:pPr>
              <w:pStyle w:val="76"/>
              <w:ind w:firstLine="471"/>
              <w:rPr>
                <w:rFonts w:hint="default" w:ascii="Times New Roman" w:hAnsi="Times New Roman" w:cs="Times New Roman"/>
                <w:color w:val="auto"/>
                <w:highlight w:val="none"/>
              </w:rPr>
            </w:pPr>
            <w:r>
              <w:rPr>
                <w:rFonts w:hint="default" w:ascii="Times New Roman" w:hAnsi="Times New Roman" w:cs="Times New Roman"/>
                <w:color w:val="auto"/>
                <w:highlight w:val="none"/>
              </w:rPr>
              <w:t>在不考虑路基高差、建筑物和树林遮挡屏蔽、背景噪声等因素，也不考虑地面衰减、空气吸收衰减等因素，本项目沿线功能区达标情况如下：</w:t>
            </w:r>
          </w:p>
          <w:p w14:paraId="59AF0E39">
            <w:pPr>
              <w:pStyle w:val="76"/>
              <w:ind w:firstLine="471"/>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K186+282~K200+700为一般路段，非过境段，部分路段单侧有居民区分布，2车道，</w:t>
            </w:r>
            <w:r>
              <w:rPr>
                <w:rFonts w:hint="default" w:ascii="Times New Roman" w:hAnsi="Times New Roman" w:eastAsia="宋体" w:cs="Times New Roman"/>
                <w:color w:val="auto"/>
                <w:highlight w:val="none"/>
              </w:rPr>
              <w:t>设计</w:t>
            </w:r>
            <w:r>
              <w:rPr>
                <w:rFonts w:hint="default" w:ascii="Times New Roman" w:hAnsi="Times New Roman" w:eastAsia="宋体" w:cs="Times New Roman"/>
                <w:color w:val="auto"/>
                <w:highlight w:val="none"/>
                <w:lang w:val="en-US" w:eastAsia="zh-CN"/>
              </w:rPr>
              <w:t>车速</w:t>
            </w:r>
            <w:r>
              <w:rPr>
                <w:rFonts w:hint="default" w:ascii="Times New Roman" w:hAnsi="Times New Roman" w:eastAsia="宋体" w:cs="Times New Roman"/>
                <w:color w:val="auto"/>
                <w:highlight w:val="none"/>
              </w:rPr>
              <w:t>60km/h，4a类区</w:t>
            </w:r>
            <w:r>
              <w:rPr>
                <w:rFonts w:hint="default" w:ascii="Times New Roman" w:hAnsi="Times New Roman" w:cs="Times New Roman"/>
                <w:color w:val="auto"/>
                <w:highlight w:val="none"/>
              </w:rPr>
              <w:t>昼间</w:t>
            </w:r>
            <w:r>
              <w:rPr>
                <w:rFonts w:hint="default" w:ascii="Times New Roman" w:hAnsi="Times New Roman" w:cs="Times New Roman"/>
                <w:color w:val="auto"/>
                <w:highlight w:val="none"/>
                <w:lang w:val="en-US" w:eastAsia="zh-CN"/>
              </w:rPr>
              <w:t>和夜间的</w:t>
            </w:r>
            <w:r>
              <w:rPr>
                <w:rFonts w:hint="default" w:ascii="Times New Roman" w:hAnsi="Times New Roman" w:cs="Times New Roman"/>
                <w:color w:val="auto"/>
                <w:highlight w:val="none"/>
              </w:rPr>
              <w:t>近、中、远期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2类功能区</w:t>
            </w:r>
            <w:r>
              <w:rPr>
                <w:rFonts w:hint="default" w:ascii="Times New Roman" w:hAnsi="Times New Roman" w:cs="Times New Roman"/>
                <w:color w:val="auto"/>
                <w:highlight w:val="none"/>
              </w:rPr>
              <w:t>昼间近、中、远期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夜间的</w:t>
            </w:r>
            <w:r>
              <w:rPr>
                <w:rFonts w:hint="default" w:ascii="Times New Roman" w:hAnsi="Times New Roman" w:cs="Times New Roman"/>
                <w:color w:val="auto"/>
                <w:highlight w:val="none"/>
              </w:rPr>
              <w:t>近、中期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夜间远期道路中心线外49m</w:t>
            </w:r>
            <w:r>
              <w:rPr>
                <w:rFonts w:hint="default" w:ascii="Times New Roman" w:hAnsi="Times New Roman" w:cs="Times New Roman"/>
                <w:color w:val="auto"/>
                <w:highlight w:val="none"/>
              </w:rPr>
              <w:t>达标</w:t>
            </w:r>
            <w:r>
              <w:rPr>
                <w:rFonts w:hint="default" w:ascii="Times New Roman" w:hAnsi="Times New Roman" w:cs="Times New Roman"/>
                <w:color w:val="auto"/>
                <w:highlight w:val="none"/>
                <w:lang w:eastAsia="zh-CN"/>
              </w:rPr>
              <w:t>；</w:t>
            </w:r>
          </w:p>
          <w:p w14:paraId="6DC8DEDF">
            <w:pPr>
              <w:pStyle w:val="76"/>
              <w:ind w:firstLine="471"/>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K200+700~K202+383兴凯镇路段，为过境段，</w:t>
            </w:r>
            <w:r>
              <w:rPr>
                <w:rFonts w:hint="default" w:ascii="Times New Roman" w:hAnsi="Times New Roman" w:eastAsia="宋体" w:cs="Times New Roman"/>
                <w:color w:val="auto"/>
                <w:highlight w:val="none"/>
                <w:lang w:val="en-US" w:eastAsia="zh-CN"/>
              </w:rPr>
              <w:t>2车道，</w:t>
            </w:r>
            <w:r>
              <w:rPr>
                <w:rFonts w:hint="default" w:ascii="Times New Roman" w:hAnsi="Times New Roman" w:eastAsia="宋体" w:cs="Times New Roman"/>
                <w:color w:val="auto"/>
                <w:kern w:val="2"/>
                <w:sz w:val="24"/>
                <w:szCs w:val="24"/>
                <w:highlight w:val="none"/>
                <w:lang w:val="en-US" w:eastAsia="zh-CN" w:bidi="ar-SA"/>
              </w:rPr>
              <w:t>限速40km/h，</w:t>
            </w:r>
            <w:r>
              <w:rPr>
                <w:rFonts w:hint="default" w:ascii="Times New Roman" w:hAnsi="Times New Roman" w:eastAsia="宋体" w:cs="Times New Roman"/>
                <w:color w:val="auto"/>
                <w:highlight w:val="none"/>
              </w:rPr>
              <w:t>4a类区</w:t>
            </w:r>
            <w:r>
              <w:rPr>
                <w:rFonts w:hint="default" w:ascii="Times New Roman" w:hAnsi="Times New Roman" w:cs="Times New Roman"/>
                <w:color w:val="auto"/>
                <w:highlight w:val="none"/>
              </w:rPr>
              <w:t>昼间</w:t>
            </w:r>
            <w:r>
              <w:rPr>
                <w:rFonts w:hint="default" w:ascii="Times New Roman" w:hAnsi="Times New Roman" w:cs="Times New Roman"/>
                <w:color w:val="auto"/>
                <w:highlight w:val="none"/>
                <w:lang w:val="en-US" w:eastAsia="zh-CN"/>
              </w:rPr>
              <w:t>和夜间的</w:t>
            </w:r>
            <w:r>
              <w:rPr>
                <w:rFonts w:hint="default" w:ascii="Times New Roman" w:hAnsi="Times New Roman" w:cs="Times New Roman"/>
                <w:color w:val="auto"/>
                <w:highlight w:val="none"/>
              </w:rPr>
              <w:t>近、中、远期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2类功能区</w:t>
            </w:r>
            <w:r>
              <w:rPr>
                <w:rFonts w:hint="default" w:ascii="Times New Roman" w:hAnsi="Times New Roman" w:cs="Times New Roman"/>
                <w:color w:val="auto"/>
                <w:highlight w:val="none"/>
              </w:rPr>
              <w:t>昼间近、中、远期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夜间的</w:t>
            </w:r>
            <w:r>
              <w:rPr>
                <w:rFonts w:hint="default" w:ascii="Times New Roman" w:hAnsi="Times New Roman" w:cs="Times New Roman"/>
                <w:color w:val="auto"/>
                <w:highlight w:val="none"/>
              </w:rPr>
              <w:t>近、中期</w:t>
            </w:r>
            <w:r>
              <w:rPr>
                <w:rFonts w:hint="default" w:ascii="Times New Roman" w:hAnsi="Times New Roman" w:cs="Times New Roman"/>
                <w:color w:val="auto"/>
                <w:highlight w:val="none"/>
                <w:lang w:val="en-US" w:eastAsia="zh-CN"/>
              </w:rPr>
              <w:t>噪声预测值</w:t>
            </w:r>
            <w:r>
              <w:rPr>
                <w:rFonts w:hint="default" w:ascii="Times New Roman" w:hAnsi="Times New Roman" w:cs="Times New Roman"/>
                <w:color w:val="auto"/>
                <w:highlight w:val="none"/>
              </w:rPr>
              <w:t>均达标</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夜间远期道路中心线外46m</w:t>
            </w:r>
            <w:r>
              <w:rPr>
                <w:rFonts w:hint="default" w:ascii="Times New Roman" w:hAnsi="Times New Roman" w:cs="Times New Roman"/>
                <w:color w:val="auto"/>
                <w:highlight w:val="none"/>
              </w:rPr>
              <w:t>达标</w:t>
            </w:r>
            <w:r>
              <w:rPr>
                <w:rFonts w:hint="default" w:ascii="Times New Roman" w:hAnsi="Times New Roman" w:eastAsia="宋体" w:cs="Times New Roman"/>
                <w:color w:val="auto"/>
                <w:kern w:val="2"/>
                <w:sz w:val="24"/>
                <w:szCs w:val="24"/>
                <w:highlight w:val="none"/>
                <w:lang w:val="en-US" w:eastAsia="zh-CN" w:bidi="ar-SA"/>
              </w:rPr>
              <w:t>。</w:t>
            </w:r>
          </w:p>
          <w:p w14:paraId="2BEE8CC3">
            <w:pPr>
              <w:pStyle w:val="76"/>
              <w:ind w:firstLine="471"/>
              <w:rPr>
                <w:rFonts w:hint="default" w:ascii="Times New Roman" w:hAnsi="Times New Roman" w:cs="Times New Roman"/>
                <w:color w:val="auto"/>
                <w:highlight w:val="none"/>
              </w:rPr>
            </w:pPr>
            <w:r>
              <w:rPr>
                <w:rFonts w:hint="default" w:ascii="Times New Roman" w:hAnsi="Times New Roman" w:cs="Times New Roman"/>
                <w:color w:val="auto"/>
                <w:highlight w:val="none"/>
              </w:rPr>
              <w:t>（2）道路沿线声环境保护目标预测</w:t>
            </w:r>
          </w:p>
          <w:p w14:paraId="116FA9B2">
            <w:pPr>
              <w:pStyle w:val="76"/>
              <w:ind w:firstLine="471"/>
              <w:rPr>
                <w:rFonts w:hint="default" w:ascii="Times New Roman" w:hAnsi="Times New Roman" w:cs="Times New Roman"/>
                <w:color w:val="auto"/>
                <w:highlight w:val="none"/>
              </w:rPr>
            </w:pPr>
            <w:r>
              <w:rPr>
                <w:rFonts w:hint="default" w:ascii="Times New Roman" w:hAnsi="Times New Roman" w:cs="Times New Roman"/>
                <w:color w:val="auto"/>
                <w:highlight w:val="none"/>
              </w:rPr>
              <w:t>考虑地形高程、</w:t>
            </w:r>
            <w:r>
              <w:rPr>
                <w:rFonts w:hint="default" w:ascii="Times New Roman" w:hAnsi="Times New Roman" w:cs="Times New Roman"/>
                <w:color w:val="auto"/>
                <w:highlight w:val="none"/>
                <w:lang w:val="en-US" w:eastAsia="zh-CN"/>
              </w:rPr>
              <w:t>建筑物阻隔，</w:t>
            </w:r>
            <w:r>
              <w:rPr>
                <w:rFonts w:hint="default" w:ascii="Times New Roman" w:hAnsi="Times New Roman" w:cs="Times New Roman"/>
                <w:color w:val="auto"/>
                <w:highlight w:val="none"/>
              </w:rPr>
              <w:t>考虑空气吸声、考虑背景噪声叠加、考虑地面粗糙度、考虑上坡修正等因素情况下：</w:t>
            </w:r>
          </w:p>
          <w:p w14:paraId="57A6C1A0">
            <w:pPr>
              <w:pStyle w:val="76"/>
              <w:ind w:firstLine="471"/>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八五一一农场九队的第一排居民区位于4a类功能区，近、中、远期昼夜间均满足《声环境质量标准》（GB3096-2008）4a类区标准；八五一一农场九队的第二排居民区和八五一一农场七队第一排住宅位于2类功能区，近、中、远期的昼间夜间均满足《声环境质量标准》（GB3096-2008）2类区标准。</w:t>
            </w:r>
          </w:p>
          <w:p w14:paraId="3494B583">
            <w:pPr>
              <w:pStyle w:val="76"/>
              <w:ind w:firstLine="471"/>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过境段（设计车速40km/h）中省八五一一农场医院、中发家园、兴凯镇平房等2类声功能区近期昼夜间噪声预测值均能够满足《声环境质量标准》2类区标准，中期和远期昼间噪声预测值均能够满足《声环境质量标准》2类区标准，中期和远期夜间省八五一一农场医院、中发家园和兴凯镇噪声预测值存在超标现象，最大超标量为2.6dB(A)。兴凯镇临街居民楼、牡丹江管理局兽医实验室、兴凯镇的4a类声功能区近、中、远期昼间均满足《声环境质量标准》（GB3096-2008）4a类区标准，4a类声功能区近、中、远期夜间均存在超标现象，最大超标量为兴凯镇第一排5.0dB(A)。</w:t>
            </w:r>
          </w:p>
          <w:p w14:paraId="78ED5DD9">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运营期声环境影响分析详见声环境影响评价专题报告。</w:t>
            </w:r>
          </w:p>
          <w:p w14:paraId="4D8A0E79">
            <w:pPr>
              <w:pStyle w:val="76"/>
              <w:rPr>
                <w:rFonts w:hint="default" w:ascii="Times New Roman" w:hAnsi="Times New Roman" w:eastAsia="宋体" w:cs="Times New Roman"/>
                <w:color w:val="auto"/>
                <w:lang w:val="en-US" w:eastAsia="zh-CN"/>
              </w:rPr>
            </w:pPr>
            <w:r>
              <w:rPr>
                <w:rFonts w:hint="default" w:ascii="Times New Roman" w:hAnsi="Times New Roman" w:cs="Times New Roman"/>
                <w:color w:val="auto"/>
              </w:rPr>
              <w:t>5、固体废物</w:t>
            </w:r>
            <w:r>
              <w:rPr>
                <w:rFonts w:hint="default" w:ascii="Times New Roman" w:hAnsi="Times New Roman" w:cs="Times New Roman"/>
                <w:color w:val="auto"/>
                <w:lang w:val="en-US" w:eastAsia="zh-CN"/>
              </w:rPr>
              <w:t>影响分析</w:t>
            </w:r>
          </w:p>
          <w:p w14:paraId="26871BD0">
            <w:pPr>
              <w:pStyle w:val="76"/>
              <w:rPr>
                <w:rFonts w:hint="default" w:ascii="Times New Roman" w:hAnsi="Times New Roman" w:eastAsia="宋体" w:cs="Times New Roman"/>
                <w:color w:val="auto"/>
                <w:lang w:eastAsia="zh-CN"/>
              </w:rPr>
            </w:pPr>
            <w:r>
              <w:rPr>
                <w:rFonts w:hint="default" w:ascii="Times New Roman" w:hAnsi="Times New Roman" w:cs="Times New Roman"/>
                <w:color w:val="auto"/>
              </w:rPr>
              <w:t>本项目运营期主要产生的固体废物为路面垃圾，主要来自运输车辆进行过程中散落的运载物、发生交通事故车辆散落的货物、沿途人为丢弃的物品等，其形式为沿公路呈线性分布，产生的固体废物较少，由路政部门定期清扫，产生的污染物及时清理，对环境的影响较小</w:t>
            </w:r>
            <w:r>
              <w:rPr>
                <w:rFonts w:hint="default" w:ascii="Times New Roman" w:hAnsi="Times New Roman" w:cs="Times New Roman"/>
                <w:color w:val="auto"/>
                <w:lang w:eastAsia="zh-CN"/>
              </w:rPr>
              <w:t>。</w:t>
            </w:r>
          </w:p>
          <w:p w14:paraId="3110DBAE">
            <w:pPr>
              <w:pStyle w:val="76"/>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6、环境风险影响分析</w:t>
            </w:r>
          </w:p>
          <w:p w14:paraId="69204F66">
            <w:pPr>
              <w:pStyle w:val="76"/>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cs="Times New Roman"/>
                <w:color w:val="auto"/>
              </w:rPr>
            </w:pPr>
            <w:r>
              <w:rPr>
                <w:rFonts w:hint="default" w:ascii="Times New Roman" w:hAnsi="Times New Roman" w:eastAsia="宋体" w:cs="Times New Roman"/>
                <w:color w:val="auto"/>
                <w:lang w:val="en-US" w:eastAsia="zh-CN"/>
              </w:rPr>
              <w:t>本项目运营期主要污染为汽车尾气和路面径流污水，一般情况下，道路对沿线区域的环境质量不会造成不利影响。然而，由于公路上行驶车辆难免因各种原因发生意外，造成车辆颠覆，从而导致货物破损和人员伤亡。公路运输易燃易爆危险品过程中，一旦发生事故很难及时扑救，对环境造成一定影响；对于运输有毒气体车辆泄漏事故，因其排放总量小，只要人员及时撤离到一定的距离就可避免伤亡，对已排泄到空气的有毒气体只能靠大气扩散、稀释逐渐降低有毒气体浓度；对环境危害最大的是有毒有害物质进入地表水体和土壤环境中。对本项目而言，由于交通事故、储罐老化破裂等导致车辆运输危险品泄漏、爆炸等隐患，事故时危险品进入水体和土壤，会导致地表水体和土壤环境遭受污染。</w:t>
            </w:r>
            <w:r>
              <w:rPr>
                <w:rFonts w:hint="default" w:ascii="Times New Roman" w:hAnsi="Times New Roman" w:cs="Times New Roman"/>
                <w:color w:val="auto"/>
              </w:rPr>
              <w:t>由于本项目路况良好，运输危险化学品的车辆在该路段发生事故的概率较低。通过加强对运输车辆的管理，提醒危险品运输司机此路段减速行驶，减少危险事故的发生。如发生风险事故，立即通知风险应急小组，及时启动突发环境事件应急预案。</w:t>
            </w:r>
          </w:p>
        </w:tc>
      </w:tr>
      <w:tr w14:paraId="70992C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79" w:hRule="atLeast"/>
          <w:jc w:val="center"/>
        </w:trPr>
        <w:tc>
          <w:tcPr>
            <w:tcW w:w="799" w:type="dxa"/>
            <w:noWrap w:val="0"/>
            <w:tcMar>
              <w:left w:w="28" w:type="dxa"/>
              <w:right w:w="28" w:type="dxa"/>
            </w:tcMar>
            <w:vAlign w:val="center"/>
          </w:tcPr>
          <w:p w14:paraId="0A0CCDE0">
            <w:pPr>
              <w:pStyle w:val="25"/>
              <w:adjustRightInd w:val="0"/>
              <w:snapToGrid w:val="0"/>
              <w:spacing w:before="0" w:beforeAutospacing="0" w:after="0" w:afterAutospacing="0"/>
              <w:jc w:val="center"/>
              <w:rPr>
                <w:rFonts w:hint="default" w:ascii="Times New Roman" w:hAnsi="Times New Roman" w:cs="Times New Roman"/>
                <w:bCs/>
                <w:color w:val="auto"/>
                <w:spacing w:val="10"/>
                <w:kern w:val="2"/>
              </w:rPr>
            </w:pPr>
            <w:r>
              <w:rPr>
                <w:rFonts w:hint="default" w:ascii="Times New Roman" w:hAnsi="Times New Roman" w:cs="Times New Roman"/>
                <w:bCs/>
                <w:color w:val="auto"/>
                <w:kern w:val="2"/>
              </w:rPr>
              <w:t>选址选线环境合理性分析</w:t>
            </w:r>
          </w:p>
        </w:tc>
        <w:tc>
          <w:tcPr>
            <w:tcW w:w="8050" w:type="dxa"/>
            <w:noWrap w:val="0"/>
            <w:vAlign w:val="top"/>
          </w:tcPr>
          <w:p w14:paraId="64383995">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1、路线方案的选址合理性分析</w:t>
            </w:r>
          </w:p>
          <w:p w14:paraId="66977B28">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本项目所在路段属于《国家发展改革委 交通运输部关于印发&lt;国家公路网规划&gt;的通知》（发改基础〔2022〕1033号）</w:t>
            </w:r>
            <w:r>
              <w:rPr>
                <w:rFonts w:hint="eastAsia" w:ascii="Times New Roman" w:hAnsi="Times New Roman" w:cs="Times New Roman"/>
                <w:color w:val="auto"/>
                <w:highlight w:val="none"/>
                <w:lang w:val="en-US" w:eastAsia="zh-CN"/>
              </w:rPr>
              <w:t>中</w:t>
            </w:r>
            <w:r>
              <w:rPr>
                <w:rFonts w:hint="default" w:ascii="Times New Roman" w:hAnsi="Times New Roman" w:cs="Times New Roman"/>
                <w:color w:val="auto"/>
                <w:highlight w:val="none"/>
                <w:lang w:val="en-US" w:eastAsia="zh-CN"/>
              </w:rPr>
              <w:t>普通国道182条联络线的</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G501集贤—当壁</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Hans"/>
              </w:rPr>
              <w:t>中的一部分</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本次对现有道路进行改造，以路面改造为主，建设内容包括</w:t>
            </w:r>
            <w:r>
              <w:rPr>
                <w:rFonts w:hint="default" w:ascii="Times New Roman" w:hAnsi="Times New Roman" w:eastAsia="宋体" w:cs="Times New Roman"/>
                <w:color w:val="auto"/>
                <w:kern w:val="0"/>
                <w:sz w:val="24"/>
                <w:szCs w:val="24"/>
                <w:highlight w:val="none"/>
                <w:lang w:val="en-US" w:eastAsia="zh-CN" w:bidi="ar-SA"/>
              </w:rPr>
              <w:t>路面改造、</w:t>
            </w:r>
            <w:r>
              <w:rPr>
                <w:rFonts w:hint="default" w:ascii="Times New Roman" w:hAnsi="Times New Roman" w:cs="Times New Roman"/>
                <w:color w:val="auto"/>
                <w:kern w:val="0"/>
                <w:sz w:val="24"/>
                <w:szCs w:val="24"/>
                <w:highlight w:val="none"/>
                <w:lang w:val="en-US" w:eastAsia="zh-CN" w:bidi="ar-SA"/>
              </w:rPr>
              <w:t>涵洞重建</w:t>
            </w:r>
            <w:r>
              <w:rPr>
                <w:rFonts w:hint="default" w:ascii="Times New Roman" w:hAnsi="Times New Roman" w:eastAsia="宋体" w:cs="Times New Roman"/>
                <w:color w:val="auto"/>
                <w:kern w:val="0"/>
                <w:sz w:val="24"/>
                <w:szCs w:val="24"/>
                <w:highlight w:val="none"/>
                <w:lang w:val="en-US" w:eastAsia="zh-CN" w:bidi="ar-SA"/>
              </w:rPr>
              <w:t>、标志、护栏等安全设施的维修</w:t>
            </w:r>
            <w:r>
              <w:rPr>
                <w:rFonts w:hint="default" w:ascii="Times New Roman" w:hAnsi="Times New Roman" w:cs="Times New Roman"/>
                <w:color w:val="auto"/>
                <w:kern w:val="0"/>
                <w:sz w:val="24"/>
                <w:szCs w:val="24"/>
                <w:highlight w:val="none"/>
                <w:lang w:val="en-US" w:eastAsia="zh-CN" w:bidi="ar-SA"/>
              </w:rPr>
              <w:t>建设</w:t>
            </w:r>
            <w:r>
              <w:rPr>
                <w:rFonts w:hint="default" w:ascii="Times New Roman" w:hAnsi="Times New Roman" w:cs="Times New Roman"/>
                <w:color w:val="auto"/>
                <w:highlight w:val="none"/>
              </w:rPr>
              <w:t>等。本项目不涉及道路改线，不涉及新增永久占地，项目建设方案合理。</w:t>
            </w:r>
          </w:p>
          <w:p w14:paraId="196D8717">
            <w:pPr>
              <w:pStyle w:val="76"/>
              <w:rPr>
                <w:rFonts w:hint="default" w:ascii="Times New Roman" w:hAnsi="Times New Roman" w:cs="Times New Roman"/>
                <w:color w:val="auto"/>
              </w:rPr>
            </w:pPr>
            <w:r>
              <w:rPr>
                <w:rFonts w:hint="default" w:ascii="Times New Roman" w:hAnsi="Times New Roman" w:cs="Times New Roman"/>
                <w:color w:val="auto"/>
              </w:rPr>
              <w:t>2、临时工程选址合理性分析</w:t>
            </w:r>
          </w:p>
          <w:p w14:paraId="18BDD875">
            <w:pPr>
              <w:pStyle w:val="76"/>
              <w:rPr>
                <w:rFonts w:hint="default" w:ascii="Times New Roman" w:hAnsi="Times New Roman" w:cs="Times New Roman"/>
                <w:color w:val="auto"/>
              </w:rPr>
            </w:pPr>
            <w:r>
              <w:rPr>
                <w:rFonts w:hint="default" w:ascii="Times New Roman" w:hAnsi="Times New Roman" w:cs="Times New Roman"/>
                <w:color w:val="auto"/>
              </w:rPr>
              <w:t>（1）拌合站选址合理性分析</w:t>
            </w:r>
          </w:p>
          <w:p w14:paraId="6405FFE9">
            <w:pPr>
              <w:pStyle w:val="76"/>
              <w:rPr>
                <w:rFonts w:hint="default" w:ascii="Times New Roman" w:hAnsi="Times New Roman" w:cs="Times New Roman"/>
                <w:color w:val="auto"/>
              </w:rPr>
            </w:pPr>
            <w:r>
              <w:rPr>
                <w:rFonts w:hint="default" w:ascii="Times New Roman" w:hAnsi="Times New Roman" w:cs="Times New Roman"/>
                <w:color w:val="auto"/>
              </w:rPr>
              <w:t>①设置原则</w:t>
            </w:r>
          </w:p>
          <w:p w14:paraId="60AFD6E8">
            <w:pPr>
              <w:pStyle w:val="76"/>
              <w:rPr>
                <w:rFonts w:hint="default" w:ascii="Times New Roman" w:hAnsi="Times New Roman" w:cs="Times New Roman"/>
                <w:color w:val="auto"/>
              </w:rPr>
            </w:pPr>
            <w:r>
              <w:rPr>
                <w:rFonts w:hint="default" w:ascii="Times New Roman" w:hAnsi="Times New Roman" w:cs="Times New Roman"/>
                <w:color w:val="auto"/>
              </w:rPr>
              <w:t>根据《自然资源部关于规范临时用地管理的通知》（自然资规[2021]2号）要求，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w:t>
            </w:r>
          </w:p>
          <w:p w14:paraId="27F7E75B">
            <w:pPr>
              <w:pStyle w:val="76"/>
              <w:rPr>
                <w:rFonts w:hint="default" w:ascii="Times New Roman" w:hAnsi="Times New Roman" w:cs="Times New Roman"/>
                <w:color w:val="auto"/>
              </w:rPr>
            </w:pPr>
            <w:r>
              <w:rPr>
                <w:rFonts w:hint="default" w:ascii="Times New Roman" w:hAnsi="Times New Roman" w:cs="Times New Roman"/>
                <w:color w:val="auto"/>
              </w:rPr>
              <w:t>拌合站不占用基本草原、永久基本农田、自然保护区、森林公园、风景名胜区及饮用水水源保护区等，</w:t>
            </w:r>
            <w:r>
              <w:rPr>
                <w:rFonts w:hint="eastAsia" w:cs="Times New Roman"/>
                <w:color w:val="auto"/>
                <w:lang w:eastAsia="zh-CN"/>
              </w:rPr>
              <w:t>沥青混凝土拌合站</w:t>
            </w:r>
            <w:r>
              <w:rPr>
                <w:rFonts w:hint="default" w:ascii="Times New Roman" w:hAnsi="Times New Roman" w:cs="Times New Roman"/>
                <w:color w:val="auto"/>
              </w:rPr>
              <w:t>距环境保护目标距离不宜小于300m，混凝土拌合站距环境保护目标距离不宜小于200m，且位置应交通便利，避免运距过长，减少施工便道的修建。</w:t>
            </w:r>
          </w:p>
          <w:p w14:paraId="7DB63077">
            <w:pPr>
              <w:pStyle w:val="76"/>
              <w:rPr>
                <w:rFonts w:hint="default" w:ascii="Times New Roman" w:hAnsi="Times New Roman" w:cs="Times New Roman"/>
                <w:color w:val="auto"/>
              </w:rPr>
            </w:pPr>
            <w:r>
              <w:rPr>
                <w:rFonts w:hint="default" w:ascii="Times New Roman" w:hAnsi="Times New Roman" w:cs="Times New Roman"/>
                <w:color w:val="auto"/>
              </w:rPr>
              <w:t>②设置合理性分析</w:t>
            </w:r>
          </w:p>
          <w:p w14:paraId="785D3936">
            <w:pPr>
              <w:pStyle w:val="76"/>
              <w:rPr>
                <w:rFonts w:hint="default" w:ascii="Times New Roman" w:hAnsi="Times New Roman" w:cs="Times New Roman"/>
                <w:color w:val="auto"/>
              </w:rPr>
            </w:pPr>
            <w:r>
              <w:rPr>
                <w:rFonts w:hint="default" w:ascii="Times New Roman" w:hAnsi="Times New Roman" w:cs="Times New Roman"/>
                <w:color w:val="auto"/>
              </w:rPr>
              <w:t>本项目仅设置1处</w:t>
            </w:r>
            <w:r>
              <w:rPr>
                <w:rFonts w:hint="eastAsia" w:cs="Times New Roman"/>
                <w:color w:val="auto"/>
                <w:lang w:eastAsia="zh-CN"/>
              </w:rPr>
              <w:t>沥青混凝土拌合站</w:t>
            </w:r>
            <w:r>
              <w:rPr>
                <w:rFonts w:hint="default" w:ascii="Times New Roman" w:hAnsi="Times New Roman" w:cs="Times New Roman"/>
                <w:color w:val="auto"/>
              </w:rPr>
              <w:t>，为工业用地，不占用耕地和基本农田，选址合理性分析见表4-</w:t>
            </w:r>
            <w:r>
              <w:rPr>
                <w:rFonts w:hint="eastAsia" w:cs="Times New Roman"/>
                <w:color w:val="auto"/>
                <w:lang w:val="en-US" w:eastAsia="zh-CN"/>
              </w:rPr>
              <w:t>2</w:t>
            </w:r>
            <w:r>
              <w:rPr>
                <w:rFonts w:hint="default" w:ascii="Times New Roman" w:hAnsi="Times New Roman" w:cs="Times New Roman"/>
                <w:color w:val="auto"/>
              </w:rPr>
              <w:t>。</w:t>
            </w:r>
          </w:p>
          <w:p w14:paraId="0B31291C">
            <w:pPr>
              <w:pStyle w:val="76"/>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color w:val="auto"/>
                <w:lang w:val="en-US" w:eastAsia="zh-CN"/>
              </w:rPr>
            </w:pPr>
          </w:p>
        </w:tc>
      </w:tr>
      <w:tr w14:paraId="066D00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415" w:hRule="atLeast"/>
          <w:jc w:val="center"/>
        </w:trPr>
        <w:tc>
          <w:tcPr>
            <w:tcW w:w="799" w:type="dxa"/>
            <w:noWrap w:val="0"/>
            <w:vAlign w:val="center"/>
          </w:tcPr>
          <w:p w14:paraId="194BAE20">
            <w:pPr>
              <w:pStyle w:val="25"/>
              <w:adjustRightInd w:val="0"/>
              <w:snapToGrid w:val="0"/>
              <w:spacing w:before="0" w:beforeAutospacing="0" w:after="0" w:afterAutospacing="0"/>
              <w:jc w:val="center"/>
              <w:rPr>
                <w:rFonts w:hint="default" w:ascii="Times New Roman" w:hAnsi="Times New Roman" w:cs="Times New Roman"/>
                <w:bCs/>
                <w:color w:val="auto"/>
                <w:kern w:val="2"/>
              </w:rPr>
            </w:pPr>
          </w:p>
        </w:tc>
        <w:tc>
          <w:tcPr>
            <w:tcW w:w="8050" w:type="dxa"/>
            <w:noWrap w:val="0"/>
            <w:vAlign w:val="top"/>
          </w:tcPr>
          <w:p w14:paraId="05CC73DD">
            <w:pPr>
              <w:pStyle w:val="72"/>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表4-</w:t>
            </w:r>
            <w:r>
              <w:rPr>
                <w:rFonts w:hint="eastAsia" w:ascii="Times New Roman" w:hAnsi="Times New Roman" w:eastAsia="宋体" w:cs="Times New Roman"/>
                <w:b/>
                <w:bCs/>
                <w:color w:val="auto"/>
                <w:lang w:val="en-US" w:eastAsia="zh-CN"/>
              </w:rPr>
              <w:t>2</w:t>
            </w:r>
            <w:r>
              <w:rPr>
                <w:rFonts w:hint="default" w:ascii="Times New Roman" w:hAnsi="Times New Roman" w:eastAsia="宋体" w:cs="Times New Roman"/>
                <w:b/>
                <w:bCs/>
                <w:color w:val="auto"/>
              </w:rPr>
              <w:t xml:space="preserve">  拌合站设置合理性分析</w:t>
            </w:r>
          </w:p>
          <w:tbl>
            <w:tblPr>
              <w:tblStyle w:val="30"/>
              <w:tblW w:w="5000" w:type="pct"/>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25"/>
              <w:gridCol w:w="1385"/>
              <w:gridCol w:w="1316"/>
              <w:gridCol w:w="1000"/>
              <w:gridCol w:w="3308"/>
            </w:tblGrid>
            <w:tr w14:paraId="46586ABB">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527" w:type="pct"/>
                  <w:tcBorders>
                    <w:tl2br w:val="nil"/>
                    <w:tr2bl w:val="nil"/>
                  </w:tcBorders>
                  <w:vAlign w:val="center"/>
                </w:tcPr>
                <w:p w14:paraId="31303E26">
                  <w:pPr>
                    <w:pStyle w:val="80"/>
                    <w:rPr>
                      <w:rFonts w:hint="default" w:ascii="Times New Roman" w:hAnsi="Times New Roman" w:cs="Times New Roman"/>
                      <w:color w:val="auto"/>
                    </w:rPr>
                  </w:pPr>
                  <w:r>
                    <w:rPr>
                      <w:rFonts w:hint="default" w:ascii="Times New Roman" w:hAnsi="Times New Roman" w:cs="Times New Roman"/>
                      <w:color w:val="auto"/>
                    </w:rPr>
                    <w:t>工程名称</w:t>
                  </w:r>
                </w:p>
              </w:tc>
              <w:tc>
                <w:tcPr>
                  <w:tcW w:w="884" w:type="pct"/>
                  <w:tcBorders>
                    <w:tl2br w:val="nil"/>
                    <w:tr2bl w:val="nil"/>
                  </w:tcBorders>
                  <w:vAlign w:val="center"/>
                </w:tcPr>
                <w:p w14:paraId="62711C55">
                  <w:pPr>
                    <w:pStyle w:val="80"/>
                    <w:rPr>
                      <w:rFonts w:hint="default" w:ascii="Times New Roman" w:hAnsi="Times New Roman" w:cs="Times New Roman"/>
                      <w:color w:val="auto"/>
                    </w:rPr>
                  </w:pPr>
                  <w:r>
                    <w:rPr>
                      <w:rFonts w:hint="default" w:ascii="Times New Roman" w:hAnsi="Times New Roman" w:cs="Times New Roman"/>
                      <w:color w:val="auto"/>
                    </w:rPr>
                    <w:t>桩号位置</w:t>
                  </w:r>
                </w:p>
              </w:tc>
              <w:tc>
                <w:tcPr>
                  <w:tcW w:w="840" w:type="pct"/>
                  <w:tcBorders>
                    <w:tl2br w:val="nil"/>
                    <w:tr2bl w:val="nil"/>
                  </w:tcBorders>
                  <w:vAlign w:val="center"/>
                </w:tcPr>
                <w:p w14:paraId="5B01AF5F">
                  <w:pPr>
                    <w:pStyle w:val="80"/>
                    <w:rPr>
                      <w:rFonts w:hint="default" w:ascii="Times New Roman" w:hAnsi="Times New Roman" w:cs="Times New Roman"/>
                      <w:color w:val="auto"/>
                    </w:rPr>
                  </w:pPr>
                  <w:r>
                    <w:rPr>
                      <w:rFonts w:hint="default" w:ascii="Times New Roman" w:hAnsi="Times New Roman" w:cs="Times New Roman"/>
                      <w:color w:val="auto"/>
                    </w:rPr>
                    <w:t>占地类型</w:t>
                  </w:r>
                </w:p>
              </w:tc>
              <w:tc>
                <w:tcPr>
                  <w:tcW w:w="638" w:type="pct"/>
                  <w:tcBorders>
                    <w:tl2br w:val="nil"/>
                    <w:tr2bl w:val="nil"/>
                  </w:tcBorders>
                  <w:vAlign w:val="center"/>
                </w:tcPr>
                <w:p w14:paraId="17F3EECA">
                  <w:pPr>
                    <w:pStyle w:val="80"/>
                    <w:rPr>
                      <w:rFonts w:hint="default" w:ascii="Times New Roman" w:hAnsi="Times New Roman" w:cs="Times New Roman"/>
                      <w:color w:val="auto"/>
                    </w:rPr>
                  </w:pPr>
                  <w:r>
                    <w:rPr>
                      <w:rFonts w:hint="default" w:ascii="Times New Roman" w:hAnsi="Times New Roman" w:cs="Times New Roman"/>
                      <w:color w:val="auto"/>
                    </w:rPr>
                    <w:t>面积</w:t>
                  </w:r>
                </w:p>
                <w:p w14:paraId="7EB1E481">
                  <w:pPr>
                    <w:pStyle w:val="80"/>
                    <w:rPr>
                      <w:rFonts w:hint="default" w:ascii="Times New Roman" w:hAnsi="Times New Roman" w:cs="Times New Roman"/>
                      <w:color w:val="auto"/>
                    </w:rPr>
                  </w:pPr>
                  <w:r>
                    <w:rPr>
                      <w:rFonts w:hint="default" w:ascii="Times New Roman" w:hAnsi="Times New Roman" w:cs="Times New Roman"/>
                      <w:color w:val="auto"/>
                    </w:rPr>
                    <w:t>（hm</w:t>
                  </w:r>
                  <w:r>
                    <w:rPr>
                      <w:rFonts w:hint="default" w:ascii="Times New Roman" w:hAnsi="Times New Roman" w:cs="Times New Roman"/>
                      <w:color w:val="auto"/>
                      <w:vertAlign w:val="superscript"/>
                    </w:rPr>
                    <w:t>2</w:t>
                  </w:r>
                  <w:r>
                    <w:rPr>
                      <w:rFonts w:hint="default" w:ascii="Times New Roman" w:hAnsi="Times New Roman" w:cs="Times New Roman"/>
                      <w:color w:val="auto"/>
                    </w:rPr>
                    <w:t>）</w:t>
                  </w:r>
                </w:p>
              </w:tc>
              <w:tc>
                <w:tcPr>
                  <w:tcW w:w="2112" w:type="pct"/>
                  <w:tcBorders>
                    <w:tl2br w:val="nil"/>
                    <w:tr2bl w:val="nil"/>
                  </w:tcBorders>
                  <w:vAlign w:val="center"/>
                </w:tcPr>
                <w:p w14:paraId="3342FEC2">
                  <w:pPr>
                    <w:pStyle w:val="80"/>
                    <w:rPr>
                      <w:rFonts w:hint="default" w:ascii="Times New Roman" w:hAnsi="Times New Roman" w:cs="Times New Roman"/>
                      <w:color w:val="auto"/>
                    </w:rPr>
                  </w:pPr>
                  <w:r>
                    <w:rPr>
                      <w:rFonts w:hint="default" w:ascii="Times New Roman" w:hAnsi="Times New Roman" w:cs="Times New Roman"/>
                      <w:color w:val="auto"/>
                    </w:rPr>
                    <w:t>选址合理性分析</w:t>
                  </w:r>
                </w:p>
              </w:tc>
            </w:tr>
            <w:tr w14:paraId="44F79D75">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527" w:type="pct"/>
                  <w:tcBorders>
                    <w:tl2br w:val="nil"/>
                    <w:tr2bl w:val="nil"/>
                  </w:tcBorders>
                  <w:vAlign w:val="center"/>
                </w:tcPr>
                <w:p w14:paraId="5B5DF317">
                  <w:pPr>
                    <w:pStyle w:val="88"/>
                    <w:rPr>
                      <w:rFonts w:hint="eastAsia" w:ascii="Times New Roman" w:hAnsi="Times New Roman" w:eastAsia="宋体" w:cs="Times New Roman"/>
                      <w:color w:val="auto"/>
                      <w:lang w:eastAsia="zh-CN"/>
                    </w:rPr>
                  </w:pPr>
                  <w:r>
                    <w:rPr>
                      <w:rFonts w:hint="eastAsia" w:cs="Times New Roman"/>
                      <w:color w:val="auto"/>
                      <w:lang w:eastAsia="zh-CN"/>
                    </w:rPr>
                    <w:t>沥青混凝土拌合站</w:t>
                  </w:r>
                </w:p>
              </w:tc>
              <w:tc>
                <w:tcPr>
                  <w:tcW w:w="884" w:type="pct"/>
                  <w:tcBorders>
                    <w:tl2br w:val="nil"/>
                    <w:tr2bl w:val="nil"/>
                  </w:tcBorders>
                  <w:vAlign w:val="center"/>
                </w:tcPr>
                <w:p w14:paraId="7511FA2A">
                  <w:pPr>
                    <w:pStyle w:val="88"/>
                    <w:rPr>
                      <w:rFonts w:hint="default" w:ascii="Times New Roman" w:hAnsi="Times New Roman" w:cs="Times New Roman"/>
                      <w:color w:val="auto"/>
                      <w:lang w:val="en-US" w:eastAsia="zh-CN"/>
                    </w:rPr>
                  </w:pPr>
                  <w:r>
                    <w:rPr>
                      <w:rFonts w:hint="default" w:ascii="Times New Roman" w:hAnsi="Times New Roman" w:cs="Times New Roman"/>
                      <w:color w:val="auto"/>
                    </w:rPr>
                    <w:t>K</w:t>
                  </w:r>
                  <w:r>
                    <w:rPr>
                      <w:rFonts w:hint="default" w:ascii="Times New Roman" w:hAnsi="Times New Roman" w:cs="Times New Roman"/>
                      <w:color w:val="auto"/>
                      <w:lang w:val="en-US" w:eastAsia="zh-CN"/>
                    </w:rPr>
                    <w:t>202+383</w:t>
                  </w:r>
                </w:p>
                <w:p w14:paraId="28D86C34">
                  <w:pPr>
                    <w:pStyle w:val="88"/>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西南侧约</w:t>
                  </w:r>
                </w:p>
                <w:p w14:paraId="4EB79E9F">
                  <w:pPr>
                    <w:pStyle w:val="88"/>
                    <w:rPr>
                      <w:rFonts w:hint="default" w:ascii="Times New Roman" w:hAnsi="Times New Roman" w:cs="Times New Roman"/>
                      <w:color w:val="auto"/>
                    </w:rPr>
                  </w:pPr>
                  <w:r>
                    <w:rPr>
                      <w:rFonts w:hint="default" w:ascii="Times New Roman" w:hAnsi="Times New Roman" w:cs="Times New Roman"/>
                      <w:color w:val="auto"/>
                      <w:lang w:val="en-US" w:eastAsia="zh-CN"/>
                    </w:rPr>
                    <w:t>20.8</w:t>
                  </w:r>
                  <w:r>
                    <w:rPr>
                      <w:rFonts w:hint="default" w:ascii="Times New Roman" w:hAnsi="Times New Roman" w:cs="Times New Roman"/>
                      <w:color w:val="auto"/>
                    </w:rPr>
                    <w:t>km</w:t>
                  </w:r>
                </w:p>
              </w:tc>
              <w:tc>
                <w:tcPr>
                  <w:tcW w:w="840" w:type="pct"/>
                  <w:tcBorders>
                    <w:tl2br w:val="nil"/>
                    <w:tr2bl w:val="nil"/>
                  </w:tcBorders>
                  <w:vAlign w:val="center"/>
                </w:tcPr>
                <w:p w14:paraId="205A1D68">
                  <w:pPr>
                    <w:pStyle w:val="88"/>
                    <w:rPr>
                      <w:rFonts w:hint="default" w:ascii="Times New Roman" w:hAnsi="Times New Roman" w:cs="Times New Roman"/>
                      <w:color w:val="auto"/>
                    </w:rPr>
                  </w:pPr>
                  <w:r>
                    <w:rPr>
                      <w:rFonts w:hint="default" w:ascii="Times New Roman" w:hAnsi="Times New Roman" w:cs="Times New Roman"/>
                      <w:color w:val="auto"/>
                    </w:rPr>
                    <w:t>工业用地</w:t>
                  </w:r>
                </w:p>
              </w:tc>
              <w:tc>
                <w:tcPr>
                  <w:tcW w:w="638" w:type="pct"/>
                  <w:tcBorders>
                    <w:tl2br w:val="nil"/>
                    <w:tr2bl w:val="nil"/>
                  </w:tcBorders>
                  <w:vAlign w:val="center"/>
                </w:tcPr>
                <w:p w14:paraId="6AC52E5D">
                  <w:pPr>
                    <w:pStyle w:val="88"/>
                    <w:rPr>
                      <w:rFonts w:hint="default" w:ascii="Times New Roman" w:hAnsi="Times New Roman" w:eastAsia="宋体" w:cs="Times New Roman"/>
                      <w:color w:val="auto"/>
                      <w:lang w:val="en-US" w:eastAsia="zh-CN"/>
                    </w:rPr>
                  </w:pPr>
                  <w:r>
                    <w:rPr>
                      <w:rFonts w:hint="eastAsia" w:cs="Times New Roman"/>
                      <w:color w:val="auto"/>
                      <w:lang w:val="en-US" w:eastAsia="zh-CN"/>
                    </w:rPr>
                    <w:t>3.6</w:t>
                  </w:r>
                </w:p>
              </w:tc>
              <w:tc>
                <w:tcPr>
                  <w:tcW w:w="2112" w:type="pct"/>
                  <w:tcBorders>
                    <w:tl2br w:val="nil"/>
                    <w:tr2bl w:val="nil"/>
                  </w:tcBorders>
                  <w:vAlign w:val="center"/>
                </w:tcPr>
                <w:p w14:paraId="5E3C171D">
                  <w:pPr>
                    <w:pStyle w:val="80"/>
                    <w:rPr>
                      <w:rFonts w:hint="default" w:ascii="Times New Roman" w:hAnsi="Times New Roman" w:eastAsia="宋体" w:cs="Times New Roman"/>
                      <w:color w:val="auto"/>
                      <w:lang w:eastAsia="zh-CN"/>
                    </w:rPr>
                  </w:pPr>
                  <w:r>
                    <w:rPr>
                      <w:rFonts w:hint="default" w:ascii="Times New Roman" w:hAnsi="Times New Roman" w:cs="Times New Roman"/>
                      <w:color w:val="auto"/>
                    </w:rPr>
                    <w:t>不在生态保护红线内，不占用特殊、重要生态环境敏感区，选址周边300m范围无居民分布，距离最近的保护目标为拌合站东北侧约</w:t>
                  </w:r>
                  <w:r>
                    <w:rPr>
                      <w:rFonts w:hint="default" w:ascii="Times New Roman" w:hAnsi="Times New Roman" w:cs="Times New Roman"/>
                      <w:color w:val="auto"/>
                      <w:lang w:val="en-US" w:eastAsia="zh-CN"/>
                    </w:rPr>
                    <w:t>350</w:t>
                  </w:r>
                  <w:r>
                    <w:rPr>
                      <w:rFonts w:hint="default" w:ascii="Times New Roman" w:hAnsi="Times New Roman" w:cs="Times New Roman"/>
                      <w:color w:val="auto"/>
                    </w:rPr>
                    <w:t>m的</w:t>
                  </w:r>
                  <w:r>
                    <w:rPr>
                      <w:rFonts w:hint="default" w:ascii="Times New Roman" w:hAnsi="Times New Roman" w:cs="Times New Roman"/>
                      <w:color w:val="auto"/>
                      <w:lang w:val="en-US" w:eastAsia="zh-CN"/>
                    </w:rPr>
                    <w:t>归仁</w:t>
                  </w:r>
                  <w:r>
                    <w:rPr>
                      <w:rFonts w:hint="default" w:ascii="Times New Roman" w:hAnsi="Times New Roman" w:cs="Times New Roman"/>
                      <w:color w:val="auto"/>
                    </w:rPr>
                    <w:t>村，不占用耕地和永久基本农田及饮用水水源保护区，利用现有乡道，该拌合站运距较近，拌合站设置相对合理</w:t>
                  </w:r>
                  <w:r>
                    <w:rPr>
                      <w:rFonts w:hint="default" w:ascii="Times New Roman" w:hAnsi="Times New Roman" w:cs="Times New Roman"/>
                      <w:color w:val="auto"/>
                      <w:lang w:eastAsia="zh-CN"/>
                    </w:rPr>
                    <w:t>。</w:t>
                  </w:r>
                </w:p>
              </w:tc>
            </w:tr>
          </w:tbl>
          <w:p w14:paraId="52C7B06E">
            <w:pPr>
              <w:pStyle w:val="76"/>
              <w:keepNext w:val="0"/>
              <w:keepLines w:val="0"/>
              <w:pageBreakBefore w:val="0"/>
              <w:widowControl w:val="0"/>
              <w:kinsoku/>
              <w:wordWrap/>
              <w:overflowPunct/>
              <w:autoSpaceDE/>
              <w:autoSpaceDN/>
              <w:bidi w:val="0"/>
              <w:snapToGrid/>
              <w:spacing w:line="500" w:lineRule="exact"/>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（2）施工驻地选址合理性</w:t>
            </w:r>
          </w:p>
          <w:p w14:paraId="42A010F0">
            <w:pPr>
              <w:pStyle w:val="80"/>
              <w:keepNext w:val="0"/>
              <w:keepLines w:val="0"/>
              <w:pageBreakBefore w:val="0"/>
              <w:widowControl w:val="0"/>
              <w:kinsoku/>
              <w:wordWrap/>
              <w:overflowPunct/>
              <w:topLinePunct/>
              <w:autoSpaceDE/>
              <w:autoSpaceDN/>
              <w:bidi w:val="0"/>
              <w:snapToGrid/>
              <w:spacing w:line="500" w:lineRule="exact"/>
              <w:ind w:firstLine="480" w:firstLineChars="200"/>
              <w:jc w:val="both"/>
              <w:rPr>
                <w:rFonts w:hint="default" w:ascii="Times New Roman" w:hAnsi="Times New Roman" w:cs="Times New Roman"/>
                <w:color w:val="auto"/>
              </w:rPr>
            </w:pPr>
            <w:r>
              <w:rPr>
                <w:rFonts w:hint="default" w:ascii="Times New Roman" w:hAnsi="Times New Roman" w:cs="Times New Roman"/>
                <w:color w:val="auto"/>
                <w:sz w:val="24"/>
                <w:szCs w:val="24"/>
              </w:rPr>
              <w:t>本项目设置1处施工驻地，位于K</w:t>
            </w:r>
            <w:r>
              <w:rPr>
                <w:rFonts w:hint="default" w:ascii="Times New Roman" w:hAnsi="Times New Roman" w:cs="Times New Roman"/>
                <w:color w:val="auto"/>
                <w:sz w:val="24"/>
                <w:szCs w:val="24"/>
                <w:lang w:val="en-US" w:eastAsia="zh-CN"/>
              </w:rPr>
              <w:t>202+383西南侧约26.7k</w:t>
            </w:r>
            <w:r>
              <w:rPr>
                <w:rFonts w:hint="default" w:ascii="Times New Roman" w:hAnsi="Times New Roman" w:cs="Times New Roman"/>
                <w:color w:val="auto"/>
                <w:sz w:val="24"/>
                <w:szCs w:val="24"/>
              </w:rPr>
              <w:t>m，占地面积2600m</w:t>
            </w:r>
            <w:r>
              <w:rPr>
                <w:rFonts w:hint="default" w:ascii="Times New Roman" w:hAnsi="Times New Roman" w:cs="Times New Roman"/>
                <w:color w:val="auto"/>
                <w:sz w:val="24"/>
                <w:szCs w:val="24"/>
                <w:vertAlign w:val="superscript"/>
              </w:rPr>
              <w:t>2</w:t>
            </w:r>
            <w:r>
              <w:rPr>
                <w:rFonts w:hint="default" w:ascii="Times New Roman" w:hAnsi="Times New Roman" w:cs="Times New Roman"/>
                <w:color w:val="auto"/>
                <w:sz w:val="24"/>
                <w:szCs w:val="24"/>
              </w:rPr>
              <w:t>，租赁现有闲置场地，用地为工业用地，施工驻地进行人员休息、机械存放，无生产作业环节，对周围环境影响较小，且施工驻地周边交通运输条件较好，选址合理。</w:t>
            </w:r>
          </w:p>
        </w:tc>
      </w:tr>
    </w:tbl>
    <w:p w14:paraId="14606247">
      <w:pPr>
        <w:rPr>
          <w:rFonts w:hint="default" w:ascii="Times New Roman" w:hAnsi="Times New Roman" w:cs="Times New Roman"/>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2C478E67">
      <w:pPr>
        <w:pStyle w:val="25"/>
        <w:spacing w:before="0" w:beforeAutospacing="0" w:after="120" w:afterLines="50" w:afterAutospacing="0"/>
        <w:jc w:val="center"/>
        <w:outlineLvl w:val="0"/>
        <w:rPr>
          <w:rFonts w:hint="default" w:ascii="Times New Roman" w:hAnsi="Times New Roman" w:eastAsia="黑体" w:cs="Times New Roman"/>
          <w:snapToGrid w:val="0"/>
          <w:color w:val="auto"/>
          <w:kern w:val="21"/>
          <w:sz w:val="30"/>
          <w:szCs w:val="30"/>
          <w:highlight w:val="none"/>
        </w:rPr>
      </w:pPr>
      <w:bookmarkStart w:id="11" w:name="_Toc516"/>
      <w:r>
        <w:rPr>
          <w:rFonts w:hint="default" w:ascii="Times New Roman" w:hAnsi="Times New Roman" w:eastAsia="黑体" w:cs="Times New Roman"/>
          <w:snapToGrid w:val="0"/>
          <w:color w:val="auto"/>
          <w:kern w:val="21"/>
          <w:sz w:val="30"/>
          <w:szCs w:val="30"/>
          <w:highlight w:val="none"/>
        </w:rPr>
        <w:t>五、主要生态环境保护措施</w:t>
      </w:r>
      <w:bookmarkEnd w:id="11"/>
    </w:p>
    <w:tbl>
      <w:tblPr>
        <w:tblStyle w:val="30"/>
        <w:tblW w:w="870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56"/>
        <w:gridCol w:w="8050"/>
      </w:tblGrid>
      <w:tr w14:paraId="400723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0F6A2EFF">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cs="Times New Roman"/>
                <w:bCs/>
                <w:color w:val="auto"/>
                <w:highlight w:val="yellow"/>
              </w:rPr>
            </w:pPr>
            <w:r>
              <w:rPr>
                <w:rFonts w:hint="default" w:ascii="Times New Roman" w:hAnsi="Times New Roman" w:cs="Times New Roman"/>
                <w:bCs/>
                <w:color w:val="auto"/>
                <w:spacing w:val="10"/>
                <w:highlight w:val="none"/>
              </w:rPr>
              <w:t>施工期生态环境保护措施</w:t>
            </w:r>
          </w:p>
        </w:tc>
        <w:tc>
          <w:tcPr>
            <w:tcW w:w="8050" w:type="dxa"/>
            <w:noWrap w:val="0"/>
            <w:vAlign w:val="top"/>
          </w:tcPr>
          <w:p w14:paraId="41C8F83B">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color w:val="auto"/>
              </w:rPr>
              <w:t>1</w:t>
            </w:r>
            <w:r>
              <w:rPr>
                <w:rFonts w:hint="eastAsia"/>
                <w:color w:val="auto"/>
              </w:rPr>
              <w:t>、</w:t>
            </w:r>
            <w:r>
              <w:rPr>
                <w:color w:val="auto"/>
              </w:rPr>
              <w:t>生态环境减缓措施</w:t>
            </w:r>
          </w:p>
          <w:p w14:paraId="1367AEE3">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color w:val="auto"/>
              </w:rPr>
              <w:t>本项目施工期生态保护</w:t>
            </w:r>
            <w:r>
              <w:rPr>
                <w:rFonts w:hint="eastAsia"/>
                <w:color w:val="auto"/>
              </w:rPr>
              <w:t>措施包括</w:t>
            </w:r>
            <w:r>
              <w:rPr>
                <w:color w:val="auto"/>
              </w:rPr>
              <w:t>植被保护</w:t>
            </w:r>
            <w:r>
              <w:rPr>
                <w:rFonts w:hint="eastAsia"/>
                <w:color w:val="auto"/>
              </w:rPr>
              <w:t>措施</w:t>
            </w:r>
            <w:r>
              <w:rPr>
                <w:color w:val="auto"/>
              </w:rPr>
              <w:t>、野生动物保护</w:t>
            </w:r>
            <w:r>
              <w:rPr>
                <w:rFonts w:hint="eastAsia"/>
                <w:color w:val="auto"/>
              </w:rPr>
              <w:t>措施</w:t>
            </w:r>
            <w:r>
              <w:rPr>
                <w:color w:val="auto"/>
              </w:rPr>
              <w:t>、水生生物保护</w:t>
            </w:r>
            <w:r>
              <w:rPr>
                <w:rFonts w:hint="eastAsia"/>
                <w:color w:val="auto"/>
              </w:rPr>
              <w:t>措施</w:t>
            </w:r>
            <w:r>
              <w:rPr>
                <w:rFonts w:hint="eastAsia"/>
                <w:color w:val="auto"/>
                <w:lang w:val="en-US" w:eastAsia="zh-CN"/>
              </w:rPr>
              <w:t>等</w:t>
            </w:r>
            <w:r>
              <w:rPr>
                <w:color w:val="auto"/>
              </w:rPr>
              <w:t>，同时配套生态监测与环境管理机制，形成全流程防护体系</w:t>
            </w:r>
            <w:r>
              <w:rPr>
                <w:rFonts w:hint="eastAsia"/>
                <w:color w:val="auto"/>
              </w:rPr>
              <w:t>。</w:t>
            </w:r>
          </w:p>
          <w:p w14:paraId="1EA95D9F">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rFonts w:hint="eastAsia"/>
                <w:color w:val="auto"/>
              </w:rPr>
              <w:t>（1）</w:t>
            </w:r>
            <w:r>
              <w:rPr>
                <w:color w:val="auto"/>
              </w:rPr>
              <w:t>植被</w:t>
            </w:r>
            <w:r>
              <w:rPr>
                <w:rFonts w:hint="eastAsia"/>
                <w:color w:val="auto"/>
              </w:rPr>
              <w:t>保护措施</w:t>
            </w:r>
          </w:p>
          <w:p w14:paraId="3A684963">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rFonts w:hint="eastAsia"/>
                <w:color w:val="auto"/>
                <w:lang w:val="en-US" w:eastAsia="zh-CN"/>
              </w:rPr>
              <w:t>本工程不新增</w:t>
            </w:r>
            <w:r>
              <w:rPr>
                <w:color w:val="auto"/>
              </w:rPr>
              <w:t>永久</w:t>
            </w:r>
            <w:r>
              <w:rPr>
                <w:rFonts w:hint="eastAsia"/>
                <w:color w:val="auto"/>
                <w:lang w:val="en-US" w:eastAsia="zh-CN"/>
              </w:rPr>
              <w:t>占地，</w:t>
            </w:r>
            <w:r>
              <w:rPr>
                <w:color w:val="auto"/>
              </w:rPr>
              <w:t>临时占地</w:t>
            </w:r>
            <w:r>
              <w:rPr>
                <w:rFonts w:hint="eastAsia"/>
                <w:color w:val="auto"/>
                <w:lang w:val="en-US" w:eastAsia="zh-CN"/>
              </w:rPr>
              <w:t>为工业用地，</w:t>
            </w:r>
            <w:r>
              <w:rPr>
                <w:color w:val="auto"/>
              </w:rPr>
              <w:t>施工期优先通过</w:t>
            </w:r>
            <w:r>
              <w:rPr>
                <w:rFonts w:hint="eastAsia"/>
                <w:color w:val="auto"/>
              </w:rPr>
              <w:t>“</w:t>
            </w:r>
            <w:r>
              <w:rPr>
                <w:color w:val="auto"/>
              </w:rPr>
              <w:t>控范围、保表土、严合规</w:t>
            </w:r>
            <w:r>
              <w:rPr>
                <w:rFonts w:hint="eastAsia"/>
                <w:color w:val="auto"/>
              </w:rPr>
              <w:t>”</w:t>
            </w:r>
            <w:r>
              <w:rPr>
                <w:color w:val="auto"/>
              </w:rPr>
              <w:t>减少植被与土地破坏</w:t>
            </w:r>
            <w:r>
              <w:rPr>
                <w:rFonts w:hint="eastAsia"/>
                <w:color w:val="auto"/>
              </w:rPr>
              <w:t>，</w:t>
            </w:r>
            <w:r>
              <w:rPr>
                <w:color w:val="auto"/>
              </w:rPr>
              <w:t>严格按设计土地范围控制</w:t>
            </w:r>
            <w:r>
              <w:rPr>
                <w:rFonts w:hint="eastAsia"/>
                <w:color w:val="auto"/>
                <w:lang w:val="en-US" w:eastAsia="zh-CN"/>
              </w:rPr>
              <w:t>施工</w:t>
            </w:r>
            <w:r>
              <w:rPr>
                <w:color w:val="auto"/>
              </w:rPr>
              <w:t>作业面，禁止人员车辆进入非施工区</w:t>
            </w:r>
            <w:r>
              <w:rPr>
                <w:rFonts w:hint="eastAsia"/>
                <w:color w:val="auto"/>
                <w:lang w:eastAsia="zh-CN"/>
              </w:rPr>
              <w:t>，</w:t>
            </w:r>
            <w:r>
              <w:rPr>
                <w:rFonts w:hint="eastAsia"/>
                <w:color w:val="auto"/>
                <w:lang w:val="en-US" w:eastAsia="zh-CN"/>
              </w:rPr>
              <w:t>确保不破坏工程周边植被</w:t>
            </w:r>
            <w:r>
              <w:rPr>
                <w:color w:val="auto"/>
              </w:rPr>
              <w:t>。</w:t>
            </w:r>
          </w:p>
          <w:p w14:paraId="2D5EDC5E">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rFonts w:hint="eastAsia"/>
                <w:color w:val="auto"/>
              </w:rPr>
              <w:t>（2）</w:t>
            </w:r>
            <w:r>
              <w:rPr>
                <w:color w:val="auto"/>
              </w:rPr>
              <w:t>野生动物保护</w:t>
            </w:r>
            <w:r>
              <w:rPr>
                <w:rFonts w:hint="eastAsia"/>
                <w:color w:val="auto"/>
              </w:rPr>
              <w:t>措施</w:t>
            </w:r>
          </w:p>
          <w:p w14:paraId="15E33742">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color w:val="auto"/>
              </w:rPr>
              <w:t>施工后及时清理杂物，保留积水坑塘、湿地等两栖类生境，严禁捕猎行为；通过选用低噪声设备、合理安排施工时间（</w:t>
            </w:r>
            <w:r>
              <w:rPr>
                <w:rFonts w:hint="eastAsia"/>
                <w:color w:val="auto"/>
                <w:lang w:val="en-US" w:eastAsia="zh-CN"/>
              </w:rPr>
              <w:t>保护区内施工</w:t>
            </w:r>
            <w:r>
              <w:rPr>
                <w:color w:val="auto"/>
              </w:rPr>
              <w:t>避开鸟类</w:t>
            </w:r>
            <w:r>
              <w:rPr>
                <w:rFonts w:hint="eastAsia"/>
                <w:color w:val="auto"/>
                <w:lang w:val="en-US" w:eastAsia="zh-CN"/>
              </w:rPr>
              <w:t>主要</w:t>
            </w:r>
            <w:r>
              <w:rPr>
                <w:color w:val="auto"/>
              </w:rPr>
              <w:t>繁殖期）、缩短施工时长等减少机械振动与噪声干扰；规范生活污水、垃圾处置，避免污染影响动物种群；严控高噪声、强振动设备使用。</w:t>
            </w:r>
          </w:p>
          <w:p w14:paraId="51A43670">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rFonts w:hint="eastAsia"/>
                <w:color w:val="auto"/>
              </w:rPr>
              <w:t>（3）</w:t>
            </w:r>
            <w:r>
              <w:rPr>
                <w:color w:val="auto"/>
              </w:rPr>
              <w:t>水生生物保护</w:t>
            </w:r>
            <w:r>
              <w:rPr>
                <w:rFonts w:hint="eastAsia"/>
                <w:color w:val="auto"/>
              </w:rPr>
              <w:t>措施</w:t>
            </w:r>
          </w:p>
          <w:p w14:paraId="3A9ECE16">
            <w:pPr>
              <w:keepNext w:val="0"/>
              <w:keepLines w:val="0"/>
              <w:pageBreakBefore w:val="0"/>
              <w:widowControl w:val="0"/>
              <w:kinsoku/>
              <w:wordWrap/>
              <w:overflowPunct/>
              <w:topLinePunct w:val="0"/>
              <w:autoSpaceDE/>
              <w:autoSpaceDN/>
              <w:bidi w:val="0"/>
              <w:snapToGrid/>
              <w:spacing w:line="460" w:lineRule="exact"/>
              <w:ind w:firstLine="420"/>
              <w:textAlignment w:val="auto"/>
              <w:rPr>
                <w:color w:val="auto"/>
              </w:rPr>
            </w:pPr>
            <w:r>
              <w:rPr>
                <w:rFonts w:hint="eastAsia" w:cs="宋体"/>
                <w:bCs/>
                <w:color w:val="auto"/>
                <w:kern w:val="21"/>
                <w:szCs w:val="21"/>
              </w:rPr>
              <w:t>本项目</w:t>
            </w:r>
            <w:r>
              <w:rPr>
                <w:rFonts w:hint="eastAsia" w:cs="宋体"/>
                <w:bCs/>
                <w:color w:val="auto"/>
                <w:kern w:val="21"/>
                <w:szCs w:val="21"/>
                <w:lang w:val="en-US" w:eastAsia="zh-CN"/>
              </w:rPr>
              <w:t>涵洞工程主要为拆除维修等，本项目施工</w:t>
            </w:r>
            <w:r>
              <w:rPr>
                <w:rFonts w:hint="eastAsia" w:cs="宋体"/>
                <w:bCs/>
                <w:color w:val="auto"/>
                <w:kern w:val="21"/>
                <w:szCs w:val="21"/>
              </w:rPr>
              <w:t>选择枯水期</w:t>
            </w:r>
            <w:r>
              <w:rPr>
                <w:rFonts w:hint="eastAsia" w:cs="宋体"/>
                <w:bCs/>
                <w:color w:val="auto"/>
                <w:kern w:val="21"/>
                <w:szCs w:val="21"/>
                <w:lang w:eastAsia="zh-CN"/>
              </w:rPr>
              <w:t>（</w:t>
            </w:r>
            <w:r>
              <w:rPr>
                <w:rFonts w:hint="eastAsia" w:cs="宋体"/>
                <w:bCs/>
                <w:color w:val="auto"/>
                <w:kern w:val="21"/>
                <w:szCs w:val="21"/>
                <w:lang w:val="en-US" w:eastAsia="zh-CN"/>
              </w:rPr>
              <w:t>4-5月</w:t>
            </w:r>
            <w:r>
              <w:rPr>
                <w:rFonts w:hint="eastAsia" w:cs="宋体"/>
                <w:bCs/>
                <w:color w:val="auto"/>
                <w:kern w:val="21"/>
                <w:szCs w:val="21"/>
                <w:lang w:eastAsia="zh-CN"/>
              </w:rPr>
              <w:t>）</w:t>
            </w:r>
            <w:r>
              <w:rPr>
                <w:rFonts w:hint="eastAsia" w:cs="宋体"/>
                <w:bCs/>
                <w:color w:val="auto"/>
                <w:kern w:val="21"/>
                <w:szCs w:val="21"/>
              </w:rPr>
              <w:t>施工，</w:t>
            </w:r>
            <w:r>
              <w:rPr>
                <w:rFonts w:hint="eastAsia" w:cs="宋体"/>
                <w:bCs/>
                <w:color w:val="auto"/>
                <w:kern w:val="21"/>
                <w:szCs w:val="21"/>
                <w:lang w:val="en-US" w:eastAsia="zh-CN"/>
              </w:rPr>
              <w:t>减少</w:t>
            </w:r>
            <w:r>
              <w:rPr>
                <w:rFonts w:hint="eastAsia" w:cs="宋体"/>
                <w:bCs/>
                <w:color w:val="auto"/>
                <w:kern w:val="21"/>
                <w:szCs w:val="21"/>
              </w:rPr>
              <w:t>水体扰动。</w:t>
            </w:r>
            <w:r>
              <w:rPr>
                <w:color w:val="auto"/>
              </w:rPr>
              <w:t>生活污水排入防渗旱厕，设备保养维修残油、固体废物严禁入水体，建筑材料远离地表水体存放并遮盖。同时，加强施工人员教育，杜绝私捕乱捞。</w:t>
            </w:r>
          </w:p>
          <w:p w14:paraId="27F0B3C0">
            <w:pPr>
              <w:keepNext w:val="0"/>
              <w:keepLines w:val="0"/>
              <w:pageBreakBefore w:val="0"/>
              <w:widowControl w:val="0"/>
              <w:numPr>
                <w:ilvl w:val="0"/>
                <w:numId w:val="3"/>
              </w:numPr>
              <w:kinsoku/>
              <w:wordWrap/>
              <w:overflowPunct/>
              <w:topLinePunct w:val="0"/>
              <w:autoSpaceDE/>
              <w:autoSpaceDN/>
              <w:bidi w:val="0"/>
              <w:snapToGrid/>
              <w:spacing w:line="460" w:lineRule="exact"/>
              <w:ind w:firstLine="420"/>
              <w:textAlignment w:val="auto"/>
              <w:rPr>
                <w:rFonts w:hint="eastAsia"/>
                <w:color w:val="auto"/>
                <w:lang w:val="en-US" w:eastAsia="zh-CN"/>
              </w:rPr>
            </w:pPr>
            <w:r>
              <w:rPr>
                <w:color w:val="auto"/>
              </w:rPr>
              <w:t>生态敏感区</w:t>
            </w:r>
            <w:r>
              <w:rPr>
                <w:rFonts w:hint="eastAsia"/>
                <w:color w:val="auto"/>
                <w:lang w:val="en-US" w:eastAsia="zh-CN"/>
              </w:rPr>
              <w:t>措施</w:t>
            </w:r>
          </w:p>
          <w:p w14:paraId="4880BD54">
            <w:pPr>
              <w:keepNext w:val="0"/>
              <w:keepLines w:val="0"/>
              <w:pageBreakBefore w:val="0"/>
              <w:widowControl w:val="0"/>
              <w:numPr>
                <w:ilvl w:val="0"/>
                <w:numId w:val="0"/>
              </w:numPr>
              <w:kinsoku/>
              <w:wordWrap/>
              <w:overflowPunct/>
              <w:topLinePunct w:val="0"/>
              <w:autoSpaceDE/>
              <w:autoSpaceDN/>
              <w:bidi w:val="0"/>
              <w:adjustRightInd w:val="0"/>
              <w:snapToGrid/>
              <w:spacing w:line="460" w:lineRule="exact"/>
              <w:ind w:firstLine="480" w:firstLineChars="200"/>
              <w:jc w:val="both"/>
              <w:textAlignment w:val="auto"/>
              <w:rPr>
                <w:rFonts w:hint="eastAsia"/>
                <w:color w:val="auto"/>
                <w:highlight w:val="none"/>
                <w:lang w:val="en-US" w:eastAsia="zh-CN"/>
              </w:rPr>
            </w:pPr>
            <w:r>
              <w:rPr>
                <w:rFonts w:hint="eastAsia"/>
                <w:color w:val="auto"/>
                <w:highlight w:val="none"/>
                <w:lang w:val="en-US" w:eastAsia="zh-CN"/>
              </w:rPr>
              <w:t>在施工期，为保护水土流失重点治理区内的水源涵养功能与生态功能，应执行相应的水土资源保护措施。在跨越沟渠沼泽的施工点要确保施工废水与泥沙不外泄；所有施工废水要进行收集处理，实现施工废水零外排。同时将产生的废弃路面及时利用，或者运输至柳毛乡混凝土搅拌站，彻底杜绝对水体的潜在污染。</w:t>
            </w:r>
          </w:p>
          <w:p w14:paraId="54D2E8FC">
            <w:pPr>
              <w:keepNext w:val="0"/>
              <w:keepLines w:val="0"/>
              <w:pageBreakBefore w:val="0"/>
              <w:widowControl w:val="0"/>
              <w:numPr>
                <w:ilvl w:val="0"/>
                <w:numId w:val="0"/>
              </w:numPr>
              <w:kinsoku/>
              <w:wordWrap/>
              <w:overflowPunct/>
              <w:topLinePunct w:val="0"/>
              <w:autoSpaceDE/>
              <w:autoSpaceDN/>
              <w:bidi w:val="0"/>
              <w:adjustRightInd w:val="0"/>
              <w:snapToGrid/>
              <w:spacing w:line="460" w:lineRule="exact"/>
              <w:ind w:firstLine="480" w:firstLineChars="200"/>
              <w:jc w:val="both"/>
              <w:textAlignment w:val="auto"/>
              <w:rPr>
                <w:rFonts w:hint="eastAsia"/>
                <w:color w:val="auto"/>
                <w:lang w:val="en-US" w:eastAsia="zh-CN"/>
              </w:rPr>
            </w:pPr>
            <w:r>
              <w:rPr>
                <w:rFonts w:hint="eastAsia"/>
                <w:color w:val="auto"/>
                <w:highlight w:val="none"/>
                <w:lang w:val="en-US" w:eastAsia="zh-CN"/>
              </w:rPr>
              <w:t>为最大限度降低对区域生态环境影响，施工时应采取系统性综合保护措施。首先，应通过设立界桩或围网严格限定施工范围，并</w:t>
            </w:r>
            <w:r>
              <w:rPr>
                <w:rFonts w:hint="eastAsia"/>
                <w:color w:val="auto"/>
                <w:lang w:val="en-US" w:eastAsia="zh-CN"/>
              </w:rPr>
              <w:t>采用短距离、快节奏的分段施工模式，以缩短对区域生态环境的干扰时间。在时间上，主动避开野生动物迁徙和繁殖的关键时期，严禁进行高干扰作业，并在鸟类繁殖前进行巢穴排查，对发现的鸟巢设置保护圈暂停施工。同时，通过选用低噪声设备、实施洒水降尘和密闭运输等方式，有效控制施工中的噪声与扬尘污染。</w:t>
            </w:r>
          </w:p>
          <w:p w14:paraId="334C7C3D">
            <w:pPr>
              <w:keepNext w:val="0"/>
              <w:keepLines w:val="0"/>
              <w:pageBreakBefore w:val="0"/>
              <w:widowControl w:val="0"/>
              <w:kinsoku/>
              <w:wordWrap/>
              <w:overflowPunct/>
              <w:topLinePunct w:val="0"/>
              <w:autoSpaceDE/>
              <w:autoSpaceDN/>
              <w:bidi w:val="0"/>
              <w:snapToGrid/>
              <w:spacing w:line="460" w:lineRule="exact"/>
              <w:ind w:firstLine="420"/>
              <w:textAlignment w:val="auto"/>
              <w:rPr>
                <w:rFonts w:hint="eastAsia"/>
                <w:color w:val="auto"/>
              </w:rPr>
            </w:pPr>
            <w:r>
              <w:rPr>
                <w:rFonts w:hint="eastAsia"/>
                <w:color w:val="auto"/>
              </w:rPr>
              <w:t>在工程施工结束后，</w:t>
            </w:r>
            <w:r>
              <w:rPr>
                <w:rFonts w:hint="eastAsia"/>
                <w:color w:val="auto"/>
                <w:lang w:val="en-US" w:eastAsia="zh-CN"/>
              </w:rPr>
              <w:t>及时</w:t>
            </w:r>
            <w:r>
              <w:rPr>
                <w:rFonts w:hint="eastAsia"/>
                <w:color w:val="auto"/>
              </w:rPr>
              <w:t>完成废料清理。为降低公路运营对野生动物的阻隔影响，应结合区域野生动物习性，优化和完善已设立的动物通道及其引导设施，确保其有效性和利用率，维护生态系统的完整性与连通性。</w:t>
            </w:r>
          </w:p>
          <w:p w14:paraId="6B310036">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rPr>
            </w:pPr>
            <w:r>
              <w:rPr>
                <w:color w:val="auto"/>
              </w:rPr>
              <w:t>采取上述措施后</w:t>
            </w:r>
            <w:r>
              <w:rPr>
                <w:rFonts w:hint="eastAsia"/>
                <w:color w:val="auto"/>
              </w:rPr>
              <w:t>，</w:t>
            </w:r>
            <w:r>
              <w:rPr>
                <w:color w:val="auto"/>
              </w:rPr>
              <w:t>施工期对生态环境影响较小</w:t>
            </w:r>
            <w:r>
              <w:rPr>
                <w:rFonts w:hint="eastAsia"/>
                <w:color w:val="auto"/>
              </w:rPr>
              <w:t>。本项目设置生态专项评价，施工期具体生态措施详见生态环境影响评价专题报告。</w:t>
            </w:r>
          </w:p>
          <w:p w14:paraId="26363962">
            <w:pPr>
              <w:ind w:firstLine="420"/>
              <w:rPr>
                <w:color w:val="auto"/>
              </w:rPr>
            </w:pPr>
            <w:r>
              <w:rPr>
                <w:color w:val="auto"/>
              </w:rPr>
              <w:t>2</w:t>
            </w:r>
            <w:r>
              <w:rPr>
                <w:rFonts w:hint="eastAsia"/>
                <w:color w:val="auto"/>
              </w:rPr>
              <w:t>、</w:t>
            </w:r>
            <w:r>
              <w:rPr>
                <w:color w:val="auto"/>
              </w:rPr>
              <w:t>声环境保护措施</w:t>
            </w:r>
          </w:p>
          <w:p w14:paraId="5049B7BB">
            <w:pPr>
              <w:ind w:firstLine="420"/>
              <w:rPr>
                <w:color w:val="auto"/>
              </w:rPr>
            </w:pPr>
            <w:r>
              <w:rPr>
                <w:color w:val="auto"/>
              </w:rPr>
              <w:t>为实现施工噪声达标排放，在施工过程中做到以下措施：</w:t>
            </w:r>
          </w:p>
          <w:p w14:paraId="180A5318">
            <w:pPr>
              <w:ind w:firstLine="420"/>
              <w:rPr>
                <w:color w:val="auto"/>
              </w:rPr>
            </w:pPr>
            <w:r>
              <w:rPr>
                <w:color w:val="auto"/>
              </w:rPr>
              <w:t>（1）尽量选用低噪声的施工机械和工艺，高噪声施工机械采取消声减震措施。合理布局，施工设备、机械尽量安排在远离敏感目标的一侧。振动较大的机械设备应加装减振机座，同时应加强各类施工设备的维护和保养，保持其良好的运转，以便从根本上降低噪声源强；（2）重型运输汽车等产生噪声的施工机械进场必须先试车，确定润滑良好，各紧固件无松动，无不良噪声后方可投入使用；</w:t>
            </w:r>
          </w:p>
          <w:p w14:paraId="55F496AC">
            <w:pPr>
              <w:ind w:firstLine="420"/>
              <w:rPr>
                <w:color w:val="auto"/>
              </w:rPr>
            </w:pPr>
            <w:r>
              <w:rPr>
                <w:color w:val="auto"/>
              </w:rPr>
              <w:t>（3）应加强管理，合理安排施工时间和施工场所，禁止在夜间施工；合理制定施工计划，避免大量噪声设备同时使用；</w:t>
            </w:r>
          </w:p>
          <w:p w14:paraId="7B9EAF6E">
            <w:pPr>
              <w:ind w:firstLine="420"/>
              <w:rPr>
                <w:color w:val="auto"/>
              </w:rPr>
            </w:pPr>
            <w:r>
              <w:rPr>
                <w:color w:val="auto"/>
              </w:rPr>
              <w:t>（4）接触高噪声施工人员必须佩戴防声头盔、耳罩、耳塞等个人防噪用具；合理安排施工人员轮流操作强噪声的施工机械，减少接触高噪声的时间，或穿插安排高噪声和低噪声的工作；</w:t>
            </w:r>
          </w:p>
          <w:p w14:paraId="45F8DA25">
            <w:pPr>
              <w:ind w:firstLine="420"/>
              <w:rPr>
                <w:color w:val="auto"/>
              </w:rPr>
            </w:pPr>
            <w:r>
              <w:rPr>
                <w:color w:val="auto"/>
              </w:rPr>
              <w:t>（5）加强对运输车辆的管理，对司机进行环保意识教育，运输车辆经过声敏感点时必须减速，禁止鸣笛及夜间禁止运输；运输车辆必须定时检查、维修以保证车况良好减少汽车交通噪声对沿途声敏感点的影响。</w:t>
            </w:r>
          </w:p>
          <w:p w14:paraId="7EBEFDE6">
            <w:pPr>
              <w:ind w:firstLine="420"/>
              <w:rPr>
                <w:color w:val="auto"/>
              </w:rPr>
            </w:pPr>
            <w:r>
              <w:rPr>
                <w:color w:val="auto"/>
              </w:rPr>
              <w:t>（6）施工厂界安装</w:t>
            </w:r>
            <w:r>
              <w:rPr>
                <w:rFonts w:hint="eastAsia"/>
                <w:color w:val="auto"/>
              </w:rPr>
              <w:t>移动式隔声、防尘挡板</w:t>
            </w:r>
            <w:r>
              <w:rPr>
                <w:rFonts w:hint="eastAsia"/>
                <w:color w:val="auto"/>
                <w:lang w:eastAsia="zh-CN"/>
              </w:rPr>
              <w:t>，</w:t>
            </w:r>
            <w:r>
              <w:rPr>
                <w:rFonts w:hint="eastAsia"/>
                <w:color w:val="auto"/>
              </w:rPr>
              <w:t>沿线敏感点</w:t>
            </w:r>
            <w:r>
              <w:rPr>
                <w:rFonts w:hint="eastAsia"/>
                <w:color w:val="auto"/>
                <w:lang w:val="en-US" w:eastAsia="zh-CN"/>
              </w:rPr>
              <w:t>处</w:t>
            </w:r>
            <w:r>
              <w:rPr>
                <w:rFonts w:hint="eastAsia"/>
                <w:color w:val="auto"/>
              </w:rPr>
              <w:t>设置</w:t>
            </w:r>
            <w:r>
              <w:rPr>
                <w:rFonts w:hint="eastAsia"/>
                <w:color w:val="auto"/>
                <w:lang w:eastAsia="zh-CN"/>
              </w:rPr>
              <w:t>，</w:t>
            </w:r>
            <w:r>
              <w:rPr>
                <w:rFonts w:hint="eastAsia"/>
                <w:color w:val="auto"/>
              </w:rPr>
              <w:t>移动式隔声、防尘挡板长度</w:t>
            </w:r>
            <w:r>
              <w:rPr>
                <w:rFonts w:hint="eastAsia"/>
                <w:color w:val="auto"/>
                <w:lang w:val="en-US" w:eastAsia="zh-CN"/>
              </w:rPr>
              <w:t>100m，高度3m。</w:t>
            </w:r>
          </w:p>
          <w:p w14:paraId="27EF9FCC">
            <w:pPr>
              <w:ind w:firstLine="420"/>
              <w:rPr>
                <w:color w:val="auto"/>
              </w:rPr>
            </w:pPr>
            <w:r>
              <w:rPr>
                <w:rFonts w:hint="eastAsia"/>
                <w:color w:val="auto"/>
              </w:rPr>
              <w:t>采取上述措施，施工场界噪声排放满足《</w:t>
            </w:r>
            <w:r>
              <w:rPr>
                <w:rFonts w:hint="eastAsia"/>
                <w:color w:val="auto"/>
                <w:lang w:val="en-US" w:eastAsia="zh-CN"/>
              </w:rPr>
              <w:t>建筑施工噪声排放标准</w:t>
            </w:r>
            <w:r>
              <w:rPr>
                <w:rFonts w:hint="eastAsia"/>
                <w:color w:val="auto"/>
              </w:rPr>
              <w:t>》（GB12523-20</w:t>
            </w:r>
            <w:r>
              <w:rPr>
                <w:rFonts w:hint="eastAsia"/>
                <w:color w:val="auto"/>
                <w:lang w:val="en-US" w:eastAsia="zh-CN"/>
              </w:rPr>
              <w:t>25</w:t>
            </w:r>
            <w:r>
              <w:rPr>
                <w:rFonts w:hint="eastAsia"/>
                <w:color w:val="auto"/>
              </w:rPr>
              <w:t>），即昼间70dB(A)、夜间55dB(A)；沿线环境敏感目标在公路施工期时，其声环境可达到《声环境质量标准》（GB3096－2008）中</w:t>
            </w:r>
            <w:r>
              <w:rPr>
                <w:rFonts w:hint="eastAsia"/>
                <w:color w:val="auto"/>
                <w:lang w:val="en-US" w:eastAsia="zh-CN"/>
              </w:rPr>
              <w:t>2</w:t>
            </w:r>
            <w:r>
              <w:rPr>
                <w:rFonts w:hint="eastAsia"/>
                <w:color w:val="auto"/>
              </w:rPr>
              <w:t>类标准。</w:t>
            </w:r>
          </w:p>
          <w:p w14:paraId="4A31F3CC">
            <w:pPr>
              <w:ind w:firstLine="420"/>
              <w:rPr>
                <w:color w:val="auto"/>
              </w:rPr>
            </w:pPr>
            <w:r>
              <w:rPr>
                <w:rFonts w:hint="eastAsia"/>
                <w:color w:val="auto"/>
              </w:rPr>
              <w:t>施工期声环境环境保护措施详见声环境影响评价专题报告。</w:t>
            </w:r>
          </w:p>
          <w:p w14:paraId="6AEE2F98">
            <w:pPr>
              <w:ind w:firstLine="420"/>
              <w:rPr>
                <w:color w:val="auto"/>
              </w:rPr>
            </w:pPr>
            <w:r>
              <w:rPr>
                <w:color w:val="auto"/>
              </w:rPr>
              <w:t>3</w:t>
            </w:r>
            <w:r>
              <w:rPr>
                <w:rFonts w:hint="eastAsia"/>
                <w:color w:val="auto"/>
              </w:rPr>
              <w:t>、</w:t>
            </w:r>
            <w:r>
              <w:rPr>
                <w:color w:val="auto"/>
              </w:rPr>
              <w:t>环境空气保护措施</w:t>
            </w:r>
          </w:p>
          <w:p w14:paraId="747C7505">
            <w:pPr>
              <w:ind w:firstLine="420"/>
              <w:rPr>
                <w:color w:val="auto"/>
              </w:rPr>
            </w:pPr>
            <w:r>
              <w:rPr>
                <w:color w:val="auto"/>
              </w:rPr>
              <w:t xml:space="preserve">为进一步减轻施工期对环境空气的影响，应采取以下措施： </w:t>
            </w:r>
          </w:p>
          <w:p w14:paraId="19177FB3">
            <w:pPr>
              <w:ind w:firstLine="420"/>
              <w:rPr>
                <w:color w:val="auto"/>
              </w:rPr>
            </w:pPr>
            <w:r>
              <w:rPr>
                <w:color w:val="auto"/>
              </w:rPr>
              <w:t>（1）施工前制定控制工地扬尘方案，采取有效防尘措施；开工前建设单位应当按照标准在施工现场周边设置围挡，施工单位应当对围挡进行维护。</w:t>
            </w:r>
          </w:p>
          <w:p w14:paraId="20416B5A">
            <w:pPr>
              <w:ind w:firstLine="420"/>
              <w:rPr>
                <w:color w:val="auto"/>
              </w:rPr>
            </w:pPr>
            <w:r>
              <w:rPr>
                <w:color w:val="auto"/>
              </w:rPr>
              <w:t>（2）施工单位应当在施工现场出入口公示施工现场负责人、环保监督员、扬尘污染控制措施、举报电话等信息。</w:t>
            </w:r>
          </w:p>
          <w:p w14:paraId="666A17B7">
            <w:pPr>
              <w:ind w:firstLine="420"/>
              <w:rPr>
                <w:color w:val="auto"/>
              </w:rPr>
            </w:pPr>
            <w:r>
              <w:rPr>
                <w:color w:val="auto"/>
              </w:rPr>
              <w:t>（3）建筑材料临时堆土场应进行遮盖、设置围挡；施工场地适当洒水，旧路面二次破碎过程应加强洒水抑尘，以减少扬尘污染</w:t>
            </w:r>
            <w:r>
              <w:rPr>
                <w:rFonts w:hint="eastAsia"/>
                <w:color w:val="auto"/>
              </w:rPr>
              <w:t>，</w:t>
            </w:r>
            <w:r>
              <w:rPr>
                <w:color w:val="auto"/>
              </w:rPr>
              <w:t>同时应设置雾炮车、固定式洒水抑尘设施，降低扬尘污染。</w:t>
            </w:r>
          </w:p>
          <w:p w14:paraId="32F00E7F">
            <w:pPr>
              <w:ind w:firstLine="420"/>
              <w:rPr>
                <w:color w:val="auto"/>
              </w:rPr>
            </w:pPr>
            <w:r>
              <w:rPr>
                <w:color w:val="auto"/>
              </w:rPr>
              <w:t>（5）运输渣土、砂石、土方等散装物料的车辆应当采取密闭或者其他措施防止物料遗撒造成扬尘污染，并按照规定路线行驶。装卸物料应当采取密闭或者洒水降尘等防止扬尘污染。</w:t>
            </w:r>
          </w:p>
          <w:p w14:paraId="57EF3718">
            <w:pPr>
              <w:ind w:firstLine="420"/>
              <w:rPr>
                <w:color w:val="auto"/>
              </w:rPr>
            </w:pPr>
            <w:r>
              <w:rPr>
                <w:color w:val="auto"/>
              </w:rPr>
              <w:t xml:space="preserve">（6）本项目拌合站周边300m范围内无居民分布，若在项目施工过程中拌合站位置有变动，则距离敏感目标不宜小于300m。 </w:t>
            </w:r>
          </w:p>
          <w:p w14:paraId="687B6DF7">
            <w:pPr>
              <w:ind w:firstLine="420"/>
              <w:rPr>
                <w:rFonts w:ascii="Times New Roman" w:hAnsi="Times New Roman" w:eastAsia="宋体" w:cs="Times New Roman"/>
                <w:color w:val="auto"/>
              </w:rPr>
            </w:pP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7</w:t>
            </w:r>
            <w:r>
              <w:rPr>
                <w:rFonts w:ascii="Times New Roman" w:hAnsi="Times New Roman" w:eastAsia="宋体" w:cs="Times New Roman"/>
                <w:color w:val="auto"/>
              </w:rPr>
              <w:t>）</w:t>
            </w:r>
            <w:r>
              <w:rPr>
                <w:rFonts w:hint="eastAsia" w:ascii="Times New Roman" w:hAnsi="Times New Roman" w:eastAsia="宋体" w:cs="Times New Roman"/>
                <w:color w:val="auto"/>
              </w:rPr>
              <w:t>面层拌合站沥青烟通过采用先进沥青混凝土搅和设备、密闭设备等措施，并配备沥青烟净化器</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可保障沥青烟达到《大气污染物综合排放标准》（GB16297-1996）表2无组织排放监控浓度限值</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导热油炉产生的烟气采用布袋除尘器处理，经18m排气筒排放。</w:t>
            </w:r>
            <w:r>
              <w:rPr>
                <w:rFonts w:hint="eastAsia" w:ascii="Times New Roman" w:hAnsi="Times New Roman" w:eastAsia="宋体" w:cs="Times New Roman"/>
                <w:color w:val="auto"/>
              </w:rPr>
              <w:t>路面沥青拌合材料用卡车密封式运至筑路现场，摊铺时应注意对施工人员的劳动防护。</w:t>
            </w:r>
          </w:p>
          <w:p w14:paraId="6E5336B9">
            <w:pPr>
              <w:ind w:firstLine="420"/>
              <w:rPr>
                <w:color w:val="auto"/>
              </w:rPr>
            </w:pPr>
            <w:r>
              <w:rPr>
                <w:color w:val="auto"/>
              </w:rPr>
              <w:t>（</w:t>
            </w:r>
            <w:r>
              <w:rPr>
                <w:rFonts w:hint="eastAsia"/>
                <w:color w:val="auto"/>
                <w:lang w:val="en-US" w:eastAsia="zh-CN"/>
              </w:rPr>
              <w:t>8</w:t>
            </w:r>
            <w:r>
              <w:rPr>
                <w:color w:val="auto"/>
              </w:rPr>
              <w:t>）选用符合环保要求的燃油施工机械设备及其运输车辆；加强运输管理，合理安排施工车辆行驶路线，尽量避开居民集中区；加强对施工机械、运输车辆的维修保养，禁止施工机械超负荷工作和车辆运输超载。</w:t>
            </w:r>
          </w:p>
          <w:p w14:paraId="1FBA869D">
            <w:pPr>
              <w:ind w:firstLine="420"/>
              <w:rPr>
                <w:color w:val="auto"/>
              </w:rPr>
            </w:pPr>
            <w:r>
              <w:rPr>
                <w:color w:val="auto"/>
              </w:rPr>
              <w:t>（</w:t>
            </w:r>
            <w:r>
              <w:rPr>
                <w:rFonts w:hint="eastAsia"/>
                <w:color w:val="auto"/>
                <w:lang w:val="en-US" w:eastAsia="zh-CN"/>
              </w:rPr>
              <w:t>9</w:t>
            </w:r>
            <w:r>
              <w:rPr>
                <w:color w:val="auto"/>
              </w:rPr>
              <w:t>）加强对施工人员的环保教育，提高全体施工人员的环保意识，坚持文明施工、科学施工、减少施工期的大气污染。</w:t>
            </w:r>
          </w:p>
          <w:p w14:paraId="6387E197">
            <w:pPr>
              <w:ind w:firstLine="420"/>
              <w:rPr>
                <w:color w:val="auto"/>
              </w:rPr>
            </w:pPr>
            <w:r>
              <w:rPr>
                <w:color w:val="auto"/>
              </w:rPr>
              <w:t>综上所述，采取上述相应防治措施后，施工场界处扬尘满足《大气污染物综合排放标准》（GB16297-1996）表2</w:t>
            </w:r>
            <w:r>
              <w:rPr>
                <w:rFonts w:hint="eastAsia"/>
                <w:color w:val="auto"/>
              </w:rPr>
              <w:t>标准限值</w:t>
            </w:r>
            <w:r>
              <w:rPr>
                <w:color w:val="auto"/>
              </w:rPr>
              <w:t>要求，对环境空气影响较小。</w:t>
            </w:r>
          </w:p>
          <w:p w14:paraId="55071731">
            <w:pPr>
              <w:ind w:firstLine="420"/>
              <w:rPr>
                <w:color w:val="auto"/>
              </w:rPr>
            </w:pPr>
            <w:r>
              <w:rPr>
                <w:rFonts w:hint="eastAsia"/>
                <w:color w:val="auto"/>
              </w:rPr>
              <w:t>4、</w:t>
            </w:r>
            <w:r>
              <w:rPr>
                <w:color w:val="auto"/>
              </w:rPr>
              <w:t>地表水保护措施</w:t>
            </w:r>
          </w:p>
          <w:p w14:paraId="30B248EA">
            <w:pPr>
              <w:ind w:firstLine="420"/>
              <w:rPr>
                <w:color w:val="auto"/>
              </w:rPr>
            </w:pPr>
            <w:r>
              <w:rPr>
                <w:color w:val="auto"/>
              </w:rPr>
              <w:t>（1）</w:t>
            </w:r>
            <w:r>
              <w:rPr>
                <w:rFonts w:hint="eastAsia"/>
                <w:color w:val="auto"/>
              </w:rPr>
              <w:t>本项目施工期生活污水利用沿线的公共卫生设施，不外排，施工生产生活区生活污水排入防渗旱厕，定期清掏，外运堆肥处理，不排入周边地表水体。</w:t>
            </w:r>
          </w:p>
          <w:p w14:paraId="7AAA6748">
            <w:pPr>
              <w:ind w:firstLine="420"/>
              <w:rPr>
                <w:color w:val="auto"/>
              </w:rPr>
            </w:pPr>
            <w:r>
              <w:rPr>
                <w:color w:val="auto"/>
              </w:rPr>
              <w:t>（2）施工生产废水设置沉淀池集中收集，生产废水经沉淀后回收利用，禁止向水体排放。</w:t>
            </w:r>
          </w:p>
          <w:p w14:paraId="7C9F4EFB">
            <w:pPr>
              <w:ind w:firstLine="420"/>
              <w:rPr>
                <w:color w:val="auto"/>
              </w:rPr>
            </w:pPr>
            <w:r>
              <w:rPr>
                <w:rFonts w:hint="eastAsia"/>
                <w:color w:val="auto"/>
              </w:rPr>
              <w:t xml:space="preserve">（3）施工期间建筑材料堆放场地远离地表水体且无汇入支流空旷地带存放，并进行遮盖，防止雨水冲刷进入地表水体。 </w:t>
            </w:r>
          </w:p>
          <w:p w14:paraId="352BBE4A">
            <w:pPr>
              <w:ind w:firstLine="420"/>
              <w:rPr>
                <w:color w:val="auto"/>
              </w:rPr>
            </w:pPr>
            <w:r>
              <w:rPr>
                <w:rFonts w:hint="eastAsia"/>
                <w:color w:val="auto"/>
              </w:rPr>
              <w:t>（4）优化施工组织设计，合理有序进行施工。合理安排桥梁</w:t>
            </w:r>
            <w:r>
              <w:rPr>
                <w:rFonts w:hint="eastAsia"/>
                <w:color w:val="auto"/>
                <w:lang w:val="en-US" w:eastAsia="zh-CN"/>
              </w:rPr>
              <w:t>维修</w:t>
            </w:r>
            <w:r>
              <w:rPr>
                <w:rFonts w:hint="eastAsia"/>
                <w:color w:val="auto"/>
              </w:rPr>
              <w:t>施工时间，施工选在枯水期，</w:t>
            </w:r>
            <w:r>
              <w:rPr>
                <w:rFonts w:hint="eastAsia"/>
                <w:color w:val="auto"/>
                <w:lang w:val="en-US" w:eastAsia="zh-CN"/>
              </w:rPr>
              <w:t>减少水体扰动</w:t>
            </w:r>
            <w:r>
              <w:rPr>
                <w:rFonts w:hint="eastAsia"/>
                <w:color w:val="auto"/>
              </w:rPr>
              <w:t xml:space="preserve">。 </w:t>
            </w:r>
          </w:p>
          <w:p w14:paraId="0496EA78">
            <w:pPr>
              <w:ind w:firstLine="420"/>
              <w:rPr>
                <w:color w:val="auto"/>
              </w:rPr>
            </w:pPr>
            <w:r>
              <w:rPr>
                <w:rFonts w:hint="eastAsia"/>
                <w:color w:val="auto"/>
              </w:rPr>
              <w:t>（</w:t>
            </w:r>
            <w:r>
              <w:rPr>
                <w:rFonts w:hint="eastAsia"/>
                <w:color w:val="auto"/>
                <w:lang w:val="en-US" w:eastAsia="zh-CN"/>
              </w:rPr>
              <w:t>5</w:t>
            </w:r>
            <w:r>
              <w:rPr>
                <w:rFonts w:hint="eastAsia"/>
                <w:color w:val="auto"/>
              </w:rPr>
              <w:t>）加强施工管理和工程监理工作，防止发生水污染事件，严格检查施工机械，防止油料发生泄漏污染水体；施工期要注意文明施工，沥青路面施工遇雨应及时停止供料，除已铺好的沥青混合料应快铺快压，其余不得继续铺设，尽量减少对水环境的影响。</w:t>
            </w:r>
          </w:p>
          <w:p w14:paraId="4FD41D11">
            <w:pPr>
              <w:ind w:firstLine="420"/>
              <w:rPr>
                <w:color w:val="auto"/>
              </w:rPr>
            </w:pPr>
            <w:r>
              <w:rPr>
                <w:rFonts w:hint="eastAsia"/>
                <w:color w:val="auto"/>
              </w:rPr>
              <w:t>采取上述措施，本项目施工对地表水影响较小。</w:t>
            </w:r>
          </w:p>
          <w:p w14:paraId="21792042">
            <w:pPr>
              <w:ind w:firstLine="420"/>
              <w:rPr>
                <w:color w:val="auto"/>
              </w:rPr>
            </w:pPr>
            <w:r>
              <w:rPr>
                <w:rFonts w:hint="eastAsia"/>
                <w:color w:val="auto"/>
                <w:lang w:val="en-US" w:eastAsia="zh-CN"/>
              </w:rPr>
              <w:t>5</w:t>
            </w:r>
            <w:r>
              <w:rPr>
                <w:rFonts w:hint="eastAsia"/>
                <w:color w:val="auto"/>
              </w:rPr>
              <w:t>、地下水保护</w:t>
            </w:r>
            <w:r>
              <w:rPr>
                <w:color w:val="auto"/>
              </w:rPr>
              <w:t>措施</w:t>
            </w:r>
          </w:p>
          <w:p w14:paraId="0D88A4C5">
            <w:pPr>
              <w:ind w:firstLine="420"/>
              <w:rPr>
                <w:color w:val="auto"/>
              </w:rPr>
            </w:pPr>
            <w:r>
              <w:rPr>
                <w:rFonts w:hint="eastAsia"/>
                <w:color w:val="auto"/>
              </w:rPr>
              <w:t>（1）施工材料合理堆放在占地范围内，沿线堆放的表土外表面苫盖密目网，防止堆置期间产生流失；</w:t>
            </w:r>
          </w:p>
          <w:p w14:paraId="38DFFD30">
            <w:pPr>
              <w:ind w:firstLine="420"/>
              <w:rPr>
                <w:color w:val="auto"/>
              </w:rPr>
            </w:pPr>
            <w:r>
              <w:rPr>
                <w:rFonts w:hint="eastAsia"/>
                <w:color w:val="auto"/>
              </w:rPr>
              <w:t>（2）设立防渗沉淀池，妥善处理施工期产生的废水；</w:t>
            </w:r>
          </w:p>
          <w:p w14:paraId="2B761D3E">
            <w:pPr>
              <w:ind w:firstLine="420"/>
              <w:rPr>
                <w:color w:val="auto"/>
              </w:rPr>
            </w:pPr>
            <w:r>
              <w:rPr>
                <w:rFonts w:hint="eastAsia"/>
                <w:color w:val="auto"/>
              </w:rPr>
              <w:t>（3）定期清理施工现场：包括清除垃圾、废弃物和其他污染物，确保施工现场的卫生和整洁，避免污染地下水的风险；</w:t>
            </w:r>
          </w:p>
          <w:p w14:paraId="4372AD37">
            <w:pPr>
              <w:ind w:firstLine="420"/>
              <w:rPr>
                <w:color w:val="auto"/>
              </w:rPr>
            </w:pPr>
            <w:r>
              <w:rPr>
                <w:rFonts w:hint="eastAsia"/>
                <w:color w:val="auto"/>
              </w:rPr>
              <w:t>（4）临时沉淀池应全部采取防渗措施，渗透系数≤1×10</w:t>
            </w:r>
            <w:r>
              <w:rPr>
                <w:rFonts w:hint="eastAsia"/>
                <w:color w:val="auto"/>
                <w:vertAlign w:val="superscript"/>
              </w:rPr>
              <w:t>-7</w:t>
            </w:r>
            <w:r>
              <w:rPr>
                <w:rFonts w:hint="eastAsia"/>
                <w:color w:val="auto"/>
              </w:rPr>
              <w:t>cm/s，以免污水下渗污染地下水。</w:t>
            </w:r>
          </w:p>
          <w:p w14:paraId="1FBFFBFE">
            <w:pPr>
              <w:ind w:firstLine="420"/>
              <w:rPr>
                <w:color w:val="auto"/>
              </w:rPr>
            </w:pPr>
            <w:r>
              <w:rPr>
                <w:rFonts w:hint="eastAsia"/>
                <w:color w:val="auto"/>
                <w:lang w:val="en-US" w:eastAsia="zh-CN"/>
              </w:rPr>
              <w:t>6</w:t>
            </w:r>
            <w:r>
              <w:rPr>
                <w:rFonts w:hint="eastAsia"/>
                <w:color w:val="auto"/>
              </w:rPr>
              <w:t>、</w:t>
            </w:r>
            <w:r>
              <w:rPr>
                <w:color w:val="auto"/>
              </w:rPr>
              <w:t xml:space="preserve">固体废物防治措施 </w:t>
            </w:r>
          </w:p>
          <w:p w14:paraId="70139AB1">
            <w:pPr>
              <w:ind w:firstLine="420"/>
              <w:rPr>
                <w:color w:val="auto"/>
              </w:rPr>
            </w:pPr>
            <w:r>
              <w:rPr>
                <w:rFonts w:hint="eastAsia"/>
                <w:color w:val="auto"/>
              </w:rPr>
              <w:t>施工人员生活垃圾集中收集后，运至市政指定地点由市政统一处理，严禁随意丢弃。</w:t>
            </w:r>
            <w:r>
              <w:rPr>
                <w:rFonts w:hint="eastAsia"/>
                <w:color w:val="auto"/>
                <w:lang w:val="en-US" w:eastAsia="zh-CN"/>
              </w:rPr>
              <w:t>路面拆除</w:t>
            </w:r>
            <w:r>
              <w:rPr>
                <w:color w:val="auto"/>
              </w:rPr>
              <w:t>等产生的</w:t>
            </w:r>
            <w:r>
              <w:rPr>
                <w:rFonts w:hint="eastAsia"/>
                <w:color w:val="auto"/>
                <w:lang w:val="en-US" w:eastAsia="zh-CN"/>
              </w:rPr>
              <w:t>建筑垃圾</w:t>
            </w:r>
            <w:r>
              <w:rPr>
                <w:rFonts w:hint="eastAsia"/>
                <w:color w:val="auto"/>
              </w:rPr>
              <w:t>运送至指定地点处理。</w:t>
            </w:r>
            <w:r>
              <w:rPr>
                <w:color w:val="auto"/>
              </w:rPr>
              <w:t>施工期固体废物</w:t>
            </w:r>
            <w:r>
              <w:rPr>
                <w:rFonts w:hint="eastAsia"/>
                <w:color w:val="auto"/>
                <w:lang w:val="en-US" w:eastAsia="zh-CN"/>
              </w:rPr>
              <w:t>均</w:t>
            </w:r>
            <w:r>
              <w:rPr>
                <w:color w:val="auto"/>
              </w:rPr>
              <w:t>妥善地处理处置</w:t>
            </w:r>
            <w:r>
              <w:rPr>
                <w:rFonts w:hint="eastAsia"/>
                <w:color w:val="auto"/>
              </w:rPr>
              <w:t>。本项目施工期固体废物对周围环境影响较小</w:t>
            </w:r>
            <w:r>
              <w:rPr>
                <w:rFonts w:hint="eastAsia"/>
                <w:color w:val="auto"/>
                <w:lang w:eastAsia="zh-CN"/>
              </w:rPr>
              <w:t>，</w:t>
            </w:r>
            <w:r>
              <w:rPr>
                <w:rFonts w:hint="eastAsia"/>
                <w:color w:val="auto"/>
                <w:lang w:val="en-US" w:eastAsia="zh-CN"/>
              </w:rPr>
              <w:t>具有合理性</w:t>
            </w:r>
            <w:r>
              <w:rPr>
                <w:rFonts w:hint="eastAsia"/>
                <w:color w:val="auto"/>
              </w:rPr>
              <w:t>。</w:t>
            </w:r>
          </w:p>
          <w:p w14:paraId="2AA84ECD">
            <w:pPr>
              <w:spacing w:line="360" w:lineRule="auto"/>
              <w:ind w:firstLine="420"/>
              <w:rPr>
                <w:color w:val="auto"/>
              </w:rPr>
            </w:pPr>
            <w:r>
              <w:rPr>
                <w:rFonts w:hint="eastAsia"/>
                <w:color w:val="auto"/>
                <w:lang w:val="en-US" w:eastAsia="zh-CN"/>
              </w:rPr>
              <w:t>7</w:t>
            </w:r>
            <w:r>
              <w:rPr>
                <w:rFonts w:hint="eastAsia"/>
                <w:color w:val="auto"/>
              </w:rPr>
              <w:t>、水土保持措施</w:t>
            </w:r>
          </w:p>
          <w:p w14:paraId="0E900587">
            <w:pPr>
              <w:keepNext w:val="0"/>
              <w:keepLines w:val="0"/>
              <w:pageBreakBefore w:val="0"/>
              <w:widowControl w:val="0"/>
              <w:kinsoku/>
              <w:wordWrap/>
              <w:overflowPunct/>
              <w:topLinePunct w:val="0"/>
              <w:autoSpaceDE/>
              <w:autoSpaceDN/>
              <w:bidi w:val="0"/>
              <w:adjustRightInd/>
              <w:snapToGrid/>
              <w:spacing w:line="460" w:lineRule="exact"/>
              <w:ind w:firstLine="420"/>
              <w:textAlignment w:val="auto"/>
              <w:rPr>
                <w:color w:val="auto"/>
              </w:rPr>
            </w:pPr>
            <w:r>
              <w:rPr>
                <w:rFonts w:hint="eastAsia"/>
                <w:color w:val="auto"/>
              </w:rPr>
              <w:t>（1）严格按照设计和水保方案的措施进行施工，施工中应完善边沟、排截水沟等排水工程，保持排水通畅，施工中若造成堵塞，应及时清除。</w:t>
            </w:r>
          </w:p>
          <w:p w14:paraId="5CEBDEE2">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rPr>
            </w:pPr>
            <w:r>
              <w:rPr>
                <w:rFonts w:hint="eastAsia"/>
                <w:color w:val="auto"/>
              </w:rPr>
              <w:t>（2）做好公路沿线水土保持工作，减少水土流失，施工中合理安排工期，尽量避免和减少雨季进行路基开挖。</w:t>
            </w:r>
          </w:p>
          <w:p w14:paraId="1F10531B">
            <w:pPr>
              <w:pStyle w:val="76"/>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textAlignment w:val="auto"/>
              <w:rPr>
                <w:rFonts w:hint="default"/>
                <w:color w:val="auto"/>
              </w:rPr>
            </w:pPr>
          </w:p>
        </w:tc>
      </w:tr>
      <w:tr w14:paraId="27FEA6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7641905A">
            <w:pPr>
              <w:adjustRightInd w:val="0"/>
              <w:snapToGrid w:val="0"/>
              <w:spacing w:line="240" w:lineRule="auto"/>
              <w:jc w:val="center"/>
              <w:rPr>
                <w:rFonts w:hint="default" w:ascii="Times New Roman" w:hAnsi="Times New Roman" w:cs="Times New Roman"/>
                <w:bCs/>
                <w:color w:val="auto"/>
                <w:spacing w:val="10"/>
              </w:rPr>
            </w:pPr>
            <w:r>
              <w:rPr>
                <w:rFonts w:hint="default" w:ascii="Times New Roman" w:hAnsi="Times New Roman" w:cs="Times New Roman"/>
                <w:bCs/>
                <w:color w:val="auto"/>
                <w:spacing w:val="10"/>
              </w:rPr>
              <w:t>运营期生态环境保护措施</w:t>
            </w:r>
          </w:p>
        </w:tc>
        <w:tc>
          <w:tcPr>
            <w:tcW w:w="8050" w:type="dxa"/>
            <w:noWrap w:val="0"/>
            <w:vAlign w:val="top"/>
          </w:tcPr>
          <w:p w14:paraId="0E8106C1">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 xml:space="preserve">1、生态保护措施 </w:t>
            </w:r>
          </w:p>
          <w:p w14:paraId="79BA21E4">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eastAsia="宋体" w:cs="Times New Roman"/>
                <w:color w:val="auto"/>
              </w:rPr>
            </w:pPr>
            <w:bookmarkStart w:id="12" w:name="OLE_LINK4"/>
            <w:r>
              <w:rPr>
                <w:rFonts w:hint="default" w:ascii="Times New Roman" w:hAnsi="Times New Roman" w:eastAsia="宋体" w:cs="Times New Roman"/>
                <w:color w:val="auto"/>
              </w:rPr>
              <w:t>本项目运营期生态保护措施包括植被保护措施、野生动物保护措施，具体内容如下：</w:t>
            </w:r>
          </w:p>
          <w:p w14:paraId="5C7ABEA9">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（1）植被保护措施</w:t>
            </w:r>
          </w:p>
          <w:p w14:paraId="7DE35B7C">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运营期持续加强公路沿线</w:t>
            </w:r>
            <w:r>
              <w:rPr>
                <w:rFonts w:hint="default" w:ascii="Times New Roman" w:hAnsi="Times New Roman" w:eastAsia="宋体" w:cs="Times New Roman"/>
                <w:color w:val="auto"/>
                <w:lang w:val="en-US" w:eastAsia="zh-CN"/>
              </w:rPr>
              <w:t>植被</w:t>
            </w:r>
            <w:r>
              <w:rPr>
                <w:rFonts w:hint="default" w:ascii="Times New Roman" w:hAnsi="Times New Roman" w:eastAsia="宋体" w:cs="Times New Roman"/>
                <w:color w:val="auto"/>
              </w:rPr>
              <w:t>的养护管理，提升路域植被覆盖度，保障植被存活与生长，</w:t>
            </w:r>
            <w:r>
              <w:rPr>
                <w:rFonts w:hint="default" w:ascii="Times New Roman" w:hAnsi="Times New Roman" w:eastAsia="宋体" w:cs="Times New Roman"/>
                <w:color w:val="auto"/>
                <w:lang w:val="en-US" w:eastAsia="zh-CN"/>
              </w:rPr>
              <w:t>养护</w:t>
            </w:r>
            <w:r>
              <w:rPr>
                <w:rFonts w:hint="default" w:ascii="Times New Roman" w:hAnsi="Times New Roman" w:eastAsia="宋体" w:cs="Times New Roman"/>
                <w:color w:val="auto"/>
              </w:rPr>
              <w:t>本地适生植物。</w:t>
            </w:r>
          </w:p>
          <w:p w14:paraId="58195A5B">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（2）野生动物保护措施</w:t>
            </w:r>
          </w:p>
          <w:p w14:paraId="6D96F1D2">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运营期利用涵洞作为野生动物通道，定期跟踪调查通道数量、长度是否满足小型兽类、两栖爬行动物及陆栖鸟类的通行需求，不满足时及时调整。</w:t>
            </w:r>
          </w:p>
          <w:p w14:paraId="45D0C644">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采取上述措施后，运营期对生态环境影响较小。</w:t>
            </w:r>
          </w:p>
          <w:bookmarkEnd w:id="12"/>
          <w:p w14:paraId="5D9014D1">
            <w:pPr>
              <w:pStyle w:val="76"/>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rPr>
            </w:pPr>
            <w:r>
              <w:rPr>
                <w:rFonts w:hint="default" w:ascii="Times New Roman" w:hAnsi="Times New Roman" w:cs="Times New Roman"/>
                <w:color w:val="auto"/>
              </w:rPr>
              <w:t>2、环境空气保护措施</w:t>
            </w:r>
          </w:p>
          <w:p w14:paraId="75BAEA7D">
            <w:pPr>
              <w:keepNext w:val="0"/>
              <w:keepLines w:val="0"/>
              <w:pageBreakBefore w:val="0"/>
              <w:widowControl w:val="0"/>
              <w:kinsoku/>
              <w:wordWrap/>
              <w:overflowPunct/>
              <w:topLinePunct w:val="0"/>
              <w:autoSpaceDE/>
              <w:autoSpaceDN/>
              <w:bidi w:val="0"/>
              <w:adjustRightInd/>
              <w:snapToGrid/>
              <w:spacing w:line="500" w:lineRule="exact"/>
              <w:ind w:firstLine="400"/>
              <w:textAlignment w:val="auto"/>
              <w:rPr>
                <w:rFonts w:hint="default" w:ascii="Times New Roman" w:hAnsi="Times New Roman" w:cs="Times New Roman"/>
                <w:color w:val="auto"/>
              </w:rPr>
            </w:pPr>
            <w:r>
              <w:rPr>
                <w:rFonts w:hint="default" w:ascii="Times New Roman" w:hAnsi="Times New Roman" w:cs="Times New Roman"/>
                <w:color w:val="auto"/>
                <w:kern w:val="0"/>
                <w:sz w:val="20"/>
                <w:szCs w:val="20"/>
                <w:lang w:bidi="ar"/>
              </w:rPr>
              <w:t>（</w:t>
            </w:r>
            <w:r>
              <w:rPr>
                <w:rFonts w:hint="default" w:ascii="Times New Roman" w:hAnsi="Times New Roman" w:cs="Times New Roman"/>
                <w:color w:val="auto"/>
              </w:rPr>
              <w:t xml:space="preserve">1）加强公路管理及路面养护，保持公路良好运营状态；加强交通运输车辆管理，禁止尾气严重超标车辆上路行驶。 </w:t>
            </w:r>
          </w:p>
          <w:p w14:paraId="710D04F6">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 xml:space="preserve">（2）对于装有易产生扬尘运输车辆要求罩盖篷布，防止运输中飞扬洒落。 </w:t>
            </w:r>
          </w:p>
          <w:p w14:paraId="4D492614">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（3）公路两侧</w:t>
            </w:r>
            <w:r>
              <w:rPr>
                <w:rFonts w:hint="default" w:ascii="Times New Roman" w:hAnsi="Times New Roman" w:cs="Times New Roman"/>
                <w:color w:val="auto"/>
                <w:lang w:val="en-US" w:eastAsia="zh-CN"/>
              </w:rPr>
              <w:t>积极养护</w:t>
            </w:r>
            <w:r>
              <w:rPr>
                <w:rFonts w:hint="default" w:ascii="Times New Roman" w:hAnsi="Times New Roman" w:cs="Times New Roman"/>
                <w:color w:val="auto"/>
              </w:rPr>
              <w:t>当地生长的林草，增加沿线植被覆盖率，净化尾气、扬尘等，改善路边景观及行车环境。</w:t>
            </w:r>
          </w:p>
          <w:p w14:paraId="0B8DA50D">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 xml:space="preserve">（4）加强汽车尾气达标检测，不达标车辆应按相关规定加装尾气净化装置确保尾气达标后方可上路行驶。 </w:t>
            </w:r>
          </w:p>
          <w:p w14:paraId="1736E4A5">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（5）加强路面养护和清洁，维护良好的路况，保证汽车在良好的路况下行驶，减少扬尘和尾气污染。加强对公路沿线绿化的养护，维护绿化的减污功能。</w:t>
            </w:r>
          </w:p>
          <w:p w14:paraId="09F99A9F">
            <w:pPr>
              <w:keepNext w:val="0"/>
              <w:keepLines w:val="0"/>
              <w:pageBreakBefore w:val="0"/>
              <w:widowControl w:val="0"/>
              <w:kinsoku/>
              <w:wordWrap/>
              <w:overflowPunct/>
              <w:topLinePunct w:val="0"/>
              <w:autoSpaceDE/>
              <w:autoSpaceDN/>
              <w:bidi w:val="0"/>
              <w:adjustRightInd/>
              <w:snapToGrid/>
              <w:spacing w:line="500" w:lineRule="exact"/>
              <w:ind w:firstLine="420"/>
              <w:textAlignment w:val="auto"/>
              <w:rPr>
                <w:rFonts w:hint="default" w:ascii="Times New Roman" w:hAnsi="Times New Roman" w:cs="Times New Roman"/>
                <w:color w:val="auto"/>
              </w:rPr>
            </w:pPr>
            <w:r>
              <w:rPr>
                <w:rFonts w:hint="default" w:ascii="Times New Roman" w:hAnsi="Times New Roman" w:cs="Times New Roman"/>
                <w:color w:val="auto"/>
              </w:rPr>
              <w:t>运营期废气主要为汽车尾气，公路为开放式区域，扩散条件良好，采取以上防治措施可保证大气污染物达标排放，降低对周围环境空气的影响，本项目大气污染防治措施是可行的。</w:t>
            </w:r>
          </w:p>
          <w:p w14:paraId="4B3BDBEF">
            <w:pPr>
              <w:pStyle w:val="76"/>
              <w:rPr>
                <w:rFonts w:hint="default" w:ascii="Times New Roman" w:hAnsi="Times New Roman" w:cs="Times New Roman"/>
                <w:color w:val="auto"/>
              </w:rPr>
            </w:pPr>
            <w:r>
              <w:rPr>
                <w:rFonts w:hint="default" w:ascii="Times New Roman" w:hAnsi="Times New Roman" w:cs="Times New Roman"/>
                <w:color w:val="auto"/>
              </w:rPr>
              <w:t>3、噪声污染防治措施</w:t>
            </w:r>
          </w:p>
          <w:p w14:paraId="1368C612">
            <w:pPr>
              <w:pStyle w:val="76"/>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（1）工程措施</w:t>
            </w:r>
          </w:p>
          <w:p w14:paraId="7687C668">
            <w:pPr>
              <w:pStyle w:val="76"/>
              <w:ind w:firstLine="471"/>
              <w:rPr>
                <w:color w:val="auto"/>
              </w:rPr>
            </w:pPr>
            <w:r>
              <w:rPr>
                <w:rFonts w:hint="default" w:ascii="Times New Roman" w:hAnsi="Times New Roman" w:cs="Times New Roman"/>
                <w:color w:val="auto"/>
                <w:highlight w:val="none"/>
              </w:rPr>
              <w:t>根据《</w:t>
            </w:r>
            <w:r>
              <w:rPr>
                <w:rFonts w:hint="default" w:ascii="Times New Roman" w:hAnsi="Times New Roman" w:eastAsia="宋体" w:cs="Times New Roman"/>
                <w:color w:val="auto"/>
                <w:kern w:val="21"/>
                <w:szCs w:val="21"/>
                <w:highlight w:val="none"/>
                <w:lang w:eastAsia="zh-CN"/>
              </w:rPr>
              <w:t>国道集贤至当壁公路宝清界至兴凯镇段路面改造工程</w:t>
            </w:r>
            <w:r>
              <w:rPr>
                <w:rFonts w:hint="default" w:ascii="Times New Roman" w:hAnsi="Times New Roman" w:eastAsia="宋体" w:cs="Times New Roman"/>
                <w:color w:val="auto"/>
                <w:highlight w:val="none"/>
              </w:rPr>
              <w:t>施工图设计》</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K200+400</w:t>
            </w:r>
            <w:r>
              <w:rPr>
                <w:rFonts w:hint="default" w:ascii="Times New Roman" w:hAnsi="Times New Roman" w:eastAsia="宋体" w:cs="Times New Roman"/>
                <w:color w:val="auto"/>
                <w:highlight w:val="none"/>
              </w:rPr>
              <w:t>~K</w:t>
            </w:r>
            <w:r>
              <w:rPr>
                <w:rFonts w:hint="default" w:ascii="Times New Roman" w:hAnsi="Times New Roman" w:eastAsia="宋体" w:cs="Times New Roman"/>
                <w:color w:val="auto"/>
                <w:highlight w:val="none"/>
                <w:lang w:val="en-US" w:eastAsia="zh-CN"/>
              </w:rPr>
              <w:t>202+383兴凯镇路段</w:t>
            </w:r>
            <w:r>
              <w:rPr>
                <w:rFonts w:hint="default" w:ascii="Times New Roman" w:hAnsi="Times New Roman" w:eastAsia="宋体" w:cs="Times New Roman"/>
                <w:color w:val="auto"/>
                <w:highlight w:val="none"/>
              </w:rPr>
              <w:t>限速</w:t>
            </w:r>
            <w:r>
              <w:rPr>
                <w:rFonts w:hint="default" w:ascii="Times New Roman" w:hAnsi="Times New Roman" w:eastAsia="宋体" w:cs="Times New Roman"/>
                <w:color w:val="auto"/>
                <w:highlight w:val="none"/>
                <w:lang w:val="en-US" w:eastAsia="zh-CN"/>
              </w:rPr>
              <w:t>4</w:t>
            </w:r>
            <w:r>
              <w:rPr>
                <w:rFonts w:hint="default" w:ascii="Times New Roman" w:hAnsi="Times New Roman" w:eastAsia="宋体" w:cs="Times New Roman"/>
                <w:color w:val="auto"/>
                <w:highlight w:val="none"/>
              </w:rPr>
              <w:t>0km/h</w:t>
            </w:r>
            <w:r>
              <w:rPr>
                <w:rFonts w:hint="default" w:ascii="Times New Roman" w:hAnsi="Times New Roman" w:cs="Times New Roman"/>
                <w:color w:val="auto"/>
                <w:highlight w:val="none"/>
              </w:rPr>
              <w:t>。</w:t>
            </w:r>
            <w:r>
              <w:rPr>
                <w:rFonts w:hint="eastAsia" w:ascii="Times New Roman" w:hAnsi="Times New Roman" w:eastAsia="宋体" w:cs="Times New Roman"/>
                <w:color w:val="auto"/>
                <w:lang w:val="en-US" w:eastAsia="zh-CN"/>
              </w:rPr>
              <w:t>根据本次预测结果，</w:t>
            </w:r>
            <w:r>
              <w:rPr>
                <w:rFonts w:hint="eastAsia"/>
                <w:color w:val="auto"/>
                <w:lang w:val="en-US" w:eastAsia="zh-CN"/>
              </w:rPr>
              <w:t>近期、中期超标敏感目标数量均为110个，拟采取</w:t>
            </w:r>
            <w:r>
              <w:rPr>
                <w:rFonts w:hint="default"/>
                <w:color w:val="auto"/>
                <w:lang w:val="en-US" w:eastAsia="zh-CN"/>
              </w:rPr>
              <w:t>双层中空玻璃窗</w:t>
            </w:r>
            <w:r>
              <w:rPr>
                <w:rFonts w:hint="eastAsia"/>
                <w:color w:val="auto"/>
                <w:lang w:val="en-US" w:eastAsia="zh-CN"/>
              </w:rPr>
              <w:t>措施，对临路110户超标居民安装</w:t>
            </w:r>
            <w:r>
              <w:rPr>
                <w:rFonts w:hint="default"/>
                <w:color w:val="auto"/>
                <w:lang w:val="en-US" w:eastAsia="zh-CN"/>
              </w:rPr>
              <w:t>双层中空玻璃窗</w:t>
            </w:r>
            <w:r>
              <w:rPr>
                <w:rFonts w:hint="eastAsia"/>
                <w:color w:val="auto"/>
                <w:lang w:val="en-US" w:eastAsia="zh-CN"/>
              </w:rPr>
              <w:t>，保证</w:t>
            </w:r>
            <w:r>
              <w:rPr>
                <w:rFonts w:hint="eastAsia" w:ascii="Times New Roman" w:hAnsi="Times New Roman" w:eastAsia="宋体" w:cs="Times New Roman"/>
                <w:color w:val="auto"/>
                <w:lang w:val="en-US" w:eastAsia="zh-CN"/>
              </w:rPr>
              <w:t>各</w:t>
            </w:r>
            <w:r>
              <w:rPr>
                <w:color w:val="auto"/>
              </w:rPr>
              <w:t>声环境保护目标噪声能够满足《声环境质量标准》（GB 3096-2008）中4a类标准要求，</w:t>
            </w:r>
            <w:r>
              <w:rPr>
                <w:rFonts w:hint="eastAsia"/>
                <w:color w:val="auto"/>
                <w:lang w:val="en-US" w:eastAsia="zh-CN"/>
              </w:rPr>
              <w:t>因此采取措施后，本项目</w:t>
            </w:r>
            <w:r>
              <w:rPr>
                <w:color w:val="auto"/>
              </w:rPr>
              <w:t>环境影响可接受。</w:t>
            </w:r>
          </w:p>
          <w:p w14:paraId="53B58585">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rPr>
              <w:t>）管理措施</w:t>
            </w:r>
          </w:p>
          <w:p w14:paraId="086353D3">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①根据《地面交通噪声污染防治技术政策》相关要求，合理布局道路两侧规划建筑，道路与敏感建筑物之间加强绿化，同时建议沿线在控制距离内不宜规划建设医院、学校等对声环境质量要求较高的环境保护敏感建筑。如在控制范围内建设敏感建筑物，对规划敏感建筑物隔声设计、采用隔声门窗等措施，避免交通噪声对规划敏感建筑物的影响，确保室内声环境符合《建筑环境通用规范》（GB55016-2021）要求。</w:t>
            </w:r>
          </w:p>
          <w:p w14:paraId="50E2DC52">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②交通管理部门宜利用交通管理手段，在噪声敏感建筑物集中区域和敏感时段通过采取限鸣（含禁鸣）、限速等措施，合理控制道路交通参数（车流量、车速、车型等），降低交通噪声。</w:t>
            </w:r>
          </w:p>
          <w:p w14:paraId="7ACD36AD">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③对道路进行经常性维护，提高路面平整度，降低道路交通噪声。</w:t>
            </w:r>
          </w:p>
          <w:p w14:paraId="1A2F483E">
            <w:pPr>
              <w:pStyle w:val="76"/>
              <w:rPr>
                <w:rFonts w:hint="default" w:ascii="Times New Roman" w:hAnsi="Times New Roman" w:cs="Times New Roman"/>
                <w:color w:val="auto"/>
                <w:highlight w:val="none"/>
              </w:rPr>
            </w:pPr>
            <w:r>
              <w:rPr>
                <w:rFonts w:hint="default" w:ascii="Times New Roman" w:hAnsi="Times New Roman" w:cs="Times New Roman"/>
                <w:color w:val="auto"/>
                <w:highlight w:val="none"/>
              </w:rPr>
              <w:t>④生态环境主管部门应加强对地面交通噪声监测，对环境噪声超标地面交通设施提出噪声削减意见或要求，监督有关部门实施。</w:t>
            </w:r>
          </w:p>
          <w:p w14:paraId="1187B428">
            <w:pPr>
              <w:pStyle w:val="76"/>
              <w:keepNext w:val="0"/>
              <w:keepLines w:val="0"/>
              <w:pageBreakBefore w:val="0"/>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4</w:t>
            </w:r>
            <w:r>
              <w:rPr>
                <w:rFonts w:hint="default" w:ascii="Times New Roman" w:hAnsi="Times New Roman" w:cs="Times New Roman"/>
                <w:color w:val="auto"/>
              </w:rPr>
              <w:t>、水污染防治措施</w:t>
            </w:r>
          </w:p>
          <w:p w14:paraId="3D9D2F94">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完善路面径流收集系统和排水系统，道路排水系统与现有规划的排水系统相协调，运营管理部门须做好路面清洁工作，防止生活垃圾随降水进入雨水排水沟，进而排入附近河道。加强运营期道路管理，及时清除运输车辆抛洒在路面的污染物，保持路面清洁。路面和路基应设置完善的排水系统，同时，应禁止漏油、不安装保护帆布的货车和超载车上路，以防止公路上车辆漏油和货物洒落在道路上，造成沿线地面</w:t>
            </w:r>
            <w:r>
              <w:rPr>
                <w:rFonts w:hint="default" w:ascii="Times New Roman" w:hAnsi="Times New Roman" w:cs="Times New Roman"/>
                <w:color w:val="auto"/>
                <w:lang w:val="en-US" w:eastAsia="zh-CN"/>
              </w:rPr>
              <w:t>径流</w:t>
            </w:r>
            <w:r>
              <w:rPr>
                <w:rFonts w:hint="default" w:ascii="Times New Roman" w:hAnsi="Times New Roman" w:cs="Times New Roman"/>
                <w:color w:val="auto"/>
              </w:rPr>
              <w:t>污染和安全事故隐患；装载煤、石灰、水泥等容易起尘散货物料时，必须加篷覆盖方能上路，防止物料散落形成径流污水影响水质。</w:t>
            </w:r>
          </w:p>
          <w:p w14:paraId="6C57B5E3">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采取以上防治措施可降低运营期对地表水的影响，本项目地表水污染防治措施是可行的。</w:t>
            </w:r>
          </w:p>
          <w:p w14:paraId="0802CB43">
            <w:pPr>
              <w:pStyle w:val="76"/>
              <w:rPr>
                <w:rFonts w:hint="default" w:ascii="Times New Roman" w:hAnsi="Times New Roman" w:cs="Times New Roman"/>
                <w:color w:val="auto"/>
              </w:rPr>
            </w:pPr>
            <w:r>
              <w:rPr>
                <w:rFonts w:hint="default" w:ascii="Times New Roman" w:hAnsi="Times New Roman" w:cs="Times New Roman"/>
                <w:color w:val="auto"/>
                <w:lang w:val="en-US" w:eastAsia="zh-CN"/>
              </w:rPr>
              <w:t>5</w:t>
            </w:r>
            <w:r>
              <w:rPr>
                <w:rFonts w:hint="default" w:ascii="Times New Roman" w:hAnsi="Times New Roman" w:cs="Times New Roman"/>
                <w:color w:val="auto"/>
              </w:rPr>
              <w:t>、固体废物污染防治措施</w:t>
            </w:r>
          </w:p>
          <w:p w14:paraId="72876A05">
            <w:pPr>
              <w:pStyle w:val="76"/>
              <w:rPr>
                <w:rFonts w:hint="default" w:ascii="Times New Roman" w:hAnsi="Times New Roman" w:cs="Times New Roman"/>
                <w:color w:val="auto"/>
              </w:rPr>
            </w:pPr>
            <w:r>
              <w:rPr>
                <w:rFonts w:hint="default" w:ascii="Times New Roman" w:hAnsi="Times New Roman" w:cs="Times New Roman"/>
                <w:color w:val="auto"/>
              </w:rPr>
              <w:t>本项目运营期产生的固体废物主要是路面产生的垃圾。道路产生的垃圾主要是车辆的洒落物、零星渣土、树枝落叶等，应加强对道路沿线的管理工作，由专人负责清扫，垃圾分类收集并定期清运。</w:t>
            </w:r>
          </w:p>
          <w:p w14:paraId="4B08C1F7">
            <w:pPr>
              <w:pStyle w:val="76"/>
              <w:keepNext w:val="0"/>
              <w:keepLines w:val="0"/>
              <w:pageBreakBefore w:val="0"/>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rPr>
            </w:pPr>
            <w:r>
              <w:rPr>
                <w:rFonts w:hint="default" w:ascii="Times New Roman" w:hAnsi="Times New Roman" w:cs="Times New Roman"/>
                <w:color w:val="auto"/>
              </w:rPr>
              <w:t>6、环境风险防范措施</w:t>
            </w:r>
          </w:p>
          <w:p w14:paraId="63EB8D04">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（1）加强管理，严禁各种泄漏及散装载重车辆上路，防止散失货物，污染物排放和发生交通事故。</w:t>
            </w:r>
          </w:p>
          <w:p w14:paraId="417098D9">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（2）管理部门应做好</w:t>
            </w:r>
            <w:r>
              <w:rPr>
                <w:rFonts w:hint="default" w:ascii="Times New Roman" w:hAnsi="Times New Roman" w:cs="Times New Roman"/>
                <w:color w:val="auto"/>
                <w:lang w:val="en-US" w:eastAsia="zh-CN"/>
              </w:rPr>
              <w:t>公路</w:t>
            </w:r>
            <w:r>
              <w:rPr>
                <w:rFonts w:hint="default" w:ascii="Times New Roman" w:hAnsi="Times New Roman" w:cs="Times New Roman"/>
                <w:color w:val="auto"/>
              </w:rPr>
              <w:t>的管理、维护与维修，</w:t>
            </w:r>
            <w:r>
              <w:rPr>
                <w:rFonts w:hint="default" w:ascii="Times New Roman" w:hAnsi="Times New Roman" w:cs="Times New Roman"/>
                <w:color w:val="auto"/>
                <w:lang w:val="en-US" w:eastAsia="zh-CN"/>
              </w:rPr>
              <w:t>路</w:t>
            </w:r>
            <w:r>
              <w:rPr>
                <w:rFonts w:hint="default" w:ascii="Times New Roman" w:hAnsi="Times New Roman" w:cs="Times New Roman"/>
                <w:color w:val="auto"/>
              </w:rPr>
              <w:t>面有缺损、颠簸不平、大坑凹和设施损坏时，应及时维修，否则应设立警示标志。</w:t>
            </w:r>
          </w:p>
          <w:p w14:paraId="57B91495">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 xml:space="preserve">（3）危险化学品运输车辆必须按规定进行车辆和容器检测，严禁使用检测不合格的车辆和容器、使用报废车辆拼装或自行改装车辆、自行改造容器从事危险货物运输。同时危险化学品运输车辆必须配备相应的安全装置，如排气管火花熄灭器、泄压阀、防波板、遮阳物、压力表、液位计、导除静电设备和必要的灭火设备等。 </w:t>
            </w:r>
          </w:p>
          <w:p w14:paraId="53680A83">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（4）在天气不良的状况下（例如大风天气条件）及车流量高峰期应禁止装载危险品的车辆通过，同时建立有效迅速的应急机构。</w:t>
            </w:r>
          </w:p>
          <w:p w14:paraId="5920D9A2">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（5）合理设置“减速行驶、安全驾驶”警示牌</w:t>
            </w:r>
            <w:r>
              <w:rPr>
                <w:rFonts w:hint="default" w:ascii="Times New Roman" w:hAnsi="Times New Roman" w:cs="Times New Roman"/>
                <w:color w:val="auto"/>
                <w:lang w:val="en-US" w:eastAsia="zh-CN"/>
              </w:rPr>
              <w:t>等标志标柱</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设置防撞护栏</w:t>
            </w:r>
            <w:r>
              <w:rPr>
                <w:rFonts w:hint="default" w:ascii="Times New Roman" w:hAnsi="Times New Roman" w:cs="Times New Roman"/>
                <w:color w:val="auto"/>
              </w:rPr>
              <w:t>。危险品运输车辆应保持安全运输车距，严禁超车、超速。</w:t>
            </w:r>
          </w:p>
          <w:p w14:paraId="6D7A8E26">
            <w:pPr>
              <w:pStyle w:val="76"/>
              <w:keepNext w:val="0"/>
              <w:keepLines w:val="0"/>
              <w:pageBreakBefore w:val="0"/>
              <w:kinsoku/>
              <w:wordWrap/>
              <w:overflowPunct/>
              <w:topLinePunct w:val="0"/>
              <w:autoSpaceDE/>
              <w:autoSpaceDN/>
              <w:bidi w:val="0"/>
              <w:adjustRightInd/>
              <w:snapToGrid/>
              <w:spacing w:line="500" w:lineRule="exact"/>
              <w:textAlignment w:val="auto"/>
              <w:rPr>
                <w:rFonts w:hint="default" w:ascii="Times New Roman" w:hAnsi="Times New Roman" w:cs="Times New Roman"/>
                <w:color w:val="auto"/>
              </w:rPr>
            </w:pPr>
            <w:r>
              <w:rPr>
                <w:rFonts w:hint="default" w:ascii="Times New Roman" w:hAnsi="Times New Roman" w:cs="Times New Roman"/>
                <w:color w:val="auto"/>
              </w:rPr>
              <w:t>（6）严格限制危险品运输车辆通行：除民生必需的少量危险品（如医疗用品、农业急需药剂）外，原则上禁止易燃易爆、剧毒、高腐蚀性危险品车辆穿越黑龙江三江国家级自然保护区实验区路段；确需通行的，需由项目建设单位联合保护区管理局、当地交通运输部门、公安机关共同审核，明确 “限量、限时、限速” 要求（如仅允许白天 8:00-18:00 通行，车速不超过 40km/h），并避开鸟类繁殖期（4-7 月）、鱼类洄游期（4-5 月、9-10 月）等生态敏感时段。</w:t>
            </w:r>
          </w:p>
          <w:p w14:paraId="6183B63D">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7</w:t>
            </w:r>
            <w:r>
              <w:rPr>
                <w:rFonts w:hint="default" w:ascii="Times New Roman" w:hAnsi="Times New Roman" w:cs="Times New Roman"/>
                <w:color w:val="auto"/>
              </w:rPr>
              <w:t>）道路运营管理部门配备必要环境风险应急材料，包括应急人员和器材（包括通讯器材、防护器材和处理、处置器材），并对相关人员进行必要的培训和演练</w:t>
            </w:r>
            <w:r>
              <w:rPr>
                <w:rFonts w:hint="default" w:ascii="Times New Roman" w:hAnsi="Times New Roman" w:cs="Times New Roman"/>
                <w:color w:val="auto"/>
                <w:lang w:eastAsia="zh-CN"/>
              </w:rPr>
              <w:t>，应急设备和应急物资应及时检修检查，存放处应进行相应的防渗防潮处理</w:t>
            </w:r>
            <w:r>
              <w:rPr>
                <w:rFonts w:hint="default" w:ascii="Times New Roman" w:hAnsi="Times New Roman" w:cs="Times New Roman"/>
                <w:color w:val="auto"/>
              </w:rPr>
              <w:t>。</w:t>
            </w:r>
          </w:p>
          <w:p w14:paraId="03235CE7">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8</w:t>
            </w:r>
            <w:r>
              <w:rPr>
                <w:rFonts w:hint="default" w:ascii="Times New Roman" w:hAnsi="Times New Roman" w:cs="Times New Roman"/>
                <w:color w:val="auto"/>
              </w:rPr>
              <w:t>）危险品运输车辆要有明显标志，应严格执行《化学危险品安全管理条例》等危险品运输有关规定，对运输危险品车辆实行申报管理制度。车主需填写申报表，主要内容有危险货物执照号码、货物品种等级和编号、收发货人名称、装卸地点、货物特性等。</w:t>
            </w:r>
          </w:p>
          <w:p w14:paraId="06986979">
            <w:pPr>
              <w:keepNext w:val="0"/>
              <w:keepLines w:val="0"/>
              <w:pageBreakBefore w:val="0"/>
              <w:widowControl/>
              <w:kinsoku/>
              <w:wordWrap/>
              <w:overflowPunct/>
              <w:topLinePunct w:val="0"/>
              <w:autoSpaceDE/>
              <w:autoSpaceDN/>
              <w:bidi w:val="0"/>
              <w:adjustRightInd/>
              <w:snapToGrid/>
              <w:spacing w:line="500" w:lineRule="exact"/>
              <w:ind w:firstLine="420"/>
              <w:jc w:val="left"/>
              <w:textAlignment w:val="auto"/>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9</w:t>
            </w:r>
            <w:r>
              <w:rPr>
                <w:rFonts w:hint="default" w:ascii="Times New Roman" w:hAnsi="Times New Roman" w:cs="Times New Roman"/>
                <w:color w:val="auto"/>
              </w:rPr>
              <w:t>）应急预案要求：公路运营单位必须与自然保护区管理部门建立应急联动机制，并编制突发环境事件应急预案，设立事故处理应急办公室，以便出现风险事故时与主管部门和其他相关部门联络、协同组织，进行事故现场处理。项目运营后，危险运输车辆通过本项目时，如发生风险事故，立即通知应急小组，及时启动突发环境事件应急预案，应急对策和预案的内容及要求如下表。</w:t>
            </w:r>
          </w:p>
          <w:p w14:paraId="24DFE403">
            <w:pPr>
              <w:keepNext w:val="0"/>
              <w:keepLines w:val="0"/>
              <w:pageBreakBefore w:val="0"/>
              <w:kinsoku/>
              <w:wordWrap/>
              <w:overflowPunct/>
              <w:topLinePunct w:val="0"/>
              <w:autoSpaceDE/>
              <w:autoSpaceDN/>
              <w:bidi w:val="0"/>
              <w:adjustRightInd/>
              <w:snapToGrid/>
              <w:spacing w:line="500" w:lineRule="exact"/>
              <w:ind w:firstLine="0" w:firstLineChars="0"/>
              <w:jc w:val="center"/>
              <w:textAlignment w:val="auto"/>
              <w:rPr>
                <w:rFonts w:hint="default" w:ascii="Times New Roman" w:hAnsi="Times New Roman" w:cs="Times New Roman"/>
                <w:b/>
                <w:bCs/>
                <w:color w:val="auto"/>
              </w:rPr>
            </w:pPr>
            <w:r>
              <w:rPr>
                <w:rFonts w:hint="default" w:ascii="Times New Roman" w:hAnsi="Times New Roman" w:cs="Times New Roman"/>
                <w:b/>
                <w:bCs/>
                <w:color w:val="auto"/>
              </w:rPr>
              <w:t xml:space="preserve">表5-1 </w:t>
            </w:r>
            <w:r>
              <w:rPr>
                <w:rFonts w:hint="default" w:ascii="Times New Roman" w:hAnsi="Times New Roman" w:cs="Times New Roman"/>
                <w:b/>
                <w:bCs/>
                <w:color w:val="auto"/>
                <w:lang w:val="en-US" w:eastAsia="zh-CN"/>
              </w:rPr>
              <w:t xml:space="preserve"> </w:t>
            </w:r>
            <w:r>
              <w:rPr>
                <w:rFonts w:hint="default" w:ascii="Times New Roman" w:hAnsi="Times New Roman" w:cs="Times New Roman"/>
                <w:b/>
                <w:bCs/>
                <w:color w:val="auto"/>
              </w:rPr>
              <w:t>应急预案内容表</w:t>
            </w:r>
          </w:p>
          <w:tbl>
            <w:tblPr>
              <w:tblStyle w:val="9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88"/>
              <w:gridCol w:w="2202"/>
              <w:gridCol w:w="4942"/>
            </w:tblGrid>
            <w:tr w14:paraId="4BB621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173CA3B7">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序号</w:t>
                  </w:r>
                </w:p>
              </w:tc>
              <w:tc>
                <w:tcPr>
                  <w:tcW w:w="1405" w:type="pct"/>
                  <w:vAlign w:val="center"/>
                </w:tcPr>
                <w:p w14:paraId="58FA7356">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项目</w:t>
                  </w:r>
                </w:p>
              </w:tc>
              <w:tc>
                <w:tcPr>
                  <w:tcW w:w="3154" w:type="pct"/>
                  <w:vAlign w:val="center"/>
                </w:tcPr>
                <w:p w14:paraId="3227D40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内容及要求</w:t>
                  </w:r>
                </w:p>
              </w:tc>
            </w:tr>
            <w:tr w14:paraId="4B1397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53296010">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1405" w:type="pct"/>
                  <w:vAlign w:val="center"/>
                </w:tcPr>
                <w:p w14:paraId="32C067C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应急计划区</w:t>
                  </w:r>
                </w:p>
              </w:tc>
              <w:tc>
                <w:tcPr>
                  <w:tcW w:w="3154" w:type="pct"/>
                  <w:vAlign w:val="center"/>
                </w:tcPr>
                <w:p w14:paraId="6BFF088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危险目标：运输路线、环境保护目标</w:t>
                  </w:r>
                </w:p>
              </w:tc>
            </w:tr>
            <w:tr w14:paraId="352E0F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0F8E387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1405" w:type="pct"/>
                  <w:vAlign w:val="center"/>
                </w:tcPr>
                <w:p w14:paraId="2C24E584">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应急组织机构、人员</w:t>
                  </w:r>
                </w:p>
              </w:tc>
              <w:tc>
                <w:tcPr>
                  <w:tcW w:w="3154" w:type="pct"/>
                  <w:vAlign w:val="center"/>
                </w:tcPr>
                <w:p w14:paraId="49AC8632">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地区应急组织机构、人员</w:t>
                  </w:r>
                </w:p>
              </w:tc>
            </w:tr>
            <w:tr w14:paraId="26D946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2D66DA1B">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3</w:t>
                  </w:r>
                </w:p>
              </w:tc>
              <w:tc>
                <w:tcPr>
                  <w:tcW w:w="1405" w:type="pct"/>
                  <w:vAlign w:val="center"/>
                </w:tcPr>
                <w:p w14:paraId="2036E350">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预案分级响应条件</w:t>
                  </w:r>
                </w:p>
              </w:tc>
              <w:tc>
                <w:tcPr>
                  <w:tcW w:w="3154" w:type="pct"/>
                  <w:vAlign w:val="center"/>
                </w:tcPr>
                <w:p w14:paraId="6BBD8EA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规定预案的级别及分级响应程序</w:t>
                  </w:r>
                </w:p>
              </w:tc>
            </w:tr>
            <w:tr w14:paraId="207F8A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2E01E9F6">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4</w:t>
                  </w:r>
                </w:p>
              </w:tc>
              <w:tc>
                <w:tcPr>
                  <w:tcW w:w="1405" w:type="pct"/>
                  <w:vAlign w:val="center"/>
                </w:tcPr>
                <w:p w14:paraId="779998FB">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应急救援保障</w:t>
                  </w:r>
                </w:p>
              </w:tc>
              <w:tc>
                <w:tcPr>
                  <w:tcW w:w="3154" w:type="pct"/>
                  <w:vAlign w:val="center"/>
                </w:tcPr>
                <w:p w14:paraId="2F0AADEC">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应急设施，设备与器材等</w:t>
                  </w:r>
                </w:p>
              </w:tc>
            </w:tr>
            <w:tr w14:paraId="0A4562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3DDFEDD7">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5</w:t>
                  </w:r>
                </w:p>
              </w:tc>
              <w:tc>
                <w:tcPr>
                  <w:tcW w:w="1405" w:type="pct"/>
                  <w:vAlign w:val="center"/>
                </w:tcPr>
                <w:p w14:paraId="33CB9D8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报警、通讯联络方式</w:t>
                  </w:r>
                </w:p>
              </w:tc>
              <w:tc>
                <w:tcPr>
                  <w:tcW w:w="3154" w:type="pct"/>
                  <w:vAlign w:val="center"/>
                </w:tcPr>
                <w:p w14:paraId="08CA568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规定应急状态下的报警通讯方式、通知方式和交通保障、管制</w:t>
                  </w:r>
                </w:p>
              </w:tc>
            </w:tr>
            <w:tr w14:paraId="046209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7FC704D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6</w:t>
                  </w:r>
                </w:p>
              </w:tc>
              <w:tc>
                <w:tcPr>
                  <w:tcW w:w="1405" w:type="pct"/>
                  <w:vAlign w:val="center"/>
                </w:tcPr>
                <w:p w14:paraId="65A7642B">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应急环境监测、抢险、 救援及控制措施</w:t>
                  </w:r>
                </w:p>
              </w:tc>
              <w:tc>
                <w:tcPr>
                  <w:tcW w:w="3154" w:type="pct"/>
                  <w:vAlign w:val="center"/>
                </w:tcPr>
                <w:p w14:paraId="2F789B5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由专业队伍负责对事故现场进行侦察监测，对事故性质、参数与后果进行评估，为指挥部门提供决策依据</w:t>
                  </w:r>
                </w:p>
              </w:tc>
            </w:tr>
            <w:tr w14:paraId="4F9D43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1BF4DD3D">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7</w:t>
                  </w:r>
                </w:p>
              </w:tc>
              <w:tc>
                <w:tcPr>
                  <w:tcW w:w="1405" w:type="pct"/>
                  <w:vAlign w:val="center"/>
                </w:tcPr>
                <w:p w14:paraId="067DD1D5">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应急监测、防护措施、 清除泄漏措施和器材</w:t>
                  </w:r>
                </w:p>
              </w:tc>
              <w:tc>
                <w:tcPr>
                  <w:tcW w:w="3154" w:type="pct"/>
                  <w:vAlign w:val="center"/>
                </w:tcPr>
                <w:p w14:paraId="631D3AFB">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事故现场、邻近区域、控制防火区域，控制和清除污染措施及相应设备</w:t>
                  </w:r>
                </w:p>
              </w:tc>
            </w:tr>
            <w:tr w14:paraId="114268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53D7B1A8">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8</w:t>
                  </w:r>
                </w:p>
              </w:tc>
              <w:tc>
                <w:tcPr>
                  <w:tcW w:w="1405" w:type="pct"/>
                  <w:vAlign w:val="center"/>
                </w:tcPr>
                <w:p w14:paraId="7398062C">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人员紧急撤离、疏散， 应急剂量控制、撤离组</w:t>
                  </w:r>
                </w:p>
                <w:p w14:paraId="325FBC1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织计划</w:t>
                  </w:r>
                </w:p>
              </w:tc>
              <w:tc>
                <w:tcPr>
                  <w:tcW w:w="3154" w:type="pct"/>
                  <w:vAlign w:val="center"/>
                </w:tcPr>
                <w:p w14:paraId="4AB439F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事故现场、邻近区、受事故影响的区域人员及公众对毒物应急剂量控制规定，撤离组织计划及救护，医疗救护与公众健康</w:t>
                  </w:r>
                </w:p>
              </w:tc>
            </w:tr>
            <w:tr w14:paraId="4ECFD7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05A6BE5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9</w:t>
                  </w:r>
                </w:p>
              </w:tc>
              <w:tc>
                <w:tcPr>
                  <w:tcW w:w="1405" w:type="pct"/>
                  <w:vAlign w:val="center"/>
                </w:tcPr>
                <w:p w14:paraId="402D926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事故应急救援关闭程序与恢复措施</w:t>
                  </w:r>
                </w:p>
              </w:tc>
              <w:tc>
                <w:tcPr>
                  <w:tcW w:w="3154" w:type="pct"/>
                  <w:vAlign w:val="center"/>
                </w:tcPr>
                <w:p w14:paraId="75E2D6E7">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规定应急状态终止程序事故现场善后处理，恢复措施邻近区域解除事故警戒及善后恢复措施</w:t>
                  </w:r>
                </w:p>
              </w:tc>
            </w:tr>
            <w:tr w14:paraId="62F65B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6A348209">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10</w:t>
                  </w:r>
                </w:p>
              </w:tc>
              <w:tc>
                <w:tcPr>
                  <w:tcW w:w="1405" w:type="pct"/>
                  <w:vAlign w:val="center"/>
                </w:tcPr>
                <w:p w14:paraId="7C0DBE4F">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应急培训计划</w:t>
                  </w:r>
                </w:p>
              </w:tc>
              <w:tc>
                <w:tcPr>
                  <w:tcW w:w="3154" w:type="pct"/>
                  <w:vAlign w:val="center"/>
                </w:tcPr>
                <w:p w14:paraId="774C7F82">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应急计划制定后，平时安排人员培训与演练</w:t>
                  </w:r>
                </w:p>
              </w:tc>
            </w:tr>
            <w:tr w14:paraId="623DB8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439" w:type="pct"/>
                  <w:vAlign w:val="center"/>
                </w:tcPr>
                <w:p w14:paraId="642A082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11</w:t>
                  </w:r>
                </w:p>
              </w:tc>
              <w:tc>
                <w:tcPr>
                  <w:tcW w:w="1405" w:type="pct"/>
                  <w:vAlign w:val="center"/>
                </w:tcPr>
                <w:p w14:paraId="7D974B60">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公众教育和信息</w:t>
                  </w:r>
                </w:p>
              </w:tc>
              <w:tc>
                <w:tcPr>
                  <w:tcW w:w="3154" w:type="pct"/>
                  <w:vAlign w:val="center"/>
                </w:tcPr>
                <w:p w14:paraId="4E26B854">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对邻近地区开展公众教育、培训和发布有关信息</w:t>
                  </w:r>
                </w:p>
              </w:tc>
            </w:tr>
          </w:tbl>
          <w:p w14:paraId="1ED5A720">
            <w:pPr>
              <w:pStyle w:val="76"/>
              <w:rPr>
                <w:rFonts w:hint="default" w:ascii="Times New Roman" w:hAnsi="Times New Roman" w:cs="Times New Roman"/>
                <w:color w:val="auto"/>
              </w:rPr>
            </w:pPr>
            <w:r>
              <w:rPr>
                <w:rFonts w:hint="default" w:ascii="Times New Roman" w:hAnsi="Times New Roman" w:cs="Times New Roman"/>
                <w:color w:val="auto"/>
              </w:rPr>
              <w:t>综上所述，在采取一定的防范措施后，本项目对外界的风险影响不大，可满足环境风险的要求。</w:t>
            </w:r>
          </w:p>
          <w:p w14:paraId="28A4179E">
            <w:pPr>
              <w:pStyle w:val="76"/>
              <w:rPr>
                <w:rFonts w:hint="default" w:ascii="Times New Roman" w:hAnsi="Times New Roman" w:cs="Times New Roman"/>
                <w:color w:val="auto"/>
              </w:rPr>
            </w:pPr>
          </w:p>
          <w:p w14:paraId="6DD43AF6">
            <w:pPr>
              <w:pStyle w:val="76"/>
              <w:rPr>
                <w:rFonts w:hint="default" w:ascii="Times New Roman" w:hAnsi="Times New Roman" w:cs="Times New Roman"/>
                <w:color w:val="auto"/>
              </w:rPr>
            </w:pPr>
          </w:p>
          <w:p w14:paraId="68C4E560">
            <w:pPr>
              <w:pStyle w:val="76"/>
              <w:rPr>
                <w:rFonts w:hint="default" w:ascii="Times New Roman" w:hAnsi="Times New Roman" w:cs="Times New Roman"/>
                <w:color w:val="auto"/>
              </w:rPr>
            </w:pPr>
          </w:p>
          <w:p w14:paraId="5A016A66">
            <w:pPr>
              <w:pStyle w:val="76"/>
              <w:rPr>
                <w:rFonts w:hint="default" w:ascii="Times New Roman" w:hAnsi="Times New Roman" w:cs="Times New Roman"/>
                <w:color w:val="auto"/>
              </w:rPr>
            </w:pPr>
          </w:p>
          <w:p w14:paraId="432ABBFC">
            <w:pPr>
              <w:pStyle w:val="76"/>
              <w:rPr>
                <w:rFonts w:hint="default" w:ascii="Times New Roman" w:hAnsi="Times New Roman" w:cs="Times New Roman"/>
                <w:color w:val="auto"/>
              </w:rPr>
            </w:pPr>
          </w:p>
          <w:p w14:paraId="5E5988C8">
            <w:pPr>
              <w:pStyle w:val="76"/>
              <w:rPr>
                <w:rFonts w:hint="default" w:ascii="Times New Roman" w:hAnsi="Times New Roman" w:cs="Times New Roman"/>
                <w:color w:val="auto"/>
              </w:rPr>
            </w:pPr>
          </w:p>
          <w:p w14:paraId="20D3D97D">
            <w:pPr>
              <w:pStyle w:val="76"/>
              <w:rPr>
                <w:rFonts w:hint="default" w:ascii="Times New Roman" w:hAnsi="Times New Roman" w:cs="Times New Roman"/>
                <w:color w:val="auto"/>
              </w:rPr>
            </w:pPr>
          </w:p>
          <w:p w14:paraId="3B4999ED">
            <w:pPr>
              <w:pStyle w:val="76"/>
              <w:rPr>
                <w:rFonts w:hint="default" w:ascii="Times New Roman" w:hAnsi="Times New Roman" w:cs="Times New Roman"/>
                <w:color w:val="auto"/>
              </w:rPr>
            </w:pPr>
          </w:p>
          <w:p w14:paraId="048E04E9">
            <w:pPr>
              <w:pStyle w:val="76"/>
              <w:rPr>
                <w:rFonts w:hint="default" w:ascii="Times New Roman" w:hAnsi="Times New Roman" w:cs="Times New Roman"/>
                <w:color w:val="auto"/>
              </w:rPr>
            </w:pPr>
          </w:p>
          <w:p w14:paraId="0C15C18C">
            <w:pPr>
              <w:pStyle w:val="76"/>
              <w:rPr>
                <w:rFonts w:hint="default" w:ascii="Times New Roman" w:hAnsi="Times New Roman" w:cs="Times New Roman"/>
                <w:color w:val="auto"/>
              </w:rPr>
            </w:pPr>
          </w:p>
          <w:p w14:paraId="75DD1C94">
            <w:pPr>
              <w:pStyle w:val="76"/>
              <w:rPr>
                <w:rFonts w:hint="default" w:ascii="Times New Roman" w:hAnsi="Times New Roman" w:cs="Times New Roman"/>
                <w:color w:val="auto"/>
              </w:rPr>
            </w:pPr>
          </w:p>
          <w:p w14:paraId="00BEA1F7">
            <w:pPr>
              <w:pStyle w:val="76"/>
              <w:rPr>
                <w:rFonts w:hint="default" w:ascii="Times New Roman" w:hAnsi="Times New Roman" w:cs="Times New Roman"/>
                <w:color w:val="auto"/>
              </w:rPr>
            </w:pPr>
          </w:p>
          <w:p w14:paraId="676ED5BA">
            <w:pPr>
              <w:pStyle w:val="76"/>
              <w:rPr>
                <w:rFonts w:hint="default" w:ascii="Times New Roman" w:hAnsi="Times New Roman" w:cs="Times New Roman"/>
                <w:color w:val="auto"/>
              </w:rPr>
            </w:pPr>
          </w:p>
          <w:p w14:paraId="1DB32AF2">
            <w:pPr>
              <w:pStyle w:val="76"/>
              <w:rPr>
                <w:rFonts w:hint="default" w:ascii="Times New Roman" w:hAnsi="Times New Roman" w:cs="Times New Roman"/>
                <w:color w:val="auto"/>
              </w:rPr>
            </w:pPr>
          </w:p>
          <w:p w14:paraId="406F3B77">
            <w:pPr>
              <w:pStyle w:val="76"/>
              <w:rPr>
                <w:rFonts w:hint="default" w:ascii="Times New Roman" w:hAnsi="Times New Roman" w:cs="Times New Roman"/>
                <w:color w:val="auto"/>
              </w:rPr>
            </w:pPr>
          </w:p>
          <w:p w14:paraId="511FF1C7">
            <w:pPr>
              <w:pStyle w:val="76"/>
              <w:rPr>
                <w:rFonts w:hint="default" w:ascii="Times New Roman" w:hAnsi="Times New Roman" w:cs="Times New Roman"/>
                <w:color w:val="auto"/>
              </w:rPr>
            </w:pPr>
          </w:p>
          <w:p w14:paraId="679E81D9">
            <w:pPr>
              <w:pStyle w:val="76"/>
              <w:rPr>
                <w:rFonts w:hint="default" w:ascii="Times New Roman" w:hAnsi="Times New Roman" w:cs="Times New Roman"/>
                <w:color w:val="auto"/>
              </w:rPr>
            </w:pPr>
          </w:p>
          <w:p w14:paraId="09FBE22F">
            <w:pPr>
              <w:pStyle w:val="76"/>
              <w:rPr>
                <w:rFonts w:hint="default" w:ascii="Times New Roman" w:hAnsi="Times New Roman" w:cs="Times New Roman"/>
                <w:color w:val="auto"/>
              </w:rPr>
            </w:pPr>
          </w:p>
          <w:p w14:paraId="74FB8694">
            <w:pPr>
              <w:pStyle w:val="76"/>
              <w:rPr>
                <w:rFonts w:hint="default" w:ascii="Times New Roman" w:hAnsi="Times New Roman" w:cs="Times New Roman"/>
                <w:color w:val="auto"/>
              </w:rPr>
            </w:pPr>
          </w:p>
          <w:p w14:paraId="5BF1D6EF">
            <w:pPr>
              <w:pStyle w:val="76"/>
              <w:rPr>
                <w:rFonts w:hint="default" w:ascii="Times New Roman" w:hAnsi="Times New Roman" w:cs="Times New Roman"/>
                <w:color w:val="auto"/>
              </w:rPr>
            </w:pPr>
          </w:p>
          <w:p w14:paraId="0B853AA9">
            <w:pPr>
              <w:pStyle w:val="76"/>
              <w:rPr>
                <w:rFonts w:hint="default" w:ascii="Times New Roman" w:hAnsi="Times New Roman" w:cs="Times New Roman"/>
                <w:bCs/>
                <w:color w:val="auto"/>
                <w:kern w:val="21"/>
                <w:szCs w:val="21"/>
              </w:rPr>
            </w:pPr>
          </w:p>
        </w:tc>
      </w:tr>
      <w:tr w14:paraId="13350B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69" w:hRule="atLeast"/>
          <w:jc w:val="center"/>
        </w:trPr>
        <w:tc>
          <w:tcPr>
            <w:tcW w:w="656" w:type="dxa"/>
            <w:noWrap w:val="0"/>
            <w:tcMar>
              <w:left w:w="28" w:type="dxa"/>
              <w:right w:w="28" w:type="dxa"/>
            </w:tcMar>
            <w:vAlign w:val="center"/>
          </w:tcPr>
          <w:p w14:paraId="3F6CB131">
            <w:pPr>
              <w:adjustRightInd w:val="0"/>
              <w:snapToGrid w:val="0"/>
              <w:jc w:val="center"/>
              <w:rPr>
                <w:rFonts w:hint="default" w:ascii="Times New Roman" w:hAnsi="Times New Roman" w:cs="Times New Roman"/>
                <w:bCs/>
                <w:color w:val="auto"/>
                <w:spacing w:val="10"/>
              </w:rPr>
            </w:pPr>
            <w:r>
              <w:rPr>
                <w:rFonts w:hint="default" w:ascii="Times New Roman" w:hAnsi="Times New Roman" w:cs="Times New Roman"/>
                <w:bCs/>
                <w:color w:val="auto"/>
                <w:spacing w:val="10"/>
              </w:rPr>
              <w:t>其他</w:t>
            </w:r>
          </w:p>
        </w:tc>
        <w:tc>
          <w:tcPr>
            <w:tcW w:w="8050" w:type="dxa"/>
            <w:noWrap w:val="0"/>
            <w:vAlign w:val="top"/>
          </w:tcPr>
          <w:p w14:paraId="68B8DF8C">
            <w:pPr>
              <w:ind w:firstLine="420"/>
              <w:rPr>
                <w:rFonts w:hint="default" w:ascii="Times New Roman" w:hAnsi="Times New Roman" w:cs="Times New Roman"/>
                <w:color w:val="auto"/>
              </w:rPr>
            </w:pPr>
            <w:r>
              <w:rPr>
                <w:rFonts w:hint="default" w:ascii="Times New Roman" w:hAnsi="Times New Roman" w:cs="Times New Roman"/>
                <w:color w:val="auto"/>
              </w:rPr>
              <w:t>1、环境管理</w:t>
            </w:r>
          </w:p>
          <w:p w14:paraId="195C9A0C">
            <w:pPr>
              <w:ind w:firstLine="420"/>
              <w:rPr>
                <w:rFonts w:hint="default" w:ascii="Times New Roman" w:hAnsi="Times New Roman" w:cs="Times New Roman"/>
                <w:color w:val="auto"/>
              </w:rPr>
            </w:pPr>
            <w:r>
              <w:rPr>
                <w:rFonts w:hint="default" w:ascii="Times New Roman" w:hAnsi="Times New Roman" w:cs="Times New Roman"/>
                <w:color w:val="auto"/>
              </w:rPr>
              <w:t>（1）建设项目需配套建设的环境保护设施，必须与主体工程同时设计、同时施工、同时投产使用。</w:t>
            </w:r>
          </w:p>
          <w:p w14:paraId="65EFB028">
            <w:pPr>
              <w:ind w:firstLine="420"/>
              <w:rPr>
                <w:rFonts w:hint="default" w:ascii="Times New Roman" w:hAnsi="Times New Roman" w:cs="Times New Roman"/>
                <w:color w:val="auto"/>
              </w:rPr>
            </w:pPr>
            <w:r>
              <w:rPr>
                <w:rFonts w:hint="default" w:ascii="Times New Roman" w:hAnsi="Times New Roman" w:cs="Times New Roman"/>
                <w:color w:val="auto"/>
              </w:rPr>
              <w:t>（2）建设单位应将环境保护设施纳入施工合同，保证环境保护设施建设进度和资金，并在项目建设过程中同时组织实施环境影响报告及其审批部门审批决定中提出的环境保护对策措施。</w:t>
            </w:r>
          </w:p>
          <w:p w14:paraId="05DD72B1">
            <w:pPr>
              <w:ind w:firstLine="420"/>
              <w:rPr>
                <w:rFonts w:hint="default" w:ascii="Times New Roman" w:hAnsi="Times New Roman" w:cs="Times New Roman"/>
                <w:color w:val="auto"/>
              </w:rPr>
            </w:pPr>
            <w:r>
              <w:rPr>
                <w:rFonts w:hint="default" w:ascii="Times New Roman" w:hAnsi="Times New Roman" w:cs="Times New Roman"/>
                <w:color w:val="auto"/>
              </w:rPr>
              <w:t>（3）项目竣工后，建设单位应当按国务院环境保护行政主管部门规定的标准和程序，对配套建设的环境保护设施进行验收，编制验收报告。</w:t>
            </w:r>
          </w:p>
          <w:p w14:paraId="3596C66F">
            <w:pPr>
              <w:ind w:firstLine="420"/>
              <w:rPr>
                <w:rFonts w:hint="default" w:ascii="Times New Roman" w:hAnsi="Times New Roman" w:cs="Times New Roman"/>
                <w:color w:val="auto"/>
              </w:rPr>
            </w:pPr>
            <w:r>
              <w:rPr>
                <w:rFonts w:hint="default" w:ascii="Times New Roman" w:hAnsi="Times New Roman" w:cs="Times New Roman"/>
                <w:color w:val="auto"/>
              </w:rPr>
              <w:t>（4）建设单位在环境保护设施验收过程中，应当如实查验、监测、记载建设项目环境保护设施的建设和调试情况，不得弄虚作假。</w:t>
            </w:r>
          </w:p>
          <w:p w14:paraId="11708835">
            <w:pPr>
              <w:ind w:firstLine="420"/>
              <w:rPr>
                <w:rFonts w:hint="default" w:ascii="Times New Roman" w:hAnsi="Times New Roman" w:cs="Times New Roman"/>
                <w:color w:val="auto"/>
              </w:rPr>
            </w:pPr>
            <w:r>
              <w:rPr>
                <w:rFonts w:hint="default" w:ascii="Times New Roman" w:hAnsi="Times New Roman" w:cs="Times New Roman"/>
                <w:color w:val="auto"/>
              </w:rPr>
              <w:t>（5）环境保护设施经验收合格，方可投入生产或使用；未经验收或验收不合格的，不得投入生产或使用。</w:t>
            </w:r>
          </w:p>
          <w:p w14:paraId="305C2644">
            <w:pPr>
              <w:ind w:firstLine="420"/>
              <w:rPr>
                <w:rFonts w:hint="default" w:ascii="Times New Roman" w:hAnsi="Times New Roman" w:cs="Times New Roman"/>
                <w:color w:val="auto"/>
              </w:rPr>
            </w:pPr>
            <w:r>
              <w:rPr>
                <w:rFonts w:hint="default" w:ascii="Times New Roman" w:hAnsi="Times New Roman" w:cs="Times New Roman"/>
                <w:color w:val="auto"/>
              </w:rPr>
              <w:t>（6）建立日常环境管理制度、组织机构和环境管理台账相关要求，明确各项环境保护设施和措施的建设、运行及维护费用保障计划。</w:t>
            </w:r>
          </w:p>
          <w:p w14:paraId="5804FDCD">
            <w:pPr>
              <w:ind w:firstLine="420"/>
              <w:rPr>
                <w:rFonts w:hint="default" w:ascii="Times New Roman" w:hAnsi="Times New Roman" w:cs="Times New Roman"/>
                <w:color w:val="auto"/>
              </w:rPr>
            </w:pPr>
            <w:r>
              <w:rPr>
                <w:rFonts w:hint="default" w:ascii="Times New Roman" w:hAnsi="Times New Roman" w:cs="Times New Roman"/>
                <w:color w:val="auto"/>
              </w:rPr>
              <w:t>2、环境监测计划</w:t>
            </w:r>
          </w:p>
          <w:p w14:paraId="4938C5EA">
            <w:pPr>
              <w:ind w:firstLine="420"/>
              <w:rPr>
                <w:rFonts w:hint="default" w:ascii="Times New Roman" w:hAnsi="Times New Roman" w:cs="Times New Roman"/>
                <w:color w:val="auto"/>
              </w:rPr>
            </w:pPr>
            <w:r>
              <w:rPr>
                <w:rFonts w:hint="default" w:ascii="Times New Roman" w:hAnsi="Times New Roman" w:cs="Times New Roman"/>
                <w:color w:val="auto"/>
              </w:rPr>
              <w:t>本项目环境监测计划主要包括环境噪声，根据《环境影响评价技术导则 公路建设项目》（HJ1358-2024），项目环境监测计划见下表。</w:t>
            </w:r>
          </w:p>
          <w:p w14:paraId="13838AC3">
            <w:pPr>
              <w:ind w:firstLine="0" w:firstLineChars="0"/>
              <w:jc w:val="center"/>
              <w:rPr>
                <w:rFonts w:hint="default" w:ascii="Times New Roman" w:hAnsi="Times New Roman" w:cs="Times New Roman"/>
                <w:b/>
                <w:bCs/>
                <w:color w:val="auto"/>
              </w:rPr>
            </w:pPr>
            <w:r>
              <w:rPr>
                <w:rFonts w:hint="default" w:ascii="Times New Roman" w:hAnsi="Times New Roman" w:cs="Times New Roman"/>
                <w:b/>
                <w:bCs/>
                <w:color w:val="auto"/>
              </w:rPr>
              <w:t>表5-2  项目环境监测计划一览表</w:t>
            </w:r>
          </w:p>
          <w:tbl>
            <w:tblPr>
              <w:tblStyle w:val="31"/>
              <w:tblW w:w="7969"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2"/>
              <w:gridCol w:w="750"/>
              <w:gridCol w:w="1500"/>
              <w:gridCol w:w="1116"/>
              <w:gridCol w:w="1485"/>
              <w:gridCol w:w="2496"/>
            </w:tblGrid>
            <w:tr w14:paraId="57CBE7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dxa"/>
                  <w:tcBorders>
                    <w:tl2br w:val="nil"/>
                    <w:tr2bl w:val="nil"/>
                  </w:tcBorders>
                  <w:vAlign w:val="center"/>
                </w:tcPr>
                <w:p w14:paraId="4619D4F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时期</w:t>
                  </w:r>
                </w:p>
              </w:tc>
              <w:tc>
                <w:tcPr>
                  <w:tcW w:w="750" w:type="dxa"/>
                  <w:tcBorders>
                    <w:tl2br w:val="nil"/>
                    <w:tr2bl w:val="nil"/>
                  </w:tcBorders>
                  <w:vAlign w:val="center"/>
                </w:tcPr>
                <w:p w14:paraId="08E3A97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监测项目</w:t>
                  </w:r>
                </w:p>
              </w:tc>
              <w:tc>
                <w:tcPr>
                  <w:tcW w:w="1500" w:type="dxa"/>
                  <w:tcBorders>
                    <w:tl2br w:val="nil"/>
                    <w:tr2bl w:val="nil"/>
                  </w:tcBorders>
                  <w:vAlign w:val="center"/>
                </w:tcPr>
                <w:p w14:paraId="74231003">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监测地点</w:t>
                  </w:r>
                </w:p>
              </w:tc>
              <w:tc>
                <w:tcPr>
                  <w:tcW w:w="1116" w:type="dxa"/>
                  <w:tcBorders>
                    <w:tl2br w:val="nil"/>
                    <w:tr2bl w:val="nil"/>
                  </w:tcBorders>
                  <w:vAlign w:val="center"/>
                </w:tcPr>
                <w:p w14:paraId="02AB5858">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监测项目</w:t>
                  </w:r>
                </w:p>
              </w:tc>
              <w:tc>
                <w:tcPr>
                  <w:tcW w:w="1485" w:type="dxa"/>
                  <w:tcBorders>
                    <w:tl2br w:val="nil"/>
                    <w:tr2bl w:val="nil"/>
                  </w:tcBorders>
                  <w:vAlign w:val="center"/>
                </w:tcPr>
                <w:p w14:paraId="395A4061">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监测频次</w:t>
                  </w:r>
                </w:p>
              </w:tc>
              <w:tc>
                <w:tcPr>
                  <w:tcW w:w="2496" w:type="dxa"/>
                  <w:tcBorders>
                    <w:tl2br w:val="nil"/>
                    <w:tr2bl w:val="nil"/>
                  </w:tcBorders>
                  <w:vAlign w:val="center"/>
                </w:tcPr>
                <w:p w14:paraId="1917D2CE">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执行标准</w:t>
                  </w:r>
                </w:p>
              </w:tc>
            </w:tr>
            <w:tr w14:paraId="39D832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22" w:type="dxa"/>
                  <w:tcBorders>
                    <w:tl2br w:val="nil"/>
                    <w:tr2bl w:val="nil"/>
                  </w:tcBorders>
                  <w:vAlign w:val="center"/>
                </w:tcPr>
                <w:p w14:paraId="07A1116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运营期</w:t>
                  </w:r>
                </w:p>
              </w:tc>
              <w:tc>
                <w:tcPr>
                  <w:tcW w:w="750" w:type="dxa"/>
                  <w:tcBorders>
                    <w:tl2br w:val="nil"/>
                    <w:tr2bl w:val="nil"/>
                  </w:tcBorders>
                  <w:vAlign w:val="center"/>
                </w:tcPr>
                <w:p w14:paraId="7EFEC59D">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噪声</w:t>
                  </w:r>
                </w:p>
              </w:tc>
              <w:tc>
                <w:tcPr>
                  <w:tcW w:w="1500" w:type="dxa"/>
                  <w:tcBorders>
                    <w:tl2br w:val="nil"/>
                    <w:tr2bl w:val="nil"/>
                  </w:tcBorders>
                  <w:vAlign w:val="center"/>
                </w:tcPr>
                <w:p w14:paraId="0920786A">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与本项目距离较近的代表性敏感点</w:t>
                  </w:r>
                </w:p>
                <w:p w14:paraId="63517B7C">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lang w:eastAsia="zh-CN"/>
                    </w:rPr>
                    <w:t>（</w:t>
                  </w:r>
                  <w:r>
                    <w:rPr>
                      <w:rFonts w:hint="default" w:ascii="Times New Roman" w:hAnsi="Times New Roman" w:cs="Times New Roman"/>
                      <w:color w:val="auto"/>
                      <w:szCs w:val="21"/>
                      <w:lang w:val="en-US" w:eastAsia="zh-CN"/>
                    </w:rPr>
                    <w:t>兴凯镇</w:t>
                  </w:r>
                  <w:r>
                    <w:rPr>
                      <w:rFonts w:hint="default" w:ascii="Times New Roman" w:hAnsi="Times New Roman" w:cs="Times New Roman"/>
                      <w:color w:val="auto"/>
                      <w:szCs w:val="21"/>
                      <w:lang w:eastAsia="zh-CN"/>
                    </w:rPr>
                    <w:t>）</w:t>
                  </w:r>
                </w:p>
              </w:tc>
              <w:tc>
                <w:tcPr>
                  <w:tcW w:w="1116" w:type="dxa"/>
                  <w:tcBorders>
                    <w:tl2br w:val="nil"/>
                    <w:tr2bl w:val="nil"/>
                  </w:tcBorders>
                  <w:vAlign w:val="center"/>
                </w:tcPr>
                <w:p w14:paraId="28537198">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等效连续A声级</w:t>
                  </w:r>
                </w:p>
              </w:tc>
              <w:tc>
                <w:tcPr>
                  <w:tcW w:w="1485" w:type="dxa"/>
                  <w:tcBorders>
                    <w:tl2br w:val="nil"/>
                    <w:tr2bl w:val="nil"/>
                  </w:tcBorders>
                  <w:vAlign w:val="center"/>
                </w:tcPr>
                <w:p w14:paraId="34DA6037">
                  <w:pPr>
                    <w:pStyle w:val="93"/>
                    <w:spacing w:before="0" w:after="0"/>
                    <w:rPr>
                      <w:rFonts w:hint="default" w:ascii="Times New Roman" w:hAnsi="Times New Roman" w:cs="Times New Roman"/>
                      <w:color w:val="auto"/>
                      <w:szCs w:val="21"/>
                    </w:rPr>
                  </w:pPr>
                  <w:r>
                    <w:rPr>
                      <w:rFonts w:ascii="Times New Roman" w:hAnsi="Times New Roman" w:eastAsia="宋体"/>
                      <w:color w:val="auto"/>
                    </w:rPr>
                    <w:t>2天/第1年、7年、15年，昼夜各一次</w:t>
                  </w:r>
                </w:p>
              </w:tc>
              <w:tc>
                <w:tcPr>
                  <w:tcW w:w="2496" w:type="dxa"/>
                  <w:tcBorders>
                    <w:tl2br w:val="nil"/>
                    <w:tr2bl w:val="nil"/>
                  </w:tcBorders>
                  <w:vAlign w:val="center"/>
                </w:tcPr>
                <w:p w14:paraId="2564704D">
                  <w:pPr>
                    <w:pStyle w:val="93"/>
                    <w:spacing w:before="0" w:after="0"/>
                    <w:rPr>
                      <w:rFonts w:hint="default" w:ascii="Times New Roman" w:hAnsi="Times New Roman" w:cs="Times New Roman"/>
                      <w:color w:val="auto"/>
                      <w:szCs w:val="21"/>
                    </w:rPr>
                  </w:pPr>
                  <w:r>
                    <w:rPr>
                      <w:rFonts w:hint="default" w:ascii="Times New Roman" w:hAnsi="Times New Roman" w:cs="Times New Roman"/>
                      <w:color w:val="auto"/>
                      <w:szCs w:val="21"/>
                    </w:rPr>
                    <w:t>敏感目标室外满足</w:t>
                  </w:r>
                  <w:r>
                    <w:rPr>
                      <w:rFonts w:hint="default" w:ascii="Times New Roman" w:hAnsi="Times New Roman" w:cs="Times New Roman"/>
                      <w:color w:val="auto"/>
                    </w:rPr>
                    <w:t>《声环境质量标准》（GB3096</w:t>
                  </w: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-2008）中4a和</w:t>
                  </w:r>
                  <w:r>
                    <w:rPr>
                      <w:rFonts w:hint="default" w:ascii="Times New Roman" w:hAnsi="Times New Roman" w:cs="Times New Roman"/>
                      <w:color w:val="auto"/>
                      <w:lang w:val="en-US" w:eastAsia="zh-CN"/>
                    </w:rPr>
                    <w:t>2</w:t>
                  </w:r>
                  <w:r>
                    <w:rPr>
                      <w:rFonts w:hint="default" w:ascii="Times New Roman" w:hAnsi="Times New Roman" w:cs="Times New Roman"/>
                      <w:color w:val="auto"/>
                    </w:rPr>
                    <w:t>类标准，室外超标的敏感目标</w:t>
                  </w:r>
                  <w:r>
                    <w:rPr>
                      <w:rFonts w:hint="default" w:ascii="Times New Roman" w:hAnsi="Times New Roman" w:cs="Times New Roman"/>
                      <w:color w:val="auto"/>
                      <w:szCs w:val="21"/>
                    </w:rPr>
                    <w:t>室内昼夜噪声值满足《建筑环境通用规范》（GB 55016-2021）中相应规定</w:t>
                  </w:r>
                </w:p>
              </w:tc>
            </w:tr>
          </w:tbl>
          <w:p w14:paraId="2EBA15CB">
            <w:pPr>
              <w:pStyle w:val="68"/>
              <w:rPr>
                <w:rFonts w:hint="default" w:ascii="Times New Roman" w:hAnsi="Times New Roman" w:cs="Times New Roman"/>
                <w:color w:val="auto"/>
              </w:rPr>
            </w:pPr>
          </w:p>
          <w:p w14:paraId="0B549280">
            <w:pPr>
              <w:pStyle w:val="68"/>
              <w:rPr>
                <w:rFonts w:hint="default" w:ascii="Times New Roman" w:hAnsi="Times New Roman" w:cs="Times New Roman"/>
                <w:color w:val="auto"/>
              </w:rPr>
            </w:pPr>
          </w:p>
          <w:p w14:paraId="64C03756">
            <w:pPr>
              <w:pStyle w:val="68"/>
              <w:rPr>
                <w:rFonts w:hint="default" w:ascii="Times New Roman" w:hAnsi="Times New Roman" w:cs="Times New Roman"/>
                <w:color w:val="auto"/>
              </w:rPr>
            </w:pPr>
          </w:p>
          <w:p w14:paraId="68C1623C">
            <w:pPr>
              <w:pStyle w:val="68"/>
              <w:rPr>
                <w:rFonts w:hint="default" w:ascii="Times New Roman" w:hAnsi="Times New Roman" w:cs="Times New Roman"/>
                <w:color w:val="auto"/>
              </w:rPr>
            </w:pPr>
          </w:p>
          <w:p w14:paraId="6E11F7FF">
            <w:pPr>
              <w:pStyle w:val="68"/>
              <w:rPr>
                <w:rFonts w:hint="default" w:ascii="Times New Roman" w:hAnsi="Times New Roman" w:cs="Times New Roman"/>
                <w:color w:val="auto"/>
              </w:rPr>
            </w:pPr>
          </w:p>
          <w:p w14:paraId="7A587914">
            <w:pPr>
              <w:pStyle w:val="68"/>
              <w:rPr>
                <w:rFonts w:hint="default" w:ascii="Times New Roman" w:hAnsi="Times New Roman" w:cs="Times New Roman"/>
                <w:color w:val="auto"/>
              </w:rPr>
            </w:pPr>
          </w:p>
        </w:tc>
      </w:tr>
      <w:tr w14:paraId="73C843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54E4971E">
            <w:pPr>
              <w:adjustRightInd w:val="0"/>
              <w:snapToGrid w:val="0"/>
              <w:jc w:val="center"/>
              <w:rPr>
                <w:rFonts w:hint="default" w:ascii="Times New Roman" w:hAnsi="Times New Roman" w:cs="Times New Roman"/>
                <w:bCs/>
                <w:color w:val="auto"/>
              </w:rPr>
            </w:pPr>
            <w:r>
              <w:rPr>
                <w:rFonts w:hint="default" w:ascii="Times New Roman" w:hAnsi="Times New Roman" w:cs="Times New Roman"/>
                <w:bCs/>
                <w:color w:val="auto"/>
              </w:rPr>
              <w:t>环保</w:t>
            </w:r>
          </w:p>
          <w:p w14:paraId="178C2237">
            <w:pPr>
              <w:adjustRightInd w:val="0"/>
              <w:snapToGrid w:val="0"/>
              <w:jc w:val="center"/>
              <w:rPr>
                <w:rFonts w:hint="default" w:ascii="Times New Roman" w:hAnsi="Times New Roman" w:cs="Times New Roman"/>
                <w:bCs/>
                <w:color w:val="auto"/>
                <w:spacing w:val="10"/>
              </w:rPr>
            </w:pPr>
            <w:r>
              <w:rPr>
                <w:rFonts w:hint="default" w:ascii="Times New Roman" w:hAnsi="Times New Roman" w:cs="Times New Roman"/>
                <w:bCs/>
                <w:color w:val="auto"/>
              </w:rPr>
              <w:t>投资</w:t>
            </w:r>
          </w:p>
        </w:tc>
        <w:tc>
          <w:tcPr>
            <w:tcW w:w="8050" w:type="dxa"/>
            <w:noWrap w:val="0"/>
            <w:vAlign w:val="top"/>
          </w:tcPr>
          <w:p w14:paraId="3148A7B5">
            <w:pPr>
              <w:pStyle w:val="76"/>
              <w:rPr>
                <w:rFonts w:hint="default" w:ascii="Times New Roman" w:hAnsi="Times New Roman" w:cs="Times New Roman"/>
                <w:color w:val="auto"/>
              </w:rPr>
            </w:pPr>
            <w:r>
              <w:rPr>
                <w:rFonts w:hint="default" w:ascii="Times New Roman" w:hAnsi="Times New Roman" w:cs="Times New Roman"/>
                <w:color w:val="auto"/>
              </w:rPr>
              <w:t>本项目总投资为</w:t>
            </w:r>
            <w:r>
              <w:rPr>
                <w:rFonts w:hint="default" w:ascii="Times New Roman" w:hAnsi="Times New Roman" w:cs="Times New Roman"/>
                <w:color w:val="auto"/>
                <w:kern w:val="21"/>
                <w:szCs w:val="21"/>
                <w:lang w:val="en-US" w:eastAsia="zh-CN"/>
              </w:rPr>
              <w:t>3876.9104</w:t>
            </w:r>
            <w:r>
              <w:rPr>
                <w:rFonts w:hint="default" w:ascii="Times New Roman" w:hAnsi="Times New Roman" w:cs="Times New Roman"/>
                <w:color w:val="auto"/>
              </w:rPr>
              <w:t>万元，环保投资总额为</w:t>
            </w:r>
            <w:r>
              <w:rPr>
                <w:rFonts w:hint="eastAsia" w:cs="Times New Roman"/>
                <w:color w:val="auto"/>
                <w:lang w:val="en-US" w:eastAsia="zh-CN"/>
              </w:rPr>
              <w:t>211</w:t>
            </w:r>
            <w:r>
              <w:rPr>
                <w:rFonts w:hint="default" w:ascii="Times New Roman" w:hAnsi="Times New Roman" w:cs="Times New Roman"/>
                <w:color w:val="auto"/>
              </w:rPr>
              <w:t>万元，环保投资比例为</w:t>
            </w:r>
            <w:r>
              <w:rPr>
                <w:rFonts w:hint="eastAsia" w:cs="Times New Roman"/>
                <w:color w:val="auto"/>
                <w:lang w:val="en-US" w:eastAsia="zh-CN"/>
              </w:rPr>
              <w:t>5.44</w:t>
            </w:r>
            <w:r>
              <w:rPr>
                <w:rFonts w:hint="default" w:ascii="Times New Roman" w:hAnsi="Times New Roman" w:cs="Times New Roman"/>
                <w:color w:val="auto"/>
              </w:rPr>
              <w:t>%，具体的分项投资详见表5-</w:t>
            </w:r>
            <w:r>
              <w:rPr>
                <w:rFonts w:hint="eastAsia" w:ascii="Times New Roman" w:hAnsi="Times New Roman" w:cs="Times New Roman"/>
                <w:color w:val="auto"/>
                <w:lang w:val="en-US" w:eastAsia="zh-CN"/>
              </w:rPr>
              <w:t>3</w:t>
            </w:r>
            <w:r>
              <w:rPr>
                <w:rFonts w:hint="default" w:ascii="Times New Roman" w:hAnsi="Times New Roman" w:cs="Times New Roman"/>
                <w:color w:val="auto"/>
              </w:rPr>
              <w:t>。</w:t>
            </w:r>
          </w:p>
          <w:p w14:paraId="76A356D4">
            <w:pPr>
              <w:pStyle w:val="72"/>
              <w:rPr>
                <w:rFonts w:hint="default" w:ascii="Times New Roman" w:hAnsi="Times New Roman" w:cs="Times New Roman" w:eastAsiaTheme="majorEastAsia"/>
                <w:b/>
                <w:bCs/>
                <w:color w:val="auto"/>
                <w:highlight w:val="none"/>
              </w:rPr>
            </w:pPr>
            <w:r>
              <w:rPr>
                <w:rFonts w:hint="default" w:ascii="Times New Roman" w:hAnsi="Times New Roman" w:cs="Times New Roman" w:eastAsiaTheme="majorEastAsia"/>
                <w:b/>
                <w:bCs/>
                <w:color w:val="auto"/>
                <w:highlight w:val="none"/>
              </w:rPr>
              <w:t>表5-</w:t>
            </w:r>
            <w:r>
              <w:rPr>
                <w:rFonts w:hint="eastAsia" w:ascii="Times New Roman" w:hAnsi="Times New Roman" w:cs="Times New Roman" w:eastAsiaTheme="majorEastAsia"/>
                <w:b/>
                <w:bCs/>
                <w:color w:val="auto"/>
                <w:highlight w:val="none"/>
                <w:lang w:val="en-US" w:eastAsia="zh-CN"/>
              </w:rPr>
              <w:t>3</w:t>
            </w:r>
            <w:r>
              <w:rPr>
                <w:rFonts w:hint="default" w:ascii="Times New Roman" w:hAnsi="Times New Roman" w:cs="Times New Roman" w:eastAsiaTheme="majorEastAsia"/>
                <w:b/>
                <w:bCs/>
                <w:color w:val="auto"/>
                <w:highlight w:val="none"/>
              </w:rPr>
              <w:t xml:space="preserve"> </w:t>
            </w:r>
            <w:r>
              <w:rPr>
                <w:rFonts w:hint="eastAsia" w:ascii="Times New Roman" w:hAnsi="Times New Roman" w:cs="Times New Roman" w:eastAsiaTheme="majorEastAsia"/>
                <w:b/>
                <w:bCs/>
                <w:color w:val="auto"/>
                <w:highlight w:val="none"/>
                <w:lang w:val="en-US" w:eastAsia="zh-CN"/>
              </w:rPr>
              <w:t xml:space="preserve"> </w:t>
            </w:r>
            <w:r>
              <w:rPr>
                <w:rFonts w:hint="default" w:ascii="Times New Roman" w:hAnsi="Times New Roman" w:cs="Times New Roman" w:eastAsiaTheme="majorEastAsia"/>
                <w:b/>
                <w:bCs/>
                <w:color w:val="auto"/>
                <w:highlight w:val="none"/>
                <w:lang w:val="en-US" w:eastAsia="zh-CN"/>
              </w:rPr>
              <w:t xml:space="preserve"> </w:t>
            </w:r>
            <w:r>
              <w:rPr>
                <w:rFonts w:hint="default" w:ascii="Times New Roman" w:hAnsi="Times New Roman" w:cs="Times New Roman" w:eastAsiaTheme="majorEastAsia"/>
                <w:b/>
                <w:bCs/>
                <w:color w:val="auto"/>
                <w:highlight w:val="none"/>
              </w:rPr>
              <w:t>环保投资明细表（单位：万元）</w:t>
            </w:r>
          </w:p>
          <w:tbl>
            <w:tblPr>
              <w:tblStyle w:val="30"/>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6"/>
              <w:gridCol w:w="883"/>
              <w:gridCol w:w="2277"/>
              <w:gridCol w:w="1296"/>
              <w:gridCol w:w="2872"/>
            </w:tblGrid>
            <w:tr w14:paraId="7913989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tcBorders>
                    <w:tl2br w:val="nil"/>
                    <w:tr2bl w:val="nil"/>
                  </w:tcBorders>
                  <w:tcMar>
                    <w:top w:w="0" w:type="dxa"/>
                    <w:left w:w="0" w:type="dxa"/>
                    <w:bottom w:w="0" w:type="dxa"/>
                    <w:right w:w="0" w:type="dxa"/>
                  </w:tcMar>
                  <w:vAlign w:val="center"/>
                </w:tcPr>
                <w:p w14:paraId="27379DF3">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污染源</w:t>
                  </w:r>
                </w:p>
              </w:tc>
              <w:tc>
                <w:tcPr>
                  <w:tcW w:w="2016" w:type="pct"/>
                  <w:gridSpan w:val="2"/>
                  <w:tcBorders>
                    <w:tl2br w:val="nil"/>
                    <w:tr2bl w:val="nil"/>
                  </w:tcBorders>
                  <w:vAlign w:val="center"/>
                </w:tcPr>
                <w:p w14:paraId="0B099B97">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环保设施名称</w:t>
                  </w:r>
                </w:p>
              </w:tc>
              <w:tc>
                <w:tcPr>
                  <w:tcW w:w="827" w:type="pct"/>
                  <w:tcBorders>
                    <w:tl2br w:val="nil"/>
                    <w:tr2bl w:val="nil"/>
                  </w:tcBorders>
                  <w:vAlign w:val="center"/>
                </w:tcPr>
                <w:p w14:paraId="18033DDB">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环保投资</w:t>
                  </w:r>
                </w:p>
                <w:p w14:paraId="0DCB0F6B">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(万元)</w:t>
                  </w:r>
                </w:p>
              </w:tc>
              <w:tc>
                <w:tcPr>
                  <w:tcW w:w="1833" w:type="pct"/>
                  <w:tcBorders>
                    <w:tl2br w:val="nil"/>
                    <w:tr2bl w:val="nil"/>
                  </w:tcBorders>
                  <w:vAlign w:val="center"/>
                </w:tcPr>
                <w:p w14:paraId="19451073">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备注</w:t>
                  </w:r>
                </w:p>
              </w:tc>
            </w:tr>
            <w:tr w14:paraId="1BBFAEF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tcBorders>
                    <w:tl2br w:val="nil"/>
                    <w:tr2bl w:val="nil"/>
                  </w:tcBorders>
                  <w:tcMar>
                    <w:top w:w="0" w:type="dxa"/>
                    <w:left w:w="0" w:type="dxa"/>
                    <w:bottom w:w="0" w:type="dxa"/>
                    <w:right w:w="0" w:type="dxa"/>
                  </w:tcMar>
                  <w:vAlign w:val="center"/>
                </w:tcPr>
                <w:p w14:paraId="05B4ED64">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废气</w:t>
                  </w:r>
                </w:p>
              </w:tc>
              <w:tc>
                <w:tcPr>
                  <w:tcW w:w="563" w:type="pct"/>
                  <w:tcBorders>
                    <w:tl2br w:val="nil"/>
                    <w:tr2bl w:val="nil"/>
                  </w:tcBorders>
                  <w:vAlign w:val="center"/>
                </w:tcPr>
                <w:p w14:paraId="28523F52">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施工期</w:t>
                  </w:r>
                </w:p>
              </w:tc>
              <w:tc>
                <w:tcPr>
                  <w:tcW w:w="1453" w:type="pct"/>
                  <w:tcBorders>
                    <w:tl2br w:val="nil"/>
                    <w:tr2bl w:val="nil"/>
                  </w:tcBorders>
                  <w:vAlign w:val="center"/>
                </w:tcPr>
                <w:p w14:paraId="49D497D6">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洒水车</w:t>
                  </w:r>
                </w:p>
              </w:tc>
              <w:tc>
                <w:tcPr>
                  <w:tcW w:w="827" w:type="pct"/>
                  <w:tcBorders>
                    <w:tl2br w:val="nil"/>
                    <w:tr2bl w:val="nil"/>
                  </w:tcBorders>
                  <w:vAlign w:val="center"/>
                </w:tcPr>
                <w:p w14:paraId="0A55525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10</w:t>
                  </w:r>
                </w:p>
              </w:tc>
              <w:tc>
                <w:tcPr>
                  <w:tcW w:w="1833" w:type="pct"/>
                  <w:tcBorders>
                    <w:tl2br w:val="nil"/>
                    <w:tr2bl w:val="nil"/>
                  </w:tcBorders>
                  <w:vAlign w:val="center"/>
                </w:tcPr>
                <w:p w14:paraId="7A4B72FC">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洒水车根据实际需要</w:t>
                  </w:r>
                </w:p>
                <w:p w14:paraId="34B2C33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租赁若干量</w:t>
                  </w:r>
                </w:p>
              </w:tc>
            </w:tr>
            <w:tr w14:paraId="1FC2628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restart"/>
                  <w:tcBorders>
                    <w:tl2br w:val="nil"/>
                    <w:tr2bl w:val="nil"/>
                  </w:tcBorders>
                  <w:tcMar>
                    <w:top w:w="0" w:type="dxa"/>
                    <w:left w:w="0" w:type="dxa"/>
                    <w:bottom w:w="0" w:type="dxa"/>
                    <w:right w:w="0" w:type="dxa"/>
                  </w:tcMar>
                  <w:vAlign w:val="center"/>
                </w:tcPr>
                <w:p w14:paraId="26268061">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固废</w:t>
                  </w:r>
                </w:p>
              </w:tc>
              <w:tc>
                <w:tcPr>
                  <w:tcW w:w="563" w:type="pct"/>
                  <w:tcBorders>
                    <w:tl2br w:val="nil"/>
                    <w:tr2bl w:val="nil"/>
                  </w:tcBorders>
                  <w:vAlign w:val="center"/>
                </w:tcPr>
                <w:p w14:paraId="52AFF4D4">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施工期</w:t>
                  </w:r>
                </w:p>
              </w:tc>
              <w:tc>
                <w:tcPr>
                  <w:tcW w:w="1453" w:type="pct"/>
                  <w:tcBorders>
                    <w:tl2br w:val="nil"/>
                    <w:tr2bl w:val="nil"/>
                  </w:tcBorders>
                  <w:vAlign w:val="center"/>
                </w:tcPr>
                <w:p w14:paraId="40A78B0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生活垃圾、施工垃圾收集清运车辆</w:t>
                  </w:r>
                </w:p>
              </w:tc>
              <w:tc>
                <w:tcPr>
                  <w:tcW w:w="827" w:type="pct"/>
                  <w:tcBorders>
                    <w:tl2br w:val="nil"/>
                    <w:tr2bl w:val="nil"/>
                  </w:tcBorders>
                  <w:vAlign w:val="center"/>
                </w:tcPr>
                <w:p w14:paraId="5AFFC10B">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10</w:t>
                  </w:r>
                </w:p>
              </w:tc>
              <w:tc>
                <w:tcPr>
                  <w:tcW w:w="1833" w:type="pct"/>
                  <w:tcBorders>
                    <w:tl2br w:val="nil"/>
                    <w:tr2bl w:val="nil"/>
                  </w:tcBorders>
                  <w:vAlign w:val="center"/>
                </w:tcPr>
                <w:p w14:paraId="418FE19D">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租赁</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辆</w:t>
                  </w:r>
                </w:p>
              </w:tc>
            </w:tr>
            <w:tr w14:paraId="734F85D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3B5638FA">
                  <w:pPr>
                    <w:pStyle w:val="80"/>
                    <w:wordWrap/>
                    <w:spacing w:line="240" w:lineRule="auto"/>
                    <w:rPr>
                      <w:rFonts w:hint="default" w:ascii="Times New Roman" w:hAnsi="Times New Roman" w:cs="Times New Roman"/>
                      <w:color w:val="auto"/>
                      <w:highlight w:val="none"/>
                    </w:rPr>
                  </w:pPr>
                </w:p>
              </w:tc>
              <w:tc>
                <w:tcPr>
                  <w:tcW w:w="563" w:type="pct"/>
                  <w:tcBorders>
                    <w:tl2br w:val="nil"/>
                    <w:tr2bl w:val="nil"/>
                  </w:tcBorders>
                  <w:vAlign w:val="center"/>
                </w:tcPr>
                <w:p w14:paraId="024D1DF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营运期</w:t>
                  </w:r>
                </w:p>
              </w:tc>
              <w:tc>
                <w:tcPr>
                  <w:tcW w:w="1453" w:type="pct"/>
                  <w:tcBorders>
                    <w:tl2br w:val="nil"/>
                    <w:tr2bl w:val="nil"/>
                  </w:tcBorders>
                  <w:shd w:val="clear" w:color="auto" w:fill="auto"/>
                  <w:vAlign w:val="center"/>
                </w:tcPr>
                <w:p w14:paraId="2CF85E97">
                  <w:pPr>
                    <w:pStyle w:val="80"/>
                    <w:wordWrap/>
                    <w:spacing w:line="240" w:lineRule="auto"/>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default" w:ascii="Times New Roman" w:hAnsi="Times New Roman" w:cs="Times New Roman"/>
                      <w:color w:val="auto"/>
                      <w:highlight w:val="none"/>
                    </w:rPr>
                    <w:t>一般固废收集系统</w:t>
                  </w:r>
                </w:p>
              </w:tc>
              <w:tc>
                <w:tcPr>
                  <w:tcW w:w="827" w:type="pct"/>
                  <w:tcBorders>
                    <w:tl2br w:val="nil"/>
                    <w:tr2bl w:val="nil"/>
                  </w:tcBorders>
                  <w:shd w:val="clear" w:color="auto" w:fill="auto"/>
                  <w:vAlign w:val="center"/>
                </w:tcPr>
                <w:p w14:paraId="57137785">
                  <w:pPr>
                    <w:pStyle w:val="80"/>
                    <w:wordWrap/>
                    <w:spacing w:line="240" w:lineRule="auto"/>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default" w:ascii="Times New Roman" w:hAnsi="Times New Roman" w:cs="Times New Roman"/>
                      <w:color w:val="auto"/>
                      <w:highlight w:val="none"/>
                    </w:rPr>
                    <w:t>1</w:t>
                  </w:r>
                </w:p>
              </w:tc>
              <w:tc>
                <w:tcPr>
                  <w:tcW w:w="1833" w:type="pct"/>
                  <w:tcBorders>
                    <w:tl2br w:val="nil"/>
                    <w:tr2bl w:val="nil"/>
                  </w:tcBorders>
                  <w:shd w:val="clear" w:color="auto" w:fill="auto"/>
                  <w:vAlign w:val="center"/>
                </w:tcPr>
                <w:p w14:paraId="4273A6F4">
                  <w:pPr>
                    <w:pStyle w:val="80"/>
                    <w:wordWrap/>
                    <w:spacing w:line="240" w:lineRule="auto"/>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default" w:ascii="Times New Roman" w:hAnsi="Times New Roman" w:cs="Times New Roman"/>
                      <w:color w:val="auto"/>
                      <w:highlight w:val="none"/>
                    </w:rPr>
                    <w:t>根据实际设置收集箱若干</w:t>
                  </w:r>
                </w:p>
              </w:tc>
            </w:tr>
            <w:tr w14:paraId="41AB91A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3" w:hRule="atLeast"/>
                <w:tblHeader/>
                <w:jc w:val="center"/>
              </w:trPr>
              <w:tc>
                <w:tcPr>
                  <w:tcW w:w="322" w:type="pct"/>
                  <w:vMerge w:val="restart"/>
                  <w:tcBorders>
                    <w:tl2br w:val="nil"/>
                    <w:tr2bl w:val="nil"/>
                  </w:tcBorders>
                  <w:tcMar>
                    <w:top w:w="0" w:type="dxa"/>
                    <w:left w:w="0" w:type="dxa"/>
                    <w:bottom w:w="0" w:type="dxa"/>
                    <w:right w:w="0" w:type="dxa"/>
                  </w:tcMar>
                  <w:vAlign w:val="center"/>
                </w:tcPr>
                <w:p w14:paraId="0CBDB73C">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噪声</w:t>
                  </w:r>
                </w:p>
              </w:tc>
              <w:tc>
                <w:tcPr>
                  <w:tcW w:w="563" w:type="pct"/>
                  <w:vMerge w:val="restart"/>
                  <w:tcBorders>
                    <w:tl2br w:val="nil"/>
                    <w:tr2bl w:val="nil"/>
                  </w:tcBorders>
                  <w:vAlign w:val="center"/>
                </w:tcPr>
                <w:p w14:paraId="272A766D">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施工期</w:t>
                  </w:r>
                </w:p>
              </w:tc>
              <w:tc>
                <w:tcPr>
                  <w:tcW w:w="1453" w:type="pct"/>
                  <w:tcBorders>
                    <w:tl2br w:val="nil"/>
                    <w:tr2bl w:val="nil"/>
                  </w:tcBorders>
                  <w:vAlign w:val="center"/>
                </w:tcPr>
                <w:p w14:paraId="32A501D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移动式隔声、隔尘挡板</w:t>
                  </w:r>
                </w:p>
              </w:tc>
              <w:tc>
                <w:tcPr>
                  <w:tcW w:w="827" w:type="pct"/>
                  <w:tcBorders>
                    <w:tl2br w:val="nil"/>
                    <w:tr2bl w:val="nil"/>
                  </w:tcBorders>
                  <w:vAlign w:val="center"/>
                </w:tcPr>
                <w:p w14:paraId="008A42F0">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rPr>
                    <w:t>0</w:t>
                  </w:r>
                </w:p>
              </w:tc>
              <w:tc>
                <w:tcPr>
                  <w:tcW w:w="1833" w:type="pct"/>
                  <w:tcBorders>
                    <w:tl2br w:val="nil"/>
                    <w:tr2bl w:val="nil"/>
                  </w:tcBorders>
                  <w:vAlign w:val="center"/>
                </w:tcPr>
                <w:p w14:paraId="0DBED65D">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高度3m，敏感目标段施工时</w:t>
                  </w:r>
                </w:p>
              </w:tc>
            </w:tr>
            <w:tr w14:paraId="05E13F9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14EABEBA">
                  <w:pPr>
                    <w:pStyle w:val="80"/>
                    <w:wordWrap/>
                    <w:spacing w:line="240" w:lineRule="auto"/>
                    <w:rPr>
                      <w:rFonts w:hint="default" w:ascii="Times New Roman" w:hAnsi="Times New Roman" w:cs="Times New Roman"/>
                      <w:color w:val="auto"/>
                      <w:highlight w:val="none"/>
                    </w:rPr>
                  </w:pPr>
                </w:p>
              </w:tc>
              <w:tc>
                <w:tcPr>
                  <w:tcW w:w="563" w:type="pct"/>
                  <w:vMerge w:val="continue"/>
                  <w:tcBorders>
                    <w:tl2br w:val="nil"/>
                    <w:tr2bl w:val="nil"/>
                  </w:tcBorders>
                  <w:vAlign w:val="center"/>
                </w:tcPr>
                <w:p w14:paraId="6F700AF7">
                  <w:pPr>
                    <w:pStyle w:val="80"/>
                    <w:wordWrap/>
                    <w:spacing w:line="240" w:lineRule="auto"/>
                    <w:rPr>
                      <w:rFonts w:hint="default" w:ascii="Times New Roman" w:hAnsi="Times New Roman" w:cs="Times New Roman"/>
                      <w:color w:val="auto"/>
                      <w:highlight w:val="none"/>
                    </w:rPr>
                  </w:pPr>
                </w:p>
              </w:tc>
              <w:tc>
                <w:tcPr>
                  <w:tcW w:w="1453" w:type="pct"/>
                  <w:tcBorders>
                    <w:tl2br w:val="nil"/>
                    <w:tr2bl w:val="nil"/>
                  </w:tcBorders>
                  <w:vAlign w:val="center"/>
                </w:tcPr>
                <w:p w14:paraId="31B68B49">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设备隔声减振措施</w:t>
                  </w:r>
                </w:p>
              </w:tc>
              <w:tc>
                <w:tcPr>
                  <w:tcW w:w="827" w:type="pct"/>
                  <w:tcBorders>
                    <w:tl2br w:val="nil"/>
                    <w:tr2bl w:val="nil"/>
                  </w:tcBorders>
                  <w:vAlign w:val="center"/>
                </w:tcPr>
                <w:p w14:paraId="034D99E4">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10</w:t>
                  </w:r>
                </w:p>
              </w:tc>
              <w:tc>
                <w:tcPr>
                  <w:tcW w:w="1833" w:type="pct"/>
                  <w:tcBorders>
                    <w:tl2br w:val="nil"/>
                    <w:tr2bl w:val="nil"/>
                  </w:tcBorders>
                  <w:vAlign w:val="center"/>
                </w:tcPr>
                <w:p w14:paraId="037D550F">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设备隔声、减振措施</w:t>
                  </w:r>
                </w:p>
              </w:tc>
            </w:tr>
            <w:tr w14:paraId="2628329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026997FB">
                  <w:pPr>
                    <w:pStyle w:val="80"/>
                    <w:wordWrap/>
                    <w:spacing w:line="240" w:lineRule="auto"/>
                    <w:rPr>
                      <w:rFonts w:hint="default" w:ascii="Times New Roman" w:hAnsi="Times New Roman" w:cs="Times New Roman"/>
                      <w:color w:val="auto"/>
                      <w:highlight w:val="none"/>
                    </w:rPr>
                  </w:pPr>
                </w:p>
              </w:tc>
              <w:tc>
                <w:tcPr>
                  <w:tcW w:w="563" w:type="pct"/>
                  <w:tcBorders>
                    <w:tl2br w:val="nil"/>
                    <w:tr2bl w:val="nil"/>
                  </w:tcBorders>
                  <w:vAlign w:val="center"/>
                </w:tcPr>
                <w:p w14:paraId="1F162906">
                  <w:pPr>
                    <w:pStyle w:val="80"/>
                    <w:wordWrap/>
                    <w:spacing w:line="240" w:lineRule="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运营期</w:t>
                  </w:r>
                </w:p>
              </w:tc>
              <w:tc>
                <w:tcPr>
                  <w:tcW w:w="1453" w:type="pct"/>
                  <w:tcBorders>
                    <w:tl2br w:val="nil"/>
                    <w:tr2bl w:val="nil"/>
                  </w:tcBorders>
                  <w:vAlign w:val="center"/>
                </w:tcPr>
                <w:p w14:paraId="194483CC">
                  <w:pPr>
                    <w:pStyle w:val="80"/>
                    <w:wordWrap/>
                    <w:spacing w:line="240" w:lineRule="auto"/>
                    <w:rPr>
                      <w:rFonts w:hint="default" w:ascii="Times New Roman" w:hAnsi="Times New Roman" w:cs="Times New Roman"/>
                      <w:color w:val="auto"/>
                      <w:highlight w:val="none"/>
                    </w:rPr>
                  </w:pPr>
                  <w:r>
                    <w:rPr>
                      <w:rFonts w:hint="eastAsia"/>
                      <w:color w:val="auto"/>
                      <w:highlight w:val="none"/>
                      <w:lang w:val="en-US" w:eastAsia="zh-CN"/>
                    </w:rPr>
                    <w:t>安装</w:t>
                  </w:r>
                  <w:r>
                    <w:rPr>
                      <w:rFonts w:hint="default"/>
                      <w:color w:val="auto"/>
                      <w:highlight w:val="none"/>
                      <w:lang w:val="en-US" w:eastAsia="zh-CN"/>
                    </w:rPr>
                    <w:t>双层中空玻璃窗</w:t>
                  </w:r>
                </w:p>
              </w:tc>
              <w:tc>
                <w:tcPr>
                  <w:tcW w:w="827" w:type="pct"/>
                  <w:tcBorders>
                    <w:tl2br w:val="nil"/>
                    <w:tr2bl w:val="nil"/>
                  </w:tcBorders>
                  <w:vAlign w:val="center"/>
                </w:tcPr>
                <w:p w14:paraId="6B1EEF6A">
                  <w:pPr>
                    <w:pStyle w:val="80"/>
                    <w:wordWrap/>
                    <w:spacing w:line="240" w:lineRule="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50</w:t>
                  </w:r>
                </w:p>
              </w:tc>
              <w:tc>
                <w:tcPr>
                  <w:tcW w:w="1833" w:type="pct"/>
                  <w:tcBorders>
                    <w:tl2br w:val="nil"/>
                    <w:tr2bl w:val="nil"/>
                  </w:tcBorders>
                  <w:vAlign w:val="center"/>
                </w:tcPr>
                <w:p w14:paraId="5F8DE12C">
                  <w:pPr>
                    <w:pStyle w:val="80"/>
                    <w:wordWrap/>
                    <w:spacing w:line="240" w:lineRule="auto"/>
                    <w:rPr>
                      <w:rFonts w:hint="default" w:ascii="Times New Roman" w:hAnsi="Times New Roman" w:cs="Times New Roman"/>
                      <w:color w:val="auto"/>
                      <w:highlight w:val="none"/>
                    </w:rPr>
                  </w:pPr>
                  <w:r>
                    <w:rPr>
                      <w:rFonts w:hint="eastAsia"/>
                      <w:color w:val="auto"/>
                      <w:highlight w:val="none"/>
                      <w:lang w:val="en-US" w:eastAsia="zh-CN"/>
                    </w:rPr>
                    <w:t>对临路110户超标居民安装</w:t>
                  </w:r>
                  <w:r>
                    <w:rPr>
                      <w:rFonts w:hint="default"/>
                      <w:color w:val="auto"/>
                      <w:highlight w:val="none"/>
                      <w:lang w:val="en-US" w:eastAsia="zh-CN"/>
                    </w:rPr>
                    <w:t>双层中空玻璃窗</w:t>
                  </w:r>
                </w:p>
              </w:tc>
            </w:tr>
            <w:tr w14:paraId="4638A6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2339" w:type="pct"/>
                  <w:gridSpan w:val="3"/>
                  <w:tcBorders>
                    <w:tl2br w:val="nil"/>
                    <w:tr2bl w:val="nil"/>
                  </w:tcBorders>
                  <w:tcMar>
                    <w:top w:w="0" w:type="dxa"/>
                    <w:left w:w="0" w:type="dxa"/>
                    <w:bottom w:w="0" w:type="dxa"/>
                    <w:right w:w="0" w:type="dxa"/>
                  </w:tcMar>
                  <w:vAlign w:val="center"/>
                </w:tcPr>
                <w:p w14:paraId="1544C0E8">
                  <w:pPr>
                    <w:pStyle w:val="80"/>
                    <w:wordWrap/>
                    <w:spacing w:line="240" w:lineRule="auto"/>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环境保护工程设计</w:t>
                  </w:r>
                </w:p>
              </w:tc>
              <w:tc>
                <w:tcPr>
                  <w:tcW w:w="827" w:type="pct"/>
                  <w:tcBorders>
                    <w:tl2br w:val="nil"/>
                    <w:tr2bl w:val="nil"/>
                  </w:tcBorders>
                  <w:vAlign w:val="center"/>
                </w:tcPr>
                <w:p w14:paraId="329B0EEB">
                  <w:pPr>
                    <w:pStyle w:val="80"/>
                    <w:wordWrap/>
                    <w:spacing w:line="240" w:lineRule="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10</w:t>
                  </w:r>
                </w:p>
              </w:tc>
              <w:tc>
                <w:tcPr>
                  <w:tcW w:w="1833" w:type="pct"/>
                  <w:tcBorders>
                    <w:tl2br w:val="nil"/>
                    <w:tr2bl w:val="nil"/>
                  </w:tcBorders>
                  <w:shd w:val="clear" w:color="auto" w:fill="auto"/>
                  <w:vAlign w:val="center"/>
                </w:tcPr>
                <w:p w14:paraId="3CB8A225">
                  <w:pPr>
                    <w:pStyle w:val="93"/>
                    <w:spacing w:before="0" w:after="0" w:line="240" w:lineRule="auto"/>
                    <w:ind w:right="0" w:rightChars="0" w:firstLine="0" w:firstLineChars="0"/>
                    <w:rPr>
                      <w:rFonts w:hint="default" w:ascii="Times New Roman" w:hAnsi="Times New Roman" w:eastAsia="宋体" w:cs="Times New Roman"/>
                      <w:color w:val="auto"/>
                      <w:kern w:val="0"/>
                      <w:sz w:val="21"/>
                      <w:szCs w:val="18"/>
                      <w:highlight w:val="none"/>
                      <w:lang w:val="en-US" w:eastAsia="zh-CN" w:bidi="ar-SA"/>
                    </w:rPr>
                  </w:pPr>
                  <w:r>
                    <w:rPr>
                      <w:rFonts w:hint="default" w:ascii="Times New Roman" w:hAnsi="Times New Roman" w:cs="Times New Roman"/>
                      <w:color w:val="auto"/>
                      <w:highlight w:val="none"/>
                    </w:rPr>
                    <w:t>确保环境工程质量</w:t>
                  </w:r>
                </w:p>
              </w:tc>
            </w:tr>
            <w:tr w14:paraId="7E099F1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788E0C7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环境监测</w:t>
                  </w:r>
                </w:p>
              </w:tc>
              <w:tc>
                <w:tcPr>
                  <w:tcW w:w="827" w:type="pct"/>
                  <w:tcBorders>
                    <w:tl2br w:val="nil"/>
                    <w:tr2bl w:val="nil"/>
                  </w:tcBorders>
                  <w:vAlign w:val="center"/>
                </w:tcPr>
                <w:p w14:paraId="4901E60F">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10</w:t>
                  </w:r>
                </w:p>
              </w:tc>
              <w:tc>
                <w:tcPr>
                  <w:tcW w:w="1833" w:type="pct"/>
                  <w:tcBorders>
                    <w:tl2br w:val="nil"/>
                    <w:tr2bl w:val="nil"/>
                  </w:tcBorders>
                  <w:shd w:val="clear" w:color="auto" w:fill="auto"/>
                  <w:vAlign w:val="center"/>
                </w:tcPr>
                <w:p w14:paraId="70525C36">
                  <w:pPr>
                    <w:pStyle w:val="93"/>
                    <w:spacing w:before="0" w:after="0" w:line="240" w:lineRule="auto"/>
                    <w:ind w:right="0" w:rightChars="0" w:firstLine="0" w:firstLineChars="0"/>
                    <w:rPr>
                      <w:rFonts w:hint="default" w:ascii="Times New Roman" w:hAnsi="Times New Roman" w:eastAsia="宋体" w:cs="Times New Roman"/>
                      <w:color w:val="auto"/>
                      <w:kern w:val="0"/>
                      <w:sz w:val="21"/>
                      <w:szCs w:val="18"/>
                      <w:highlight w:val="none"/>
                      <w:lang w:val="en-US" w:eastAsia="zh-CN" w:bidi="ar-SA"/>
                    </w:rPr>
                  </w:pPr>
                  <w:r>
                    <w:rPr>
                      <w:rFonts w:hint="default" w:ascii="Times New Roman" w:hAnsi="Times New Roman" w:cs="Times New Roman"/>
                      <w:color w:val="auto"/>
                      <w:highlight w:val="none"/>
                    </w:rPr>
                    <w:t>发挥其施工期和营运期监控作用</w:t>
                  </w:r>
                </w:p>
              </w:tc>
            </w:tr>
            <w:tr w14:paraId="77DDDDC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16514BF8">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环保监理</w:t>
                  </w:r>
                </w:p>
              </w:tc>
              <w:tc>
                <w:tcPr>
                  <w:tcW w:w="827" w:type="pct"/>
                  <w:tcBorders>
                    <w:tl2br w:val="nil"/>
                    <w:tr2bl w:val="nil"/>
                  </w:tcBorders>
                  <w:vAlign w:val="center"/>
                </w:tcPr>
                <w:p w14:paraId="0C89D1DA">
                  <w:pPr>
                    <w:pStyle w:val="80"/>
                    <w:wordWrap/>
                    <w:spacing w:line="240" w:lineRule="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10</w:t>
                  </w:r>
                </w:p>
              </w:tc>
              <w:tc>
                <w:tcPr>
                  <w:tcW w:w="1833" w:type="pct"/>
                  <w:tcBorders>
                    <w:tl2br w:val="nil"/>
                    <w:tr2bl w:val="nil"/>
                  </w:tcBorders>
                  <w:vAlign w:val="center"/>
                </w:tcPr>
                <w:p w14:paraId="6F8148CB">
                  <w:pPr>
                    <w:pStyle w:val="80"/>
                    <w:wordWrap/>
                    <w:spacing w:line="240" w:lineRule="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w:t>
                  </w:r>
                </w:p>
              </w:tc>
            </w:tr>
            <w:tr w14:paraId="653D9A5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04702798">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宣传教育</w:t>
                  </w:r>
                </w:p>
              </w:tc>
              <w:tc>
                <w:tcPr>
                  <w:tcW w:w="827" w:type="pct"/>
                  <w:tcBorders>
                    <w:tl2br w:val="nil"/>
                    <w:tr2bl w:val="nil"/>
                  </w:tcBorders>
                  <w:vAlign w:val="center"/>
                </w:tcPr>
                <w:p w14:paraId="1FB3DF40">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5</w:t>
                  </w:r>
                </w:p>
              </w:tc>
              <w:tc>
                <w:tcPr>
                  <w:tcW w:w="1833" w:type="pct"/>
                  <w:tcBorders>
                    <w:tl2br w:val="nil"/>
                    <w:tr2bl w:val="nil"/>
                  </w:tcBorders>
                  <w:vAlign w:val="center"/>
                </w:tcPr>
                <w:p w14:paraId="18F19D98">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提高环保意识</w:t>
                  </w:r>
                </w:p>
              </w:tc>
            </w:tr>
            <w:tr w14:paraId="4D1A400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6795924B">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环境保护管理</w:t>
                  </w:r>
                </w:p>
              </w:tc>
              <w:tc>
                <w:tcPr>
                  <w:tcW w:w="827" w:type="pct"/>
                  <w:tcBorders>
                    <w:tl2br w:val="nil"/>
                    <w:tr2bl w:val="nil"/>
                  </w:tcBorders>
                  <w:vAlign w:val="center"/>
                </w:tcPr>
                <w:p w14:paraId="16CE10F8">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rPr>
                    <w:t>0</w:t>
                  </w:r>
                </w:p>
              </w:tc>
              <w:tc>
                <w:tcPr>
                  <w:tcW w:w="1833" w:type="pct"/>
                  <w:tcBorders>
                    <w:tl2br w:val="nil"/>
                    <w:tr2bl w:val="nil"/>
                  </w:tcBorders>
                  <w:vAlign w:val="center"/>
                </w:tcPr>
                <w:p w14:paraId="48733DDA">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保证各项环保措施落实和执行，加强运营期维护</w:t>
                  </w:r>
                </w:p>
              </w:tc>
            </w:tr>
            <w:tr w14:paraId="0AEEB97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5FBC98DF">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环保竣工验收调查费用</w:t>
                  </w:r>
                </w:p>
              </w:tc>
              <w:tc>
                <w:tcPr>
                  <w:tcW w:w="827" w:type="pct"/>
                  <w:tcBorders>
                    <w:tl2br w:val="nil"/>
                    <w:tr2bl w:val="nil"/>
                  </w:tcBorders>
                  <w:vAlign w:val="center"/>
                </w:tcPr>
                <w:p w14:paraId="7F80DDE6">
                  <w:pPr>
                    <w:pStyle w:val="80"/>
                    <w:wordWrap/>
                    <w:spacing w:line="240" w:lineRule="auto"/>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15</w:t>
                  </w:r>
                </w:p>
              </w:tc>
              <w:tc>
                <w:tcPr>
                  <w:tcW w:w="1833" w:type="pct"/>
                  <w:tcBorders>
                    <w:tl2br w:val="nil"/>
                    <w:tr2bl w:val="nil"/>
                  </w:tcBorders>
                  <w:vAlign w:val="center"/>
                </w:tcPr>
                <w:p w14:paraId="53EF367B">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提高环境管理水平，增强环境保护意识</w:t>
                  </w:r>
                </w:p>
              </w:tc>
            </w:tr>
            <w:tr w14:paraId="1F51A2A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shd w:val="clear" w:color="auto" w:fill="auto"/>
                  <w:vAlign w:val="center"/>
                </w:tcPr>
                <w:p w14:paraId="31392A0A">
                  <w:pPr>
                    <w:pStyle w:val="80"/>
                    <w:wordWrap/>
                    <w:spacing w:line="240" w:lineRule="exact"/>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eastAsia"/>
                      <w:color w:val="auto"/>
                      <w:highlight w:val="none"/>
                      <w:lang w:val="en-US" w:eastAsia="zh-CN"/>
                    </w:rPr>
                    <w:t>预留环保资金</w:t>
                  </w:r>
                </w:p>
              </w:tc>
              <w:tc>
                <w:tcPr>
                  <w:tcW w:w="827" w:type="pct"/>
                  <w:tcBorders>
                    <w:tl2br w:val="nil"/>
                    <w:tr2bl w:val="nil"/>
                  </w:tcBorders>
                  <w:shd w:val="clear" w:color="auto" w:fill="auto"/>
                  <w:vAlign w:val="center"/>
                </w:tcPr>
                <w:p w14:paraId="6C1EDCAB">
                  <w:pPr>
                    <w:pStyle w:val="80"/>
                    <w:wordWrap/>
                    <w:spacing w:line="240" w:lineRule="exact"/>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eastAsia"/>
                      <w:color w:val="auto"/>
                      <w:highlight w:val="none"/>
                      <w:lang w:val="en-US" w:eastAsia="zh-CN"/>
                    </w:rPr>
                    <w:t>20</w:t>
                  </w:r>
                </w:p>
              </w:tc>
              <w:tc>
                <w:tcPr>
                  <w:tcW w:w="1833" w:type="pct"/>
                  <w:tcBorders>
                    <w:tl2br w:val="nil"/>
                    <w:tr2bl w:val="nil"/>
                  </w:tcBorders>
                  <w:shd w:val="clear" w:color="auto" w:fill="auto"/>
                  <w:vAlign w:val="center"/>
                </w:tcPr>
                <w:p w14:paraId="7F7A2957">
                  <w:pPr>
                    <w:pStyle w:val="80"/>
                    <w:wordWrap/>
                    <w:spacing w:line="240" w:lineRule="exact"/>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eastAsia"/>
                      <w:color w:val="auto"/>
                      <w:highlight w:val="none"/>
                      <w:lang w:val="en-US" w:eastAsia="zh-CN"/>
                    </w:rPr>
                    <w:t>用于运营期跟踪监测超标敏感点的进一步噪声污染防治措施</w:t>
                  </w:r>
                </w:p>
              </w:tc>
            </w:tr>
            <w:tr w14:paraId="0B5665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339" w:type="pct"/>
                  <w:gridSpan w:val="3"/>
                  <w:tcBorders>
                    <w:tl2br w:val="nil"/>
                    <w:tr2bl w:val="nil"/>
                  </w:tcBorders>
                  <w:vAlign w:val="center"/>
                </w:tcPr>
                <w:p w14:paraId="635A15E4">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总环保费用合计</w:t>
                  </w:r>
                </w:p>
              </w:tc>
              <w:tc>
                <w:tcPr>
                  <w:tcW w:w="827" w:type="pct"/>
                  <w:tcBorders>
                    <w:tl2br w:val="nil"/>
                    <w:tr2bl w:val="nil"/>
                  </w:tcBorders>
                  <w:vAlign w:val="center"/>
                </w:tcPr>
                <w:p w14:paraId="78C29796">
                  <w:pPr>
                    <w:pStyle w:val="80"/>
                    <w:wordWrap/>
                    <w:spacing w:line="240" w:lineRule="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211</w:t>
                  </w:r>
                </w:p>
              </w:tc>
              <w:tc>
                <w:tcPr>
                  <w:tcW w:w="1833" w:type="pct"/>
                  <w:tcBorders>
                    <w:tl2br w:val="nil"/>
                    <w:tr2bl w:val="nil"/>
                  </w:tcBorders>
                  <w:vAlign w:val="center"/>
                </w:tcPr>
                <w:p w14:paraId="5C411D84">
                  <w:pPr>
                    <w:pStyle w:val="80"/>
                    <w:wordWrap/>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r>
          </w:tbl>
          <w:p w14:paraId="3729876F">
            <w:pPr>
              <w:ind w:firstLine="480" w:firstLineChars="200"/>
              <w:rPr>
                <w:rFonts w:hint="default" w:ascii="Times New Roman" w:hAnsi="Times New Roman" w:cs="Times New Roman"/>
                <w:bCs/>
                <w:color w:val="auto"/>
                <w:kern w:val="21"/>
                <w:szCs w:val="21"/>
              </w:rPr>
            </w:pPr>
          </w:p>
          <w:p w14:paraId="4B281ABE">
            <w:pPr>
              <w:pStyle w:val="2"/>
              <w:rPr>
                <w:rFonts w:hint="default" w:ascii="Times New Roman" w:hAnsi="Times New Roman" w:cs="Times New Roman"/>
                <w:color w:val="auto"/>
              </w:rPr>
            </w:pPr>
          </w:p>
          <w:p w14:paraId="5F85D911">
            <w:pPr>
              <w:rPr>
                <w:rFonts w:hint="default" w:ascii="Times New Roman" w:hAnsi="Times New Roman" w:cs="Times New Roman"/>
                <w:color w:val="auto"/>
              </w:rPr>
            </w:pPr>
          </w:p>
          <w:p w14:paraId="49A442D6">
            <w:pPr>
              <w:rPr>
                <w:rFonts w:hint="default" w:ascii="Times New Roman" w:hAnsi="Times New Roman" w:cs="Times New Roman"/>
                <w:color w:val="auto"/>
              </w:rPr>
            </w:pPr>
          </w:p>
          <w:p w14:paraId="5630FFA9">
            <w:pPr>
              <w:pStyle w:val="2"/>
              <w:ind w:left="0" w:firstLine="0"/>
              <w:rPr>
                <w:rFonts w:hint="default" w:ascii="Times New Roman" w:hAnsi="Times New Roman" w:cs="Times New Roman"/>
                <w:color w:val="auto"/>
              </w:rPr>
            </w:pPr>
          </w:p>
          <w:p w14:paraId="653E3C91">
            <w:pPr>
              <w:rPr>
                <w:rFonts w:hint="default" w:ascii="Times New Roman" w:hAnsi="Times New Roman" w:cs="Times New Roman"/>
                <w:color w:val="auto"/>
              </w:rPr>
            </w:pPr>
          </w:p>
          <w:p w14:paraId="30BEB32F">
            <w:pPr>
              <w:pStyle w:val="2"/>
              <w:rPr>
                <w:rFonts w:hint="default" w:ascii="Times New Roman" w:hAnsi="Times New Roman" w:cs="Times New Roman"/>
                <w:color w:val="auto"/>
              </w:rPr>
            </w:pPr>
          </w:p>
          <w:p w14:paraId="1E48E631">
            <w:pPr>
              <w:rPr>
                <w:rFonts w:hint="default" w:ascii="Times New Roman" w:hAnsi="Times New Roman" w:cs="Times New Roman"/>
                <w:color w:val="auto"/>
              </w:rPr>
            </w:pPr>
          </w:p>
        </w:tc>
      </w:tr>
    </w:tbl>
    <w:p w14:paraId="5C8BB9E7">
      <w:pPr>
        <w:rPr>
          <w:rFonts w:hint="default" w:ascii="Times New Roman" w:hAnsi="Times New Roman" w:cs="Times New Roman"/>
          <w:color w:val="auto"/>
        </w:rPr>
      </w:pPr>
    </w:p>
    <w:p w14:paraId="0D1705A4">
      <w:pPr>
        <w:pStyle w:val="25"/>
        <w:spacing w:before="0" w:beforeAutospacing="0" w:after="0" w:afterAutospacing="0"/>
        <w:jc w:val="center"/>
        <w:outlineLvl w:val="0"/>
        <w:rPr>
          <w:rFonts w:hint="default" w:ascii="Times New Roman" w:hAnsi="Times New Roman" w:eastAsia="黑体" w:cs="Times New Roman"/>
          <w:snapToGrid w:val="0"/>
          <w:color w:val="auto"/>
          <w:kern w:val="21"/>
          <w:sz w:val="30"/>
          <w:szCs w:val="30"/>
        </w:rPr>
      </w:pPr>
      <w:bookmarkStart w:id="13" w:name="_Toc13468"/>
      <w:r>
        <w:rPr>
          <w:rFonts w:hint="default" w:ascii="Times New Roman" w:hAnsi="Times New Roman" w:eastAsia="黑体" w:cs="Times New Roman"/>
          <w:snapToGrid w:val="0"/>
          <w:color w:val="auto"/>
          <w:kern w:val="21"/>
          <w:sz w:val="30"/>
          <w:szCs w:val="30"/>
          <w:highlight w:val="none"/>
        </w:rPr>
        <w:t>六、生态环境保护措施监督检查</w:t>
      </w:r>
      <w:r>
        <w:rPr>
          <w:rFonts w:hint="default" w:ascii="Times New Roman" w:hAnsi="Times New Roman" w:eastAsia="黑体" w:cs="Times New Roman"/>
          <w:snapToGrid w:val="0"/>
          <w:color w:val="auto"/>
          <w:kern w:val="21"/>
          <w:sz w:val="30"/>
          <w:szCs w:val="30"/>
        </w:rPr>
        <w:t>清单</w:t>
      </w: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42"/>
        <w:gridCol w:w="3524"/>
        <w:gridCol w:w="1418"/>
        <w:gridCol w:w="1837"/>
        <w:gridCol w:w="1106"/>
      </w:tblGrid>
      <w:tr w14:paraId="139321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942" w:type="dxa"/>
            <w:vMerge w:val="restart"/>
            <w:tcBorders>
              <w:tl2br w:val="single" w:color="auto" w:sz="4" w:space="0"/>
            </w:tcBorders>
          </w:tcPr>
          <w:p w14:paraId="089CDA84">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 xml:space="preserve">  内容</w:t>
            </w:r>
          </w:p>
          <w:p w14:paraId="4FB2FB06">
            <w:pPr>
              <w:pStyle w:val="25"/>
              <w:adjustRightInd w:val="0"/>
              <w:snapToGrid w:val="0"/>
              <w:spacing w:before="0" w:beforeAutospacing="0" w:after="0" w:afterAutospacing="0"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 xml:space="preserve">  </w:t>
            </w:r>
          </w:p>
          <w:p w14:paraId="0395766D">
            <w:pPr>
              <w:pStyle w:val="25"/>
              <w:adjustRightInd w:val="0"/>
              <w:snapToGrid w:val="0"/>
              <w:spacing w:before="0" w:beforeAutospacing="0" w:after="0" w:afterAutospacing="0" w:line="240" w:lineRule="auto"/>
              <w:rPr>
                <w:rFonts w:hint="default" w:ascii="Times New Roman" w:hAnsi="Times New Roman" w:cs="Times New Roman"/>
                <w:color w:val="auto"/>
                <w:kern w:val="21"/>
                <w:sz w:val="21"/>
                <w:szCs w:val="21"/>
              </w:rPr>
            </w:pPr>
          </w:p>
          <w:p w14:paraId="64FC9CAA">
            <w:pPr>
              <w:pStyle w:val="25"/>
              <w:adjustRightInd w:val="0"/>
              <w:snapToGrid w:val="0"/>
              <w:spacing w:before="0" w:beforeAutospacing="0" w:after="0" w:afterAutospacing="0" w:line="240" w:lineRule="auto"/>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要素</w:t>
            </w:r>
          </w:p>
        </w:tc>
        <w:tc>
          <w:tcPr>
            <w:tcW w:w="4942" w:type="dxa"/>
            <w:gridSpan w:val="2"/>
            <w:vAlign w:val="center"/>
          </w:tcPr>
          <w:p w14:paraId="02B3D7FC">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施工期</w:t>
            </w:r>
          </w:p>
        </w:tc>
        <w:tc>
          <w:tcPr>
            <w:tcW w:w="2943" w:type="dxa"/>
            <w:gridSpan w:val="2"/>
            <w:vAlign w:val="center"/>
          </w:tcPr>
          <w:p w14:paraId="5851B2AA">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运营期</w:t>
            </w:r>
          </w:p>
        </w:tc>
      </w:tr>
      <w:tr w14:paraId="65A3AC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Merge w:val="continue"/>
          </w:tcPr>
          <w:p w14:paraId="1116B9C2">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p>
        </w:tc>
        <w:tc>
          <w:tcPr>
            <w:tcW w:w="3524" w:type="dxa"/>
            <w:vAlign w:val="center"/>
          </w:tcPr>
          <w:p w14:paraId="4B6D5A07">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环境保护措施</w:t>
            </w:r>
          </w:p>
        </w:tc>
        <w:tc>
          <w:tcPr>
            <w:tcW w:w="1418" w:type="dxa"/>
            <w:vAlign w:val="center"/>
          </w:tcPr>
          <w:p w14:paraId="2108C040">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验收</w:t>
            </w:r>
          </w:p>
          <w:p w14:paraId="56F17336">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要求</w:t>
            </w:r>
          </w:p>
        </w:tc>
        <w:tc>
          <w:tcPr>
            <w:tcW w:w="1837" w:type="dxa"/>
            <w:vAlign w:val="center"/>
          </w:tcPr>
          <w:p w14:paraId="208E2CF2">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环境保护措施</w:t>
            </w:r>
          </w:p>
        </w:tc>
        <w:tc>
          <w:tcPr>
            <w:tcW w:w="1106" w:type="dxa"/>
            <w:vAlign w:val="center"/>
          </w:tcPr>
          <w:p w14:paraId="7C579282">
            <w:pPr>
              <w:pStyle w:val="25"/>
              <w:adjustRightInd w:val="0"/>
              <w:snapToGrid w:val="0"/>
              <w:spacing w:before="0" w:beforeAutospacing="0" w:after="0" w:afterAutospacing="0"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验收要求</w:t>
            </w:r>
          </w:p>
        </w:tc>
      </w:tr>
      <w:tr w14:paraId="10023E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67" w:hRule="atLeast"/>
          <w:jc w:val="center"/>
        </w:trPr>
        <w:tc>
          <w:tcPr>
            <w:tcW w:w="942" w:type="dxa"/>
            <w:vAlign w:val="center"/>
          </w:tcPr>
          <w:p w14:paraId="4240435A">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生态</w:t>
            </w:r>
          </w:p>
          <w:p w14:paraId="1BB329F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w:t>
            </w:r>
          </w:p>
        </w:tc>
        <w:tc>
          <w:tcPr>
            <w:tcW w:w="3524" w:type="dxa"/>
            <w:vAlign w:val="center"/>
          </w:tcPr>
          <w:p w14:paraId="1CB7E23B">
            <w:pPr>
              <w:adjustRightInd w:val="0"/>
              <w:snapToGrid w:val="0"/>
              <w:spacing w:line="240" w:lineRule="auto"/>
              <w:jc w:val="left"/>
              <w:rPr>
                <w:rFonts w:hint="default" w:ascii="Times New Roman" w:hAnsi="Times New Roman" w:cs="Times New Roman"/>
                <w:color w:val="auto"/>
                <w:kern w:val="21"/>
                <w:sz w:val="21"/>
                <w:szCs w:val="21"/>
              </w:rPr>
            </w:pPr>
            <w:r>
              <w:rPr>
                <w:rFonts w:hint="eastAsia"/>
                <w:color w:val="auto"/>
                <w:sz w:val="21"/>
                <w:szCs w:val="21"/>
              </w:rPr>
              <w:t>按照施工组织设计，严格控制施工范围；各种机械、车辆应定期检查维护，减少跑、冒、滴、漏等环节对土壤的污染；主体完工后及时清理现场；做好宣传教育工作，严禁施工人员捕杀进入临时施工区的田间动物；认真落实水土保持方案提出的各项工</w:t>
            </w:r>
            <w:r>
              <w:rPr>
                <w:rFonts w:hint="eastAsia" w:cs="宋体"/>
                <w:color w:val="auto"/>
                <w:kern w:val="21"/>
                <w:sz w:val="21"/>
                <w:szCs w:val="21"/>
              </w:rPr>
              <w:t>程措施和植物措施。</w:t>
            </w:r>
            <w:r>
              <w:rPr>
                <w:rFonts w:hint="eastAsia" w:cs="宋体"/>
                <w:color w:val="auto"/>
                <w:kern w:val="21"/>
                <w:sz w:val="21"/>
                <w:szCs w:val="21"/>
                <w:lang w:val="en-US" w:eastAsia="zh-CN"/>
              </w:rPr>
              <w:t>桥梁</w:t>
            </w:r>
            <w:r>
              <w:rPr>
                <w:rFonts w:hint="eastAsia" w:cs="宋体"/>
                <w:color w:val="auto"/>
                <w:kern w:val="21"/>
                <w:sz w:val="21"/>
                <w:szCs w:val="21"/>
              </w:rPr>
              <w:t>维修锥坡砌体</w:t>
            </w:r>
            <w:r>
              <w:rPr>
                <w:rFonts w:hint="eastAsia" w:cs="宋体"/>
                <w:color w:val="auto"/>
                <w:kern w:val="21"/>
                <w:sz w:val="21"/>
                <w:szCs w:val="21"/>
                <w:lang w:val="en-US" w:eastAsia="zh-CN"/>
              </w:rPr>
              <w:t>和</w:t>
            </w:r>
            <w:r>
              <w:rPr>
                <w:rFonts w:hint="eastAsia" w:cs="宋体"/>
                <w:color w:val="auto"/>
                <w:kern w:val="21"/>
                <w:sz w:val="21"/>
                <w:szCs w:val="21"/>
              </w:rPr>
              <w:t>侧脚施工应选择枯水期施工；建筑材料堆放应远离水体，选择暴雨径流难以冲刷的地方；合理安排工期，尽量避免和减少雨季进行</w:t>
            </w:r>
            <w:r>
              <w:rPr>
                <w:rFonts w:hint="eastAsia" w:cs="宋体"/>
                <w:color w:val="auto"/>
                <w:kern w:val="21"/>
                <w:sz w:val="21"/>
                <w:szCs w:val="21"/>
                <w:lang w:val="en-US" w:eastAsia="zh-CN"/>
              </w:rPr>
              <w:t>路面</w:t>
            </w:r>
            <w:r>
              <w:rPr>
                <w:rFonts w:hint="eastAsia" w:cs="宋体"/>
                <w:color w:val="auto"/>
                <w:kern w:val="21"/>
                <w:sz w:val="21"/>
                <w:szCs w:val="21"/>
              </w:rPr>
              <w:t>开挖，减少施工期水土流失。</w:t>
            </w:r>
          </w:p>
        </w:tc>
        <w:tc>
          <w:tcPr>
            <w:tcW w:w="1418" w:type="dxa"/>
            <w:vAlign w:val="center"/>
          </w:tcPr>
          <w:p w14:paraId="383EBD33">
            <w:pPr>
              <w:adjustRightInd w:val="0"/>
              <w:snapToGrid w:val="0"/>
              <w:spacing w:line="240" w:lineRule="auto"/>
              <w:jc w:val="center"/>
              <w:rPr>
                <w:rFonts w:hint="default" w:ascii="Times New Roman" w:hAnsi="Times New Roman" w:cs="Times New Roman"/>
                <w:color w:val="auto"/>
                <w:kern w:val="21"/>
                <w:sz w:val="21"/>
                <w:szCs w:val="21"/>
              </w:rPr>
            </w:pPr>
            <w:r>
              <w:rPr>
                <w:rFonts w:hint="eastAsia" w:cs="宋体"/>
                <w:color w:val="auto"/>
                <w:kern w:val="21"/>
                <w:sz w:val="21"/>
                <w:szCs w:val="21"/>
              </w:rPr>
              <w:t>未对</w:t>
            </w:r>
            <w:r>
              <w:rPr>
                <w:rFonts w:hint="eastAsia" w:cs="宋体"/>
                <w:color w:val="auto"/>
                <w:kern w:val="21"/>
                <w:sz w:val="21"/>
                <w:szCs w:val="21"/>
                <w:lang w:val="en-US" w:eastAsia="zh-CN"/>
              </w:rPr>
              <w:t>区域陆生、</w:t>
            </w:r>
            <w:r>
              <w:rPr>
                <w:rFonts w:hint="eastAsia" w:cs="宋体"/>
                <w:color w:val="auto"/>
                <w:kern w:val="21"/>
                <w:sz w:val="21"/>
                <w:szCs w:val="21"/>
              </w:rPr>
              <w:t>水生生态造成影响</w:t>
            </w:r>
          </w:p>
        </w:tc>
        <w:tc>
          <w:tcPr>
            <w:tcW w:w="1837" w:type="dxa"/>
            <w:vAlign w:val="center"/>
          </w:tcPr>
          <w:p w14:paraId="441BDA4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持续加强公路沿线</w:t>
            </w:r>
            <w:r>
              <w:rPr>
                <w:rFonts w:hint="default" w:ascii="Times New Roman" w:hAnsi="Times New Roman" w:cs="Times New Roman"/>
                <w:color w:val="auto"/>
                <w:sz w:val="21"/>
                <w:szCs w:val="21"/>
                <w:lang w:val="en-US" w:eastAsia="zh-CN"/>
              </w:rPr>
              <w:t>植被</w:t>
            </w:r>
            <w:r>
              <w:rPr>
                <w:rFonts w:hint="default" w:ascii="Times New Roman" w:hAnsi="Times New Roman" w:cs="Times New Roman"/>
                <w:color w:val="auto"/>
                <w:sz w:val="21"/>
                <w:szCs w:val="21"/>
              </w:rPr>
              <w:t>的养护管理，利用涵洞作为野生动物通道，定期跟踪调查</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rPr>
              <w:t>及时调整。</w:t>
            </w:r>
          </w:p>
        </w:tc>
        <w:tc>
          <w:tcPr>
            <w:tcW w:w="1106" w:type="dxa"/>
            <w:vAlign w:val="center"/>
          </w:tcPr>
          <w:p w14:paraId="40E7376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kern w:val="21"/>
                <w:sz w:val="21"/>
                <w:szCs w:val="21"/>
              </w:rPr>
              <w:t>-</w:t>
            </w:r>
          </w:p>
        </w:tc>
      </w:tr>
      <w:tr w14:paraId="7CCD92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942" w:type="dxa"/>
            <w:vAlign w:val="center"/>
          </w:tcPr>
          <w:p w14:paraId="2E5DA02A">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地表水环境</w:t>
            </w:r>
          </w:p>
        </w:tc>
        <w:tc>
          <w:tcPr>
            <w:tcW w:w="3524" w:type="dxa"/>
            <w:vAlign w:val="center"/>
          </w:tcPr>
          <w:p w14:paraId="78B65A87">
            <w:pPr>
              <w:adjustRightInd w:val="0"/>
              <w:snapToGrid w:val="0"/>
              <w:spacing w:line="240" w:lineRule="auto"/>
              <w:jc w:val="left"/>
              <w:rPr>
                <w:rFonts w:hint="default" w:ascii="Times New Roman" w:hAnsi="Times New Roman" w:cs="Times New Roman"/>
                <w:color w:val="auto"/>
                <w:kern w:val="21"/>
                <w:sz w:val="21"/>
                <w:szCs w:val="21"/>
              </w:rPr>
            </w:pPr>
            <w:r>
              <w:rPr>
                <w:rFonts w:hint="eastAsia"/>
                <w:color w:val="auto"/>
                <w:sz w:val="21"/>
                <w:szCs w:val="21"/>
              </w:rPr>
              <w:t>施工期生活污水利用沿线的公共卫生设施，不外排，施工生产生活区生活污水排入防渗旱厕，定期清掏，外运堆肥处理，不排入周边地表水体。施工生产废水设置沉淀池集中收集，生产废水经沉淀后回收利用，禁止向水体排放。建筑材料堆放场地远离地表水体且无汇入支流空旷地带存放，并进行遮盖，防止雨水冲刷进入地表水体。优化施工组织设计，合理有序进行施工。</w:t>
            </w:r>
          </w:p>
        </w:tc>
        <w:tc>
          <w:tcPr>
            <w:tcW w:w="1418" w:type="dxa"/>
            <w:vAlign w:val="center"/>
          </w:tcPr>
          <w:p w14:paraId="1A06209F">
            <w:pPr>
              <w:adjustRightInd w:val="0"/>
              <w:snapToGrid w:val="0"/>
              <w:spacing w:line="240" w:lineRule="auto"/>
              <w:jc w:val="center"/>
              <w:rPr>
                <w:rFonts w:hint="default" w:ascii="Times New Roman" w:hAnsi="Times New Roman" w:cs="Times New Roman"/>
                <w:color w:val="auto"/>
                <w:kern w:val="21"/>
                <w:sz w:val="21"/>
                <w:szCs w:val="21"/>
              </w:rPr>
            </w:pPr>
            <w:r>
              <w:rPr>
                <w:color w:val="auto"/>
                <w:sz w:val="21"/>
                <w:szCs w:val="21"/>
              </w:rPr>
              <w:t>废水不外排</w:t>
            </w:r>
          </w:p>
        </w:tc>
        <w:tc>
          <w:tcPr>
            <w:tcW w:w="1837" w:type="dxa"/>
            <w:vAlign w:val="center"/>
          </w:tcPr>
          <w:p w14:paraId="5BCA629B">
            <w:pPr>
              <w:pStyle w:val="80"/>
              <w:rPr>
                <w:rFonts w:hint="default" w:ascii="Times New Roman" w:hAnsi="Times New Roman" w:cs="Times New Roman"/>
                <w:color w:val="auto"/>
                <w:kern w:val="21"/>
              </w:rPr>
            </w:pPr>
            <w:r>
              <w:rPr>
                <w:rFonts w:hint="default" w:ascii="Times New Roman" w:hAnsi="Times New Roman" w:cs="Times New Roman"/>
                <w:color w:val="auto"/>
                <w:lang w:val="en-US" w:eastAsia="zh-CN"/>
              </w:rPr>
              <w:t>/</w:t>
            </w:r>
          </w:p>
        </w:tc>
        <w:tc>
          <w:tcPr>
            <w:tcW w:w="1106" w:type="dxa"/>
            <w:vAlign w:val="center"/>
          </w:tcPr>
          <w:p w14:paraId="019A64CE">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r>
      <w:tr w14:paraId="31EFA3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942" w:type="dxa"/>
            <w:vAlign w:val="center"/>
          </w:tcPr>
          <w:p w14:paraId="0BE96AB1">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地下水及土壤环境</w:t>
            </w:r>
          </w:p>
        </w:tc>
        <w:tc>
          <w:tcPr>
            <w:tcW w:w="3524" w:type="dxa"/>
            <w:vAlign w:val="center"/>
          </w:tcPr>
          <w:p w14:paraId="1FA7E4BA">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1B804F90">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vAlign w:val="center"/>
          </w:tcPr>
          <w:p w14:paraId="14ADEA47">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106" w:type="dxa"/>
            <w:vAlign w:val="center"/>
          </w:tcPr>
          <w:p w14:paraId="235C247F">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r>
      <w:tr w14:paraId="4E3931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54" w:hRule="atLeast"/>
          <w:jc w:val="center"/>
        </w:trPr>
        <w:tc>
          <w:tcPr>
            <w:tcW w:w="942" w:type="dxa"/>
            <w:vAlign w:val="center"/>
          </w:tcPr>
          <w:p w14:paraId="4EF13D49">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声环境</w:t>
            </w:r>
          </w:p>
        </w:tc>
        <w:tc>
          <w:tcPr>
            <w:tcW w:w="3524" w:type="dxa"/>
            <w:vAlign w:val="center"/>
          </w:tcPr>
          <w:p w14:paraId="051B2AB5">
            <w:pPr>
              <w:spacing w:line="240" w:lineRule="auto"/>
              <w:rPr>
                <w:rFonts w:hint="default" w:ascii="Times New Roman" w:hAnsi="Times New Roman" w:cs="Times New Roman"/>
                <w:color w:val="auto"/>
                <w:kern w:val="21"/>
                <w:sz w:val="21"/>
                <w:szCs w:val="21"/>
              </w:rPr>
            </w:pPr>
            <w:r>
              <w:rPr>
                <w:rFonts w:hint="eastAsia" w:ascii="宋体" w:hAnsi="宋体" w:cs="宋体"/>
                <w:color w:val="auto"/>
                <w:sz w:val="21"/>
                <w:szCs w:val="21"/>
              </w:rPr>
              <w:t>①</w:t>
            </w:r>
            <w:r>
              <w:rPr>
                <w:color w:val="auto"/>
                <w:sz w:val="21"/>
                <w:szCs w:val="21"/>
              </w:rPr>
              <w:t>合理布局，临时工程及大型施工设备设置在远离声环境保护目标处；合理制定施工计划，避免大量噪声设备同时使用。</w:t>
            </w:r>
            <w:r>
              <w:rPr>
                <w:rFonts w:hint="eastAsia" w:ascii="宋体" w:hAnsi="宋体" w:cs="宋体"/>
                <w:color w:val="auto"/>
                <w:sz w:val="21"/>
                <w:szCs w:val="21"/>
              </w:rPr>
              <w:t>②</w:t>
            </w:r>
            <w:r>
              <w:rPr>
                <w:color w:val="auto"/>
                <w:sz w:val="21"/>
                <w:szCs w:val="21"/>
              </w:rPr>
              <w:t>施工过程途经声环境保护目标路段采取修建临时隔声挡板等相应的隔声降噪措施，隔声挡板高度不低于3m。</w:t>
            </w:r>
            <w:r>
              <w:rPr>
                <w:rFonts w:hint="eastAsia" w:ascii="宋体" w:hAnsi="宋体" w:cs="宋体"/>
                <w:color w:val="auto"/>
                <w:sz w:val="21"/>
                <w:szCs w:val="21"/>
              </w:rPr>
              <w:t>③</w:t>
            </w:r>
            <w:r>
              <w:rPr>
                <w:color w:val="auto"/>
                <w:sz w:val="21"/>
                <w:szCs w:val="21"/>
              </w:rPr>
              <w:t>施工机械安装减振、降噪设备。</w:t>
            </w:r>
            <w:r>
              <w:rPr>
                <w:rFonts w:hint="eastAsia" w:ascii="宋体" w:hAnsi="宋体" w:cs="宋体"/>
                <w:color w:val="auto"/>
                <w:sz w:val="21"/>
                <w:szCs w:val="21"/>
              </w:rPr>
              <w:t>④</w:t>
            </w:r>
            <w:r>
              <w:rPr>
                <w:color w:val="auto"/>
                <w:sz w:val="21"/>
                <w:szCs w:val="21"/>
              </w:rPr>
              <w:t>物料运输途径声环境保护目标时减速慢行、禁止鸣笛及夜间禁止运输。</w:t>
            </w:r>
            <w:r>
              <w:rPr>
                <w:rFonts w:hint="eastAsia" w:ascii="宋体" w:hAnsi="宋体" w:cs="宋体"/>
                <w:color w:val="auto"/>
                <w:sz w:val="21"/>
                <w:szCs w:val="21"/>
              </w:rPr>
              <w:t>⑤</w:t>
            </w:r>
            <w:r>
              <w:rPr>
                <w:color w:val="auto"/>
                <w:sz w:val="21"/>
                <w:szCs w:val="21"/>
              </w:rPr>
              <w:t>施工过程中应经常对设备进行维护保养，保证施工设备处于低噪声、良好的工作状态，避免由于设备性能差而使噪声污染加重现象的发生，对产生强噪声的设备必须安排在白天使用。</w:t>
            </w:r>
          </w:p>
        </w:tc>
        <w:tc>
          <w:tcPr>
            <w:tcW w:w="1418" w:type="dxa"/>
            <w:vAlign w:val="center"/>
          </w:tcPr>
          <w:p w14:paraId="6870A5D1">
            <w:pPr>
              <w:spacing w:line="240" w:lineRule="auto"/>
              <w:jc w:val="center"/>
              <w:rPr>
                <w:rFonts w:hint="default" w:ascii="Times New Roman" w:hAnsi="Times New Roman" w:cs="Times New Roman"/>
                <w:color w:val="auto"/>
                <w:kern w:val="21"/>
                <w:sz w:val="21"/>
                <w:szCs w:val="21"/>
              </w:rPr>
            </w:pPr>
            <w:r>
              <w:rPr>
                <w:color w:val="auto"/>
                <w:sz w:val="21"/>
                <w:szCs w:val="21"/>
              </w:rPr>
              <w:t>施工噪声满足《</w:t>
            </w:r>
            <w:r>
              <w:rPr>
                <w:rFonts w:hint="default"/>
                <w:color w:val="auto"/>
                <w:sz w:val="21"/>
                <w:szCs w:val="21"/>
                <w:lang w:val="en-US" w:eastAsia="zh-CN"/>
              </w:rPr>
              <w:t>建筑施工噪声排放标准</w:t>
            </w:r>
            <w:r>
              <w:rPr>
                <w:color w:val="auto"/>
                <w:sz w:val="21"/>
                <w:szCs w:val="21"/>
              </w:rPr>
              <w:t>》（GB125</w:t>
            </w:r>
            <w:r>
              <w:rPr>
                <w:rFonts w:hint="eastAsia"/>
                <w:color w:val="auto"/>
                <w:sz w:val="21"/>
                <w:szCs w:val="21"/>
                <w:lang w:val="en-US" w:eastAsia="zh-CN"/>
              </w:rPr>
              <w:t xml:space="preserve"> </w:t>
            </w:r>
            <w:r>
              <w:rPr>
                <w:color w:val="auto"/>
                <w:sz w:val="21"/>
                <w:szCs w:val="21"/>
              </w:rPr>
              <w:t>23-20</w:t>
            </w:r>
            <w:r>
              <w:rPr>
                <w:rFonts w:hint="eastAsia"/>
                <w:color w:val="auto"/>
                <w:sz w:val="21"/>
                <w:szCs w:val="21"/>
                <w:lang w:val="en-US" w:eastAsia="zh-CN"/>
              </w:rPr>
              <w:t>25</w:t>
            </w:r>
            <w:r>
              <w:rPr>
                <w:color w:val="auto"/>
                <w:sz w:val="21"/>
                <w:szCs w:val="21"/>
              </w:rPr>
              <w:t>）</w:t>
            </w:r>
          </w:p>
        </w:tc>
        <w:tc>
          <w:tcPr>
            <w:tcW w:w="1837" w:type="dxa"/>
            <w:vAlign w:val="center"/>
          </w:tcPr>
          <w:p w14:paraId="667A5A2F">
            <w:pPr>
              <w:spacing w:line="240" w:lineRule="auto"/>
              <w:rPr>
                <w:rFonts w:hint="default" w:ascii="Times New Roman" w:hAnsi="Times New Roman"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对临路</w:t>
            </w:r>
            <w:r>
              <w:rPr>
                <w:rFonts w:hint="eastAsia" w:cs="Times New Roman"/>
                <w:color w:val="auto"/>
                <w:sz w:val="21"/>
                <w:szCs w:val="21"/>
                <w:highlight w:val="none"/>
                <w:lang w:val="en-US" w:eastAsia="zh-CN"/>
              </w:rPr>
              <w:t>110</w:t>
            </w:r>
            <w:r>
              <w:rPr>
                <w:rFonts w:hint="eastAsia" w:ascii="Times New Roman" w:hAnsi="Times New Roman" w:eastAsia="宋体" w:cs="Times New Roman"/>
                <w:color w:val="auto"/>
                <w:sz w:val="21"/>
                <w:szCs w:val="21"/>
                <w:highlight w:val="none"/>
                <w:lang w:val="en-US" w:eastAsia="zh-CN"/>
              </w:rPr>
              <w:t>户超标居民安装</w:t>
            </w:r>
            <w:r>
              <w:rPr>
                <w:rFonts w:hint="default" w:ascii="Times New Roman" w:hAnsi="Times New Roman" w:eastAsia="宋体" w:cs="Times New Roman"/>
                <w:color w:val="auto"/>
                <w:sz w:val="21"/>
                <w:szCs w:val="21"/>
                <w:highlight w:val="none"/>
                <w:lang w:val="en-US" w:eastAsia="zh-CN"/>
              </w:rPr>
              <w:t>双层中空玻璃窗</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cs="Times New Roman"/>
                <w:color w:val="auto"/>
                <w:sz w:val="21"/>
                <w:szCs w:val="21"/>
                <w:highlight w:val="none"/>
              </w:rPr>
              <w:t>对道路进行经常性维护，提高路面平整度，降低道路交通噪声。</w:t>
            </w:r>
          </w:p>
          <w:p w14:paraId="145FA4DF">
            <w:pPr>
              <w:spacing w:line="240" w:lineRule="auto"/>
              <w:rPr>
                <w:rFonts w:hint="default" w:ascii="Times New Roman" w:hAnsi="Times New Roman" w:cs="Times New Roman"/>
                <w:color w:val="auto"/>
                <w:sz w:val="21"/>
                <w:szCs w:val="21"/>
              </w:rPr>
            </w:pPr>
            <w:r>
              <w:rPr>
                <w:rFonts w:hint="default" w:ascii="Times New Roman" w:hAnsi="Times New Roman" w:cs="Times New Roman"/>
                <w:color w:val="auto"/>
                <w:sz w:val="21"/>
                <w:szCs w:val="21"/>
                <w:highlight w:val="none"/>
              </w:rPr>
              <w:t>加强对地面交通噪声监测，对环境噪声超标地面交通设施提出噪声削减意见或要求，监督有关部门实施。</w:t>
            </w:r>
          </w:p>
        </w:tc>
        <w:tc>
          <w:tcPr>
            <w:tcW w:w="1106" w:type="dxa"/>
            <w:vAlign w:val="center"/>
          </w:tcPr>
          <w:p w14:paraId="0E0FC82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确保道路两侧声环境敏感点满足《声环境质量标准》（GB 3096-2008）要求</w:t>
            </w:r>
          </w:p>
        </w:tc>
      </w:tr>
      <w:tr w14:paraId="77CB9C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942" w:type="dxa"/>
            <w:vAlign w:val="center"/>
          </w:tcPr>
          <w:p w14:paraId="65BE9918">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振动</w:t>
            </w:r>
          </w:p>
        </w:tc>
        <w:tc>
          <w:tcPr>
            <w:tcW w:w="3524" w:type="dxa"/>
            <w:vAlign w:val="center"/>
          </w:tcPr>
          <w:p w14:paraId="7F084F41">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2FF39848">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vAlign w:val="center"/>
          </w:tcPr>
          <w:p w14:paraId="3A32AA74">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106" w:type="dxa"/>
            <w:vAlign w:val="center"/>
          </w:tcPr>
          <w:p w14:paraId="6AEF6EA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r>
      <w:tr w14:paraId="228930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121CBEF8">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大气</w:t>
            </w:r>
          </w:p>
          <w:p w14:paraId="6A893E5C">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w:t>
            </w:r>
          </w:p>
        </w:tc>
        <w:tc>
          <w:tcPr>
            <w:tcW w:w="3524" w:type="dxa"/>
            <w:vAlign w:val="center"/>
          </w:tcPr>
          <w:p w14:paraId="7D08B3F5">
            <w:pPr>
              <w:spacing w:line="240" w:lineRule="auto"/>
              <w:rPr>
                <w:color w:val="auto"/>
                <w:sz w:val="21"/>
                <w:szCs w:val="21"/>
              </w:rPr>
            </w:pPr>
            <w:r>
              <w:rPr>
                <w:rFonts w:hint="eastAsia" w:ascii="宋体" w:hAnsi="宋体" w:cs="宋体"/>
                <w:color w:val="auto"/>
                <w:sz w:val="21"/>
                <w:szCs w:val="21"/>
              </w:rPr>
              <w:t>①</w:t>
            </w:r>
            <w:r>
              <w:rPr>
                <w:color w:val="auto"/>
                <w:sz w:val="21"/>
                <w:szCs w:val="21"/>
              </w:rPr>
              <w:t>拌合站满足《公路环境保护设计规范》（JTGB 04-2010）中距离要求。</w:t>
            </w:r>
          </w:p>
          <w:p w14:paraId="14FA0787">
            <w:pPr>
              <w:spacing w:line="240" w:lineRule="auto"/>
              <w:rPr>
                <w:bCs/>
                <w:color w:val="auto"/>
                <w:sz w:val="21"/>
                <w:szCs w:val="21"/>
              </w:rPr>
            </w:pPr>
            <w:r>
              <w:rPr>
                <w:rFonts w:hint="eastAsia" w:ascii="宋体" w:hAnsi="宋体" w:cs="宋体"/>
                <w:color w:val="auto"/>
                <w:sz w:val="21"/>
                <w:szCs w:val="21"/>
              </w:rPr>
              <w:t>②</w:t>
            </w:r>
            <w:r>
              <w:rPr>
                <w:bCs/>
                <w:color w:val="auto"/>
                <w:sz w:val="21"/>
                <w:szCs w:val="21"/>
              </w:rPr>
              <w:t>施工拌合站沥青烟通过采用先进沥青混凝土搅和设备、密闭设备等措施，并配备沥青烟净化器。</w:t>
            </w:r>
          </w:p>
          <w:p w14:paraId="09A71E5D">
            <w:pPr>
              <w:spacing w:line="240" w:lineRule="auto"/>
              <w:rPr>
                <w:rFonts w:ascii="宋体" w:hAnsi="宋体" w:cs="宋体"/>
                <w:color w:val="auto"/>
                <w:sz w:val="21"/>
                <w:szCs w:val="21"/>
              </w:rPr>
            </w:pPr>
            <w:r>
              <w:rPr>
                <w:rFonts w:hint="eastAsia" w:ascii="宋体" w:hAnsi="宋体" w:cs="宋体"/>
                <w:color w:val="auto"/>
                <w:sz w:val="21"/>
                <w:szCs w:val="21"/>
              </w:rPr>
              <w:t>③</w:t>
            </w:r>
            <w:r>
              <w:rPr>
                <w:rFonts w:hint="eastAsia"/>
                <w:color w:val="auto"/>
                <w:sz w:val="21"/>
                <w:szCs w:val="21"/>
                <w:lang w:val="en-US" w:eastAsia="zh-CN"/>
              </w:rPr>
              <w:t>导热油炉产生的烟气</w:t>
            </w:r>
            <w:r>
              <w:rPr>
                <w:color w:val="auto"/>
                <w:sz w:val="21"/>
                <w:szCs w:val="21"/>
              </w:rPr>
              <w:t>采用</w:t>
            </w:r>
            <w:r>
              <w:rPr>
                <w:rFonts w:hint="eastAsia"/>
                <w:color w:val="auto"/>
                <w:sz w:val="21"/>
                <w:szCs w:val="21"/>
                <w:lang w:val="en-US" w:eastAsia="zh-CN"/>
              </w:rPr>
              <w:t>布袋除尘器</w:t>
            </w:r>
            <w:r>
              <w:rPr>
                <w:color w:val="auto"/>
                <w:sz w:val="21"/>
                <w:szCs w:val="21"/>
              </w:rPr>
              <w:t>，</w:t>
            </w:r>
            <w:r>
              <w:rPr>
                <w:rFonts w:hint="eastAsia"/>
                <w:color w:val="auto"/>
                <w:sz w:val="21"/>
                <w:szCs w:val="21"/>
              </w:rPr>
              <w:t>处理后</w:t>
            </w:r>
            <w:r>
              <w:rPr>
                <w:rFonts w:hint="eastAsia"/>
                <w:color w:val="auto"/>
                <w:sz w:val="21"/>
                <w:szCs w:val="21"/>
                <w:lang w:val="en-US" w:eastAsia="zh-CN"/>
              </w:rPr>
              <w:t>废气通过1根18m</w:t>
            </w:r>
            <w:r>
              <w:rPr>
                <w:rFonts w:hint="eastAsia"/>
                <w:color w:val="auto"/>
                <w:sz w:val="21"/>
                <w:szCs w:val="21"/>
              </w:rPr>
              <w:t>排气筒</w:t>
            </w:r>
            <w:r>
              <w:rPr>
                <w:rFonts w:hint="eastAsia"/>
                <w:color w:val="auto"/>
                <w:sz w:val="21"/>
                <w:szCs w:val="21"/>
                <w:lang w:val="en-US" w:eastAsia="zh-CN"/>
              </w:rPr>
              <w:t>排放</w:t>
            </w:r>
            <w:r>
              <w:rPr>
                <w:rFonts w:hint="eastAsia"/>
                <w:color w:val="auto"/>
                <w:sz w:val="21"/>
                <w:szCs w:val="21"/>
              </w:rPr>
              <w:t>。</w:t>
            </w:r>
          </w:p>
          <w:p w14:paraId="54B66835">
            <w:pPr>
              <w:spacing w:line="240" w:lineRule="auto"/>
              <w:rPr>
                <w:bCs/>
                <w:color w:val="auto"/>
                <w:sz w:val="21"/>
                <w:szCs w:val="21"/>
              </w:rPr>
            </w:pPr>
            <w:r>
              <w:rPr>
                <w:rFonts w:hint="eastAsia"/>
                <w:bCs/>
                <w:color w:val="auto"/>
                <w:sz w:val="21"/>
                <w:szCs w:val="21"/>
              </w:rPr>
              <w:t>④</w:t>
            </w:r>
            <w:r>
              <w:rPr>
                <w:bCs/>
                <w:color w:val="auto"/>
                <w:sz w:val="21"/>
                <w:szCs w:val="21"/>
              </w:rPr>
              <w:t>途经敏感点路段设置隔声、隔尘挡板，高度3m。并严禁在挡墙外堆放施工材料、建筑垃圾和渣土。</w:t>
            </w:r>
          </w:p>
          <w:p w14:paraId="63D94315">
            <w:pPr>
              <w:spacing w:line="240" w:lineRule="auto"/>
              <w:rPr>
                <w:bCs/>
                <w:color w:val="auto"/>
                <w:sz w:val="21"/>
                <w:szCs w:val="21"/>
              </w:rPr>
            </w:pPr>
            <w:r>
              <w:rPr>
                <w:rFonts w:hint="eastAsia"/>
                <w:bCs/>
                <w:color w:val="auto"/>
                <w:sz w:val="21"/>
                <w:szCs w:val="21"/>
              </w:rPr>
              <w:t>⑤</w:t>
            </w:r>
            <w:r>
              <w:rPr>
                <w:bCs/>
                <w:color w:val="auto"/>
                <w:sz w:val="21"/>
                <w:szCs w:val="21"/>
              </w:rPr>
              <w:t>施工避开大风季节，施工中产生的物料堆应当采取遮盖、洒水等措施防止扬尘产生。</w:t>
            </w:r>
          </w:p>
          <w:p w14:paraId="6938D2C1">
            <w:pPr>
              <w:spacing w:line="240" w:lineRule="auto"/>
              <w:rPr>
                <w:bCs/>
                <w:color w:val="auto"/>
                <w:sz w:val="21"/>
                <w:szCs w:val="21"/>
              </w:rPr>
            </w:pPr>
            <w:r>
              <w:rPr>
                <w:rFonts w:hint="eastAsia"/>
                <w:bCs/>
                <w:color w:val="auto"/>
                <w:sz w:val="21"/>
                <w:szCs w:val="21"/>
              </w:rPr>
              <w:t>⑥</w:t>
            </w:r>
            <w:r>
              <w:rPr>
                <w:bCs/>
                <w:color w:val="auto"/>
                <w:sz w:val="21"/>
                <w:szCs w:val="21"/>
              </w:rPr>
              <w:t>对施工场地、运输道路表面采取硬化措施，或采取洒水等方法处理。</w:t>
            </w:r>
          </w:p>
          <w:p w14:paraId="0EBF5BFA">
            <w:pPr>
              <w:spacing w:line="240" w:lineRule="auto"/>
              <w:rPr>
                <w:bCs/>
                <w:color w:val="auto"/>
                <w:sz w:val="21"/>
                <w:szCs w:val="21"/>
              </w:rPr>
            </w:pPr>
            <w:r>
              <w:rPr>
                <w:rFonts w:hint="eastAsia"/>
                <w:bCs/>
                <w:color w:val="auto"/>
                <w:sz w:val="21"/>
                <w:szCs w:val="21"/>
              </w:rPr>
              <w:t>⑦</w:t>
            </w:r>
            <w:r>
              <w:rPr>
                <w:bCs/>
                <w:color w:val="auto"/>
                <w:sz w:val="21"/>
                <w:szCs w:val="21"/>
              </w:rPr>
              <w:t>施工产生的建筑垃圾、渣土应当及时清运或采取其他有效防尘措施。</w:t>
            </w:r>
          </w:p>
          <w:p w14:paraId="255B71B0">
            <w:pPr>
              <w:spacing w:line="240" w:lineRule="auto"/>
              <w:rPr>
                <w:bCs/>
                <w:color w:val="auto"/>
                <w:sz w:val="21"/>
                <w:szCs w:val="21"/>
              </w:rPr>
            </w:pPr>
            <w:r>
              <w:rPr>
                <w:rFonts w:hint="eastAsia"/>
                <w:bCs/>
                <w:color w:val="auto"/>
                <w:sz w:val="21"/>
                <w:szCs w:val="21"/>
              </w:rPr>
              <w:t>⑧</w:t>
            </w:r>
            <w:r>
              <w:rPr>
                <w:bCs/>
                <w:color w:val="auto"/>
                <w:sz w:val="21"/>
                <w:szCs w:val="21"/>
              </w:rPr>
              <w:t>运输建筑垃圾、渣土等易产生扬尘的施工车辆，应加盖斗篷，密封运送；材料运输严禁超载，并盖篷布。</w:t>
            </w:r>
          </w:p>
          <w:p w14:paraId="2DCFD8B9">
            <w:pPr>
              <w:spacing w:line="240" w:lineRule="auto"/>
              <w:rPr>
                <w:rFonts w:hint="default" w:ascii="Times New Roman" w:hAnsi="Times New Roman" w:cs="Times New Roman"/>
                <w:color w:val="auto"/>
                <w:kern w:val="21"/>
                <w:sz w:val="21"/>
                <w:szCs w:val="21"/>
              </w:rPr>
            </w:pPr>
            <w:r>
              <w:rPr>
                <w:rFonts w:hint="eastAsia"/>
                <w:color w:val="auto"/>
                <w:sz w:val="21"/>
                <w:szCs w:val="21"/>
              </w:rPr>
              <w:t>⑨</w:t>
            </w:r>
            <w:r>
              <w:rPr>
                <w:color w:val="auto"/>
                <w:sz w:val="21"/>
                <w:szCs w:val="21"/>
              </w:rPr>
              <w:t>加强施工期环境管理，强化施工人员的环保意识。</w:t>
            </w:r>
          </w:p>
        </w:tc>
        <w:tc>
          <w:tcPr>
            <w:tcW w:w="1418" w:type="dxa"/>
            <w:vAlign w:val="center"/>
          </w:tcPr>
          <w:p w14:paraId="69B8EBE0">
            <w:pPr>
              <w:spacing w:line="240" w:lineRule="auto"/>
              <w:jc w:val="center"/>
              <w:rPr>
                <w:rFonts w:hint="default" w:ascii="Times New Roman" w:hAnsi="Times New Roman" w:cs="Times New Roman"/>
                <w:color w:val="auto"/>
                <w:kern w:val="21"/>
                <w:sz w:val="21"/>
                <w:szCs w:val="21"/>
              </w:rPr>
            </w:pPr>
            <w:r>
              <w:rPr>
                <w:color w:val="auto"/>
                <w:sz w:val="21"/>
                <w:szCs w:val="21"/>
              </w:rPr>
              <w:t>施工场界处扬尘满足《大气污染物综合排放标准》（GB16297-1996），沥青</w:t>
            </w:r>
            <w:r>
              <w:rPr>
                <w:rFonts w:hint="eastAsia"/>
                <w:color w:val="auto"/>
                <w:sz w:val="21"/>
                <w:szCs w:val="21"/>
                <w:lang w:val="en-US" w:eastAsia="zh-CN"/>
              </w:rPr>
              <w:t>混凝土</w:t>
            </w:r>
            <w:r>
              <w:rPr>
                <w:color w:val="auto"/>
                <w:sz w:val="21"/>
                <w:szCs w:val="21"/>
              </w:rPr>
              <w:t>拌合站废气中的苯并芘、非甲烷总烃、颗粒物及沥青烟排放浓度均满足《大气污染物综合排放标准》（GB16297-1996）</w:t>
            </w:r>
            <w:r>
              <w:rPr>
                <w:rFonts w:hint="eastAsia"/>
                <w:color w:val="auto"/>
                <w:sz w:val="21"/>
                <w:szCs w:val="21"/>
                <w:lang w:val="en-US" w:eastAsia="zh-CN"/>
              </w:rPr>
              <w:t>无组织排放</w:t>
            </w:r>
            <w:r>
              <w:rPr>
                <w:color w:val="auto"/>
                <w:sz w:val="21"/>
                <w:szCs w:val="21"/>
              </w:rPr>
              <w:t>标准；</w:t>
            </w:r>
            <w:r>
              <w:rPr>
                <w:rFonts w:hint="eastAsia"/>
                <w:color w:val="auto"/>
                <w:sz w:val="21"/>
                <w:szCs w:val="21"/>
                <w:lang w:val="en-US" w:eastAsia="zh-CN"/>
              </w:rPr>
              <w:t>导热油炉烟气排放满足</w:t>
            </w:r>
            <w:r>
              <w:rPr>
                <w:color w:val="auto"/>
                <w:sz w:val="21"/>
                <w:szCs w:val="21"/>
              </w:rPr>
              <w:t>《</w:t>
            </w:r>
            <w:r>
              <w:rPr>
                <w:rFonts w:hint="eastAsia"/>
                <w:color w:val="auto"/>
                <w:sz w:val="21"/>
                <w:szCs w:val="21"/>
                <w:lang w:val="en-US" w:eastAsia="zh-CN"/>
              </w:rPr>
              <w:t>锅炉</w:t>
            </w:r>
            <w:r>
              <w:rPr>
                <w:color w:val="auto"/>
                <w:sz w:val="21"/>
                <w:szCs w:val="21"/>
              </w:rPr>
              <w:t>大气污染物排放标准》（GB1</w:t>
            </w:r>
            <w:r>
              <w:rPr>
                <w:rFonts w:hint="eastAsia"/>
                <w:color w:val="auto"/>
                <w:sz w:val="21"/>
                <w:szCs w:val="21"/>
                <w:lang w:val="en-US" w:eastAsia="zh-CN"/>
              </w:rPr>
              <w:t>3271</w:t>
            </w:r>
            <w:r>
              <w:rPr>
                <w:color w:val="auto"/>
                <w:sz w:val="21"/>
                <w:szCs w:val="21"/>
              </w:rPr>
              <w:t>-</w:t>
            </w:r>
            <w:r>
              <w:rPr>
                <w:rFonts w:hint="eastAsia"/>
                <w:color w:val="auto"/>
                <w:sz w:val="21"/>
                <w:szCs w:val="21"/>
                <w:lang w:val="en-US" w:eastAsia="zh-CN"/>
              </w:rPr>
              <w:t>2014</w:t>
            </w:r>
            <w:r>
              <w:rPr>
                <w:color w:val="auto"/>
                <w:sz w:val="21"/>
                <w:szCs w:val="21"/>
              </w:rPr>
              <w:t>）</w:t>
            </w:r>
          </w:p>
        </w:tc>
        <w:tc>
          <w:tcPr>
            <w:tcW w:w="1837" w:type="dxa"/>
            <w:vAlign w:val="center"/>
          </w:tcPr>
          <w:p w14:paraId="51262F62">
            <w:pPr>
              <w:spacing w:line="240" w:lineRule="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①加强公路管理及路面养护，加强交通运输车辆管理，禁止尾气严重超标车辆上路行驶。</w:t>
            </w:r>
          </w:p>
          <w:p w14:paraId="22C57651">
            <w:pPr>
              <w:spacing w:line="240" w:lineRule="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②公路两侧</w:t>
            </w:r>
            <w:r>
              <w:rPr>
                <w:rFonts w:hint="default" w:ascii="Times New Roman" w:hAnsi="Times New Roman" w:cs="Times New Roman"/>
                <w:color w:val="auto"/>
                <w:sz w:val="21"/>
                <w:szCs w:val="21"/>
                <w:lang w:val="en-US" w:eastAsia="zh-CN"/>
              </w:rPr>
              <w:t>养护</w:t>
            </w:r>
            <w:r>
              <w:rPr>
                <w:rFonts w:hint="default" w:ascii="Times New Roman" w:hAnsi="Times New Roman" w:cs="Times New Roman"/>
                <w:color w:val="auto"/>
                <w:sz w:val="21"/>
                <w:szCs w:val="21"/>
              </w:rPr>
              <w:t>适宜当地生长的林草，增加沿线植被覆盖率。</w:t>
            </w:r>
          </w:p>
        </w:tc>
        <w:tc>
          <w:tcPr>
            <w:tcW w:w="1106" w:type="dxa"/>
            <w:vAlign w:val="center"/>
          </w:tcPr>
          <w:p w14:paraId="3DD35A83">
            <w:pPr>
              <w:pStyle w:val="93"/>
              <w:spacing w:before="0" w:after="0" w:line="240" w:lineRule="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《环境空气质量标准》</w:t>
            </w:r>
          </w:p>
          <w:p w14:paraId="6490DCE3">
            <w:pPr>
              <w:pStyle w:val="93"/>
              <w:spacing w:before="0" w:after="0" w:line="240" w:lineRule="auto"/>
              <w:jc w:val="both"/>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（GB3095-</w:t>
            </w:r>
          </w:p>
          <w:p w14:paraId="6FF23DD8">
            <w:pPr>
              <w:pStyle w:val="93"/>
              <w:spacing w:before="0" w:after="0" w:line="240" w:lineRule="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2012）及修</w:t>
            </w:r>
          </w:p>
          <w:p w14:paraId="087C143D">
            <w:pPr>
              <w:spacing w:line="240" w:lineRule="auto"/>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2"/>
                <w:sz w:val="21"/>
                <w:szCs w:val="21"/>
                <w:lang w:val="en-US" w:eastAsia="zh-CN" w:bidi="ar-SA"/>
              </w:rPr>
              <w:t>改单中二级标准</w:t>
            </w:r>
          </w:p>
        </w:tc>
      </w:tr>
      <w:tr w14:paraId="05BE0A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42" w:hRule="atLeast"/>
          <w:jc w:val="center"/>
        </w:trPr>
        <w:tc>
          <w:tcPr>
            <w:tcW w:w="942" w:type="dxa"/>
            <w:vAlign w:val="center"/>
          </w:tcPr>
          <w:p w14:paraId="328748FC">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固体</w:t>
            </w:r>
          </w:p>
          <w:p w14:paraId="54328BAB">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废物</w:t>
            </w:r>
          </w:p>
        </w:tc>
        <w:tc>
          <w:tcPr>
            <w:tcW w:w="3524" w:type="dxa"/>
            <w:vAlign w:val="center"/>
          </w:tcPr>
          <w:p w14:paraId="63FC41DC">
            <w:pPr>
              <w:spacing w:line="240" w:lineRule="auto"/>
              <w:rPr>
                <w:color w:val="auto"/>
                <w:sz w:val="21"/>
                <w:szCs w:val="21"/>
              </w:rPr>
            </w:pPr>
            <w:r>
              <w:rPr>
                <w:rFonts w:hint="eastAsia" w:ascii="宋体" w:hAnsi="宋体" w:cs="宋体"/>
                <w:color w:val="auto"/>
                <w:sz w:val="21"/>
                <w:szCs w:val="21"/>
              </w:rPr>
              <w:t>①</w:t>
            </w:r>
            <w:r>
              <w:rPr>
                <w:color w:val="auto"/>
                <w:sz w:val="21"/>
                <w:szCs w:val="21"/>
              </w:rPr>
              <w:t>生活垃圾集中收集后，运至市政指定地点由市政统一处理。</w:t>
            </w:r>
          </w:p>
          <w:p w14:paraId="43FB55A7">
            <w:pPr>
              <w:spacing w:line="240" w:lineRule="auto"/>
              <w:rPr>
                <w:color w:val="auto"/>
                <w:sz w:val="21"/>
                <w:szCs w:val="21"/>
              </w:rPr>
            </w:pPr>
            <w:r>
              <w:rPr>
                <w:rFonts w:hint="eastAsia" w:ascii="宋体" w:hAnsi="宋体" w:cs="宋体"/>
                <w:color w:val="auto"/>
                <w:sz w:val="21"/>
                <w:szCs w:val="21"/>
              </w:rPr>
              <w:t>②</w:t>
            </w:r>
            <w:r>
              <w:rPr>
                <w:color w:val="auto"/>
                <w:sz w:val="21"/>
                <w:szCs w:val="21"/>
              </w:rPr>
              <w:t>优先对</w:t>
            </w:r>
            <w:r>
              <w:rPr>
                <w:rFonts w:hint="eastAsia"/>
                <w:color w:val="auto"/>
                <w:sz w:val="21"/>
                <w:szCs w:val="21"/>
                <w:lang w:val="en-US" w:eastAsia="zh-CN"/>
              </w:rPr>
              <w:t>开挖的废弃路面</w:t>
            </w:r>
            <w:r>
              <w:rPr>
                <w:color w:val="auto"/>
                <w:sz w:val="21"/>
                <w:szCs w:val="21"/>
              </w:rPr>
              <w:t>进行再生利用，回用于基层填料，</w:t>
            </w:r>
            <w:r>
              <w:rPr>
                <w:rFonts w:hint="eastAsia"/>
                <w:color w:val="auto"/>
                <w:sz w:val="21"/>
                <w:szCs w:val="21"/>
                <w:lang w:val="en-US" w:eastAsia="zh-CN"/>
              </w:rPr>
              <w:t>不能利用的及时运输至柳毛乡混凝土搅拌站利用</w:t>
            </w:r>
            <w:r>
              <w:rPr>
                <w:color w:val="auto"/>
                <w:sz w:val="21"/>
                <w:szCs w:val="21"/>
              </w:rPr>
              <w:t>，严禁随意丢弃。</w:t>
            </w:r>
          </w:p>
          <w:p w14:paraId="7698850D">
            <w:pPr>
              <w:spacing w:line="240" w:lineRule="auto"/>
              <w:rPr>
                <w:rFonts w:hint="default" w:ascii="Times New Roman" w:hAnsi="Times New Roman" w:cs="Times New Roman"/>
                <w:color w:val="auto"/>
                <w:kern w:val="21"/>
                <w:sz w:val="21"/>
                <w:szCs w:val="21"/>
              </w:rPr>
            </w:pPr>
          </w:p>
        </w:tc>
        <w:tc>
          <w:tcPr>
            <w:tcW w:w="1418" w:type="dxa"/>
            <w:vAlign w:val="center"/>
          </w:tcPr>
          <w:p w14:paraId="27163D04">
            <w:pPr>
              <w:spacing w:line="240" w:lineRule="auto"/>
              <w:jc w:val="center"/>
              <w:rPr>
                <w:rFonts w:hint="default" w:ascii="Times New Roman" w:hAnsi="Times New Roman" w:cs="Times New Roman"/>
                <w:color w:val="auto"/>
                <w:kern w:val="21"/>
                <w:sz w:val="21"/>
                <w:szCs w:val="21"/>
              </w:rPr>
            </w:pPr>
            <w:r>
              <w:rPr>
                <w:color w:val="auto"/>
                <w:sz w:val="21"/>
                <w:szCs w:val="21"/>
              </w:rPr>
              <w:t>《一般工业固体废物贮存和填埋污染控制标准》（GB18599-2020），固体废物得到妥善处理处置不外排</w:t>
            </w:r>
          </w:p>
        </w:tc>
        <w:tc>
          <w:tcPr>
            <w:tcW w:w="1837" w:type="dxa"/>
            <w:vAlign w:val="center"/>
          </w:tcPr>
          <w:p w14:paraId="72F03B35">
            <w:pPr>
              <w:pStyle w:val="80"/>
              <w:jc w:val="both"/>
              <w:rPr>
                <w:rFonts w:hint="default" w:ascii="Times New Roman" w:hAnsi="Times New Roman" w:cs="Times New Roman"/>
                <w:color w:val="auto"/>
              </w:rPr>
            </w:pPr>
            <w:r>
              <w:rPr>
                <w:rFonts w:hint="default" w:ascii="Times New Roman" w:hAnsi="Times New Roman" w:eastAsia="宋体" w:cs="Times New Roman"/>
                <w:b w:val="0"/>
                <w:snapToGrid/>
                <w:color w:val="auto"/>
                <w:kern w:val="2"/>
                <w:sz w:val="21"/>
                <w:szCs w:val="21"/>
                <w:lang w:val="en-US" w:eastAsia="zh-CN" w:bidi="ar-SA"/>
              </w:rPr>
              <w:t>加强道路日常清洁及维护；运输车辆撒落的运载物、发生交通事故的车辆装载的货物、客车乘客丢弃的物品等固体废物，交由市政部门统一清运。</w:t>
            </w:r>
          </w:p>
        </w:tc>
        <w:tc>
          <w:tcPr>
            <w:tcW w:w="1106" w:type="dxa"/>
            <w:vAlign w:val="center"/>
          </w:tcPr>
          <w:p w14:paraId="67C0940D">
            <w:pPr>
              <w:pStyle w:val="80"/>
              <w:rPr>
                <w:rFonts w:hint="default" w:ascii="Times New Roman" w:hAnsi="Times New Roman" w:cs="Times New Roman"/>
                <w:color w:val="auto"/>
              </w:rPr>
            </w:pPr>
            <w:r>
              <w:rPr>
                <w:rFonts w:hint="default" w:ascii="Times New Roman" w:hAnsi="Times New Roman" w:cs="Times New Roman"/>
                <w:color w:val="auto"/>
              </w:rPr>
              <w:t>固体废物得到妥善处理处置不外排</w:t>
            </w:r>
          </w:p>
        </w:tc>
      </w:tr>
      <w:tr w14:paraId="7B75EF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064D933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电磁</w:t>
            </w:r>
          </w:p>
          <w:p w14:paraId="641CAB2B">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w:t>
            </w:r>
          </w:p>
        </w:tc>
        <w:tc>
          <w:tcPr>
            <w:tcW w:w="3524" w:type="dxa"/>
            <w:vAlign w:val="center"/>
          </w:tcPr>
          <w:p w14:paraId="54BD705E">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192B3F0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shd w:val="clear" w:color="auto" w:fill="auto"/>
            <w:vAlign w:val="center"/>
          </w:tcPr>
          <w:p w14:paraId="1C6BC882">
            <w:pPr>
              <w:adjustRightInd w:val="0"/>
              <w:snapToGrid w:val="0"/>
              <w:spacing w:line="240" w:lineRule="auto"/>
              <w:jc w:val="center"/>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cs="Times New Roman"/>
                <w:color w:val="auto"/>
                <w:szCs w:val="21"/>
              </w:rPr>
              <w:t>/</w:t>
            </w:r>
          </w:p>
        </w:tc>
        <w:tc>
          <w:tcPr>
            <w:tcW w:w="1106" w:type="dxa"/>
            <w:shd w:val="clear" w:color="auto" w:fill="auto"/>
            <w:vAlign w:val="center"/>
          </w:tcPr>
          <w:p w14:paraId="5982552B">
            <w:pPr>
              <w:adjustRightInd w:val="0"/>
              <w:snapToGrid w:val="0"/>
              <w:spacing w:line="240" w:lineRule="auto"/>
              <w:jc w:val="center"/>
              <w:rPr>
                <w:rFonts w:hint="default" w:ascii="Times New Roman" w:hAnsi="Times New Roman" w:eastAsia="宋体" w:cs="Times New Roman"/>
                <w:color w:val="auto"/>
                <w:kern w:val="21"/>
                <w:sz w:val="21"/>
                <w:szCs w:val="21"/>
                <w:lang w:val="en-US" w:eastAsia="zh-CN" w:bidi="ar-SA"/>
              </w:rPr>
            </w:pPr>
            <w:r>
              <w:rPr>
                <w:rFonts w:hint="default" w:ascii="Times New Roman" w:hAnsi="Times New Roman" w:cs="Times New Roman"/>
                <w:color w:val="auto"/>
                <w:szCs w:val="21"/>
              </w:rPr>
              <w:t>/</w:t>
            </w:r>
          </w:p>
        </w:tc>
      </w:tr>
      <w:tr w14:paraId="2F631F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51" w:hRule="atLeast"/>
          <w:jc w:val="center"/>
        </w:trPr>
        <w:tc>
          <w:tcPr>
            <w:tcW w:w="942" w:type="dxa"/>
            <w:vAlign w:val="center"/>
          </w:tcPr>
          <w:p w14:paraId="58CA44F6">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w:t>
            </w:r>
          </w:p>
          <w:p w14:paraId="1801B6F8">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风险</w:t>
            </w:r>
          </w:p>
        </w:tc>
        <w:tc>
          <w:tcPr>
            <w:tcW w:w="3524" w:type="dxa"/>
            <w:vAlign w:val="center"/>
          </w:tcPr>
          <w:p w14:paraId="320C4E1A">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1804DFB6">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vAlign w:val="center"/>
          </w:tcPr>
          <w:p w14:paraId="71FEF213">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设置</w:t>
            </w:r>
            <w:r>
              <w:rPr>
                <w:rFonts w:hint="default" w:ascii="Times New Roman" w:hAnsi="Times New Roman" w:cs="Times New Roman"/>
                <w:color w:val="auto"/>
                <w:sz w:val="21"/>
                <w:szCs w:val="21"/>
              </w:rPr>
              <w:t>护栏，设警示标志等。一旦事故发生，应及时迅速报警，及时通知有关部门，立即启动项目应急预案，采取应急措施。</w:t>
            </w:r>
          </w:p>
        </w:tc>
        <w:tc>
          <w:tcPr>
            <w:tcW w:w="1106" w:type="dxa"/>
            <w:vAlign w:val="center"/>
          </w:tcPr>
          <w:p w14:paraId="125D0F0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确保环境风险最小化</w:t>
            </w:r>
          </w:p>
        </w:tc>
      </w:tr>
      <w:tr w14:paraId="7ECEFF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942" w:type="dxa"/>
            <w:vAlign w:val="center"/>
          </w:tcPr>
          <w:p w14:paraId="366BC991">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环境</w:t>
            </w:r>
          </w:p>
          <w:p w14:paraId="54951386">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监测</w:t>
            </w:r>
          </w:p>
        </w:tc>
        <w:tc>
          <w:tcPr>
            <w:tcW w:w="3524" w:type="dxa"/>
            <w:vAlign w:val="center"/>
          </w:tcPr>
          <w:p w14:paraId="3B8C94D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6A3E83C4">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vAlign w:val="center"/>
          </w:tcPr>
          <w:p w14:paraId="07B7E424">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106" w:type="dxa"/>
            <w:vAlign w:val="center"/>
          </w:tcPr>
          <w:p w14:paraId="32D48C02">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r>
      <w:tr w14:paraId="7F1385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942" w:type="dxa"/>
            <w:vAlign w:val="center"/>
          </w:tcPr>
          <w:p w14:paraId="04A4FCE1">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kern w:val="21"/>
                <w:sz w:val="21"/>
                <w:szCs w:val="21"/>
              </w:rPr>
              <w:t>其他</w:t>
            </w:r>
          </w:p>
        </w:tc>
        <w:tc>
          <w:tcPr>
            <w:tcW w:w="3524" w:type="dxa"/>
            <w:vAlign w:val="center"/>
          </w:tcPr>
          <w:p w14:paraId="60FDC9FC">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418" w:type="dxa"/>
            <w:vAlign w:val="center"/>
          </w:tcPr>
          <w:p w14:paraId="02636149">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837" w:type="dxa"/>
            <w:vAlign w:val="center"/>
          </w:tcPr>
          <w:p w14:paraId="32B60166">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c>
          <w:tcPr>
            <w:tcW w:w="1106" w:type="dxa"/>
            <w:vAlign w:val="center"/>
          </w:tcPr>
          <w:p w14:paraId="0BB9A48D">
            <w:pPr>
              <w:adjustRightInd w:val="0"/>
              <w:snapToGrid w:val="0"/>
              <w:spacing w:line="240" w:lineRule="auto"/>
              <w:jc w:val="center"/>
              <w:rPr>
                <w:rFonts w:hint="default" w:ascii="Times New Roman" w:hAnsi="Times New Roman" w:cs="Times New Roman"/>
                <w:color w:val="auto"/>
                <w:kern w:val="21"/>
                <w:sz w:val="21"/>
                <w:szCs w:val="21"/>
              </w:rPr>
            </w:pPr>
            <w:r>
              <w:rPr>
                <w:rFonts w:hint="default" w:ascii="Times New Roman" w:hAnsi="Times New Roman" w:cs="Times New Roman"/>
                <w:color w:val="auto"/>
                <w:szCs w:val="21"/>
              </w:rPr>
              <w:t>/</w:t>
            </w:r>
          </w:p>
        </w:tc>
      </w:tr>
      <w:bookmarkEnd w:id="13"/>
    </w:tbl>
    <w:p w14:paraId="733FC19E">
      <w:pPr>
        <w:pStyle w:val="25"/>
        <w:spacing w:before="0" w:beforeAutospacing="0" w:after="156" w:afterLines="50" w:afterAutospacing="0"/>
        <w:jc w:val="center"/>
        <w:outlineLvl w:val="0"/>
        <w:rPr>
          <w:rFonts w:hint="default" w:ascii="Times New Roman" w:hAnsi="Times New Roman" w:eastAsia="黑体" w:cs="Times New Roman"/>
          <w:snapToGrid w:val="0"/>
          <w:color w:val="auto"/>
          <w:kern w:val="21"/>
          <w:sz w:val="30"/>
          <w:szCs w:val="30"/>
        </w:rPr>
      </w:pPr>
      <w:r>
        <w:rPr>
          <w:rFonts w:hint="default" w:ascii="Times New Roman" w:hAnsi="Times New Roman" w:eastAsia="黑体" w:cs="Times New Roman"/>
          <w:snapToGrid w:val="0"/>
          <w:color w:val="auto"/>
          <w:sz w:val="30"/>
          <w:szCs w:val="30"/>
        </w:rPr>
        <w:br w:type="page"/>
      </w:r>
      <w:bookmarkStart w:id="14" w:name="_Toc24890"/>
      <w:r>
        <w:rPr>
          <w:rFonts w:hint="default" w:ascii="Times New Roman" w:hAnsi="Times New Roman" w:eastAsia="黑体" w:cs="Times New Roman"/>
          <w:snapToGrid w:val="0"/>
          <w:color w:val="auto"/>
          <w:kern w:val="21"/>
          <w:sz w:val="30"/>
          <w:szCs w:val="30"/>
          <w:highlight w:val="none"/>
        </w:rPr>
        <w:t>七、结论</w:t>
      </w:r>
      <w:bookmarkEnd w:id="14"/>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AC214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57" w:hRule="atLeast"/>
          <w:jc w:val="center"/>
        </w:trPr>
        <w:tc>
          <w:tcPr>
            <w:tcW w:w="8522" w:type="dxa"/>
            <w:noWrap w:val="0"/>
            <w:vAlign w:val="top"/>
          </w:tcPr>
          <w:p w14:paraId="3CA96A77">
            <w:pPr>
              <w:pStyle w:val="76"/>
              <w:rPr>
                <w:rFonts w:hint="default" w:ascii="Times New Roman" w:hAnsi="Times New Roman" w:cs="Times New Roman"/>
                <w:color w:val="auto"/>
              </w:rPr>
            </w:pPr>
            <w:r>
              <w:rPr>
                <w:rFonts w:hint="default" w:ascii="Times New Roman" w:hAnsi="Times New Roman" w:cs="Times New Roman"/>
                <w:color w:val="auto"/>
              </w:rPr>
              <w:t>本项目为基础设施建设项目，属于公路</w:t>
            </w:r>
            <w:r>
              <w:rPr>
                <w:rFonts w:hint="default" w:ascii="Times New Roman" w:hAnsi="Times New Roman" w:cs="Times New Roman"/>
                <w:color w:val="auto"/>
                <w:lang w:val="en-US" w:eastAsia="zh-CN"/>
              </w:rPr>
              <w:t>改建</w:t>
            </w:r>
            <w:r>
              <w:rPr>
                <w:rFonts w:hint="default" w:ascii="Times New Roman" w:hAnsi="Times New Roman" w:cs="Times New Roman"/>
                <w:color w:val="auto"/>
              </w:rPr>
              <w:t>工程。本项目建设符合当前国家产业政策，符合国家公路网规划，选线合理。工程建设运行将改善区域交通环境，促进地方经济发展。项目实施对周边水、气、声、生态环境有一定影响，但工程对环境的不利影响可通过采取相应环保对策措施予以减免，同时要求施工过程中合理布设临时工程，采取相应环保措施降低对环境及敏感点的影响，该项目正面效应大于负面效应。因此，从环境保护角度分析，在严格实施环保对策措施的条件下，本项目选线与建设是可行的。</w:t>
            </w:r>
          </w:p>
          <w:p w14:paraId="6DA4B81E">
            <w:pPr>
              <w:ind w:firstLine="480" w:firstLineChars="200"/>
              <w:jc w:val="center"/>
              <w:rPr>
                <w:rFonts w:hint="default" w:ascii="Times New Roman" w:hAnsi="Times New Roman" w:cs="Times New Roman"/>
                <w:color w:val="auto"/>
                <w:szCs w:val="21"/>
              </w:rPr>
            </w:pPr>
          </w:p>
        </w:tc>
      </w:tr>
    </w:tbl>
    <w:p w14:paraId="69FF2434">
      <w:pPr>
        <w:rPr>
          <w:rFonts w:hint="default" w:ascii="Times New Roman" w:hAnsi="Times New Roman" w:cs="Times New Roman"/>
          <w:color w:val="auto"/>
        </w:rPr>
      </w:pPr>
    </w:p>
    <w:p w14:paraId="00C445C1">
      <w:pP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附件1：关于省道名山至兴凯湖公路兴光至兴凯湖博物馆段路面改造工程施工图设计的批复</w:t>
      </w:r>
    </w:p>
    <w:p w14:paraId="46060CA5">
      <w:pP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drawing>
          <wp:inline distT="0" distB="0" distL="114300" distR="114300">
            <wp:extent cx="5386070" cy="7621270"/>
            <wp:effectExtent l="0" t="0" r="5080" b="17780"/>
            <wp:docPr id="17" name="图片 17" descr="a306be74-431e-494d-aa4d-1c6f4773a5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306be74-431e-494d-aa4d-1c6f4773a50b"/>
                    <pic:cNvPicPr>
                      <a:picLocks noChangeAspect="1"/>
                    </pic:cNvPicPr>
                  </pic:nvPicPr>
                  <pic:blipFill>
                    <a:blip r:embed="rId33"/>
                    <a:stretch>
                      <a:fillRect/>
                    </a:stretch>
                  </pic:blipFill>
                  <pic:spPr>
                    <a:xfrm>
                      <a:off x="0" y="0"/>
                      <a:ext cx="5386070" cy="762127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596890" cy="8021955"/>
            <wp:effectExtent l="0" t="0" r="3810" b="17145"/>
            <wp:docPr id="19" name="图片 19" descr="4a9e5f3f-4e92-430b-a51d-619ef6a8c4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4a9e5f3f-4e92-430b-a51d-619ef6a8c4cc"/>
                    <pic:cNvPicPr>
                      <a:picLocks noChangeAspect="1"/>
                    </pic:cNvPicPr>
                  </pic:nvPicPr>
                  <pic:blipFill>
                    <a:blip r:embed="rId34"/>
                    <a:stretch>
                      <a:fillRect/>
                    </a:stretch>
                  </pic:blipFill>
                  <pic:spPr>
                    <a:xfrm>
                      <a:off x="0" y="0"/>
                      <a:ext cx="5596890" cy="802195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99405" cy="7616825"/>
            <wp:effectExtent l="0" t="0" r="10795" b="3175"/>
            <wp:docPr id="20" name="图片 20" descr="7bbd607b-bdc1-4b59-b102-1c99b2ca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bbd607b-bdc1-4b59-b102-1c99b2ca3445"/>
                    <pic:cNvPicPr>
                      <a:picLocks noChangeAspect="1"/>
                    </pic:cNvPicPr>
                  </pic:nvPicPr>
                  <pic:blipFill>
                    <a:blip r:embed="rId35"/>
                    <a:stretch>
                      <a:fillRect/>
                    </a:stretch>
                  </pic:blipFill>
                  <pic:spPr>
                    <a:xfrm>
                      <a:off x="0" y="0"/>
                      <a:ext cx="5399405" cy="761682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400675" cy="7699375"/>
            <wp:effectExtent l="0" t="0" r="9525" b="15875"/>
            <wp:docPr id="18" name="图片 18" descr="ab3004eb-a825-4a58-a41b-5623da290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b3004eb-a825-4a58-a41b-5623da290cb0"/>
                    <pic:cNvPicPr>
                      <a:picLocks noChangeAspect="1"/>
                    </pic:cNvPicPr>
                  </pic:nvPicPr>
                  <pic:blipFill>
                    <a:blip r:embed="rId36"/>
                    <a:stretch>
                      <a:fillRect/>
                    </a:stretch>
                  </pic:blipFill>
                  <pic:spPr>
                    <a:xfrm>
                      <a:off x="0" y="0"/>
                      <a:ext cx="5400675" cy="769937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458460" cy="7873365"/>
            <wp:effectExtent l="0" t="0" r="8890" b="13335"/>
            <wp:docPr id="21" name="图片 21" descr="5286ebab-5674-4f7e-995c-94ec81da1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286ebab-5674-4f7e-995c-94ec81da1a52"/>
                    <pic:cNvPicPr>
                      <a:picLocks noChangeAspect="1"/>
                    </pic:cNvPicPr>
                  </pic:nvPicPr>
                  <pic:blipFill>
                    <a:blip r:embed="rId37"/>
                    <a:stretch>
                      <a:fillRect/>
                    </a:stretch>
                  </pic:blipFill>
                  <pic:spPr>
                    <a:xfrm>
                      <a:off x="0" y="0"/>
                      <a:ext cx="5458460" cy="787336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461000" cy="7647940"/>
            <wp:effectExtent l="0" t="0" r="6350" b="10160"/>
            <wp:docPr id="22" name="图片 22" descr="05a96f31-5ba9-4c8b-9bdf-ef8d166e1f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5a96f31-5ba9-4c8b-9bdf-ef8d166e1f24"/>
                    <pic:cNvPicPr>
                      <a:picLocks noChangeAspect="1"/>
                    </pic:cNvPicPr>
                  </pic:nvPicPr>
                  <pic:blipFill>
                    <a:blip r:embed="rId38"/>
                    <a:stretch>
                      <a:fillRect/>
                    </a:stretch>
                  </pic:blipFill>
                  <pic:spPr>
                    <a:xfrm>
                      <a:off x="0" y="0"/>
                      <a:ext cx="5461000" cy="7647940"/>
                    </a:xfrm>
                    <a:prstGeom prst="rect">
                      <a:avLst/>
                    </a:prstGeom>
                  </pic:spPr>
                </pic:pic>
              </a:graphicData>
            </a:graphic>
          </wp:inline>
        </w:drawing>
      </w:r>
    </w:p>
    <w:p w14:paraId="245F6205">
      <w:pPr>
        <w:rPr>
          <w:rFonts w:hint="eastAsia" w:ascii="Times New Roman" w:hAnsi="Times New Roman" w:cs="Times New Roman"/>
          <w:color w:val="auto"/>
          <w:lang w:val="en-US" w:eastAsia="zh-CN"/>
        </w:rPr>
      </w:pPr>
    </w:p>
    <w:p w14:paraId="503971DA">
      <w:pPr>
        <w:rPr>
          <w:rFonts w:hint="eastAsia" w:ascii="Times New Roman" w:hAnsi="Times New Roman" w:cs="Times New Roman"/>
          <w:color w:val="auto"/>
          <w:lang w:val="en-US" w:eastAsia="zh-CN"/>
        </w:rPr>
      </w:pPr>
    </w:p>
    <w:p w14:paraId="5215B7F6">
      <w:pPr>
        <w:rPr>
          <w:rFonts w:hint="eastAsia" w:ascii="Times New Roman" w:hAnsi="Times New Roman" w:cs="Times New Roman"/>
          <w:color w:val="auto"/>
          <w:lang w:val="en-US" w:eastAsia="zh-CN"/>
        </w:rPr>
      </w:pPr>
    </w:p>
    <w:p w14:paraId="0418457F">
      <w:pP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附件2：生态环境分区管控分析报告</w:t>
      </w:r>
    </w:p>
    <w:p w14:paraId="34DA4EE3">
      <w:pPr>
        <w:spacing w:line="24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drawing>
          <wp:inline distT="0" distB="0" distL="114300" distR="114300">
            <wp:extent cx="5271135" cy="3457575"/>
            <wp:effectExtent l="0" t="0" r="5715" b="9525"/>
            <wp:docPr id="23" name="图片 23" descr="6107dd16-235b-46aa-8592-1256f04ae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107dd16-235b-46aa-8592-1256f04aebae"/>
                    <pic:cNvPicPr>
                      <a:picLocks noChangeAspect="1"/>
                    </pic:cNvPicPr>
                  </pic:nvPicPr>
                  <pic:blipFill>
                    <a:blip r:embed="rId39"/>
                    <a:stretch>
                      <a:fillRect/>
                    </a:stretch>
                  </pic:blipFill>
                  <pic:spPr>
                    <a:xfrm>
                      <a:off x="0" y="0"/>
                      <a:ext cx="5271135" cy="345757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68595" cy="1056005"/>
            <wp:effectExtent l="0" t="0" r="8255" b="10795"/>
            <wp:docPr id="24" name="图片 24" descr="827b38a3-3b60-401b-94d9-94712aba78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27b38a3-3b60-401b-94d9-94712aba78c5"/>
                    <pic:cNvPicPr>
                      <a:picLocks noChangeAspect="1"/>
                    </pic:cNvPicPr>
                  </pic:nvPicPr>
                  <pic:blipFill>
                    <a:blip r:embed="rId40"/>
                    <a:stretch>
                      <a:fillRect/>
                    </a:stretch>
                  </pic:blipFill>
                  <pic:spPr>
                    <a:xfrm>
                      <a:off x="0" y="0"/>
                      <a:ext cx="5268595" cy="105600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67960" cy="2870835"/>
            <wp:effectExtent l="0" t="0" r="8890" b="5715"/>
            <wp:docPr id="25" name="图片 25" descr="c4b37a2a-e928-4dd5-b540-da8990e90d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4b37a2a-e928-4dd5-b540-da8990e90d95"/>
                    <pic:cNvPicPr>
                      <a:picLocks noChangeAspect="1"/>
                    </pic:cNvPicPr>
                  </pic:nvPicPr>
                  <pic:blipFill>
                    <a:blip r:embed="rId41"/>
                    <a:stretch>
                      <a:fillRect/>
                    </a:stretch>
                  </pic:blipFill>
                  <pic:spPr>
                    <a:xfrm>
                      <a:off x="0" y="0"/>
                      <a:ext cx="5267960" cy="287083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32730" cy="3695700"/>
            <wp:effectExtent l="0" t="0" r="1270" b="0"/>
            <wp:docPr id="26" name="图片 26" descr="3902edea-1159-486f-9a2a-aeff3eff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902edea-1159-486f-9a2a-aeff3eff2044"/>
                    <pic:cNvPicPr>
                      <a:picLocks noChangeAspect="1"/>
                    </pic:cNvPicPr>
                  </pic:nvPicPr>
                  <pic:blipFill>
                    <a:blip r:embed="rId42"/>
                    <a:srcRect l="2325" r="1963"/>
                    <a:stretch>
                      <a:fillRect/>
                    </a:stretch>
                  </pic:blipFill>
                  <pic:spPr>
                    <a:xfrm>
                      <a:off x="0" y="0"/>
                      <a:ext cx="5332730" cy="369570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70830" cy="3054350"/>
            <wp:effectExtent l="0" t="0" r="1270" b="12700"/>
            <wp:docPr id="27" name="图片 27" descr="9ca8a45a-3d3b-4f7f-b07c-ba5b9171c2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9ca8a45a-3d3b-4f7f-b07c-ba5b9171c2e6"/>
                    <pic:cNvPicPr>
                      <a:picLocks noChangeAspect="1"/>
                    </pic:cNvPicPr>
                  </pic:nvPicPr>
                  <pic:blipFill>
                    <a:blip r:embed="rId43"/>
                    <a:srcRect l="1493" r="2119"/>
                    <a:stretch>
                      <a:fillRect/>
                    </a:stretch>
                  </pic:blipFill>
                  <pic:spPr>
                    <a:xfrm>
                      <a:off x="0" y="0"/>
                      <a:ext cx="5370830" cy="305435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73040" cy="3467100"/>
            <wp:effectExtent l="0" t="0" r="3810" b="0"/>
            <wp:docPr id="28" name="图片 28" descr="41eccd17-aeae-4c4e-a72a-6e8cfa6a73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41eccd17-aeae-4c4e-a72a-6e8cfa6a73bb"/>
                    <pic:cNvPicPr>
                      <a:picLocks noChangeAspect="1"/>
                    </pic:cNvPicPr>
                  </pic:nvPicPr>
                  <pic:blipFill>
                    <a:blip r:embed="rId44"/>
                    <a:stretch>
                      <a:fillRect/>
                    </a:stretch>
                  </pic:blipFill>
                  <pic:spPr>
                    <a:xfrm>
                      <a:off x="0" y="0"/>
                      <a:ext cx="5273040" cy="346710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67960" cy="587375"/>
            <wp:effectExtent l="0" t="0" r="8890" b="3175"/>
            <wp:docPr id="29" name="图片 29" descr="8fe42480-a6ad-4126-8274-da64d57c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8fe42480-a6ad-4126-8274-da64d57c1296"/>
                    <pic:cNvPicPr>
                      <a:picLocks noChangeAspect="1"/>
                    </pic:cNvPicPr>
                  </pic:nvPicPr>
                  <pic:blipFill>
                    <a:blip r:embed="rId45"/>
                    <a:stretch>
                      <a:fillRect/>
                    </a:stretch>
                  </pic:blipFill>
                  <pic:spPr>
                    <a:xfrm>
                      <a:off x="0" y="0"/>
                      <a:ext cx="5267960" cy="58737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406390" cy="3230245"/>
            <wp:effectExtent l="0" t="0" r="3810" b="8255"/>
            <wp:docPr id="30" name="图片 30" descr="d3cefe11-2010-46a6-97e8-d8af376c7a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3cefe11-2010-46a6-97e8-d8af376c7a6d"/>
                    <pic:cNvPicPr>
                      <a:picLocks noChangeAspect="1"/>
                    </pic:cNvPicPr>
                  </pic:nvPicPr>
                  <pic:blipFill>
                    <a:blip r:embed="rId46"/>
                    <a:srcRect l="1698" t="21" r="2228"/>
                    <a:stretch>
                      <a:fillRect/>
                    </a:stretch>
                  </pic:blipFill>
                  <pic:spPr>
                    <a:xfrm>
                      <a:off x="0" y="0"/>
                      <a:ext cx="5406390" cy="323024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86070" cy="3087370"/>
            <wp:effectExtent l="0" t="0" r="5080" b="17780"/>
            <wp:docPr id="31" name="图片 31" descr="513573a4-0907-4ba0-9364-82319b36f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13573a4-0907-4ba0-9364-82319b36fc15"/>
                    <pic:cNvPicPr>
                      <a:picLocks noChangeAspect="1"/>
                    </pic:cNvPicPr>
                  </pic:nvPicPr>
                  <pic:blipFill>
                    <a:blip r:embed="rId47"/>
                    <a:srcRect l="2169" r="1892"/>
                    <a:stretch>
                      <a:fillRect/>
                    </a:stretch>
                  </pic:blipFill>
                  <pic:spPr>
                    <a:xfrm>
                      <a:off x="0" y="0"/>
                      <a:ext cx="5386070" cy="308737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32095" cy="3307715"/>
            <wp:effectExtent l="0" t="0" r="1905" b="6985"/>
            <wp:docPr id="32" name="图片 32" descr="56b69c85-1410-426e-bc18-7c76ec0d6c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56b69c85-1410-426e-bc18-7c76ec0d6cd6"/>
                    <pic:cNvPicPr>
                      <a:picLocks noChangeAspect="1"/>
                    </pic:cNvPicPr>
                  </pic:nvPicPr>
                  <pic:blipFill>
                    <a:blip r:embed="rId48"/>
                    <a:stretch>
                      <a:fillRect/>
                    </a:stretch>
                  </pic:blipFill>
                  <pic:spPr>
                    <a:xfrm>
                      <a:off x="0" y="0"/>
                      <a:ext cx="5332095" cy="330771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92725" cy="3502025"/>
            <wp:effectExtent l="0" t="0" r="3175" b="3175"/>
            <wp:docPr id="33" name="图片 33" descr="648e2035-89ca-4455-9891-a5673de84f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648e2035-89ca-4455-9891-a5673de84f51"/>
                    <pic:cNvPicPr>
                      <a:picLocks noChangeAspect="1"/>
                    </pic:cNvPicPr>
                  </pic:nvPicPr>
                  <pic:blipFill>
                    <a:blip r:embed="rId49"/>
                    <a:srcRect t="131" r="2770"/>
                    <a:stretch>
                      <a:fillRect/>
                    </a:stretch>
                  </pic:blipFill>
                  <pic:spPr>
                    <a:xfrm>
                      <a:off x="0" y="0"/>
                      <a:ext cx="5292725" cy="350202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76545" cy="3506470"/>
            <wp:effectExtent l="0" t="0" r="14605" b="17780"/>
            <wp:docPr id="34" name="图片 34" descr="b86b9da0-5a0f-4c64-9be9-a8432bd4c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b86b9da0-5a0f-4c64-9be9-a8432bd4cfd1"/>
                    <pic:cNvPicPr>
                      <a:picLocks noChangeAspect="1"/>
                    </pic:cNvPicPr>
                  </pic:nvPicPr>
                  <pic:blipFill>
                    <a:blip r:embed="rId50"/>
                    <a:stretch>
                      <a:fillRect/>
                    </a:stretch>
                  </pic:blipFill>
                  <pic:spPr>
                    <a:xfrm>
                      <a:off x="0" y="0"/>
                      <a:ext cx="5376545" cy="3506470"/>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45430" cy="3376295"/>
            <wp:effectExtent l="0" t="0" r="7620" b="14605"/>
            <wp:docPr id="35" name="图片 35" descr="523a68f0-265e-4648-8c7b-3b5d9112da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523a68f0-265e-4648-8c7b-3b5d9112daf7"/>
                    <pic:cNvPicPr>
                      <a:picLocks noChangeAspect="1"/>
                    </pic:cNvPicPr>
                  </pic:nvPicPr>
                  <pic:blipFill>
                    <a:blip r:embed="rId51"/>
                    <a:srcRect l="1495" r="1085" b="5060"/>
                    <a:stretch>
                      <a:fillRect/>
                    </a:stretch>
                  </pic:blipFill>
                  <pic:spPr>
                    <a:xfrm>
                      <a:off x="0" y="0"/>
                      <a:ext cx="5345430" cy="337629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377180" cy="2827655"/>
            <wp:effectExtent l="0" t="0" r="13970" b="10795"/>
            <wp:docPr id="36" name="图片 36" descr="4a425b28-6371-4542-bf54-985943434e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4a425b28-6371-4542-bf54-985943434e7b"/>
                    <pic:cNvPicPr>
                      <a:picLocks noChangeAspect="1"/>
                    </pic:cNvPicPr>
                  </pic:nvPicPr>
                  <pic:blipFill>
                    <a:blip r:embed="rId52"/>
                    <a:srcRect l="1266" t="1855" r="2242" b="6264"/>
                    <a:stretch>
                      <a:fillRect/>
                    </a:stretch>
                  </pic:blipFill>
                  <pic:spPr>
                    <a:xfrm>
                      <a:off x="0" y="0"/>
                      <a:ext cx="5377180" cy="2827655"/>
                    </a:xfrm>
                    <a:prstGeom prst="rect">
                      <a:avLst/>
                    </a:prstGeom>
                  </pic:spPr>
                </pic:pic>
              </a:graphicData>
            </a:graphic>
          </wp:inline>
        </w:drawing>
      </w:r>
      <w:r>
        <w:rPr>
          <w:rFonts w:hint="eastAsia" w:ascii="Times New Roman" w:hAnsi="Times New Roman" w:cs="Times New Roman"/>
          <w:color w:val="auto"/>
          <w:lang w:val="en-US" w:eastAsia="zh-CN"/>
        </w:rPr>
        <w:drawing>
          <wp:inline distT="0" distB="0" distL="114300" distR="114300">
            <wp:extent cx="5270500" cy="2070735"/>
            <wp:effectExtent l="0" t="0" r="0" b="0"/>
            <wp:docPr id="37" name="图片 37" descr="bee962ce-d2d8-4478-a010-02a1b5ca5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bee962ce-d2d8-4478-a010-02a1b5ca5f3f"/>
                    <pic:cNvPicPr>
                      <a:picLocks noChangeAspect="1"/>
                    </pic:cNvPicPr>
                  </pic:nvPicPr>
                  <pic:blipFill>
                    <a:blip r:embed="rId53"/>
                    <a:srcRect b="17422"/>
                    <a:stretch>
                      <a:fillRect/>
                    </a:stretch>
                  </pic:blipFill>
                  <pic:spPr>
                    <a:xfrm>
                      <a:off x="0" y="0"/>
                      <a:ext cx="5270500" cy="2070735"/>
                    </a:xfrm>
                    <a:prstGeom prst="rect">
                      <a:avLst/>
                    </a:prstGeom>
                  </pic:spPr>
                </pic:pic>
              </a:graphicData>
            </a:graphic>
          </wp:inline>
        </w:drawing>
      </w:r>
    </w:p>
    <w:p w14:paraId="55D829C8">
      <w:pP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附件3：噪声监测报告</w:t>
      </w:r>
    </w:p>
    <w:p w14:paraId="356EA2AA">
      <w:pPr>
        <w:spacing w:line="360" w:lineRule="auto"/>
        <w:ind w:firstLine="480" w:firstLineChars="20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drawing>
          <wp:inline distT="0" distB="0" distL="114300" distR="114300">
            <wp:extent cx="5419090" cy="7317105"/>
            <wp:effectExtent l="0" t="0" r="10160" b="17145"/>
            <wp:docPr id="38" name="图片 38" descr="50c63c65-b152-46d7-8041-5cb24f4f8b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50c63c65-b152-46d7-8041-5cb24f4f8bb5"/>
                    <pic:cNvPicPr>
                      <a:picLocks noChangeAspect="1"/>
                    </pic:cNvPicPr>
                  </pic:nvPicPr>
                  <pic:blipFill>
                    <a:blip r:embed="rId54"/>
                    <a:stretch>
                      <a:fillRect/>
                    </a:stretch>
                  </pic:blipFill>
                  <pic:spPr>
                    <a:xfrm>
                      <a:off x="0" y="0"/>
                      <a:ext cx="5419090" cy="7317105"/>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353685" cy="7446645"/>
            <wp:effectExtent l="0" t="0" r="18415" b="1905"/>
            <wp:docPr id="39" name="图片 39" descr="6266ce40-1a80-4844-b1ae-09880beaa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6266ce40-1a80-4844-b1ae-09880beaa9d2"/>
                    <pic:cNvPicPr>
                      <a:picLocks noChangeAspect="1"/>
                    </pic:cNvPicPr>
                  </pic:nvPicPr>
                  <pic:blipFill>
                    <a:blip r:embed="rId55"/>
                    <a:stretch>
                      <a:fillRect/>
                    </a:stretch>
                  </pic:blipFill>
                  <pic:spPr>
                    <a:xfrm>
                      <a:off x="0" y="0"/>
                      <a:ext cx="5353685" cy="7446645"/>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509895" cy="7816850"/>
            <wp:effectExtent l="0" t="0" r="14605" b="12700"/>
            <wp:docPr id="40" name="图片 40" descr="2cc0f0f4-d59f-45db-badc-98ffee78c7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cc0f0f4-d59f-45db-badc-98ffee78c7d9"/>
                    <pic:cNvPicPr>
                      <a:picLocks noChangeAspect="1"/>
                    </pic:cNvPicPr>
                  </pic:nvPicPr>
                  <pic:blipFill>
                    <a:blip r:embed="rId56"/>
                    <a:stretch>
                      <a:fillRect/>
                    </a:stretch>
                  </pic:blipFill>
                  <pic:spPr>
                    <a:xfrm>
                      <a:off x="0" y="0"/>
                      <a:ext cx="5509895" cy="781685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455920" cy="7697470"/>
            <wp:effectExtent l="0" t="0" r="11430" b="17780"/>
            <wp:docPr id="41" name="图片 41" descr="38eb8a06-124a-4369-8506-e9c7da081e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38eb8a06-124a-4369-8506-e9c7da081eb6"/>
                    <pic:cNvPicPr>
                      <a:picLocks noChangeAspect="1"/>
                    </pic:cNvPicPr>
                  </pic:nvPicPr>
                  <pic:blipFill>
                    <a:blip r:embed="rId57"/>
                    <a:stretch>
                      <a:fillRect/>
                    </a:stretch>
                  </pic:blipFill>
                  <pic:spPr>
                    <a:xfrm>
                      <a:off x="0" y="0"/>
                      <a:ext cx="5455920" cy="769747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405755" cy="7967980"/>
            <wp:effectExtent l="0" t="0" r="4445" b="13970"/>
            <wp:docPr id="42" name="图片 42" descr="d43f8572-d49e-43cb-a17b-5b808f2f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43f8572-d49e-43cb-a17b-5b808f2f1802"/>
                    <pic:cNvPicPr>
                      <a:picLocks noChangeAspect="1"/>
                    </pic:cNvPicPr>
                  </pic:nvPicPr>
                  <pic:blipFill>
                    <a:blip r:embed="rId58"/>
                    <a:stretch>
                      <a:fillRect/>
                    </a:stretch>
                  </pic:blipFill>
                  <pic:spPr>
                    <a:xfrm>
                      <a:off x="0" y="0"/>
                      <a:ext cx="5405755" cy="796798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443220" cy="7868285"/>
            <wp:effectExtent l="0" t="0" r="5080" b="18415"/>
            <wp:docPr id="43" name="图片 43" descr="6de5aaaa-e351-490b-81ac-6458eb2b16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6de5aaaa-e351-490b-81ac-6458eb2b162e"/>
                    <pic:cNvPicPr>
                      <a:picLocks noChangeAspect="1"/>
                    </pic:cNvPicPr>
                  </pic:nvPicPr>
                  <pic:blipFill>
                    <a:blip r:embed="rId59"/>
                    <a:stretch>
                      <a:fillRect/>
                    </a:stretch>
                  </pic:blipFill>
                  <pic:spPr>
                    <a:xfrm>
                      <a:off x="0" y="0"/>
                      <a:ext cx="5443220" cy="7868285"/>
                    </a:xfrm>
                    <a:prstGeom prst="rect">
                      <a:avLst/>
                    </a:prstGeom>
                  </pic:spPr>
                </pic:pic>
              </a:graphicData>
            </a:graphic>
          </wp:inline>
        </w:drawing>
      </w:r>
    </w:p>
    <w:p w14:paraId="12946377">
      <w:pPr>
        <w:spacing w:line="360" w:lineRule="auto"/>
        <w:ind w:firstLine="480" w:firstLineChars="200"/>
        <w:rPr>
          <w:rFonts w:hint="default" w:ascii="Times New Roman" w:hAnsi="Times New Roman" w:eastAsia="宋体" w:cs="Times New Roman"/>
          <w:color w:val="auto"/>
          <w:lang w:val="en-US" w:eastAsia="zh-CN"/>
        </w:rPr>
      </w:pPr>
    </w:p>
    <w:p w14:paraId="3547C5F8">
      <w:pPr>
        <w:spacing w:line="360" w:lineRule="auto"/>
        <w:ind w:firstLine="480" w:firstLineChars="200"/>
        <w:rPr>
          <w:rFonts w:hint="default" w:ascii="Times New Roman" w:hAnsi="Times New Roman" w:eastAsia="宋体" w:cs="Times New Roman"/>
          <w:color w:val="auto"/>
          <w:lang w:val="en-US" w:eastAsia="zh-CN"/>
        </w:rPr>
      </w:pPr>
    </w:p>
    <w:p w14:paraId="66DE57CB">
      <w:pPr>
        <w:spacing w:line="360" w:lineRule="auto"/>
        <w:ind w:firstLine="480" w:firstLineChars="200"/>
        <w:rPr>
          <w:rFonts w:hint="default" w:ascii="Times New Roman" w:hAnsi="Times New Roman" w:eastAsia="宋体" w:cs="Times New Roman"/>
          <w:color w:val="auto"/>
          <w:lang w:val="en-US" w:eastAsia="zh-CN"/>
        </w:rPr>
      </w:pPr>
    </w:p>
    <w:p w14:paraId="50C70685">
      <w:pPr>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附件</w:t>
      </w:r>
      <w:r>
        <w:rPr>
          <w:rFonts w:hint="eastAsia" w:cs="Times New Roman"/>
          <w:color w:val="auto"/>
          <w:highlight w:val="none"/>
          <w:lang w:val="en-US" w:eastAsia="zh-CN"/>
        </w:rPr>
        <w:t>4</w:t>
      </w:r>
      <w:r>
        <w:rPr>
          <w:rFonts w:hint="eastAsia" w:ascii="Times New Roman" w:hAnsi="Times New Roman" w:cs="Times New Roman"/>
          <w:color w:val="auto"/>
          <w:highlight w:val="none"/>
          <w:lang w:val="en-US" w:eastAsia="zh-CN"/>
        </w:rPr>
        <w:t>：</w:t>
      </w:r>
      <w:r>
        <w:rPr>
          <w:rFonts w:hint="eastAsia" w:cs="Times New Roman"/>
          <w:color w:val="auto"/>
          <w:highlight w:val="none"/>
          <w:lang w:val="en-US" w:eastAsia="zh-CN"/>
        </w:rPr>
        <w:t>沥青混凝土拌合站场地租赁合同</w:t>
      </w:r>
    </w:p>
    <w:p w14:paraId="5C1FF088">
      <w:pPr>
        <w:spacing w:line="360" w:lineRule="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drawing>
          <wp:inline distT="0" distB="0" distL="114300" distR="114300">
            <wp:extent cx="5509260" cy="7738110"/>
            <wp:effectExtent l="0" t="0" r="15240" b="15240"/>
            <wp:docPr id="3" name="图片 3" descr="2591cc44-1310-455e-a203-e033b66c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591cc44-1310-455e-a203-e033b66c5668"/>
                    <pic:cNvPicPr>
                      <a:picLocks noChangeAspect="1"/>
                    </pic:cNvPicPr>
                  </pic:nvPicPr>
                  <pic:blipFill>
                    <a:blip r:embed="rId60"/>
                    <a:stretch>
                      <a:fillRect/>
                    </a:stretch>
                  </pic:blipFill>
                  <pic:spPr>
                    <a:xfrm>
                      <a:off x="0" y="0"/>
                      <a:ext cx="5509260" cy="773811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526405" cy="7323455"/>
            <wp:effectExtent l="0" t="0" r="17145" b="10795"/>
            <wp:docPr id="4" name="图片 4" descr="08fe2877-bb98-40b7-abf3-348c2371df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8fe2877-bb98-40b7-abf3-348c2371df7c"/>
                    <pic:cNvPicPr>
                      <a:picLocks noChangeAspect="1"/>
                    </pic:cNvPicPr>
                  </pic:nvPicPr>
                  <pic:blipFill>
                    <a:blip r:embed="rId61"/>
                    <a:stretch>
                      <a:fillRect/>
                    </a:stretch>
                  </pic:blipFill>
                  <pic:spPr>
                    <a:xfrm>
                      <a:off x="0" y="0"/>
                      <a:ext cx="5526405" cy="7323455"/>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459730" cy="7806690"/>
            <wp:effectExtent l="0" t="0" r="7620" b="3810"/>
            <wp:docPr id="5" name="图片 5" descr="834b533e-9585-4329-b4d4-47eb8523e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34b533e-9585-4329-b4d4-47eb8523e918"/>
                    <pic:cNvPicPr>
                      <a:picLocks noChangeAspect="1"/>
                    </pic:cNvPicPr>
                  </pic:nvPicPr>
                  <pic:blipFill>
                    <a:blip r:embed="rId62"/>
                    <a:stretch>
                      <a:fillRect/>
                    </a:stretch>
                  </pic:blipFill>
                  <pic:spPr>
                    <a:xfrm>
                      <a:off x="0" y="0"/>
                      <a:ext cx="5459730" cy="780669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533390" cy="7742555"/>
            <wp:effectExtent l="0" t="0" r="10160" b="10795"/>
            <wp:docPr id="6" name="图片 6" descr="61ad4fc5-2b98-4450-bfb4-08e281710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1ad4fc5-2b98-4450-bfb4-08e281710274"/>
                    <pic:cNvPicPr>
                      <a:picLocks noChangeAspect="1"/>
                    </pic:cNvPicPr>
                  </pic:nvPicPr>
                  <pic:blipFill>
                    <a:blip r:embed="rId63"/>
                    <a:stretch>
                      <a:fillRect/>
                    </a:stretch>
                  </pic:blipFill>
                  <pic:spPr>
                    <a:xfrm>
                      <a:off x="0" y="0"/>
                      <a:ext cx="5533390" cy="7742555"/>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548630" cy="7717790"/>
            <wp:effectExtent l="0" t="0" r="13970" b="16510"/>
            <wp:docPr id="10" name="图片 10" descr="3bf52bf1-a896-44b2-87cf-3d6ba374df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bf52bf1-a896-44b2-87cf-3d6ba374df84"/>
                    <pic:cNvPicPr>
                      <a:picLocks noChangeAspect="1"/>
                    </pic:cNvPicPr>
                  </pic:nvPicPr>
                  <pic:blipFill>
                    <a:blip r:embed="rId64"/>
                    <a:stretch>
                      <a:fillRect/>
                    </a:stretch>
                  </pic:blipFill>
                  <pic:spPr>
                    <a:xfrm>
                      <a:off x="0" y="0"/>
                      <a:ext cx="5548630" cy="7717790"/>
                    </a:xfrm>
                    <a:prstGeom prst="rect">
                      <a:avLst/>
                    </a:prstGeom>
                  </pic:spPr>
                </pic:pic>
              </a:graphicData>
            </a:graphic>
          </wp:inline>
        </w:drawing>
      </w:r>
    </w:p>
    <w:p w14:paraId="4DA9B681">
      <w:pPr>
        <w:spacing w:line="360" w:lineRule="auto"/>
        <w:rPr>
          <w:rFonts w:hint="default" w:ascii="Times New Roman" w:hAnsi="Times New Roman" w:eastAsia="宋体" w:cs="Times New Roman"/>
          <w:color w:val="auto"/>
          <w:lang w:val="en-US" w:eastAsia="zh-CN"/>
        </w:rPr>
      </w:pPr>
    </w:p>
    <w:p w14:paraId="6CEB87A8">
      <w:pPr>
        <w:spacing w:line="360" w:lineRule="auto"/>
        <w:rPr>
          <w:rFonts w:hint="default" w:ascii="Times New Roman" w:hAnsi="Times New Roman" w:eastAsia="宋体" w:cs="Times New Roman"/>
          <w:color w:val="auto"/>
          <w:lang w:val="en-US" w:eastAsia="zh-CN"/>
        </w:rPr>
      </w:pPr>
    </w:p>
    <w:p w14:paraId="4929AF9D">
      <w:pPr>
        <w:spacing w:line="360" w:lineRule="auto"/>
        <w:rPr>
          <w:rFonts w:hint="default" w:ascii="Times New Roman" w:hAnsi="Times New Roman" w:eastAsia="宋体" w:cs="Times New Roman"/>
          <w:color w:val="auto"/>
          <w:lang w:val="en-US" w:eastAsia="zh-CN"/>
        </w:rPr>
      </w:pPr>
    </w:p>
    <w:p w14:paraId="51A1E787">
      <w:pPr>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附件</w:t>
      </w:r>
      <w:r>
        <w:rPr>
          <w:rFonts w:hint="eastAsia" w:cs="Times New Roman"/>
          <w:color w:val="auto"/>
          <w:highlight w:val="none"/>
          <w:lang w:val="en-US" w:eastAsia="zh-CN"/>
        </w:rPr>
        <w:t>5</w:t>
      </w:r>
      <w:r>
        <w:rPr>
          <w:rFonts w:hint="eastAsia" w:ascii="Times New Roman" w:hAnsi="Times New Roman" w:cs="Times New Roman"/>
          <w:color w:val="auto"/>
          <w:highlight w:val="none"/>
          <w:lang w:val="en-US" w:eastAsia="zh-CN"/>
        </w:rPr>
        <w:t>：</w:t>
      </w:r>
      <w:r>
        <w:rPr>
          <w:rFonts w:hint="eastAsia" w:cs="Times New Roman"/>
          <w:color w:val="auto"/>
          <w:highlight w:val="none"/>
          <w:lang w:val="en-US" w:eastAsia="zh-CN"/>
        </w:rPr>
        <w:t>施工驻地租赁合同</w:t>
      </w:r>
    </w:p>
    <w:p w14:paraId="55C7F703">
      <w:pPr>
        <w:spacing w:line="360" w:lineRule="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drawing>
          <wp:inline distT="0" distB="0" distL="114300" distR="114300">
            <wp:extent cx="5276850" cy="7419975"/>
            <wp:effectExtent l="0" t="0" r="0" b="9525"/>
            <wp:docPr id="11" name="图片 11" descr="f347452c-3f42-48e5-9cf8-3a58d90018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347452c-3f42-48e5-9cf8-3a58d900180a"/>
                    <pic:cNvPicPr>
                      <a:picLocks noChangeAspect="1"/>
                    </pic:cNvPicPr>
                  </pic:nvPicPr>
                  <pic:blipFill>
                    <a:blip r:embed="rId65"/>
                    <a:stretch>
                      <a:fillRect/>
                    </a:stretch>
                  </pic:blipFill>
                  <pic:spPr>
                    <a:xfrm>
                      <a:off x="0" y="0"/>
                      <a:ext cx="5276850" cy="7419975"/>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210175" cy="7334250"/>
            <wp:effectExtent l="0" t="0" r="9525" b="0"/>
            <wp:docPr id="12" name="图片 12" descr="3412125e-d57f-4860-9596-86095cf9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412125e-d57f-4860-9596-86095cf90350"/>
                    <pic:cNvPicPr>
                      <a:picLocks noChangeAspect="1"/>
                    </pic:cNvPicPr>
                  </pic:nvPicPr>
                  <pic:blipFill>
                    <a:blip r:embed="rId66"/>
                    <a:stretch>
                      <a:fillRect/>
                    </a:stretch>
                  </pic:blipFill>
                  <pic:spPr>
                    <a:xfrm>
                      <a:off x="0" y="0"/>
                      <a:ext cx="5210175" cy="733425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210175" cy="7086600"/>
            <wp:effectExtent l="0" t="0" r="9525" b="0"/>
            <wp:docPr id="13" name="图片 13" descr="17b4a980-3374-45ac-8838-a1eb72782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b4a980-3374-45ac-8838-a1eb72782b69"/>
                    <pic:cNvPicPr>
                      <a:picLocks noChangeAspect="1"/>
                    </pic:cNvPicPr>
                  </pic:nvPicPr>
                  <pic:blipFill>
                    <a:blip r:embed="rId67"/>
                    <a:stretch>
                      <a:fillRect/>
                    </a:stretch>
                  </pic:blipFill>
                  <pic:spPr>
                    <a:xfrm>
                      <a:off x="0" y="0"/>
                      <a:ext cx="5210175" cy="708660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219700" cy="7277100"/>
            <wp:effectExtent l="0" t="0" r="0" b="0"/>
            <wp:docPr id="55" name="图片 55" descr="2ef88be9-257b-467c-be4e-e5a466ebd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2ef88be9-257b-467c-be4e-e5a466ebd29a"/>
                    <pic:cNvPicPr>
                      <a:picLocks noChangeAspect="1"/>
                    </pic:cNvPicPr>
                  </pic:nvPicPr>
                  <pic:blipFill>
                    <a:blip r:embed="rId68"/>
                    <a:stretch>
                      <a:fillRect/>
                    </a:stretch>
                  </pic:blipFill>
                  <pic:spPr>
                    <a:xfrm>
                      <a:off x="0" y="0"/>
                      <a:ext cx="5219700" cy="7277100"/>
                    </a:xfrm>
                    <a:prstGeom prst="rect">
                      <a:avLst/>
                    </a:prstGeom>
                  </pic:spPr>
                </pic:pic>
              </a:graphicData>
            </a:graphic>
          </wp:inline>
        </w:drawing>
      </w:r>
      <w:r>
        <w:rPr>
          <w:rFonts w:hint="default" w:ascii="Times New Roman" w:hAnsi="Times New Roman" w:eastAsia="宋体" w:cs="Times New Roman"/>
          <w:color w:val="auto"/>
          <w:lang w:val="en-US" w:eastAsia="zh-CN"/>
        </w:rPr>
        <w:drawing>
          <wp:inline distT="0" distB="0" distL="114300" distR="114300">
            <wp:extent cx="5257800" cy="7143750"/>
            <wp:effectExtent l="0" t="0" r="0" b="0"/>
            <wp:docPr id="56" name="图片 56" descr="4cf83a00-e427-4785-b9ce-4d388a9351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4cf83a00-e427-4785-b9ce-4d388a93518d"/>
                    <pic:cNvPicPr>
                      <a:picLocks noChangeAspect="1"/>
                    </pic:cNvPicPr>
                  </pic:nvPicPr>
                  <pic:blipFill>
                    <a:blip r:embed="rId69"/>
                    <a:stretch>
                      <a:fillRect/>
                    </a:stretch>
                  </pic:blipFill>
                  <pic:spPr>
                    <a:xfrm>
                      <a:off x="0" y="0"/>
                      <a:ext cx="5257800" cy="7143750"/>
                    </a:xfrm>
                    <a:prstGeom prst="rect">
                      <a:avLst/>
                    </a:prstGeom>
                  </pic:spPr>
                </pic:pic>
              </a:graphicData>
            </a:graphic>
          </wp:inline>
        </w:drawing>
      </w:r>
    </w:p>
    <w:p w14:paraId="3868C25B">
      <w:pPr>
        <w:spacing w:line="360" w:lineRule="auto"/>
        <w:rPr>
          <w:rFonts w:hint="default" w:ascii="Times New Roman" w:hAnsi="Times New Roman" w:eastAsia="宋体" w:cs="Times New Roman"/>
          <w:color w:val="auto"/>
          <w:lang w:val="en-US" w:eastAsia="zh-CN"/>
        </w:rPr>
      </w:pPr>
    </w:p>
    <w:p w14:paraId="1281AFF8">
      <w:pPr>
        <w:spacing w:line="360" w:lineRule="auto"/>
        <w:rPr>
          <w:rFonts w:hint="default" w:ascii="Times New Roman" w:hAnsi="Times New Roman" w:eastAsia="宋体" w:cs="Times New Roman"/>
          <w:color w:val="auto"/>
          <w:lang w:val="en-US" w:eastAsia="zh-CN"/>
        </w:rPr>
      </w:pPr>
    </w:p>
    <w:p w14:paraId="171E2B1A">
      <w:pPr>
        <w:spacing w:line="360" w:lineRule="auto"/>
        <w:rPr>
          <w:rFonts w:hint="default" w:ascii="Times New Roman" w:hAnsi="Times New Roman" w:eastAsia="宋体" w:cs="Times New Roman"/>
          <w:color w:val="auto"/>
          <w:lang w:val="en-US" w:eastAsia="zh-CN"/>
        </w:rPr>
      </w:pPr>
    </w:p>
    <w:p w14:paraId="3150C793">
      <w:pPr>
        <w:spacing w:line="360" w:lineRule="auto"/>
        <w:rPr>
          <w:rFonts w:hint="default" w:ascii="Times New Roman" w:hAnsi="Times New Roman" w:eastAsia="宋体" w:cs="Times New Roman"/>
          <w:color w:val="auto"/>
          <w:lang w:val="en-US" w:eastAsia="zh-CN"/>
        </w:rPr>
      </w:pPr>
    </w:p>
    <w:p w14:paraId="77EF5B1D">
      <w:pPr>
        <w:spacing w:line="360" w:lineRule="auto"/>
        <w:rPr>
          <w:rFonts w:hint="default" w:ascii="Times New Roman" w:hAnsi="Times New Roman" w:eastAsia="宋体" w:cs="Times New Roman"/>
          <w:color w:val="auto"/>
          <w:lang w:val="en-US" w:eastAsia="zh-CN"/>
        </w:rPr>
      </w:pPr>
    </w:p>
    <w:p w14:paraId="15EDD3F6">
      <w:pPr>
        <w:rPr>
          <w:rFonts w:hint="eastAsia" w:cs="Times New Roman"/>
          <w:color w:val="auto"/>
          <w:highlight w:val="none"/>
          <w:lang w:val="en-US" w:eastAsia="zh-CN"/>
        </w:rPr>
      </w:pPr>
      <w:r>
        <w:rPr>
          <w:rFonts w:hint="eastAsia" w:ascii="Times New Roman" w:hAnsi="Times New Roman" w:cs="Times New Roman"/>
          <w:color w:val="auto"/>
          <w:highlight w:val="none"/>
          <w:lang w:val="en-US" w:eastAsia="zh-CN"/>
        </w:rPr>
        <w:t>附件</w:t>
      </w:r>
      <w:r>
        <w:rPr>
          <w:rFonts w:hint="eastAsia" w:cs="Times New Roman"/>
          <w:color w:val="auto"/>
          <w:highlight w:val="none"/>
          <w:lang w:val="en-US" w:eastAsia="zh-CN"/>
        </w:rPr>
        <w:t>6</w:t>
      </w:r>
      <w:r>
        <w:rPr>
          <w:rFonts w:hint="eastAsia" w:ascii="Times New Roman" w:hAnsi="Times New Roman" w:cs="Times New Roman"/>
          <w:color w:val="auto"/>
          <w:highlight w:val="none"/>
          <w:lang w:val="en-US" w:eastAsia="zh-CN"/>
        </w:rPr>
        <w:t>：</w:t>
      </w:r>
      <w:r>
        <w:rPr>
          <w:rFonts w:hint="eastAsia" w:cs="Times New Roman"/>
          <w:color w:val="auto"/>
          <w:highlight w:val="none"/>
          <w:lang w:val="en-US" w:eastAsia="zh-CN"/>
        </w:rPr>
        <w:t>兴凯镇路段限速说明</w:t>
      </w:r>
    </w:p>
    <w:p w14:paraId="215E5DD2">
      <w:pPr>
        <w:rPr>
          <w:rFonts w:hint="default" w:cs="Times New Roman"/>
          <w:color w:val="auto"/>
          <w:highlight w:val="none"/>
          <w:lang w:val="en-US" w:eastAsia="zh-CN"/>
        </w:rPr>
      </w:pPr>
      <w:r>
        <w:rPr>
          <w:rFonts w:hint="default" w:cs="Times New Roman"/>
          <w:color w:val="auto"/>
          <w:highlight w:val="none"/>
          <w:lang w:val="en-US" w:eastAsia="zh-CN"/>
        </w:rPr>
        <w:drawing>
          <wp:inline distT="0" distB="0" distL="114300" distR="114300">
            <wp:extent cx="5777865" cy="8194040"/>
            <wp:effectExtent l="0" t="0" r="13335" b="16510"/>
            <wp:docPr id="57" name="图片 57" descr="6d1419ad-6cf9-4aa9-836b-41ecf85965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6d1419ad-6cf9-4aa9-836b-41ecf85965a3"/>
                    <pic:cNvPicPr>
                      <a:picLocks noChangeAspect="1"/>
                    </pic:cNvPicPr>
                  </pic:nvPicPr>
                  <pic:blipFill>
                    <a:blip r:embed="rId70"/>
                    <a:stretch>
                      <a:fillRect/>
                    </a:stretch>
                  </pic:blipFill>
                  <pic:spPr>
                    <a:xfrm>
                      <a:off x="0" y="0"/>
                      <a:ext cx="5777865" cy="8194040"/>
                    </a:xfrm>
                    <a:prstGeom prst="rect">
                      <a:avLst/>
                    </a:prstGeom>
                  </pic:spPr>
                </pic:pic>
              </a:graphicData>
            </a:graphic>
          </wp:inline>
        </w:drawing>
      </w:r>
      <w:r>
        <w:rPr>
          <w:rFonts w:hint="default" w:cs="Times New Roman"/>
          <w:color w:val="auto"/>
          <w:highlight w:val="none"/>
          <w:lang w:val="en-US" w:eastAsia="zh-CN"/>
        </w:rPr>
        <w:drawing>
          <wp:inline distT="0" distB="0" distL="114300" distR="114300">
            <wp:extent cx="5619115" cy="8146415"/>
            <wp:effectExtent l="0" t="0" r="635" b="6985"/>
            <wp:docPr id="58" name="图片 58" descr="4456b18d-1da5-40b7-b990-145a5362c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4456b18d-1da5-40b7-b990-145a5362c579"/>
                    <pic:cNvPicPr>
                      <a:picLocks noChangeAspect="1"/>
                    </pic:cNvPicPr>
                  </pic:nvPicPr>
                  <pic:blipFill>
                    <a:blip r:embed="rId71"/>
                    <a:stretch>
                      <a:fillRect/>
                    </a:stretch>
                  </pic:blipFill>
                  <pic:spPr>
                    <a:xfrm>
                      <a:off x="0" y="0"/>
                      <a:ext cx="5619115" cy="8146415"/>
                    </a:xfrm>
                    <a:prstGeom prst="rect">
                      <a:avLst/>
                    </a:prstGeom>
                  </pic:spPr>
                </pic:pic>
              </a:graphicData>
            </a:graphic>
          </wp:inline>
        </w:drawing>
      </w:r>
    </w:p>
    <w:p w14:paraId="6EAE5EDD">
      <w:pPr>
        <w:spacing w:line="360" w:lineRule="auto"/>
        <w:rPr>
          <w:rFonts w:hint="default" w:ascii="Times New Roman" w:hAnsi="Times New Roman" w:eastAsia="宋体" w:cs="Times New Roman"/>
          <w:color w:val="auto"/>
          <w:lang w:val="en-US" w:eastAsia="zh-CN"/>
        </w:rPr>
      </w:pPr>
    </w:p>
    <w:sectPr>
      <w:pgSz w:w="11906" w:h="16838"/>
      <w:pgMar w:top="1440" w:right="1440" w:bottom="1440" w:left="144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FPEF">
    <w:altName w:val="Times New Roman"/>
    <w:panose1 w:val="00000000000000000000"/>
    <w:charset w:val="00"/>
    <w:family w:val="roman"/>
    <w:pitch w:val="default"/>
    <w:sig w:usb0="00000000" w:usb1="00000000" w:usb2="00000000" w:usb3="00000000" w:csb0="00040001" w:csb1="00000000"/>
  </w:font>
  <w:font w:name="方正小标宋_GBK">
    <w:altName w:val="Arial Unicode MS"/>
    <w:panose1 w:val="03000509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5C78E">
    <w:pPr>
      <w:pStyle w:val="1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D9CDC">
    <w:pPr>
      <w:pStyle w:val="19"/>
      <w:framePr w:wrap="around" w:vAnchor="text" w:hAnchor="margin" w:xAlign="outside" w:y="1"/>
      <w:rPr>
        <w:rStyle w:val="33"/>
      </w:rPr>
    </w:pPr>
    <w:r>
      <w:fldChar w:fldCharType="begin"/>
    </w:r>
    <w:r>
      <w:rPr>
        <w:rStyle w:val="33"/>
      </w:rPr>
      <w:instrText xml:space="preserve">PAGE  </w:instrText>
    </w:r>
    <w:r>
      <w:fldChar w:fldCharType="end"/>
    </w:r>
  </w:p>
  <w:p w14:paraId="200C8EB3">
    <w:pPr>
      <w:pStyle w:val="19"/>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4AB3E">
    <w:pPr>
      <w:pStyle w:val="19"/>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EFD6667">
                          <w:pPr>
                            <w:pStyle w:val="19"/>
                            <w:rPr>
                              <w:rFonts w:hint="eastAsia"/>
                            </w:rPr>
                          </w:pPr>
                          <w:r>
                            <w:rPr>
                              <w:rFonts w:hint="eastAsia"/>
                            </w:rPr>
                            <w:fldChar w:fldCharType="begin"/>
                          </w:r>
                          <w:r>
                            <w:rPr>
                              <w:rFonts w:hint="eastAsia"/>
                            </w:rPr>
                            <w:instrText xml:space="preserve"> PAGE  \* MERGEFORMAT </w:instrText>
                          </w:r>
                          <w:r>
                            <w:rPr>
                              <w:rFonts w:hint="eastAsia"/>
                            </w:rPr>
                            <w:fldChar w:fldCharType="separate"/>
                          </w:r>
                          <w:r>
                            <w:t>33</w:t>
                          </w:r>
                          <w:r>
                            <w:rPr>
                              <w:rFonts w:hint="eastAsia"/>
                            </w:rPr>
                            <w:fldChar w:fldCharType="end"/>
                          </w:r>
                        </w:p>
                      </w:txbxContent>
                    </wps:txbx>
                    <wps:bodyPr wrap="none" lIns="0" tIns="0" rIns="0" bIns="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2u+Ohc4BAACoAwAADgAAAGRycy9lMm9Eb2MueG1srVPNjtMwEL4j8Q6W&#10;7zRphVZV1HQFqhYhIUBaeADXcRpLtsfyuE36AvAGnLhw57n6HIydpLsslz1wcebP38z3ebK5Haxh&#10;JxVQg6v5clFyppyERrtDzb9+uXu15gyjcI0w4FTNzwr57fbli03vK7WCDkyjAiMQh1Xva97F6Kui&#10;QNkpK3ABXjlKthCsiOSGQ9EE0RO6NcWqLG+KHkLjA0iFSNHdmOQTYngOILStlmoH8miViyNqUEZE&#10;ooSd9si3edq2VTJ+altUkZmaE9OYT2pC9j6dxXYjqkMQvtNyGkE8Z4QnnKzQjppeoXYiCnYM+h8o&#10;q2UAhDYuJNhiJJIVIRbL8ok2953wKnMhqdFfRcf/Bys/nj4Hppua37zmzAlLL3758f3y8/fl1ze2&#10;TPr0Hisqu/dUGIe3MNDWzHGkYKI9tMGmLxFilCd1z1d11RCZTJfWq/W6pJSk3OwQfvFw3QeM7xRY&#10;loyaB3q+rKo4fcA4ls4lqZuDO21MfkLj/goQ5hhReQem24nJOHGy4rAfJnp7aM7Erqc9qLmjtefM&#10;vHckc1qZ2QizsZ+Now/60OWdSt3RvzlGGilPmjqMsMQwOfSAmeu0bGlDHvu56uEH2/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NrvjoXOAQAAqAMAAA4AAAAAAAAAAQAgAAAAHgEAAGRycy9l&#10;Mm9Eb2MueG1sUEsFBgAAAAAGAAYAWQEAAF4FAAAAAA==&#10;">
              <v:fill on="f" focussize="0,0"/>
              <v:stroke on="f"/>
              <v:imagedata o:title=""/>
              <o:lock v:ext="edit" aspectratio="f"/>
              <v:textbox inset="0mm,0mm,0mm,0mm" style="mso-fit-shape-to-text:t;">
                <w:txbxContent>
                  <w:p w14:paraId="2EFD6667">
                    <w:pPr>
                      <w:pStyle w:val="19"/>
                      <w:rPr>
                        <w:rFonts w:hint="eastAsia"/>
                      </w:rPr>
                    </w:pPr>
                    <w:r>
                      <w:rPr>
                        <w:rFonts w:hint="eastAsia"/>
                      </w:rPr>
                      <w:fldChar w:fldCharType="begin"/>
                    </w:r>
                    <w:r>
                      <w:rPr>
                        <w:rFonts w:hint="eastAsia"/>
                      </w:rPr>
                      <w:instrText xml:space="preserve"> PAGE  \* MERGEFORMAT </w:instrText>
                    </w:r>
                    <w:r>
                      <w:rPr>
                        <w:rFonts w:hint="eastAsia"/>
                      </w:rPr>
                      <w:fldChar w:fldCharType="separate"/>
                    </w:r>
                    <w:r>
                      <w:t>33</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6F0146"/>
    <w:multiLevelType w:val="singleLevel"/>
    <w:tmpl w:val="A26F0146"/>
    <w:lvl w:ilvl="0" w:tentative="0">
      <w:start w:val="3"/>
      <w:numFmt w:val="decimal"/>
      <w:suff w:val="nothing"/>
      <w:lvlText w:val="%1、"/>
      <w:lvlJc w:val="left"/>
    </w:lvl>
  </w:abstractNum>
  <w:abstractNum w:abstractNumId="1">
    <w:nsid w:val="A48720C0"/>
    <w:multiLevelType w:val="singleLevel"/>
    <w:tmpl w:val="A48720C0"/>
    <w:lvl w:ilvl="0" w:tentative="0">
      <w:start w:val="4"/>
      <w:numFmt w:val="decimal"/>
      <w:suff w:val="nothing"/>
      <w:lvlText w:val="（%1）"/>
      <w:lvlJc w:val="left"/>
    </w:lvl>
  </w:abstractNum>
  <w:abstractNum w:abstractNumId="2">
    <w:nsid w:val="14861248"/>
    <w:multiLevelType w:val="multilevel"/>
    <w:tmpl w:val="14861248"/>
    <w:lvl w:ilvl="0" w:tentative="0">
      <w:start w:val="1"/>
      <w:numFmt w:val="decimal"/>
      <w:lvlText w:val="%1"/>
      <w:lvlJc w:val="left"/>
      <w:pPr>
        <w:ind w:left="432" w:hanging="432"/>
      </w:pPr>
      <w:rPr>
        <w:rFonts w:hint="eastAsia"/>
      </w:rPr>
    </w:lvl>
    <w:lvl w:ilvl="1" w:tentative="0">
      <w:start w:val="1"/>
      <w:numFmt w:val="decimal"/>
      <w:lvlText w:val="%1.%2"/>
      <w:lvlJc w:val="left"/>
      <w:pPr>
        <w:ind w:left="576" w:hanging="576"/>
      </w:pPr>
      <w:rPr>
        <w:rFonts w:hint="eastAsia"/>
      </w:rPr>
    </w:lvl>
    <w:lvl w:ilvl="2" w:tentative="0">
      <w:start w:val="1"/>
      <w:numFmt w:val="decimal"/>
      <w:suff w:val="nothing"/>
      <w:lvlText w:val="%1.%2.%3"/>
      <w:lvlJc w:val="left"/>
      <w:pPr>
        <w:ind w:left="3261" w:hanging="851"/>
      </w:pPr>
    </w:lvl>
    <w:lvl w:ilvl="3" w:tentative="0">
      <w:start w:val="1"/>
      <w:numFmt w:val="decimal"/>
      <w:pStyle w:val="5"/>
      <w:suff w:val="nothing"/>
      <w:lvlText w:val="%1.%2.%3.%4"/>
      <w:lvlJc w:val="left"/>
      <w:pPr>
        <w:ind w:left="3415" w:hanging="864"/>
      </w:p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NlYzU2NDZlZWRhZGY1YzdjNGExMDUwNGJjODllMjkifQ=="/>
  </w:docVars>
  <w:rsids>
    <w:rsidRoot w:val="00172A27"/>
    <w:rsid w:val="0000364C"/>
    <w:rsid w:val="00022DE6"/>
    <w:rsid w:val="000236A5"/>
    <w:rsid w:val="00032850"/>
    <w:rsid w:val="00033324"/>
    <w:rsid w:val="00034D1F"/>
    <w:rsid w:val="00043D10"/>
    <w:rsid w:val="0004555F"/>
    <w:rsid w:val="000459A5"/>
    <w:rsid w:val="000476A2"/>
    <w:rsid w:val="000504C8"/>
    <w:rsid w:val="000523FB"/>
    <w:rsid w:val="000661B8"/>
    <w:rsid w:val="00067EAF"/>
    <w:rsid w:val="0007019F"/>
    <w:rsid w:val="000713FC"/>
    <w:rsid w:val="00071CD7"/>
    <w:rsid w:val="00073736"/>
    <w:rsid w:val="00073FEB"/>
    <w:rsid w:val="000A5571"/>
    <w:rsid w:val="000A56EC"/>
    <w:rsid w:val="000A78DE"/>
    <w:rsid w:val="000B374E"/>
    <w:rsid w:val="000C1760"/>
    <w:rsid w:val="000C3312"/>
    <w:rsid w:val="000D182C"/>
    <w:rsid w:val="000E11FA"/>
    <w:rsid w:val="000E454A"/>
    <w:rsid w:val="000E6D55"/>
    <w:rsid w:val="000F735F"/>
    <w:rsid w:val="001118AD"/>
    <w:rsid w:val="0012058C"/>
    <w:rsid w:val="00127902"/>
    <w:rsid w:val="0013275A"/>
    <w:rsid w:val="001400C0"/>
    <w:rsid w:val="00140BE6"/>
    <w:rsid w:val="00144609"/>
    <w:rsid w:val="00154FB6"/>
    <w:rsid w:val="00161C13"/>
    <w:rsid w:val="001713B7"/>
    <w:rsid w:val="00172E36"/>
    <w:rsid w:val="00176F0A"/>
    <w:rsid w:val="001831C0"/>
    <w:rsid w:val="00184D37"/>
    <w:rsid w:val="00193970"/>
    <w:rsid w:val="00193D93"/>
    <w:rsid w:val="001965DB"/>
    <w:rsid w:val="00196F9F"/>
    <w:rsid w:val="001B1228"/>
    <w:rsid w:val="001B1B69"/>
    <w:rsid w:val="001B2712"/>
    <w:rsid w:val="001B3451"/>
    <w:rsid w:val="001B395A"/>
    <w:rsid w:val="001D498D"/>
    <w:rsid w:val="001D4F59"/>
    <w:rsid w:val="001D5A74"/>
    <w:rsid w:val="001F17A7"/>
    <w:rsid w:val="001F637E"/>
    <w:rsid w:val="00205410"/>
    <w:rsid w:val="00205630"/>
    <w:rsid w:val="00210C91"/>
    <w:rsid w:val="00210FB6"/>
    <w:rsid w:val="00213479"/>
    <w:rsid w:val="002140B7"/>
    <w:rsid w:val="002144F6"/>
    <w:rsid w:val="00214675"/>
    <w:rsid w:val="00232D68"/>
    <w:rsid w:val="00236454"/>
    <w:rsid w:val="00243181"/>
    <w:rsid w:val="002446C0"/>
    <w:rsid w:val="002463F8"/>
    <w:rsid w:val="00246A71"/>
    <w:rsid w:val="002553F5"/>
    <w:rsid w:val="00256EE9"/>
    <w:rsid w:val="00261AEE"/>
    <w:rsid w:val="00264CDF"/>
    <w:rsid w:val="00276277"/>
    <w:rsid w:val="002808FB"/>
    <w:rsid w:val="002809B3"/>
    <w:rsid w:val="00280DEF"/>
    <w:rsid w:val="00284F5E"/>
    <w:rsid w:val="00293691"/>
    <w:rsid w:val="00293C69"/>
    <w:rsid w:val="00294E2C"/>
    <w:rsid w:val="002A7CE3"/>
    <w:rsid w:val="002B20DB"/>
    <w:rsid w:val="002B2855"/>
    <w:rsid w:val="002C1636"/>
    <w:rsid w:val="002C16C3"/>
    <w:rsid w:val="002C57D5"/>
    <w:rsid w:val="002D0095"/>
    <w:rsid w:val="002D2F24"/>
    <w:rsid w:val="002D4F40"/>
    <w:rsid w:val="002E1601"/>
    <w:rsid w:val="002E20D6"/>
    <w:rsid w:val="002E374A"/>
    <w:rsid w:val="002E4F4A"/>
    <w:rsid w:val="002F3663"/>
    <w:rsid w:val="002F3C64"/>
    <w:rsid w:val="002F5391"/>
    <w:rsid w:val="002F7FE2"/>
    <w:rsid w:val="00306F34"/>
    <w:rsid w:val="00310970"/>
    <w:rsid w:val="00313586"/>
    <w:rsid w:val="003174B6"/>
    <w:rsid w:val="00324383"/>
    <w:rsid w:val="0032516A"/>
    <w:rsid w:val="0032623D"/>
    <w:rsid w:val="00327D82"/>
    <w:rsid w:val="003358ED"/>
    <w:rsid w:val="00340B81"/>
    <w:rsid w:val="00342F83"/>
    <w:rsid w:val="00356F3A"/>
    <w:rsid w:val="00372BFA"/>
    <w:rsid w:val="0037654D"/>
    <w:rsid w:val="00383E35"/>
    <w:rsid w:val="00392075"/>
    <w:rsid w:val="003A2A48"/>
    <w:rsid w:val="003A2C8A"/>
    <w:rsid w:val="003B5565"/>
    <w:rsid w:val="003B7025"/>
    <w:rsid w:val="003C3064"/>
    <w:rsid w:val="003C549F"/>
    <w:rsid w:val="003E0843"/>
    <w:rsid w:val="003E576B"/>
    <w:rsid w:val="003F33C7"/>
    <w:rsid w:val="004010DD"/>
    <w:rsid w:val="004130B0"/>
    <w:rsid w:val="00436896"/>
    <w:rsid w:val="00436DD7"/>
    <w:rsid w:val="004417BF"/>
    <w:rsid w:val="00446FB4"/>
    <w:rsid w:val="00451B0F"/>
    <w:rsid w:val="00453BAD"/>
    <w:rsid w:val="00457EB3"/>
    <w:rsid w:val="00472A86"/>
    <w:rsid w:val="00473B05"/>
    <w:rsid w:val="00485189"/>
    <w:rsid w:val="00492EA5"/>
    <w:rsid w:val="00494ED7"/>
    <w:rsid w:val="004A1353"/>
    <w:rsid w:val="004C0EF2"/>
    <w:rsid w:val="004C0F0C"/>
    <w:rsid w:val="004C7799"/>
    <w:rsid w:val="004D1914"/>
    <w:rsid w:val="004D223D"/>
    <w:rsid w:val="004E11A6"/>
    <w:rsid w:val="004E2FEC"/>
    <w:rsid w:val="004F1355"/>
    <w:rsid w:val="004F42DE"/>
    <w:rsid w:val="004F78ED"/>
    <w:rsid w:val="00500435"/>
    <w:rsid w:val="00504D88"/>
    <w:rsid w:val="005114DD"/>
    <w:rsid w:val="00512FAA"/>
    <w:rsid w:val="00513065"/>
    <w:rsid w:val="005139E5"/>
    <w:rsid w:val="00513C2F"/>
    <w:rsid w:val="0053139A"/>
    <w:rsid w:val="00532B05"/>
    <w:rsid w:val="005469B5"/>
    <w:rsid w:val="00553C1B"/>
    <w:rsid w:val="005554CD"/>
    <w:rsid w:val="00555DF5"/>
    <w:rsid w:val="00556229"/>
    <w:rsid w:val="00556B70"/>
    <w:rsid w:val="0056152C"/>
    <w:rsid w:val="00564BA4"/>
    <w:rsid w:val="00566169"/>
    <w:rsid w:val="00571DEC"/>
    <w:rsid w:val="00580290"/>
    <w:rsid w:val="0058093D"/>
    <w:rsid w:val="00580FAC"/>
    <w:rsid w:val="00582298"/>
    <w:rsid w:val="005850FA"/>
    <w:rsid w:val="005859D9"/>
    <w:rsid w:val="0059189A"/>
    <w:rsid w:val="00594C4D"/>
    <w:rsid w:val="00596C2E"/>
    <w:rsid w:val="005A081A"/>
    <w:rsid w:val="005A0E18"/>
    <w:rsid w:val="005A33F2"/>
    <w:rsid w:val="005A5416"/>
    <w:rsid w:val="005A598F"/>
    <w:rsid w:val="005B188D"/>
    <w:rsid w:val="005B70E7"/>
    <w:rsid w:val="005C10EF"/>
    <w:rsid w:val="005D5BBF"/>
    <w:rsid w:val="005D6878"/>
    <w:rsid w:val="005E3204"/>
    <w:rsid w:val="005F4083"/>
    <w:rsid w:val="005F449E"/>
    <w:rsid w:val="005F5F33"/>
    <w:rsid w:val="006022E9"/>
    <w:rsid w:val="00606C44"/>
    <w:rsid w:val="00606C8F"/>
    <w:rsid w:val="006107D8"/>
    <w:rsid w:val="0061347E"/>
    <w:rsid w:val="00613870"/>
    <w:rsid w:val="00613C82"/>
    <w:rsid w:val="00615922"/>
    <w:rsid w:val="00622E87"/>
    <w:rsid w:val="006255E1"/>
    <w:rsid w:val="00626445"/>
    <w:rsid w:val="00642C0D"/>
    <w:rsid w:val="00650796"/>
    <w:rsid w:val="00681DFB"/>
    <w:rsid w:val="00686103"/>
    <w:rsid w:val="0069164B"/>
    <w:rsid w:val="006929F8"/>
    <w:rsid w:val="00692BCF"/>
    <w:rsid w:val="006A6295"/>
    <w:rsid w:val="006B2C51"/>
    <w:rsid w:val="006D465E"/>
    <w:rsid w:val="006E0468"/>
    <w:rsid w:val="006E4A40"/>
    <w:rsid w:val="006E790C"/>
    <w:rsid w:val="006F2E65"/>
    <w:rsid w:val="00701037"/>
    <w:rsid w:val="00711E56"/>
    <w:rsid w:val="00712A0D"/>
    <w:rsid w:val="007200C9"/>
    <w:rsid w:val="00723314"/>
    <w:rsid w:val="00724C81"/>
    <w:rsid w:val="0072561E"/>
    <w:rsid w:val="0072597F"/>
    <w:rsid w:val="00727B75"/>
    <w:rsid w:val="00732517"/>
    <w:rsid w:val="00732789"/>
    <w:rsid w:val="00735BCD"/>
    <w:rsid w:val="00745019"/>
    <w:rsid w:val="00750477"/>
    <w:rsid w:val="0075587D"/>
    <w:rsid w:val="007575FC"/>
    <w:rsid w:val="00770095"/>
    <w:rsid w:val="00770CC6"/>
    <w:rsid w:val="00782E5E"/>
    <w:rsid w:val="00787C9A"/>
    <w:rsid w:val="00793F86"/>
    <w:rsid w:val="007A010C"/>
    <w:rsid w:val="007D151F"/>
    <w:rsid w:val="007D238B"/>
    <w:rsid w:val="007D24C9"/>
    <w:rsid w:val="007D60F7"/>
    <w:rsid w:val="007E08B8"/>
    <w:rsid w:val="007E5965"/>
    <w:rsid w:val="007E7E0D"/>
    <w:rsid w:val="007F0083"/>
    <w:rsid w:val="007F3AC8"/>
    <w:rsid w:val="007F4CCC"/>
    <w:rsid w:val="007F5784"/>
    <w:rsid w:val="00804C87"/>
    <w:rsid w:val="008202F8"/>
    <w:rsid w:val="00830D7C"/>
    <w:rsid w:val="00831F7E"/>
    <w:rsid w:val="00834828"/>
    <w:rsid w:val="008361C7"/>
    <w:rsid w:val="00843185"/>
    <w:rsid w:val="00850BB3"/>
    <w:rsid w:val="00894E79"/>
    <w:rsid w:val="00896CCD"/>
    <w:rsid w:val="00897445"/>
    <w:rsid w:val="008976C4"/>
    <w:rsid w:val="008A03F7"/>
    <w:rsid w:val="008A3E66"/>
    <w:rsid w:val="008A43E7"/>
    <w:rsid w:val="008C082D"/>
    <w:rsid w:val="008C1F6C"/>
    <w:rsid w:val="008C74B3"/>
    <w:rsid w:val="008D0691"/>
    <w:rsid w:val="008D611C"/>
    <w:rsid w:val="008E054E"/>
    <w:rsid w:val="008E550C"/>
    <w:rsid w:val="008E5A1A"/>
    <w:rsid w:val="008F2FEF"/>
    <w:rsid w:val="008F4DEE"/>
    <w:rsid w:val="009066A5"/>
    <w:rsid w:val="009078A8"/>
    <w:rsid w:val="00907D51"/>
    <w:rsid w:val="009214D9"/>
    <w:rsid w:val="00921A7F"/>
    <w:rsid w:val="0093098D"/>
    <w:rsid w:val="009342D5"/>
    <w:rsid w:val="00934E20"/>
    <w:rsid w:val="00937057"/>
    <w:rsid w:val="00944454"/>
    <w:rsid w:val="00947DD6"/>
    <w:rsid w:val="00947EED"/>
    <w:rsid w:val="009508EF"/>
    <w:rsid w:val="00960177"/>
    <w:rsid w:val="00960491"/>
    <w:rsid w:val="00963956"/>
    <w:rsid w:val="00965C19"/>
    <w:rsid w:val="00966AF3"/>
    <w:rsid w:val="00967873"/>
    <w:rsid w:val="00973108"/>
    <w:rsid w:val="00986CCB"/>
    <w:rsid w:val="009917CA"/>
    <w:rsid w:val="0099193A"/>
    <w:rsid w:val="009950E6"/>
    <w:rsid w:val="009A101E"/>
    <w:rsid w:val="009A5D52"/>
    <w:rsid w:val="009A5EB3"/>
    <w:rsid w:val="009B330E"/>
    <w:rsid w:val="009B499B"/>
    <w:rsid w:val="009B6696"/>
    <w:rsid w:val="009C5F7A"/>
    <w:rsid w:val="009C6A3E"/>
    <w:rsid w:val="009D46C8"/>
    <w:rsid w:val="009D4707"/>
    <w:rsid w:val="009D57C5"/>
    <w:rsid w:val="009D5CAB"/>
    <w:rsid w:val="009F2F7A"/>
    <w:rsid w:val="009F3866"/>
    <w:rsid w:val="009F74C8"/>
    <w:rsid w:val="00A10940"/>
    <w:rsid w:val="00A34FB0"/>
    <w:rsid w:val="00A43FE8"/>
    <w:rsid w:val="00A522A3"/>
    <w:rsid w:val="00A54430"/>
    <w:rsid w:val="00A6432B"/>
    <w:rsid w:val="00A76139"/>
    <w:rsid w:val="00A7641C"/>
    <w:rsid w:val="00A814C7"/>
    <w:rsid w:val="00A81720"/>
    <w:rsid w:val="00A848BC"/>
    <w:rsid w:val="00A86E69"/>
    <w:rsid w:val="00AA00F0"/>
    <w:rsid w:val="00AB05F4"/>
    <w:rsid w:val="00AC099E"/>
    <w:rsid w:val="00AC42D5"/>
    <w:rsid w:val="00AC78FC"/>
    <w:rsid w:val="00AD1463"/>
    <w:rsid w:val="00AD5854"/>
    <w:rsid w:val="00AF0978"/>
    <w:rsid w:val="00AF7331"/>
    <w:rsid w:val="00AF7FD8"/>
    <w:rsid w:val="00B02A97"/>
    <w:rsid w:val="00B0675E"/>
    <w:rsid w:val="00B1200E"/>
    <w:rsid w:val="00B16802"/>
    <w:rsid w:val="00B200BE"/>
    <w:rsid w:val="00B201CE"/>
    <w:rsid w:val="00B20674"/>
    <w:rsid w:val="00B23A14"/>
    <w:rsid w:val="00B23D2E"/>
    <w:rsid w:val="00B30312"/>
    <w:rsid w:val="00B3266E"/>
    <w:rsid w:val="00B336D5"/>
    <w:rsid w:val="00B40086"/>
    <w:rsid w:val="00B42EAC"/>
    <w:rsid w:val="00B45862"/>
    <w:rsid w:val="00B5057A"/>
    <w:rsid w:val="00B55B45"/>
    <w:rsid w:val="00B562EC"/>
    <w:rsid w:val="00B63F43"/>
    <w:rsid w:val="00B66867"/>
    <w:rsid w:val="00B6703D"/>
    <w:rsid w:val="00B754DE"/>
    <w:rsid w:val="00B7698B"/>
    <w:rsid w:val="00B833ED"/>
    <w:rsid w:val="00B85187"/>
    <w:rsid w:val="00B9285A"/>
    <w:rsid w:val="00B93A5B"/>
    <w:rsid w:val="00B94F36"/>
    <w:rsid w:val="00B94F68"/>
    <w:rsid w:val="00B95520"/>
    <w:rsid w:val="00BA1285"/>
    <w:rsid w:val="00BA21B0"/>
    <w:rsid w:val="00BA71CA"/>
    <w:rsid w:val="00BB1A86"/>
    <w:rsid w:val="00BB4CB7"/>
    <w:rsid w:val="00BD18C2"/>
    <w:rsid w:val="00BD63AC"/>
    <w:rsid w:val="00BE16A3"/>
    <w:rsid w:val="00BF0D84"/>
    <w:rsid w:val="00BF3297"/>
    <w:rsid w:val="00BF54CB"/>
    <w:rsid w:val="00BF6571"/>
    <w:rsid w:val="00BF75F0"/>
    <w:rsid w:val="00C02C00"/>
    <w:rsid w:val="00C042C3"/>
    <w:rsid w:val="00C135A0"/>
    <w:rsid w:val="00C14E77"/>
    <w:rsid w:val="00C151A6"/>
    <w:rsid w:val="00C273B0"/>
    <w:rsid w:val="00C30DFE"/>
    <w:rsid w:val="00C36B9A"/>
    <w:rsid w:val="00C4599A"/>
    <w:rsid w:val="00C45F51"/>
    <w:rsid w:val="00C47070"/>
    <w:rsid w:val="00C47978"/>
    <w:rsid w:val="00C57F73"/>
    <w:rsid w:val="00C70665"/>
    <w:rsid w:val="00C71851"/>
    <w:rsid w:val="00C72E92"/>
    <w:rsid w:val="00C85227"/>
    <w:rsid w:val="00C940B5"/>
    <w:rsid w:val="00C96C13"/>
    <w:rsid w:val="00C97124"/>
    <w:rsid w:val="00CA269B"/>
    <w:rsid w:val="00CB6752"/>
    <w:rsid w:val="00CC1DE4"/>
    <w:rsid w:val="00CC6C63"/>
    <w:rsid w:val="00CE0BEA"/>
    <w:rsid w:val="00CF2107"/>
    <w:rsid w:val="00CF2435"/>
    <w:rsid w:val="00CF2EDF"/>
    <w:rsid w:val="00CF6672"/>
    <w:rsid w:val="00D055AC"/>
    <w:rsid w:val="00D11AA8"/>
    <w:rsid w:val="00D11C48"/>
    <w:rsid w:val="00D20AA2"/>
    <w:rsid w:val="00D2120B"/>
    <w:rsid w:val="00D26FCA"/>
    <w:rsid w:val="00D3155A"/>
    <w:rsid w:val="00D40057"/>
    <w:rsid w:val="00D51B3E"/>
    <w:rsid w:val="00D51FE7"/>
    <w:rsid w:val="00D60C44"/>
    <w:rsid w:val="00D61E14"/>
    <w:rsid w:val="00D6230A"/>
    <w:rsid w:val="00D63BE0"/>
    <w:rsid w:val="00D75BCF"/>
    <w:rsid w:val="00D77574"/>
    <w:rsid w:val="00D814BE"/>
    <w:rsid w:val="00D831CC"/>
    <w:rsid w:val="00D861F7"/>
    <w:rsid w:val="00D90DB7"/>
    <w:rsid w:val="00D924B9"/>
    <w:rsid w:val="00D946EC"/>
    <w:rsid w:val="00D94F1F"/>
    <w:rsid w:val="00D966EE"/>
    <w:rsid w:val="00D96D1F"/>
    <w:rsid w:val="00DA010D"/>
    <w:rsid w:val="00DA1340"/>
    <w:rsid w:val="00DA13F6"/>
    <w:rsid w:val="00DA2C5E"/>
    <w:rsid w:val="00DB0CD8"/>
    <w:rsid w:val="00DB6AFA"/>
    <w:rsid w:val="00DC1EAD"/>
    <w:rsid w:val="00DC715D"/>
    <w:rsid w:val="00DF3574"/>
    <w:rsid w:val="00DF4513"/>
    <w:rsid w:val="00DF4E6B"/>
    <w:rsid w:val="00E014CF"/>
    <w:rsid w:val="00E05FD8"/>
    <w:rsid w:val="00E12E5B"/>
    <w:rsid w:val="00E17AB1"/>
    <w:rsid w:val="00E249FD"/>
    <w:rsid w:val="00E31B66"/>
    <w:rsid w:val="00E353C1"/>
    <w:rsid w:val="00E4071E"/>
    <w:rsid w:val="00E40B50"/>
    <w:rsid w:val="00E51652"/>
    <w:rsid w:val="00E52A7F"/>
    <w:rsid w:val="00E5462D"/>
    <w:rsid w:val="00E57957"/>
    <w:rsid w:val="00E70C92"/>
    <w:rsid w:val="00E747BA"/>
    <w:rsid w:val="00E84892"/>
    <w:rsid w:val="00E8617E"/>
    <w:rsid w:val="00E913A2"/>
    <w:rsid w:val="00E915A1"/>
    <w:rsid w:val="00E9337E"/>
    <w:rsid w:val="00E94FC2"/>
    <w:rsid w:val="00EA1B86"/>
    <w:rsid w:val="00EB3AD7"/>
    <w:rsid w:val="00EB3F87"/>
    <w:rsid w:val="00EC6597"/>
    <w:rsid w:val="00ED1442"/>
    <w:rsid w:val="00ED3A50"/>
    <w:rsid w:val="00ED63DA"/>
    <w:rsid w:val="00ED7934"/>
    <w:rsid w:val="00EE1499"/>
    <w:rsid w:val="00EE44F3"/>
    <w:rsid w:val="00EF6E1B"/>
    <w:rsid w:val="00F03B0A"/>
    <w:rsid w:val="00F03BD9"/>
    <w:rsid w:val="00F13A4B"/>
    <w:rsid w:val="00F16A82"/>
    <w:rsid w:val="00F22717"/>
    <w:rsid w:val="00F318A2"/>
    <w:rsid w:val="00F42943"/>
    <w:rsid w:val="00F4298F"/>
    <w:rsid w:val="00F4307B"/>
    <w:rsid w:val="00F50B09"/>
    <w:rsid w:val="00F72E1E"/>
    <w:rsid w:val="00F733AD"/>
    <w:rsid w:val="00F74871"/>
    <w:rsid w:val="00F76690"/>
    <w:rsid w:val="00F8628D"/>
    <w:rsid w:val="00F8640A"/>
    <w:rsid w:val="00F95C20"/>
    <w:rsid w:val="00F97982"/>
    <w:rsid w:val="00FA160C"/>
    <w:rsid w:val="00FB1F52"/>
    <w:rsid w:val="00FB5F8E"/>
    <w:rsid w:val="00FC6BD1"/>
    <w:rsid w:val="00FD01D1"/>
    <w:rsid w:val="00FD3755"/>
    <w:rsid w:val="00FD52D1"/>
    <w:rsid w:val="00FE0D83"/>
    <w:rsid w:val="00FF7CDB"/>
    <w:rsid w:val="0147778C"/>
    <w:rsid w:val="016320EC"/>
    <w:rsid w:val="01771A70"/>
    <w:rsid w:val="01775839"/>
    <w:rsid w:val="01CE3A0A"/>
    <w:rsid w:val="02052445"/>
    <w:rsid w:val="02295651"/>
    <w:rsid w:val="023F42AD"/>
    <w:rsid w:val="02733AD3"/>
    <w:rsid w:val="02913AEA"/>
    <w:rsid w:val="02914C52"/>
    <w:rsid w:val="02B349AE"/>
    <w:rsid w:val="02BC7D06"/>
    <w:rsid w:val="03284D62"/>
    <w:rsid w:val="037B580E"/>
    <w:rsid w:val="03A4557D"/>
    <w:rsid w:val="03CB7E4E"/>
    <w:rsid w:val="04043E98"/>
    <w:rsid w:val="04133440"/>
    <w:rsid w:val="041A2F36"/>
    <w:rsid w:val="0477359C"/>
    <w:rsid w:val="049D280D"/>
    <w:rsid w:val="04B62533"/>
    <w:rsid w:val="04BC223F"/>
    <w:rsid w:val="04C133B2"/>
    <w:rsid w:val="05FD2B10"/>
    <w:rsid w:val="063436EC"/>
    <w:rsid w:val="074874DE"/>
    <w:rsid w:val="074958E1"/>
    <w:rsid w:val="074C7E41"/>
    <w:rsid w:val="07761A22"/>
    <w:rsid w:val="077C1812"/>
    <w:rsid w:val="079E028B"/>
    <w:rsid w:val="07A65E24"/>
    <w:rsid w:val="07AA637F"/>
    <w:rsid w:val="07C87E9A"/>
    <w:rsid w:val="07E15B19"/>
    <w:rsid w:val="080804DF"/>
    <w:rsid w:val="080D4ABF"/>
    <w:rsid w:val="08591B53"/>
    <w:rsid w:val="086724C2"/>
    <w:rsid w:val="089D471C"/>
    <w:rsid w:val="08C6543B"/>
    <w:rsid w:val="08D41A57"/>
    <w:rsid w:val="090B62D0"/>
    <w:rsid w:val="09484C65"/>
    <w:rsid w:val="096C18CA"/>
    <w:rsid w:val="099361D9"/>
    <w:rsid w:val="09A3752A"/>
    <w:rsid w:val="09B54772"/>
    <w:rsid w:val="09C35E1E"/>
    <w:rsid w:val="09C474A0"/>
    <w:rsid w:val="09CB6A81"/>
    <w:rsid w:val="09D60E8E"/>
    <w:rsid w:val="09EE249C"/>
    <w:rsid w:val="0A131582"/>
    <w:rsid w:val="0A200B7B"/>
    <w:rsid w:val="0A805ABD"/>
    <w:rsid w:val="0ABD33DC"/>
    <w:rsid w:val="0AD6392F"/>
    <w:rsid w:val="0AE14CE3"/>
    <w:rsid w:val="0AF110B1"/>
    <w:rsid w:val="0B0667AF"/>
    <w:rsid w:val="0B146E8E"/>
    <w:rsid w:val="0B2450DD"/>
    <w:rsid w:val="0B372620"/>
    <w:rsid w:val="0B593162"/>
    <w:rsid w:val="0B8213C1"/>
    <w:rsid w:val="0B8D69EC"/>
    <w:rsid w:val="0BDF05C2"/>
    <w:rsid w:val="0C083A3B"/>
    <w:rsid w:val="0C0B694E"/>
    <w:rsid w:val="0C2B51BA"/>
    <w:rsid w:val="0C3A344D"/>
    <w:rsid w:val="0C495E24"/>
    <w:rsid w:val="0C5121AD"/>
    <w:rsid w:val="0C5A022C"/>
    <w:rsid w:val="0C831895"/>
    <w:rsid w:val="0CA2689D"/>
    <w:rsid w:val="0CBC2F98"/>
    <w:rsid w:val="0CDC6108"/>
    <w:rsid w:val="0CED2886"/>
    <w:rsid w:val="0CF4009D"/>
    <w:rsid w:val="0CFF7650"/>
    <w:rsid w:val="0D31137D"/>
    <w:rsid w:val="0D3D1A44"/>
    <w:rsid w:val="0D3D3990"/>
    <w:rsid w:val="0D7511DD"/>
    <w:rsid w:val="0D7F3E0A"/>
    <w:rsid w:val="0DAD6BC9"/>
    <w:rsid w:val="0DB81183"/>
    <w:rsid w:val="0E1A5239"/>
    <w:rsid w:val="0E37750E"/>
    <w:rsid w:val="0E6179B4"/>
    <w:rsid w:val="0E965121"/>
    <w:rsid w:val="0ECD4846"/>
    <w:rsid w:val="0EFB6E16"/>
    <w:rsid w:val="0F1E7653"/>
    <w:rsid w:val="0F377874"/>
    <w:rsid w:val="0F451083"/>
    <w:rsid w:val="0F4C4877"/>
    <w:rsid w:val="0F4E1CE6"/>
    <w:rsid w:val="0F5110DE"/>
    <w:rsid w:val="0F635B66"/>
    <w:rsid w:val="0F6F706A"/>
    <w:rsid w:val="0F884F56"/>
    <w:rsid w:val="0FD14562"/>
    <w:rsid w:val="0FEA5E7E"/>
    <w:rsid w:val="0FF13BF0"/>
    <w:rsid w:val="10030D22"/>
    <w:rsid w:val="100D3AAB"/>
    <w:rsid w:val="10593038"/>
    <w:rsid w:val="109B1DDE"/>
    <w:rsid w:val="10BA2B12"/>
    <w:rsid w:val="10FE3922"/>
    <w:rsid w:val="11301FEB"/>
    <w:rsid w:val="1136313E"/>
    <w:rsid w:val="11987B90"/>
    <w:rsid w:val="11C12C43"/>
    <w:rsid w:val="11E47956"/>
    <w:rsid w:val="11ED1C8A"/>
    <w:rsid w:val="120E7E53"/>
    <w:rsid w:val="121D4830"/>
    <w:rsid w:val="122245C3"/>
    <w:rsid w:val="128B14A3"/>
    <w:rsid w:val="129E2972"/>
    <w:rsid w:val="12A10CC7"/>
    <w:rsid w:val="13117BFA"/>
    <w:rsid w:val="132B6329"/>
    <w:rsid w:val="133E0710"/>
    <w:rsid w:val="135172E5"/>
    <w:rsid w:val="138F488A"/>
    <w:rsid w:val="13935CCF"/>
    <w:rsid w:val="13AD4FA0"/>
    <w:rsid w:val="13C20EF5"/>
    <w:rsid w:val="13CE1647"/>
    <w:rsid w:val="13D405D2"/>
    <w:rsid w:val="13FA243C"/>
    <w:rsid w:val="14093D68"/>
    <w:rsid w:val="141F1648"/>
    <w:rsid w:val="143B06A1"/>
    <w:rsid w:val="146B50E8"/>
    <w:rsid w:val="146D70B2"/>
    <w:rsid w:val="14D97238"/>
    <w:rsid w:val="150D4BE0"/>
    <w:rsid w:val="1516102A"/>
    <w:rsid w:val="153656F6"/>
    <w:rsid w:val="153F18E5"/>
    <w:rsid w:val="154C4F1A"/>
    <w:rsid w:val="155815B8"/>
    <w:rsid w:val="15983ADA"/>
    <w:rsid w:val="15A00DC2"/>
    <w:rsid w:val="15B14D7D"/>
    <w:rsid w:val="15D35627"/>
    <w:rsid w:val="163C4F8E"/>
    <w:rsid w:val="165468DD"/>
    <w:rsid w:val="169E740B"/>
    <w:rsid w:val="16AD7004"/>
    <w:rsid w:val="170127DD"/>
    <w:rsid w:val="17283764"/>
    <w:rsid w:val="17991F6C"/>
    <w:rsid w:val="17AF1790"/>
    <w:rsid w:val="17C40C34"/>
    <w:rsid w:val="17C70888"/>
    <w:rsid w:val="17E27FC0"/>
    <w:rsid w:val="18256060"/>
    <w:rsid w:val="18267CA4"/>
    <w:rsid w:val="185B5474"/>
    <w:rsid w:val="18652AAD"/>
    <w:rsid w:val="189F1527"/>
    <w:rsid w:val="18A94431"/>
    <w:rsid w:val="18C272A1"/>
    <w:rsid w:val="18DF7E53"/>
    <w:rsid w:val="195720DF"/>
    <w:rsid w:val="19640588"/>
    <w:rsid w:val="197C38F4"/>
    <w:rsid w:val="19865EB8"/>
    <w:rsid w:val="19A72F05"/>
    <w:rsid w:val="19CD53BC"/>
    <w:rsid w:val="19F45B80"/>
    <w:rsid w:val="1A004525"/>
    <w:rsid w:val="1A0B199D"/>
    <w:rsid w:val="1A156002"/>
    <w:rsid w:val="1A3441CE"/>
    <w:rsid w:val="1A345F7C"/>
    <w:rsid w:val="1A76381F"/>
    <w:rsid w:val="1A9F4922"/>
    <w:rsid w:val="1AC437A4"/>
    <w:rsid w:val="1B2F423B"/>
    <w:rsid w:val="1B4A3CA9"/>
    <w:rsid w:val="1B5902CA"/>
    <w:rsid w:val="1B8F6162"/>
    <w:rsid w:val="1B9324AC"/>
    <w:rsid w:val="1BC85DEE"/>
    <w:rsid w:val="1C3D55BC"/>
    <w:rsid w:val="1C3E7D13"/>
    <w:rsid w:val="1C4701E9"/>
    <w:rsid w:val="1C4A1A87"/>
    <w:rsid w:val="1C6129CF"/>
    <w:rsid w:val="1C8054D8"/>
    <w:rsid w:val="1C830677"/>
    <w:rsid w:val="1C881000"/>
    <w:rsid w:val="1CF30371"/>
    <w:rsid w:val="1CF77E61"/>
    <w:rsid w:val="1D0E6F59"/>
    <w:rsid w:val="1D0F5CE9"/>
    <w:rsid w:val="1D45753C"/>
    <w:rsid w:val="1D4E55A7"/>
    <w:rsid w:val="1D526E45"/>
    <w:rsid w:val="1D774AFE"/>
    <w:rsid w:val="1D820E00"/>
    <w:rsid w:val="1D87492B"/>
    <w:rsid w:val="1DAD49C3"/>
    <w:rsid w:val="1DD356EE"/>
    <w:rsid w:val="1DD43CD2"/>
    <w:rsid w:val="1DE81558"/>
    <w:rsid w:val="1DEE27D7"/>
    <w:rsid w:val="1DF55503"/>
    <w:rsid w:val="1E1D56A5"/>
    <w:rsid w:val="1E222B27"/>
    <w:rsid w:val="1E5132F3"/>
    <w:rsid w:val="1E707ECB"/>
    <w:rsid w:val="1EC55FD2"/>
    <w:rsid w:val="1F4D3D68"/>
    <w:rsid w:val="1F533AF7"/>
    <w:rsid w:val="1F5B6846"/>
    <w:rsid w:val="1F7667A2"/>
    <w:rsid w:val="1F930340"/>
    <w:rsid w:val="1F960E66"/>
    <w:rsid w:val="1FB77434"/>
    <w:rsid w:val="1FCF6E73"/>
    <w:rsid w:val="1FEF3071"/>
    <w:rsid w:val="20312F8D"/>
    <w:rsid w:val="203767C6"/>
    <w:rsid w:val="20392E29"/>
    <w:rsid w:val="204F58BE"/>
    <w:rsid w:val="205424F2"/>
    <w:rsid w:val="20594137"/>
    <w:rsid w:val="20647D92"/>
    <w:rsid w:val="208E02C2"/>
    <w:rsid w:val="20B9542D"/>
    <w:rsid w:val="20DE6C42"/>
    <w:rsid w:val="20E171AB"/>
    <w:rsid w:val="21050673"/>
    <w:rsid w:val="21422605"/>
    <w:rsid w:val="21781C40"/>
    <w:rsid w:val="21F158C2"/>
    <w:rsid w:val="21F64299"/>
    <w:rsid w:val="220D5A31"/>
    <w:rsid w:val="2228724C"/>
    <w:rsid w:val="2234753A"/>
    <w:rsid w:val="226F0499"/>
    <w:rsid w:val="228A52D3"/>
    <w:rsid w:val="22965A26"/>
    <w:rsid w:val="22AC11F5"/>
    <w:rsid w:val="22C8067F"/>
    <w:rsid w:val="22E559C0"/>
    <w:rsid w:val="232B2612"/>
    <w:rsid w:val="23360FB7"/>
    <w:rsid w:val="237151DC"/>
    <w:rsid w:val="23C9515D"/>
    <w:rsid w:val="23D20D41"/>
    <w:rsid w:val="23E822B1"/>
    <w:rsid w:val="241F37F9"/>
    <w:rsid w:val="24777FE4"/>
    <w:rsid w:val="248D27DF"/>
    <w:rsid w:val="24EB5A98"/>
    <w:rsid w:val="24F1274B"/>
    <w:rsid w:val="2539433E"/>
    <w:rsid w:val="25565941"/>
    <w:rsid w:val="25592D3B"/>
    <w:rsid w:val="255B37E4"/>
    <w:rsid w:val="2569099C"/>
    <w:rsid w:val="257D23E4"/>
    <w:rsid w:val="258838EE"/>
    <w:rsid w:val="25961A63"/>
    <w:rsid w:val="259C50DB"/>
    <w:rsid w:val="25E11F28"/>
    <w:rsid w:val="25E2401F"/>
    <w:rsid w:val="268229D3"/>
    <w:rsid w:val="26E56F7C"/>
    <w:rsid w:val="270C1325"/>
    <w:rsid w:val="27223D2C"/>
    <w:rsid w:val="2768723D"/>
    <w:rsid w:val="277A3B68"/>
    <w:rsid w:val="27932534"/>
    <w:rsid w:val="27995F47"/>
    <w:rsid w:val="280C6A7D"/>
    <w:rsid w:val="285717B4"/>
    <w:rsid w:val="285A7BB7"/>
    <w:rsid w:val="285D442D"/>
    <w:rsid w:val="28724840"/>
    <w:rsid w:val="28795BCE"/>
    <w:rsid w:val="287D154C"/>
    <w:rsid w:val="28A905E8"/>
    <w:rsid w:val="28D4171B"/>
    <w:rsid w:val="291563E4"/>
    <w:rsid w:val="29177537"/>
    <w:rsid w:val="297A7E50"/>
    <w:rsid w:val="297D12CC"/>
    <w:rsid w:val="29EC615C"/>
    <w:rsid w:val="2A3C6EB3"/>
    <w:rsid w:val="2A677984"/>
    <w:rsid w:val="2A81661D"/>
    <w:rsid w:val="2AA902C1"/>
    <w:rsid w:val="2AAA6513"/>
    <w:rsid w:val="2AFB6D6E"/>
    <w:rsid w:val="2B035C23"/>
    <w:rsid w:val="2B07727B"/>
    <w:rsid w:val="2B177008"/>
    <w:rsid w:val="2B192C7B"/>
    <w:rsid w:val="2B361B54"/>
    <w:rsid w:val="2B577D1D"/>
    <w:rsid w:val="2B877ED9"/>
    <w:rsid w:val="2B926AEE"/>
    <w:rsid w:val="2BA246D3"/>
    <w:rsid w:val="2BB40B4E"/>
    <w:rsid w:val="2BBF159C"/>
    <w:rsid w:val="2C210A56"/>
    <w:rsid w:val="2C7F577D"/>
    <w:rsid w:val="2CA137A4"/>
    <w:rsid w:val="2CA62D0A"/>
    <w:rsid w:val="2CB27900"/>
    <w:rsid w:val="2CFC4CF4"/>
    <w:rsid w:val="2D0363AE"/>
    <w:rsid w:val="2D04195B"/>
    <w:rsid w:val="2D045C82"/>
    <w:rsid w:val="2D452C17"/>
    <w:rsid w:val="2D8851CD"/>
    <w:rsid w:val="2D9E7067"/>
    <w:rsid w:val="2DAE43A3"/>
    <w:rsid w:val="2DB02F5B"/>
    <w:rsid w:val="2DDC340E"/>
    <w:rsid w:val="2E057F04"/>
    <w:rsid w:val="2E2F7901"/>
    <w:rsid w:val="2E373D88"/>
    <w:rsid w:val="2E4A6ED7"/>
    <w:rsid w:val="2E4B4B3E"/>
    <w:rsid w:val="2E7A5BCB"/>
    <w:rsid w:val="2EA25753"/>
    <w:rsid w:val="2EA65243"/>
    <w:rsid w:val="2EE144CD"/>
    <w:rsid w:val="2EE16F9B"/>
    <w:rsid w:val="2F2A7C22"/>
    <w:rsid w:val="2F3852A5"/>
    <w:rsid w:val="2F520F27"/>
    <w:rsid w:val="2F6169C3"/>
    <w:rsid w:val="2F6A001E"/>
    <w:rsid w:val="2F9037FD"/>
    <w:rsid w:val="2FD5167C"/>
    <w:rsid w:val="2FE4608A"/>
    <w:rsid w:val="2FF87D20"/>
    <w:rsid w:val="30081670"/>
    <w:rsid w:val="30444C3A"/>
    <w:rsid w:val="305D7889"/>
    <w:rsid w:val="30801E88"/>
    <w:rsid w:val="308950A8"/>
    <w:rsid w:val="30B05F05"/>
    <w:rsid w:val="30E23912"/>
    <w:rsid w:val="30E741CE"/>
    <w:rsid w:val="31233144"/>
    <w:rsid w:val="313E5C07"/>
    <w:rsid w:val="3140197F"/>
    <w:rsid w:val="31653193"/>
    <w:rsid w:val="319F507A"/>
    <w:rsid w:val="32334426"/>
    <w:rsid w:val="32456DFD"/>
    <w:rsid w:val="32580F24"/>
    <w:rsid w:val="3294550E"/>
    <w:rsid w:val="32CE0ED8"/>
    <w:rsid w:val="32F056C3"/>
    <w:rsid w:val="32F3059E"/>
    <w:rsid w:val="32F32A21"/>
    <w:rsid w:val="33072028"/>
    <w:rsid w:val="333E51A2"/>
    <w:rsid w:val="335603B3"/>
    <w:rsid w:val="3370679B"/>
    <w:rsid w:val="33B05CAE"/>
    <w:rsid w:val="342F7A89"/>
    <w:rsid w:val="34563267"/>
    <w:rsid w:val="345E2581"/>
    <w:rsid w:val="349D49F2"/>
    <w:rsid w:val="349E2F7E"/>
    <w:rsid w:val="34CE139E"/>
    <w:rsid w:val="34E45E7B"/>
    <w:rsid w:val="34EA4CF0"/>
    <w:rsid w:val="350E3B42"/>
    <w:rsid w:val="354B08F2"/>
    <w:rsid w:val="35851C67"/>
    <w:rsid w:val="35B446E9"/>
    <w:rsid w:val="35EB4E83"/>
    <w:rsid w:val="3600792F"/>
    <w:rsid w:val="364D41F6"/>
    <w:rsid w:val="36665724"/>
    <w:rsid w:val="3694343E"/>
    <w:rsid w:val="369F37DF"/>
    <w:rsid w:val="36AC24EB"/>
    <w:rsid w:val="36C57FE9"/>
    <w:rsid w:val="36E83F1F"/>
    <w:rsid w:val="37091293"/>
    <w:rsid w:val="37175BB2"/>
    <w:rsid w:val="37405B09"/>
    <w:rsid w:val="3742177B"/>
    <w:rsid w:val="37456BF7"/>
    <w:rsid w:val="37472FB7"/>
    <w:rsid w:val="37DD3BCB"/>
    <w:rsid w:val="37E45767"/>
    <w:rsid w:val="37FE0959"/>
    <w:rsid w:val="38044B76"/>
    <w:rsid w:val="382D15CB"/>
    <w:rsid w:val="382F4187"/>
    <w:rsid w:val="38305B7D"/>
    <w:rsid w:val="38CD4E3D"/>
    <w:rsid w:val="38EC79CB"/>
    <w:rsid w:val="38F35529"/>
    <w:rsid w:val="3927469E"/>
    <w:rsid w:val="39601DC4"/>
    <w:rsid w:val="39685573"/>
    <w:rsid w:val="39A14F85"/>
    <w:rsid w:val="39D64754"/>
    <w:rsid w:val="3A0574CE"/>
    <w:rsid w:val="3A3B6A2D"/>
    <w:rsid w:val="3B207B27"/>
    <w:rsid w:val="3B333E38"/>
    <w:rsid w:val="3B5623E4"/>
    <w:rsid w:val="3B7F3C6C"/>
    <w:rsid w:val="3B862684"/>
    <w:rsid w:val="3B892174"/>
    <w:rsid w:val="3BB62255"/>
    <w:rsid w:val="3BD72EE0"/>
    <w:rsid w:val="3C00543F"/>
    <w:rsid w:val="3C1934F8"/>
    <w:rsid w:val="3C2854E9"/>
    <w:rsid w:val="3C2E0626"/>
    <w:rsid w:val="3C471B88"/>
    <w:rsid w:val="3CCB40C7"/>
    <w:rsid w:val="3CE602FE"/>
    <w:rsid w:val="3D090F69"/>
    <w:rsid w:val="3D091727"/>
    <w:rsid w:val="3D361B91"/>
    <w:rsid w:val="3D567E34"/>
    <w:rsid w:val="3D5D5666"/>
    <w:rsid w:val="3D6A1FEF"/>
    <w:rsid w:val="3D6C3AFB"/>
    <w:rsid w:val="3D6E1622"/>
    <w:rsid w:val="3D917641"/>
    <w:rsid w:val="3D9848F1"/>
    <w:rsid w:val="3D9B2017"/>
    <w:rsid w:val="3E0064AE"/>
    <w:rsid w:val="3E11768E"/>
    <w:rsid w:val="3E141C6C"/>
    <w:rsid w:val="3E7417F7"/>
    <w:rsid w:val="3E9450B8"/>
    <w:rsid w:val="3E965FDE"/>
    <w:rsid w:val="3ECE2AC7"/>
    <w:rsid w:val="3ED25BE0"/>
    <w:rsid w:val="3EEC522C"/>
    <w:rsid w:val="3F087854"/>
    <w:rsid w:val="3F5875F0"/>
    <w:rsid w:val="3F6F78D3"/>
    <w:rsid w:val="3F7A6514"/>
    <w:rsid w:val="3F89533D"/>
    <w:rsid w:val="3F8C2233"/>
    <w:rsid w:val="3FA66E58"/>
    <w:rsid w:val="3FFE46AE"/>
    <w:rsid w:val="4021297B"/>
    <w:rsid w:val="403623E0"/>
    <w:rsid w:val="40491ED2"/>
    <w:rsid w:val="40736F4F"/>
    <w:rsid w:val="40F005A0"/>
    <w:rsid w:val="410D308F"/>
    <w:rsid w:val="41465C9A"/>
    <w:rsid w:val="41590DEA"/>
    <w:rsid w:val="41650BBE"/>
    <w:rsid w:val="41776119"/>
    <w:rsid w:val="417B430D"/>
    <w:rsid w:val="41A8103D"/>
    <w:rsid w:val="41B002E6"/>
    <w:rsid w:val="41F30F3B"/>
    <w:rsid w:val="420A0B6A"/>
    <w:rsid w:val="4214206C"/>
    <w:rsid w:val="422074F9"/>
    <w:rsid w:val="42764AD5"/>
    <w:rsid w:val="429E4757"/>
    <w:rsid w:val="42B90078"/>
    <w:rsid w:val="42CA554C"/>
    <w:rsid w:val="42EB4316"/>
    <w:rsid w:val="42EC5B26"/>
    <w:rsid w:val="42F205FF"/>
    <w:rsid w:val="42F223AD"/>
    <w:rsid w:val="43377CBA"/>
    <w:rsid w:val="43C40663"/>
    <w:rsid w:val="43C43ECF"/>
    <w:rsid w:val="43D0279A"/>
    <w:rsid w:val="441D303C"/>
    <w:rsid w:val="4436451B"/>
    <w:rsid w:val="443D7EA1"/>
    <w:rsid w:val="444825E0"/>
    <w:rsid w:val="444D1C5E"/>
    <w:rsid w:val="448636F5"/>
    <w:rsid w:val="4487121B"/>
    <w:rsid w:val="449C37AC"/>
    <w:rsid w:val="44A129A4"/>
    <w:rsid w:val="44DF1057"/>
    <w:rsid w:val="45000DEB"/>
    <w:rsid w:val="4508410A"/>
    <w:rsid w:val="451F76A5"/>
    <w:rsid w:val="45244CBC"/>
    <w:rsid w:val="4545504A"/>
    <w:rsid w:val="455463BD"/>
    <w:rsid w:val="45837C34"/>
    <w:rsid w:val="45881F2E"/>
    <w:rsid w:val="459040FF"/>
    <w:rsid w:val="45941E41"/>
    <w:rsid w:val="45BC7DE7"/>
    <w:rsid w:val="45D7122F"/>
    <w:rsid w:val="460C4E4B"/>
    <w:rsid w:val="464D1729"/>
    <w:rsid w:val="466C06C8"/>
    <w:rsid w:val="4674757D"/>
    <w:rsid w:val="46A3209A"/>
    <w:rsid w:val="4723522B"/>
    <w:rsid w:val="473E559B"/>
    <w:rsid w:val="47402C54"/>
    <w:rsid w:val="47413903"/>
    <w:rsid w:val="47415AA9"/>
    <w:rsid w:val="47515EB8"/>
    <w:rsid w:val="47755A79"/>
    <w:rsid w:val="47DC362C"/>
    <w:rsid w:val="48027536"/>
    <w:rsid w:val="4803505C"/>
    <w:rsid w:val="48044C45"/>
    <w:rsid w:val="482374AD"/>
    <w:rsid w:val="488D0A07"/>
    <w:rsid w:val="489E3443"/>
    <w:rsid w:val="48C1327A"/>
    <w:rsid w:val="49070198"/>
    <w:rsid w:val="493E4DB3"/>
    <w:rsid w:val="498E5A84"/>
    <w:rsid w:val="49A07007"/>
    <w:rsid w:val="4A353923"/>
    <w:rsid w:val="4A4275EA"/>
    <w:rsid w:val="4A840D20"/>
    <w:rsid w:val="4AAE7501"/>
    <w:rsid w:val="4AE747C1"/>
    <w:rsid w:val="4B1B26BD"/>
    <w:rsid w:val="4B294798"/>
    <w:rsid w:val="4B4A4683"/>
    <w:rsid w:val="4B6E6C91"/>
    <w:rsid w:val="4B7A699D"/>
    <w:rsid w:val="4BAD59F6"/>
    <w:rsid w:val="4BB42723"/>
    <w:rsid w:val="4BC845F3"/>
    <w:rsid w:val="4BD93E39"/>
    <w:rsid w:val="4BE00E88"/>
    <w:rsid w:val="4BF00107"/>
    <w:rsid w:val="4C1E403F"/>
    <w:rsid w:val="4C466997"/>
    <w:rsid w:val="4C6B790A"/>
    <w:rsid w:val="4C791DD4"/>
    <w:rsid w:val="4C7B7616"/>
    <w:rsid w:val="4CB77512"/>
    <w:rsid w:val="4CBB4258"/>
    <w:rsid w:val="4CD13EDD"/>
    <w:rsid w:val="4CD243C2"/>
    <w:rsid w:val="4D2974B6"/>
    <w:rsid w:val="4D414435"/>
    <w:rsid w:val="4D9C5D37"/>
    <w:rsid w:val="4DA4046A"/>
    <w:rsid w:val="4DE4323A"/>
    <w:rsid w:val="4DEE3891"/>
    <w:rsid w:val="4DF6642F"/>
    <w:rsid w:val="4E006F87"/>
    <w:rsid w:val="4E0E52FD"/>
    <w:rsid w:val="4E523D53"/>
    <w:rsid w:val="4E6C228A"/>
    <w:rsid w:val="4E917D74"/>
    <w:rsid w:val="4EA35438"/>
    <w:rsid w:val="4EAC01FC"/>
    <w:rsid w:val="4EFC2910"/>
    <w:rsid w:val="4F0F5C75"/>
    <w:rsid w:val="4F100791"/>
    <w:rsid w:val="4F8C042A"/>
    <w:rsid w:val="4FAA40AD"/>
    <w:rsid w:val="4FC9791E"/>
    <w:rsid w:val="4FD95020"/>
    <w:rsid w:val="501A5395"/>
    <w:rsid w:val="50273BC0"/>
    <w:rsid w:val="503E1327"/>
    <w:rsid w:val="504618B3"/>
    <w:rsid w:val="50E951B4"/>
    <w:rsid w:val="50EA2AF2"/>
    <w:rsid w:val="51121E6C"/>
    <w:rsid w:val="51142088"/>
    <w:rsid w:val="51346287"/>
    <w:rsid w:val="519111B4"/>
    <w:rsid w:val="51BF4A8D"/>
    <w:rsid w:val="52061558"/>
    <w:rsid w:val="52140592"/>
    <w:rsid w:val="525E7386"/>
    <w:rsid w:val="52650DED"/>
    <w:rsid w:val="527266E3"/>
    <w:rsid w:val="52770B21"/>
    <w:rsid w:val="52DA06BF"/>
    <w:rsid w:val="530879CB"/>
    <w:rsid w:val="53145CAE"/>
    <w:rsid w:val="531D71BC"/>
    <w:rsid w:val="532E5683"/>
    <w:rsid w:val="53620262"/>
    <w:rsid w:val="53962FC8"/>
    <w:rsid w:val="53CC6C4A"/>
    <w:rsid w:val="53E86B66"/>
    <w:rsid w:val="543640C4"/>
    <w:rsid w:val="547E00EE"/>
    <w:rsid w:val="54A454D1"/>
    <w:rsid w:val="54BF40B9"/>
    <w:rsid w:val="54C45AEC"/>
    <w:rsid w:val="54DE7752"/>
    <w:rsid w:val="54FF095A"/>
    <w:rsid w:val="551843DC"/>
    <w:rsid w:val="55284354"/>
    <w:rsid w:val="554C1C7A"/>
    <w:rsid w:val="55945546"/>
    <w:rsid w:val="559B2DBC"/>
    <w:rsid w:val="55C027DF"/>
    <w:rsid w:val="55F67FAE"/>
    <w:rsid w:val="561D6607"/>
    <w:rsid w:val="561F3061"/>
    <w:rsid w:val="56286BBA"/>
    <w:rsid w:val="566118CC"/>
    <w:rsid w:val="56670935"/>
    <w:rsid w:val="56B03639"/>
    <w:rsid w:val="56C17ADA"/>
    <w:rsid w:val="56C3158B"/>
    <w:rsid w:val="56DE5629"/>
    <w:rsid w:val="56E16569"/>
    <w:rsid w:val="56FA64B4"/>
    <w:rsid w:val="573C1A3C"/>
    <w:rsid w:val="574F0315"/>
    <w:rsid w:val="578A30A4"/>
    <w:rsid w:val="57A87D5F"/>
    <w:rsid w:val="57C71C02"/>
    <w:rsid w:val="57CA608D"/>
    <w:rsid w:val="57DB3B40"/>
    <w:rsid w:val="58632988"/>
    <w:rsid w:val="587B56FF"/>
    <w:rsid w:val="5887419E"/>
    <w:rsid w:val="58B42919"/>
    <w:rsid w:val="58CD49BB"/>
    <w:rsid w:val="58FA6008"/>
    <w:rsid w:val="597A39A5"/>
    <w:rsid w:val="598453B0"/>
    <w:rsid w:val="598B1EC7"/>
    <w:rsid w:val="598B321A"/>
    <w:rsid w:val="59981AA8"/>
    <w:rsid w:val="59B70487"/>
    <w:rsid w:val="59BA4539"/>
    <w:rsid w:val="59CD519D"/>
    <w:rsid w:val="59D754DE"/>
    <w:rsid w:val="59EE16C8"/>
    <w:rsid w:val="59F36CDF"/>
    <w:rsid w:val="5A342802"/>
    <w:rsid w:val="5A7616BE"/>
    <w:rsid w:val="5A7C160E"/>
    <w:rsid w:val="5AD3353E"/>
    <w:rsid w:val="5AE26653"/>
    <w:rsid w:val="5AF50FAA"/>
    <w:rsid w:val="5B195808"/>
    <w:rsid w:val="5B1E1A21"/>
    <w:rsid w:val="5B1F3F91"/>
    <w:rsid w:val="5B446F06"/>
    <w:rsid w:val="5B63290A"/>
    <w:rsid w:val="5B6F05E7"/>
    <w:rsid w:val="5B6F4A8B"/>
    <w:rsid w:val="5B77749C"/>
    <w:rsid w:val="5B7C71A8"/>
    <w:rsid w:val="5B7D7A68"/>
    <w:rsid w:val="5B7E71DB"/>
    <w:rsid w:val="5B9731F0"/>
    <w:rsid w:val="5BA20ED8"/>
    <w:rsid w:val="5BB41C4B"/>
    <w:rsid w:val="5BFC60C7"/>
    <w:rsid w:val="5C060F4E"/>
    <w:rsid w:val="5C2B7207"/>
    <w:rsid w:val="5C393185"/>
    <w:rsid w:val="5C611FEA"/>
    <w:rsid w:val="5CFB2F57"/>
    <w:rsid w:val="5D757965"/>
    <w:rsid w:val="5D801B9B"/>
    <w:rsid w:val="5D883439"/>
    <w:rsid w:val="5DC23188"/>
    <w:rsid w:val="5DC7295C"/>
    <w:rsid w:val="5DEF3C61"/>
    <w:rsid w:val="5E0A2849"/>
    <w:rsid w:val="5E537DEC"/>
    <w:rsid w:val="5E5A37D0"/>
    <w:rsid w:val="5E663B01"/>
    <w:rsid w:val="5E8C0D7D"/>
    <w:rsid w:val="5E9563D0"/>
    <w:rsid w:val="5EFB48AA"/>
    <w:rsid w:val="5F0B56FE"/>
    <w:rsid w:val="5F3B6A32"/>
    <w:rsid w:val="60025ECE"/>
    <w:rsid w:val="60185C19"/>
    <w:rsid w:val="60280F28"/>
    <w:rsid w:val="605A30DB"/>
    <w:rsid w:val="60831ABD"/>
    <w:rsid w:val="608D2449"/>
    <w:rsid w:val="608E3D80"/>
    <w:rsid w:val="609D073D"/>
    <w:rsid w:val="60AF087B"/>
    <w:rsid w:val="60F31CBA"/>
    <w:rsid w:val="60FE3FFC"/>
    <w:rsid w:val="613B08A1"/>
    <w:rsid w:val="615B2F3D"/>
    <w:rsid w:val="615F2EAC"/>
    <w:rsid w:val="61B96A60"/>
    <w:rsid w:val="61BC201A"/>
    <w:rsid w:val="61EF3FE8"/>
    <w:rsid w:val="62325985"/>
    <w:rsid w:val="624C767D"/>
    <w:rsid w:val="626D3C8E"/>
    <w:rsid w:val="628D7A4F"/>
    <w:rsid w:val="62A36DC8"/>
    <w:rsid w:val="62A5413E"/>
    <w:rsid w:val="62B57A52"/>
    <w:rsid w:val="62B66AFB"/>
    <w:rsid w:val="62CA4EB5"/>
    <w:rsid w:val="63540D79"/>
    <w:rsid w:val="63866582"/>
    <w:rsid w:val="63892462"/>
    <w:rsid w:val="63A707BD"/>
    <w:rsid w:val="63E43B3C"/>
    <w:rsid w:val="64024135"/>
    <w:rsid w:val="6417181C"/>
    <w:rsid w:val="642B049C"/>
    <w:rsid w:val="644D16E1"/>
    <w:rsid w:val="645A795A"/>
    <w:rsid w:val="646D3B32"/>
    <w:rsid w:val="64BB664B"/>
    <w:rsid w:val="64BD077B"/>
    <w:rsid w:val="64CC2D31"/>
    <w:rsid w:val="65164DA3"/>
    <w:rsid w:val="653D3504"/>
    <w:rsid w:val="6542371A"/>
    <w:rsid w:val="655E78DF"/>
    <w:rsid w:val="65982E30"/>
    <w:rsid w:val="659946D9"/>
    <w:rsid w:val="65D06126"/>
    <w:rsid w:val="65D06F7C"/>
    <w:rsid w:val="663761A5"/>
    <w:rsid w:val="665062F1"/>
    <w:rsid w:val="66630B5B"/>
    <w:rsid w:val="667342C5"/>
    <w:rsid w:val="668A4527"/>
    <w:rsid w:val="66BD7B8D"/>
    <w:rsid w:val="66EA2574"/>
    <w:rsid w:val="6737676F"/>
    <w:rsid w:val="673E3563"/>
    <w:rsid w:val="673F25F6"/>
    <w:rsid w:val="676D3097"/>
    <w:rsid w:val="678E0DF1"/>
    <w:rsid w:val="67910B9E"/>
    <w:rsid w:val="67C41CBB"/>
    <w:rsid w:val="67E265E5"/>
    <w:rsid w:val="67E61441"/>
    <w:rsid w:val="680D073C"/>
    <w:rsid w:val="683F57E5"/>
    <w:rsid w:val="6884144A"/>
    <w:rsid w:val="68D26B03"/>
    <w:rsid w:val="68D91796"/>
    <w:rsid w:val="69026F3E"/>
    <w:rsid w:val="6928578C"/>
    <w:rsid w:val="69360996"/>
    <w:rsid w:val="696F5C56"/>
    <w:rsid w:val="69727678"/>
    <w:rsid w:val="69842026"/>
    <w:rsid w:val="698A0858"/>
    <w:rsid w:val="698C05B6"/>
    <w:rsid w:val="69C2047C"/>
    <w:rsid w:val="69F177EC"/>
    <w:rsid w:val="6A102153"/>
    <w:rsid w:val="6A16414F"/>
    <w:rsid w:val="6A4470E3"/>
    <w:rsid w:val="6A5135B7"/>
    <w:rsid w:val="6A540A0D"/>
    <w:rsid w:val="6A69254F"/>
    <w:rsid w:val="6A692C71"/>
    <w:rsid w:val="6A924EC1"/>
    <w:rsid w:val="6ABC4ECB"/>
    <w:rsid w:val="6AF34991"/>
    <w:rsid w:val="6B036F9E"/>
    <w:rsid w:val="6B2A0087"/>
    <w:rsid w:val="6B352EA6"/>
    <w:rsid w:val="6B5E682D"/>
    <w:rsid w:val="6B637A3C"/>
    <w:rsid w:val="6B7834E8"/>
    <w:rsid w:val="6BA12D26"/>
    <w:rsid w:val="6BA936A1"/>
    <w:rsid w:val="6BDB3A77"/>
    <w:rsid w:val="6BEA2173"/>
    <w:rsid w:val="6C0E79A8"/>
    <w:rsid w:val="6C184383"/>
    <w:rsid w:val="6C2D6C9C"/>
    <w:rsid w:val="6C5630FD"/>
    <w:rsid w:val="6D1C5D3C"/>
    <w:rsid w:val="6D4C69DA"/>
    <w:rsid w:val="6D5D0BE7"/>
    <w:rsid w:val="6D7E7D56"/>
    <w:rsid w:val="6DCF0C2C"/>
    <w:rsid w:val="6E1E278A"/>
    <w:rsid w:val="6E203F10"/>
    <w:rsid w:val="6E242AF9"/>
    <w:rsid w:val="6E2C0197"/>
    <w:rsid w:val="6E340ED1"/>
    <w:rsid w:val="6E595916"/>
    <w:rsid w:val="6E8351F2"/>
    <w:rsid w:val="6EAB2BDD"/>
    <w:rsid w:val="6ECA7C38"/>
    <w:rsid w:val="6F3616B9"/>
    <w:rsid w:val="6F6439B1"/>
    <w:rsid w:val="6F667AFB"/>
    <w:rsid w:val="6FB5098B"/>
    <w:rsid w:val="6FCE5555"/>
    <w:rsid w:val="701F03D6"/>
    <w:rsid w:val="70314139"/>
    <w:rsid w:val="70C77942"/>
    <w:rsid w:val="70F75191"/>
    <w:rsid w:val="71020037"/>
    <w:rsid w:val="710D6480"/>
    <w:rsid w:val="711772FF"/>
    <w:rsid w:val="711E13AF"/>
    <w:rsid w:val="71623A54"/>
    <w:rsid w:val="719F3486"/>
    <w:rsid w:val="71A52BA3"/>
    <w:rsid w:val="71AA3778"/>
    <w:rsid w:val="71B66B18"/>
    <w:rsid w:val="71CC2862"/>
    <w:rsid w:val="71E52F59"/>
    <w:rsid w:val="723932A5"/>
    <w:rsid w:val="724C122A"/>
    <w:rsid w:val="72822E9E"/>
    <w:rsid w:val="72830D37"/>
    <w:rsid w:val="72D61B6A"/>
    <w:rsid w:val="73DA0F58"/>
    <w:rsid w:val="73DE4ECE"/>
    <w:rsid w:val="7416389E"/>
    <w:rsid w:val="749E3893"/>
    <w:rsid w:val="74AA048A"/>
    <w:rsid w:val="74AC5225"/>
    <w:rsid w:val="74DD7F25"/>
    <w:rsid w:val="750162FC"/>
    <w:rsid w:val="75226C5F"/>
    <w:rsid w:val="752E2431"/>
    <w:rsid w:val="753164B5"/>
    <w:rsid w:val="75705230"/>
    <w:rsid w:val="75725AC6"/>
    <w:rsid w:val="757A7E5C"/>
    <w:rsid w:val="758F7D96"/>
    <w:rsid w:val="759616B8"/>
    <w:rsid w:val="75BF3CC6"/>
    <w:rsid w:val="75C117AB"/>
    <w:rsid w:val="75C56B62"/>
    <w:rsid w:val="75E13225"/>
    <w:rsid w:val="75FE45EA"/>
    <w:rsid w:val="760D2164"/>
    <w:rsid w:val="762A3631"/>
    <w:rsid w:val="762F50EB"/>
    <w:rsid w:val="76485D70"/>
    <w:rsid w:val="765A1DBB"/>
    <w:rsid w:val="768865A9"/>
    <w:rsid w:val="76FB6D7B"/>
    <w:rsid w:val="77073972"/>
    <w:rsid w:val="770D7DE1"/>
    <w:rsid w:val="77176796"/>
    <w:rsid w:val="773F43E8"/>
    <w:rsid w:val="77476464"/>
    <w:rsid w:val="7751028F"/>
    <w:rsid w:val="77636D28"/>
    <w:rsid w:val="777E6082"/>
    <w:rsid w:val="7789640B"/>
    <w:rsid w:val="77B07B65"/>
    <w:rsid w:val="77C1415C"/>
    <w:rsid w:val="77E3519E"/>
    <w:rsid w:val="77EA7B2B"/>
    <w:rsid w:val="787963AE"/>
    <w:rsid w:val="78A7746F"/>
    <w:rsid w:val="78BF71EE"/>
    <w:rsid w:val="78C76865"/>
    <w:rsid w:val="78D36201"/>
    <w:rsid w:val="78F821C0"/>
    <w:rsid w:val="790A7749"/>
    <w:rsid w:val="79297113"/>
    <w:rsid w:val="79604CB7"/>
    <w:rsid w:val="79B101F4"/>
    <w:rsid w:val="79C8540B"/>
    <w:rsid w:val="79E12D87"/>
    <w:rsid w:val="79EC0B0A"/>
    <w:rsid w:val="7A13704E"/>
    <w:rsid w:val="7A141C0F"/>
    <w:rsid w:val="7A332903"/>
    <w:rsid w:val="7A652E89"/>
    <w:rsid w:val="7A94376E"/>
    <w:rsid w:val="7AC51EE9"/>
    <w:rsid w:val="7AC57DCC"/>
    <w:rsid w:val="7AF8313A"/>
    <w:rsid w:val="7B1B79EC"/>
    <w:rsid w:val="7B26393D"/>
    <w:rsid w:val="7B3908A7"/>
    <w:rsid w:val="7B68063A"/>
    <w:rsid w:val="7BA746EC"/>
    <w:rsid w:val="7BC8470A"/>
    <w:rsid w:val="7C305719"/>
    <w:rsid w:val="7C32323F"/>
    <w:rsid w:val="7C476B49"/>
    <w:rsid w:val="7C5C4FF9"/>
    <w:rsid w:val="7C6F7FEF"/>
    <w:rsid w:val="7C8A307B"/>
    <w:rsid w:val="7C992C3B"/>
    <w:rsid w:val="7C9B7036"/>
    <w:rsid w:val="7CA30E60"/>
    <w:rsid w:val="7CB85AED"/>
    <w:rsid w:val="7CEA57AC"/>
    <w:rsid w:val="7D1B1F25"/>
    <w:rsid w:val="7D211600"/>
    <w:rsid w:val="7D250FF6"/>
    <w:rsid w:val="7D566685"/>
    <w:rsid w:val="7D6B2EAC"/>
    <w:rsid w:val="7D743BAF"/>
    <w:rsid w:val="7D8917B2"/>
    <w:rsid w:val="7DD24363"/>
    <w:rsid w:val="7DF104B8"/>
    <w:rsid w:val="7E072F87"/>
    <w:rsid w:val="7E19781D"/>
    <w:rsid w:val="7E2B6198"/>
    <w:rsid w:val="7E42551B"/>
    <w:rsid w:val="7E441043"/>
    <w:rsid w:val="7E663674"/>
    <w:rsid w:val="7E6F60A7"/>
    <w:rsid w:val="7E717795"/>
    <w:rsid w:val="7E923EBD"/>
    <w:rsid w:val="7EA021F3"/>
    <w:rsid w:val="7EA83C8C"/>
    <w:rsid w:val="7EB75C7D"/>
    <w:rsid w:val="7F207CC7"/>
    <w:rsid w:val="7F3768DE"/>
    <w:rsid w:val="7F3E3FD7"/>
    <w:rsid w:val="7F544801"/>
    <w:rsid w:val="7F656872"/>
    <w:rsid w:val="7F82744F"/>
    <w:rsid w:val="7F8518D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qFormat/>
    <w:uiPriority w:val="0"/>
    <w:pPr>
      <w:keepNext/>
      <w:jc w:val="center"/>
      <w:outlineLvl w:val="1"/>
    </w:pPr>
    <w:rPr>
      <w:rFonts w:ascii="宋体"/>
      <w:sz w:val="28"/>
      <w:szCs w:val="20"/>
    </w:rPr>
  </w:style>
  <w:style w:type="paragraph" w:styleId="4">
    <w:name w:val="heading 3"/>
    <w:basedOn w:val="1"/>
    <w:next w:val="1"/>
    <w:qFormat/>
    <w:uiPriority w:val="0"/>
    <w:pPr>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paragraph" w:styleId="5">
    <w:name w:val="heading 4"/>
    <w:basedOn w:val="1"/>
    <w:next w:val="1"/>
    <w:qFormat/>
    <w:uiPriority w:val="99"/>
    <w:pPr>
      <w:keepNext/>
      <w:keepLines/>
      <w:numPr>
        <w:ilvl w:val="3"/>
        <w:numId w:val="1"/>
      </w:numPr>
      <w:ind w:left="0" w:firstLine="0" w:firstLineChars="0"/>
      <w:jc w:val="left"/>
      <w:outlineLvl w:val="3"/>
    </w:pPr>
    <w:rPr>
      <w:b/>
      <w:bCs/>
      <w:szCs w:val="28"/>
    </w:rPr>
  </w:style>
  <w:style w:type="paragraph" w:styleId="6">
    <w:name w:val="heading 5"/>
    <w:basedOn w:val="1"/>
    <w:next w:val="1"/>
    <w:link w:val="40"/>
    <w:unhideWhenUsed/>
    <w:qFormat/>
    <w:uiPriority w:val="0"/>
    <w:pPr>
      <w:keepNext/>
      <w:keepLines/>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val="0"/>
      <w:snapToGrid w:val="0"/>
      <w:spacing w:before="240" w:after="64" w:line="317" w:lineRule="auto"/>
      <w:ind w:left="1152" w:hanging="1152"/>
      <w:outlineLvl w:val="5"/>
    </w:pPr>
    <w:rPr>
      <w:rFonts w:ascii="Arial" w:hAnsi="Arial" w:eastAsia="黑体"/>
      <w:b/>
      <w:bCs/>
    </w:rPr>
  </w:style>
  <w:style w:type="paragraph" w:styleId="8">
    <w:name w:val="heading 7"/>
    <w:basedOn w:val="1"/>
    <w:next w:val="1"/>
    <w:link w:val="42"/>
    <w:qFormat/>
    <w:uiPriority w:val="0"/>
    <w:pPr>
      <w:keepNext/>
      <w:keepLines/>
      <w:adjustRightInd w:val="0"/>
      <w:snapToGrid w:val="0"/>
      <w:spacing w:before="240" w:after="64" w:line="317" w:lineRule="auto"/>
      <w:ind w:left="1296" w:hanging="1296"/>
      <w:outlineLvl w:val="6"/>
    </w:pPr>
    <w:rPr>
      <w:b/>
      <w:bCs/>
    </w:rPr>
  </w:style>
  <w:style w:type="paragraph" w:styleId="9">
    <w:name w:val="heading 8"/>
    <w:basedOn w:val="1"/>
    <w:next w:val="1"/>
    <w:link w:val="43"/>
    <w:qFormat/>
    <w:uiPriority w:val="0"/>
    <w:pPr>
      <w:keepNext/>
      <w:keepLines/>
      <w:adjustRightInd w:val="0"/>
      <w:snapToGrid w:val="0"/>
      <w:spacing w:before="240" w:after="64" w:line="317" w:lineRule="auto"/>
      <w:ind w:left="1440" w:hanging="1440"/>
      <w:outlineLvl w:val="7"/>
    </w:pPr>
    <w:rPr>
      <w:rFonts w:ascii="Arial" w:hAnsi="Arial" w:eastAsia="黑体"/>
    </w:rPr>
  </w:style>
  <w:style w:type="paragraph" w:styleId="10">
    <w:name w:val="heading 9"/>
    <w:basedOn w:val="1"/>
    <w:next w:val="1"/>
    <w:link w:val="44"/>
    <w:qFormat/>
    <w:uiPriority w:val="0"/>
    <w:pPr>
      <w:keepNext/>
      <w:keepLines/>
      <w:adjustRightInd w:val="0"/>
      <w:snapToGrid w:val="0"/>
      <w:spacing w:before="240" w:after="64" w:line="317" w:lineRule="auto"/>
      <w:ind w:left="1584" w:hanging="1584"/>
      <w:outlineLvl w:val="8"/>
    </w:pPr>
    <w:rPr>
      <w:rFonts w:ascii="Arial" w:hAnsi="Arial" w:eastAsia="黑体"/>
      <w:sz w:val="21"/>
      <w:szCs w:val="21"/>
    </w:rPr>
  </w:style>
  <w:style w:type="character" w:default="1" w:styleId="32">
    <w:name w:val="Default Paragraph Font"/>
    <w:semiHidden/>
    <w:qFormat/>
    <w:uiPriority w:val="0"/>
  </w:style>
  <w:style w:type="table" w:default="1" w:styleId="30">
    <w:name w:val="Normal Table"/>
    <w:semiHidden/>
    <w:qFormat/>
    <w:uiPriority w:val="0"/>
    <w:tblPr>
      <w:tblCellMar>
        <w:top w:w="0" w:type="dxa"/>
        <w:left w:w="108" w:type="dxa"/>
        <w:bottom w:w="0" w:type="dxa"/>
        <w:right w:w="108" w:type="dxa"/>
      </w:tblCellMar>
    </w:tblPr>
  </w:style>
  <w:style w:type="paragraph" w:styleId="11">
    <w:name w:val="Normal Indent"/>
    <w:basedOn w:val="1"/>
    <w:unhideWhenUsed/>
    <w:qFormat/>
    <w:uiPriority w:val="0"/>
    <w:pPr>
      <w:ind w:firstLine="420" w:firstLineChars="200"/>
    </w:pPr>
    <w:rPr>
      <w:rFonts w:ascii="Calibri" w:hAnsi="Calibri"/>
      <w:szCs w:val="22"/>
    </w:rPr>
  </w:style>
  <w:style w:type="paragraph" w:styleId="12">
    <w:name w:val="caption"/>
    <w:basedOn w:val="1"/>
    <w:next w:val="1"/>
    <w:unhideWhenUsed/>
    <w:qFormat/>
    <w:uiPriority w:val="0"/>
    <w:rPr>
      <w:rFonts w:ascii="等线 Light" w:hAnsi="等线 Light" w:eastAsia="黑体" w:cs="Times New Roman"/>
      <w:sz w:val="20"/>
      <w:szCs w:val="20"/>
    </w:rPr>
  </w:style>
  <w:style w:type="paragraph" w:styleId="13">
    <w:name w:val="annotation text"/>
    <w:basedOn w:val="1"/>
    <w:link w:val="45"/>
    <w:semiHidden/>
    <w:qFormat/>
    <w:uiPriority w:val="0"/>
    <w:pPr>
      <w:jc w:val="left"/>
    </w:pPr>
    <w:rPr>
      <w:kern w:val="0"/>
      <w:sz w:val="20"/>
    </w:rPr>
  </w:style>
  <w:style w:type="paragraph" w:styleId="14">
    <w:name w:val="Body Text"/>
    <w:basedOn w:val="1"/>
    <w:next w:val="1"/>
    <w:link w:val="39"/>
    <w:qFormat/>
    <w:uiPriority w:val="0"/>
    <w:pPr>
      <w:widowControl/>
      <w:snapToGrid w:val="0"/>
      <w:spacing w:before="60" w:after="160" w:line="259" w:lineRule="auto"/>
      <w:ind w:right="113"/>
    </w:pPr>
    <w:rPr>
      <w:kern w:val="0"/>
      <w:sz w:val="18"/>
      <w:szCs w:val="18"/>
    </w:rPr>
  </w:style>
  <w:style w:type="paragraph" w:styleId="15">
    <w:name w:val="Body Text Indent"/>
    <w:basedOn w:val="1"/>
    <w:qFormat/>
    <w:uiPriority w:val="0"/>
    <w:pPr>
      <w:spacing w:after="120"/>
      <w:ind w:left="420" w:leftChars="200"/>
    </w:pPr>
  </w:style>
  <w:style w:type="paragraph" w:styleId="16">
    <w:name w:val="Plain Text"/>
    <w:basedOn w:val="1"/>
    <w:qFormat/>
    <w:uiPriority w:val="0"/>
    <w:pPr>
      <w:snapToGrid w:val="0"/>
      <w:jc w:val="center"/>
    </w:pPr>
    <w:rPr>
      <w:rFonts w:eastAsia="Times New Roman"/>
      <w:color w:val="000000"/>
      <w:kern w:val="0"/>
      <w:szCs w:val="21"/>
    </w:rPr>
  </w:style>
  <w:style w:type="paragraph" w:styleId="17">
    <w:name w:val="Body Text Indent 2"/>
    <w:basedOn w:val="1"/>
    <w:qFormat/>
    <w:uiPriority w:val="0"/>
    <w:pPr>
      <w:spacing w:after="120" w:line="480" w:lineRule="auto"/>
      <w:ind w:left="420" w:leftChars="200"/>
    </w:pPr>
    <w:rPr>
      <w:kern w:val="0"/>
      <w:sz w:val="20"/>
      <w:szCs w:val="20"/>
      <w:lang w:val="zh-CN"/>
    </w:rPr>
  </w:style>
  <w:style w:type="paragraph" w:styleId="18">
    <w:name w:val="Balloon Text"/>
    <w:basedOn w:val="1"/>
    <w:link w:val="46"/>
    <w:qFormat/>
    <w:uiPriority w:val="0"/>
    <w:pPr>
      <w:spacing w:line="240" w:lineRule="auto"/>
    </w:pPr>
    <w:rPr>
      <w:sz w:val="18"/>
      <w:szCs w:val="18"/>
    </w:rPr>
  </w:style>
  <w:style w:type="paragraph" w:styleId="19">
    <w:name w:val="footer"/>
    <w:basedOn w:val="1"/>
    <w:qFormat/>
    <w:uiPriority w:val="0"/>
    <w:pPr>
      <w:tabs>
        <w:tab w:val="center" w:pos="4153"/>
        <w:tab w:val="right" w:pos="8306"/>
      </w:tabs>
      <w:snapToGrid w:val="0"/>
      <w:jc w:val="left"/>
    </w:pPr>
    <w:rPr>
      <w:sz w:val="18"/>
      <w:szCs w:val="18"/>
    </w:rPr>
  </w:style>
  <w:style w:type="paragraph" w:styleId="2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21">
    <w:name w:val="toc 1"/>
    <w:basedOn w:val="1"/>
    <w:next w:val="1"/>
    <w:qFormat/>
    <w:uiPriority w:val="0"/>
  </w:style>
  <w:style w:type="paragraph" w:styleId="22">
    <w:name w:val="toc 2"/>
    <w:basedOn w:val="1"/>
    <w:next w:val="1"/>
    <w:qFormat/>
    <w:uiPriority w:val="39"/>
    <w:pPr>
      <w:ind w:left="420" w:leftChars="200"/>
    </w:pPr>
  </w:style>
  <w:style w:type="paragraph" w:styleId="23">
    <w:name w:val="Message Header"/>
    <w:basedOn w:val="1"/>
    <w:next w:val="24"/>
    <w:semiHidden/>
    <w:qFormat/>
    <w:uiPriority w:val="0"/>
    <w:pPr>
      <w:widowControl/>
      <w:pBdr>
        <w:top w:val="single" w:color="auto" w:sz="6" w:space="1"/>
        <w:left w:val="single" w:color="auto" w:sz="6" w:space="1"/>
        <w:bottom w:val="single" w:color="auto" w:sz="6" w:space="1"/>
        <w:right w:val="single" w:color="auto" w:sz="6" w:space="1"/>
      </w:pBdr>
      <w:shd w:val="pct20" w:color="auto" w:fill="auto"/>
      <w:spacing w:line="520" w:lineRule="exact"/>
      <w:ind w:left="1080" w:leftChars="500" w:hanging="1080" w:hangingChars="500"/>
    </w:pPr>
    <w:rPr>
      <w:rFonts w:ascii="Arial" w:hAnsi="Arial" w:cs="Arial"/>
      <w:bCs/>
      <w:kern w:val="0"/>
      <w:sz w:val="24"/>
      <w:szCs w:val="24"/>
    </w:rPr>
  </w:style>
  <w:style w:type="paragraph" w:customStyle="1" w:styleId="24">
    <w:name w:val="【正文】"/>
    <w:basedOn w:val="1"/>
    <w:next w:val="23"/>
    <w:link w:val="47"/>
    <w:qFormat/>
    <w:uiPriority w:val="0"/>
    <w:pPr>
      <w:spacing w:line="440" w:lineRule="exact"/>
      <w:ind w:firstLine="544"/>
      <w:jc w:val="both"/>
    </w:pPr>
    <w:rPr>
      <w:rFonts w:ascii="Times New Roman" w:hAnsi="Times New Roman" w:eastAsia="宋体" w:cs="宋体"/>
      <w:sz w:val="24"/>
    </w:rPr>
  </w:style>
  <w:style w:type="paragraph" w:styleId="25">
    <w:name w:val="Normal (Web)"/>
    <w:basedOn w:val="1"/>
    <w:qFormat/>
    <w:uiPriority w:val="99"/>
    <w:pPr>
      <w:widowControl/>
      <w:spacing w:before="100" w:beforeAutospacing="1" w:after="100" w:afterAutospacing="1"/>
      <w:jc w:val="left"/>
    </w:pPr>
    <w:rPr>
      <w:rFonts w:ascii="宋体" w:hAnsi="宋体"/>
      <w:kern w:val="0"/>
      <w:sz w:val="24"/>
    </w:rPr>
  </w:style>
  <w:style w:type="paragraph" w:styleId="26">
    <w:name w:val="Title"/>
    <w:basedOn w:val="1"/>
    <w:next w:val="1"/>
    <w:link w:val="48"/>
    <w:qFormat/>
    <w:uiPriority w:val="0"/>
    <w:pPr>
      <w:spacing w:before="240" w:after="60"/>
      <w:jc w:val="center"/>
      <w:outlineLvl w:val="0"/>
    </w:pPr>
    <w:rPr>
      <w:rFonts w:ascii="等线 Light" w:hAnsi="等线 Light" w:cs="Times New Roman"/>
      <w:b/>
      <w:bCs/>
      <w:sz w:val="32"/>
      <w:szCs w:val="32"/>
    </w:rPr>
  </w:style>
  <w:style w:type="paragraph" w:styleId="27">
    <w:name w:val="annotation subject"/>
    <w:basedOn w:val="13"/>
    <w:next w:val="13"/>
    <w:link w:val="49"/>
    <w:qFormat/>
    <w:uiPriority w:val="0"/>
    <w:rPr>
      <w:b/>
      <w:bCs/>
      <w:kern w:val="2"/>
      <w:sz w:val="24"/>
    </w:rPr>
  </w:style>
  <w:style w:type="paragraph" w:styleId="28">
    <w:name w:val="Body Text First Indent"/>
    <w:basedOn w:val="14"/>
    <w:next w:val="1"/>
    <w:qFormat/>
    <w:uiPriority w:val="99"/>
    <w:pPr>
      <w:spacing w:after="120"/>
      <w:ind w:firstLine="420" w:firstLineChars="100"/>
    </w:pPr>
    <w:rPr>
      <w:rFonts w:ascii="Times New Roman" w:hAnsi="Times New Roman"/>
      <w:sz w:val="21"/>
      <w:szCs w:val="20"/>
    </w:rPr>
  </w:style>
  <w:style w:type="paragraph" w:styleId="29">
    <w:name w:val="Body Text First Indent 2"/>
    <w:basedOn w:val="15"/>
    <w:next w:val="1"/>
    <w:qFormat/>
    <w:uiPriority w:val="0"/>
    <w:pPr>
      <w:ind w:firstLine="420" w:firstLineChars="200"/>
    </w:pPr>
    <w:rPr>
      <w:kern w:val="0"/>
      <w:sz w:val="20"/>
    </w:rPr>
  </w:style>
  <w:style w:type="table" w:styleId="31">
    <w:name w:val="Table Grid"/>
    <w:basedOn w:val="30"/>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page number"/>
    <w:qFormat/>
    <w:uiPriority w:val="0"/>
  </w:style>
  <w:style w:type="character" w:styleId="34">
    <w:name w:val="FollowedHyperlink"/>
    <w:qFormat/>
    <w:uiPriority w:val="0"/>
    <w:rPr>
      <w:color w:val="333333"/>
      <w:u w:val="none"/>
    </w:rPr>
  </w:style>
  <w:style w:type="character" w:styleId="35">
    <w:name w:val="Hyperlink"/>
    <w:qFormat/>
    <w:uiPriority w:val="0"/>
    <w:rPr>
      <w:color w:val="333333"/>
      <w:u w:val="none"/>
    </w:rPr>
  </w:style>
  <w:style w:type="character" w:styleId="36">
    <w:name w:val="annotation reference"/>
    <w:semiHidden/>
    <w:qFormat/>
    <w:uiPriority w:val="0"/>
    <w:rPr>
      <w:sz w:val="21"/>
    </w:rPr>
  </w:style>
  <w:style w:type="character" w:styleId="37">
    <w:name w:val="footnote reference"/>
    <w:semiHidden/>
    <w:qFormat/>
    <w:uiPriority w:val="0"/>
    <w:rPr>
      <w:vertAlign w:val="superscript"/>
    </w:rPr>
  </w:style>
  <w:style w:type="paragraph" w:customStyle="1" w:styleId="38">
    <w:name w:val="正文zoe"/>
    <w:basedOn w:val="15"/>
    <w:autoRedefine/>
    <w:qFormat/>
    <w:uiPriority w:val="0"/>
    <w:pPr>
      <w:adjustRightInd w:val="0"/>
      <w:spacing w:after="0" w:line="360" w:lineRule="auto"/>
      <w:ind w:left="0" w:leftChars="0" w:firstLine="480" w:firstLineChars="200"/>
      <w:textAlignment w:val="baseline"/>
    </w:pPr>
    <w:rPr>
      <w:rFonts w:ascii="宋体" w:hAnsi="宋体" w:cs="宋体"/>
      <w:kern w:val="0"/>
      <w:sz w:val="24"/>
      <w:szCs w:val="20"/>
    </w:rPr>
  </w:style>
  <w:style w:type="character" w:customStyle="1" w:styleId="39">
    <w:name w:val="正文文本 字符1"/>
    <w:link w:val="14"/>
    <w:qFormat/>
    <w:uiPriority w:val="99"/>
    <w:rPr>
      <w:sz w:val="18"/>
      <w:szCs w:val="18"/>
    </w:rPr>
  </w:style>
  <w:style w:type="character" w:customStyle="1" w:styleId="40">
    <w:name w:val="标题 5 字符"/>
    <w:link w:val="6"/>
    <w:semiHidden/>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批注文字 字符"/>
    <w:link w:val="13"/>
    <w:semiHidden/>
    <w:qFormat/>
    <w:uiPriority w:val="0"/>
    <w:rPr>
      <w:szCs w:val="24"/>
    </w:rPr>
  </w:style>
  <w:style w:type="character" w:customStyle="1" w:styleId="46">
    <w:name w:val="批注框文本 字符"/>
    <w:link w:val="18"/>
    <w:qFormat/>
    <w:uiPriority w:val="0"/>
    <w:rPr>
      <w:kern w:val="2"/>
      <w:sz w:val="18"/>
      <w:szCs w:val="18"/>
    </w:rPr>
  </w:style>
  <w:style w:type="character" w:customStyle="1" w:styleId="47">
    <w:name w:val="【正文】 Char"/>
    <w:link w:val="24"/>
    <w:qFormat/>
    <w:uiPriority w:val="0"/>
    <w:rPr>
      <w:rFonts w:cs="宋体"/>
      <w:kern w:val="2"/>
      <w:sz w:val="24"/>
      <w:szCs w:val="24"/>
    </w:rPr>
  </w:style>
  <w:style w:type="character" w:customStyle="1" w:styleId="48">
    <w:name w:val="标题 字符"/>
    <w:link w:val="26"/>
    <w:qFormat/>
    <w:uiPriority w:val="0"/>
    <w:rPr>
      <w:rFonts w:ascii="等线 Light" w:hAnsi="等线 Light" w:cs="Times New Roman"/>
      <w:b/>
      <w:bCs/>
      <w:kern w:val="2"/>
      <w:sz w:val="32"/>
      <w:szCs w:val="32"/>
    </w:rPr>
  </w:style>
  <w:style w:type="character" w:customStyle="1" w:styleId="49">
    <w:name w:val="批注主题 字符"/>
    <w:link w:val="27"/>
    <w:qFormat/>
    <w:uiPriority w:val="0"/>
    <w:rPr>
      <w:b/>
      <w:bCs/>
      <w:kern w:val="2"/>
      <w:sz w:val="24"/>
      <w:szCs w:val="24"/>
    </w:rPr>
  </w:style>
  <w:style w:type="paragraph" w:customStyle="1" w:styleId="50">
    <w:name w:val="样式 标题 1 + 首行缩进:  2 字符"/>
    <w:basedOn w:val="2"/>
    <w:qFormat/>
    <w:uiPriority w:val="0"/>
    <w:pPr>
      <w:keepLines w:val="0"/>
      <w:spacing w:before="0" w:after="0" w:line="720" w:lineRule="auto"/>
      <w:ind w:firstLine="200" w:firstLineChars="200"/>
      <w:jc w:val="center"/>
    </w:pPr>
    <w:rPr>
      <w:rFonts w:ascii="黑体" w:eastAsia="黑体" w:cs="宋体"/>
      <w:kern w:val="2"/>
      <w:sz w:val="36"/>
      <w:szCs w:val="20"/>
    </w:rPr>
  </w:style>
  <w:style w:type="paragraph" w:customStyle="1" w:styleId="51">
    <w:name w:val="Default"/>
    <w:basedOn w:val="52"/>
    <w:next w:val="1"/>
    <w:qFormat/>
    <w:uiPriority w:val="0"/>
    <w:pPr>
      <w:widowControl w:val="0"/>
      <w:tabs>
        <w:tab w:val="left" w:pos="8207"/>
      </w:tabs>
      <w:autoSpaceDE w:val="0"/>
      <w:autoSpaceDN w:val="0"/>
      <w:adjustRightInd w:val="0"/>
    </w:pPr>
    <w:rPr>
      <w:rFonts w:ascii="仿宋_GB2312" w:hAnsi="Calibri" w:eastAsia="仿宋_GB2312" w:cs="Times New Roman"/>
      <w:color w:val="000000"/>
      <w:sz w:val="24"/>
      <w:szCs w:val="24"/>
      <w:lang w:val="en-US" w:eastAsia="zh-CN" w:bidi="ar-SA"/>
    </w:rPr>
  </w:style>
  <w:style w:type="paragraph" w:customStyle="1" w:styleId="52">
    <w:name w:val="纯文本1"/>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53">
    <w:name w:val="表头"/>
    <w:basedOn w:val="22"/>
    <w:next w:val="54"/>
    <w:qFormat/>
    <w:uiPriority w:val="0"/>
    <w:pPr>
      <w:widowControl/>
      <w:tabs>
        <w:tab w:val="left" w:pos="8207"/>
      </w:tabs>
      <w:ind w:firstLine="0" w:firstLineChars="0"/>
      <w:jc w:val="center"/>
      <w:textAlignment w:val="baseline"/>
    </w:pPr>
    <w:rPr>
      <w:rFonts w:ascii="黑体" w:hAnsi="黑体" w:eastAsia="黑体"/>
      <w:bCs/>
      <w:kern w:val="0"/>
      <w:szCs w:val="21"/>
    </w:rPr>
  </w:style>
  <w:style w:type="paragraph" w:customStyle="1" w:styleId="54">
    <w:name w:val="表格"/>
    <w:basedOn w:val="55"/>
    <w:next w:val="1"/>
    <w:qFormat/>
    <w:uiPriority w:val="0"/>
    <w:pPr>
      <w:adjustRightInd w:val="0"/>
      <w:snapToGrid w:val="0"/>
      <w:spacing w:beforeLines="10" w:afterLines="10" w:line="259" w:lineRule="auto"/>
      <w:jc w:val="center"/>
    </w:pPr>
    <w:rPr>
      <w:rFonts w:ascii="宋体"/>
      <w:kern w:val="0"/>
      <w:sz w:val="20"/>
      <w:szCs w:val="21"/>
    </w:rPr>
  </w:style>
  <w:style w:type="paragraph" w:customStyle="1" w:styleId="55">
    <w:name w:val="表格标题"/>
    <w:basedOn w:val="1"/>
    <w:qFormat/>
    <w:uiPriority w:val="0"/>
    <w:pPr>
      <w:spacing w:line="360" w:lineRule="exact"/>
      <w:jc w:val="center"/>
    </w:pPr>
    <w:rPr>
      <w:rFonts w:ascii="宋体" w:hAnsi="宋体" w:eastAsia="Times New Roman"/>
      <w:b/>
      <w:color w:val="000000"/>
      <w:sz w:val="24"/>
      <w:lang w:val="zh-CN"/>
    </w:rPr>
  </w:style>
  <w:style w:type="paragraph" w:customStyle="1" w:styleId="56">
    <w:name w:val="Normal (Web)1"/>
    <w:basedOn w:val="1"/>
    <w:next w:val="57"/>
    <w:qFormat/>
    <w:uiPriority w:val="0"/>
    <w:pPr>
      <w:widowControl/>
      <w:jc w:val="left"/>
    </w:pPr>
    <w:rPr>
      <w:rFonts w:ascii="宋体" w:cs="Times New Roman"/>
      <w:kern w:val="0"/>
      <w:sz w:val="24"/>
      <w:szCs w:val="21"/>
    </w:rPr>
  </w:style>
  <w:style w:type="paragraph" w:customStyle="1" w:styleId="57">
    <w:name w:val="Date1"/>
    <w:basedOn w:val="1"/>
    <w:next w:val="1"/>
    <w:qFormat/>
    <w:uiPriority w:val="0"/>
    <w:pPr>
      <w:ind w:left="2500" w:leftChars="2500"/>
    </w:pPr>
  </w:style>
  <w:style w:type="character" w:customStyle="1" w:styleId="58">
    <w:name w:val="font31"/>
    <w:basedOn w:val="32"/>
    <w:qFormat/>
    <w:uiPriority w:val="0"/>
    <w:rPr>
      <w:rFonts w:hint="eastAsia" w:ascii="宋体" w:hAnsi="宋体" w:eastAsia="宋体" w:cs="宋体"/>
      <w:color w:val="7030A0"/>
      <w:sz w:val="18"/>
      <w:szCs w:val="18"/>
      <w:u w:val="none"/>
    </w:rPr>
  </w:style>
  <w:style w:type="paragraph" w:customStyle="1" w:styleId="59">
    <w:name w:val="Table Paragraph"/>
    <w:basedOn w:val="1"/>
    <w:unhideWhenUsed/>
    <w:qFormat/>
    <w:uiPriority w:val="1"/>
    <w:pPr>
      <w:spacing w:beforeLines="0" w:afterLines="0"/>
    </w:pPr>
    <w:rPr>
      <w:rFonts w:hint="default"/>
      <w:sz w:val="24"/>
    </w:rPr>
  </w:style>
  <w:style w:type="paragraph" w:customStyle="1" w:styleId="60">
    <w:name w:val="正文00"/>
    <w:basedOn w:val="1"/>
    <w:qFormat/>
    <w:uiPriority w:val="0"/>
    <w:pPr>
      <w:widowControl/>
      <w:spacing w:line="425" w:lineRule="atLeast"/>
      <w:ind w:left="107" w:leftChars="51" w:right="124" w:rightChars="59" w:firstLine="480"/>
      <w:textAlignment w:val="baseline"/>
    </w:pPr>
    <w:rPr>
      <w:rFonts w:ascii="Calibri"/>
      <w:sz w:val="28"/>
      <w:szCs w:val="24"/>
    </w:rPr>
  </w:style>
  <w:style w:type="paragraph" w:customStyle="1" w:styleId="61">
    <w:name w:val="标题4"/>
    <w:basedOn w:val="60"/>
    <w:qFormat/>
    <w:uiPriority w:val="0"/>
    <w:pPr>
      <w:spacing w:line="360" w:lineRule="auto"/>
    </w:pPr>
    <w:rPr>
      <w:rFonts w:cs="宋体"/>
      <w:color w:val="000000"/>
      <w:sz w:val="24"/>
    </w:rPr>
  </w:style>
  <w:style w:type="paragraph" w:customStyle="1" w:styleId="62">
    <w:name w:val="报告表正文"/>
    <w:basedOn w:val="1"/>
    <w:qFormat/>
    <w:uiPriority w:val="0"/>
    <w:pPr>
      <w:adjustRightInd w:val="0"/>
      <w:spacing w:line="312" w:lineRule="auto"/>
      <w:ind w:left="113" w:right="113" w:firstLine="482"/>
      <w:jc w:val="left"/>
      <w:textAlignment w:val="baseline"/>
    </w:pPr>
    <w:rPr>
      <w:kern w:val="0"/>
      <w:sz w:val="24"/>
    </w:rPr>
  </w:style>
  <w:style w:type="paragraph" w:customStyle="1" w:styleId="63">
    <w:name w:val="正文样式1"/>
    <w:basedOn w:val="1"/>
    <w:qFormat/>
    <w:uiPriority w:val="0"/>
    <w:pPr>
      <w:adjustRightInd w:val="0"/>
      <w:spacing w:line="288" w:lineRule="auto"/>
      <w:ind w:firstLine="360" w:firstLineChars="150"/>
      <w:textAlignment w:val="baseline"/>
    </w:pPr>
    <w:rPr>
      <w:kern w:val="0"/>
      <w:sz w:val="24"/>
      <w:szCs w:val="20"/>
    </w:rPr>
  </w:style>
  <w:style w:type="paragraph" w:customStyle="1" w:styleId="64">
    <w:name w:val="表体-格式"/>
    <w:basedOn w:val="1"/>
    <w:qFormat/>
    <w:uiPriority w:val="0"/>
    <w:pPr>
      <w:spacing w:line="240" w:lineRule="auto"/>
      <w:ind w:firstLine="0" w:firstLineChars="0"/>
      <w:jc w:val="center"/>
    </w:pPr>
    <w:rPr>
      <w:kern w:val="0"/>
      <w:sz w:val="21"/>
      <w:szCs w:val="18"/>
      <w:lang w:eastAsia="en-US" w:bidi="en-US"/>
    </w:rPr>
  </w:style>
  <w:style w:type="paragraph" w:customStyle="1" w:styleId="65">
    <w:name w:val="表格内容"/>
    <w:basedOn w:val="1"/>
    <w:qFormat/>
    <w:uiPriority w:val="0"/>
    <w:pPr>
      <w:spacing w:line="240" w:lineRule="exact"/>
      <w:ind w:firstLine="0" w:firstLineChars="0"/>
      <w:jc w:val="center"/>
    </w:pPr>
    <w:rPr>
      <w:snapToGrid w:val="0"/>
      <w:color w:val="FF0000"/>
      <w:kern w:val="0"/>
      <w:sz w:val="21"/>
      <w:szCs w:val="21"/>
    </w:rPr>
  </w:style>
  <w:style w:type="paragraph" w:styleId="66">
    <w:name w:val="List Paragraph"/>
    <w:basedOn w:val="1"/>
    <w:qFormat/>
    <w:uiPriority w:val="1"/>
    <w:pPr>
      <w:spacing w:beforeLines="0" w:afterLines="0"/>
    </w:pPr>
    <w:rPr>
      <w:rFonts w:hint="default"/>
      <w:sz w:val="24"/>
    </w:rPr>
  </w:style>
  <w:style w:type="paragraph" w:customStyle="1" w:styleId="67">
    <w:name w:val="正文----------------"/>
    <w:basedOn w:val="1"/>
    <w:qFormat/>
    <w:uiPriority w:val="0"/>
    <w:pPr>
      <w:spacing w:line="440" w:lineRule="exact"/>
      <w:ind w:firstLine="544" w:firstLineChars="200"/>
    </w:pPr>
    <w:rPr>
      <w:rFonts w:ascii="Calibri" w:cs="宋体"/>
      <w:spacing w:val="16"/>
      <w:kern w:val="2"/>
      <w:szCs w:val="20"/>
    </w:rPr>
  </w:style>
  <w:style w:type="paragraph" w:customStyle="1" w:styleId="68">
    <w:name w:val="【表中文字】"/>
    <w:basedOn w:val="1"/>
    <w:link w:val="69"/>
    <w:qFormat/>
    <w:uiPriority w:val="0"/>
    <w:pPr>
      <w:spacing w:line="380" w:lineRule="exact"/>
      <w:jc w:val="center"/>
    </w:pPr>
    <w:rPr>
      <w:szCs w:val="20"/>
    </w:rPr>
  </w:style>
  <w:style w:type="character" w:customStyle="1" w:styleId="69">
    <w:name w:val="【表中文字】 Char"/>
    <w:link w:val="68"/>
    <w:qFormat/>
    <w:uiPriority w:val="0"/>
    <w:rPr>
      <w:kern w:val="2"/>
      <w:sz w:val="24"/>
    </w:rPr>
  </w:style>
  <w:style w:type="paragraph" w:customStyle="1" w:styleId="70">
    <w:name w:val="正文1"/>
    <w:basedOn w:val="1"/>
    <w:qFormat/>
    <w:uiPriority w:val="0"/>
    <w:pPr>
      <w:adjustRightInd w:val="0"/>
      <w:snapToGrid w:val="0"/>
      <w:spacing w:line="500" w:lineRule="atLeast"/>
      <w:ind w:firstLine="567"/>
    </w:pPr>
    <w:rPr>
      <w:sz w:val="28"/>
    </w:rPr>
  </w:style>
  <w:style w:type="paragraph" w:customStyle="1" w:styleId="71">
    <w:name w:val="7正文"/>
    <w:basedOn w:val="1"/>
    <w:qFormat/>
    <w:uiPriority w:val="99"/>
    <w:pPr>
      <w:adjustRightInd w:val="0"/>
      <w:snapToGrid w:val="0"/>
      <w:spacing w:line="480" w:lineRule="exact"/>
      <w:ind w:firstLine="480" w:firstLineChars="200"/>
      <w:jc w:val="left"/>
    </w:pPr>
    <w:rPr>
      <w:rFonts w:ascii="Times New Roman" w:hAnsi="Times New Roman" w:eastAsia="宋体" w:cs="Times New Roman"/>
      <w:sz w:val="24"/>
      <w:szCs w:val="24"/>
    </w:rPr>
  </w:style>
  <w:style w:type="paragraph" w:customStyle="1" w:styleId="72">
    <w:name w:val="【表头】"/>
    <w:basedOn w:val="73"/>
    <w:link w:val="74"/>
    <w:qFormat/>
    <w:uiPriority w:val="0"/>
    <w:pPr>
      <w:keepNext/>
      <w:spacing w:line="460" w:lineRule="exact"/>
      <w:jc w:val="center"/>
    </w:pPr>
    <w:rPr>
      <w:rFonts w:ascii="Calibri" w:hAnsi="Calibri" w:eastAsia="黑体" w:cs="宋体"/>
      <w:sz w:val="24"/>
      <w:szCs w:val="22"/>
    </w:rPr>
  </w:style>
  <w:style w:type="paragraph" w:customStyle="1" w:styleId="73">
    <w:name w:val="表头、图名"/>
    <w:basedOn w:val="1"/>
    <w:next w:val="1"/>
    <w:qFormat/>
    <w:uiPriority w:val="0"/>
    <w:pPr>
      <w:jc w:val="center"/>
    </w:pPr>
    <w:rPr>
      <w:rFonts w:hint="eastAsia" w:eastAsia="黑体"/>
    </w:rPr>
  </w:style>
  <w:style w:type="character" w:customStyle="1" w:styleId="74">
    <w:name w:val="【表头】 Char"/>
    <w:link w:val="72"/>
    <w:qFormat/>
    <w:locked/>
    <w:uiPriority w:val="0"/>
    <w:rPr>
      <w:rFonts w:ascii="Calibri" w:hAnsi="Calibri" w:eastAsia="黑体" w:cs="宋体"/>
      <w:kern w:val="2"/>
      <w:sz w:val="24"/>
      <w:szCs w:val="22"/>
    </w:rPr>
  </w:style>
  <w:style w:type="paragraph" w:customStyle="1" w:styleId="75">
    <w:name w:val="11111"/>
    <w:basedOn w:val="1"/>
    <w:next w:val="1"/>
    <w:qFormat/>
    <w:uiPriority w:val="0"/>
    <w:pPr>
      <w:spacing w:line="360" w:lineRule="auto"/>
      <w:ind w:firstLine="200" w:firstLineChars="200"/>
    </w:pPr>
    <w:rPr>
      <w:rFonts w:ascii="宋体" w:hAnsi="宋体" w:cs="宋体"/>
      <w:sz w:val="24"/>
    </w:rPr>
  </w:style>
  <w:style w:type="paragraph" w:customStyle="1" w:styleId="76">
    <w:name w:val="..正文"/>
    <w:basedOn w:val="1"/>
    <w:qFormat/>
    <w:uiPriority w:val="0"/>
    <w:pPr>
      <w:spacing w:line="500" w:lineRule="exact"/>
      <w:ind w:firstLine="480" w:firstLineChars="200"/>
    </w:pPr>
    <w:rPr>
      <w:kern w:val="0"/>
      <w:szCs w:val="24"/>
    </w:rPr>
  </w:style>
  <w:style w:type="character" w:customStyle="1" w:styleId="77">
    <w:name w:val="fontstyle01"/>
    <w:qFormat/>
    <w:uiPriority w:val="0"/>
    <w:rPr>
      <w:rFonts w:hint="default" w:ascii="FPEF" w:hAnsi="FPEF"/>
      <w:color w:val="000000"/>
      <w:sz w:val="24"/>
      <w:szCs w:val="24"/>
    </w:rPr>
  </w:style>
  <w:style w:type="paragraph" w:customStyle="1" w:styleId="78">
    <w:name w:val="样式 黑体 居中 行距: 1.5 倍行距"/>
    <w:basedOn w:val="1"/>
    <w:qFormat/>
    <w:uiPriority w:val="0"/>
    <w:pPr>
      <w:spacing w:line="360" w:lineRule="auto"/>
      <w:jc w:val="center"/>
    </w:pPr>
    <w:rPr>
      <w:rFonts w:ascii="黑体" w:hAnsi="黑体" w:eastAsia="黑体"/>
      <w:kern w:val="0"/>
      <w:sz w:val="24"/>
      <w:szCs w:val="20"/>
    </w:rPr>
  </w:style>
  <w:style w:type="paragraph" w:customStyle="1" w:styleId="79">
    <w:name w:val="p0"/>
    <w:basedOn w:val="1"/>
    <w:qFormat/>
    <w:uiPriority w:val="0"/>
    <w:pPr>
      <w:widowControl/>
    </w:pPr>
    <w:rPr>
      <w:kern w:val="0"/>
      <w:szCs w:val="21"/>
    </w:rPr>
  </w:style>
  <w:style w:type="paragraph" w:customStyle="1" w:styleId="80">
    <w:name w:val="【表中的文字】"/>
    <w:basedOn w:val="26"/>
    <w:link w:val="81"/>
    <w:qFormat/>
    <w:uiPriority w:val="0"/>
    <w:pPr>
      <w:wordWrap w:val="0"/>
      <w:adjustRightInd w:val="0"/>
      <w:spacing w:before="0" w:after="0" w:line="240" w:lineRule="auto"/>
      <w:textAlignment w:val="center"/>
      <w:outlineLvl w:val="9"/>
    </w:pPr>
    <w:rPr>
      <w:rFonts w:ascii="Times New Roman" w:hAnsi="Times New Roman"/>
      <w:b w:val="0"/>
      <w:snapToGrid w:val="0"/>
      <w:sz w:val="21"/>
      <w:szCs w:val="21"/>
    </w:rPr>
  </w:style>
  <w:style w:type="character" w:customStyle="1" w:styleId="81">
    <w:name w:val="【表中的文字】 字符"/>
    <w:link w:val="80"/>
    <w:qFormat/>
    <w:uiPriority w:val="0"/>
    <w:rPr>
      <w:bCs/>
      <w:snapToGrid/>
      <w:kern w:val="2"/>
      <w:sz w:val="21"/>
      <w:szCs w:val="21"/>
    </w:rPr>
  </w:style>
  <w:style w:type="paragraph" w:customStyle="1" w:styleId="82">
    <w:name w:val=" Char1 Char Char Char Char Char Char Char Char Char Char Char Char"/>
    <w:basedOn w:val="1"/>
    <w:qFormat/>
    <w:uiPriority w:val="0"/>
    <w:pPr>
      <w:adjustRightInd w:val="0"/>
      <w:snapToGrid w:val="0"/>
      <w:ind w:firstLine="200"/>
      <w:jc w:val="left"/>
    </w:pPr>
    <w:rPr>
      <w:rFonts w:ascii="宋体" w:hAnsi="宋体" w:eastAsia="仿宋_GB2312" w:cs="宋体"/>
    </w:rPr>
  </w:style>
  <w:style w:type="paragraph" w:customStyle="1" w:styleId="83">
    <w:name w:val="三级标题"/>
    <w:basedOn w:val="1"/>
    <w:link w:val="84"/>
    <w:qFormat/>
    <w:uiPriority w:val="0"/>
    <w:pPr>
      <w:spacing w:line="440" w:lineRule="exact"/>
      <w:ind w:firstLine="560" w:firstLineChars="200"/>
    </w:pPr>
    <w:rPr>
      <w:rFonts w:ascii="黑体" w:hAnsi="宋体" w:eastAsia="黑体"/>
      <w:snapToGrid w:val="0"/>
      <w:color w:val="008000"/>
      <w:spacing w:val="20"/>
      <w:kern w:val="0"/>
    </w:rPr>
  </w:style>
  <w:style w:type="character" w:customStyle="1" w:styleId="84">
    <w:name w:val="三级标题 Char"/>
    <w:link w:val="83"/>
    <w:qFormat/>
    <w:uiPriority w:val="0"/>
    <w:rPr>
      <w:rFonts w:ascii="黑体" w:hAnsi="宋体" w:eastAsia="黑体"/>
      <w:snapToGrid/>
      <w:color w:val="008000"/>
      <w:spacing w:val="20"/>
      <w:sz w:val="24"/>
      <w:szCs w:val="24"/>
    </w:rPr>
  </w:style>
  <w:style w:type="paragraph" w:customStyle="1" w:styleId="85">
    <w:name w:val="主正文3"/>
    <w:basedOn w:val="1"/>
    <w:qFormat/>
    <w:uiPriority w:val="0"/>
    <w:pPr>
      <w:ind w:left="1619" w:leftChars="771"/>
    </w:pPr>
    <w:rPr>
      <w:szCs w:val="20"/>
    </w:rPr>
  </w:style>
  <w:style w:type="paragraph" w:customStyle="1" w:styleId="86">
    <w:name w:val="正文 + 首行缩进:  2 字符"/>
    <w:basedOn w:val="1"/>
    <w:qFormat/>
    <w:uiPriority w:val="0"/>
    <w:pPr>
      <w:adjustRightInd w:val="0"/>
      <w:ind w:firstLine="480" w:firstLineChars="200"/>
    </w:pPr>
    <w:rPr>
      <w:rFonts w:ascii="宋体"/>
    </w:rPr>
  </w:style>
  <w:style w:type="paragraph" w:customStyle="1" w:styleId="87">
    <w:name w:val="图表标题"/>
    <w:basedOn w:val="14"/>
    <w:qFormat/>
    <w:uiPriority w:val="0"/>
    <w:pPr>
      <w:widowControl w:val="0"/>
      <w:snapToGrid/>
      <w:spacing w:before="0" w:after="0" w:line="360" w:lineRule="auto"/>
      <w:ind w:right="0"/>
      <w:jc w:val="center"/>
    </w:pPr>
    <w:rPr>
      <w:rFonts w:ascii="宋体" w:hAnsi="宋体"/>
      <w:b/>
      <w:kern w:val="2"/>
      <w:sz w:val="24"/>
      <w:szCs w:val="21"/>
    </w:rPr>
  </w:style>
  <w:style w:type="paragraph" w:customStyle="1" w:styleId="88">
    <w:name w:val="表格内文字"/>
    <w:basedOn w:val="1"/>
    <w:qFormat/>
    <w:uiPriority w:val="0"/>
    <w:pPr>
      <w:spacing w:line="240" w:lineRule="auto"/>
      <w:jc w:val="center"/>
    </w:pPr>
    <w:rPr>
      <w:rFonts w:hint="eastAsia"/>
      <w:color w:val="000000"/>
      <w:sz w:val="21"/>
      <w:szCs w:val="21"/>
    </w:rPr>
  </w:style>
  <w:style w:type="paragraph" w:customStyle="1" w:styleId="89">
    <w:name w:val="正文123"/>
    <w:basedOn w:val="1"/>
    <w:next w:val="16"/>
    <w:qFormat/>
    <w:uiPriority w:val="0"/>
    <w:pPr>
      <w:wordWrap w:val="0"/>
      <w:spacing w:line="360" w:lineRule="auto"/>
      <w:ind w:firstLine="480" w:firstLineChars="200"/>
      <w:textAlignment w:val="center"/>
    </w:pPr>
    <w:rPr>
      <w:sz w:val="24"/>
      <w:lang w:eastAsia="en-US"/>
    </w:rPr>
  </w:style>
  <w:style w:type="paragraph" w:customStyle="1" w:styleId="90">
    <w:name w:val="- 页码 -"/>
    <w:autoRedefine/>
    <w:qFormat/>
    <w:uiPriority w:val="0"/>
    <w:pPr>
      <w:widowControl w:val="0"/>
      <w:spacing w:line="360" w:lineRule="auto"/>
      <w:ind w:firstLine="200" w:firstLineChars="200"/>
      <w:jc w:val="both"/>
    </w:pPr>
    <w:rPr>
      <w:rFonts w:ascii="Calibri" w:hAnsi="Calibri" w:eastAsia="宋体" w:cs="Times New Roman"/>
      <w:kern w:val="2"/>
      <w:sz w:val="24"/>
      <w:lang w:val="en-US" w:eastAsia="zh-CN" w:bidi="ar-SA"/>
    </w:rPr>
  </w:style>
  <w:style w:type="paragraph" w:customStyle="1" w:styleId="91">
    <w:name w:val="Table Text"/>
    <w:basedOn w:val="1"/>
    <w:semiHidden/>
    <w:qFormat/>
    <w:uiPriority w:val="0"/>
    <w:rPr>
      <w:rFonts w:ascii="Arial" w:hAnsi="Arial" w:eastAsia="Arial" w:cs="Arial"/>
      <w:sz w:val="21"/>
      <w:szCs w:val="21"/>
      <w:lang w:val="en-US" w:eastAsia="en-US" w:bidi="ar-SA"/>
    </w:rPr>
  </w:style>
  <w:style w:type="table" w:customStyle="1" w:styleId="92">
    <w:name w:val="Table Normal"/>
    <w:semiHidden/>
    <w:unhideWhenUsed/>
    <w:qFormat/>
    <w:uiPriority w:val="0"/>
    <w:tblPr>
      <w:tblCellMar>
        <w:top w:w="0" w:type="dxa"/>
        <w:left w:w="0" w:type="dxa"/>
        <w:bottom w:w="0" w:type="dxa"/>
        <w:right w:w="0" w:type="dxa"/>
      </w:tblCellMar>
    </w:tblPr>
  </w:style>
  <w:style w:type="paragraph" w:customStyle="1" w:styleId="93">
    <w:name w:val="表格文字"/>
    <w:basedOn w:val="14"/>
    <w:autoRedefine/>
    <w:qFormat/>
    <w:uiPriority w:val="0"/>
    <w:pPr>
      <w:spacing w:line="320" w:lineRule="exact"/>
      <w:ind w:right="0" w:firstLine="0" w:firstLineChars="0"/>
      <w:jc w:val="center"/>
    </w:pPr>
    <w:rPr>
      <w:rFonts w:ascii="Times New Roman" w:hAnsi="Times New Roman" w:eastAsia="宋体" w:cstheme="minorBidi"/>
      <w:sz w:val="21"/>
    </w:rPr>
  </w:style>
  <w:style w:type="paragraph" w:customStyle="1" w:styleId="94">
    <w:name w:val="Char11"/>
    <w:basedOn w:val="1"/>
    <w:autoRedefine/>
    <w:qFormat/>
    <w:uiPriority w:val="0"/>
    <w:pPr>
      <w:adjustRightInd w:val="0"/>
      <w:snapToGrid w:val="0"/>
      <w:spacing w:line="360" w:lineRule="auto"/>
      <w:ind w:firstLine="506" w:firstLineChars="168"/>
      <w:jc w:val="left"/>
      <w:outlineLvl w:val="0"/>
    </w:pPr>
    <w:rPr>
      <w:rFonts w:eastAsia="黑体"/>
      <w:b/>
      <w:snapToGrid w:val="0"/>
      <w:kern w:val="0"/>
      <w:sz w:val="30"/>
      <w:szCs w:val="30"/>
    </w:rPr>
  </w:style>
  <w:style w:type="paragraph" w:customStyle="1" w:styleId="95">
    <w:name w:val="【正文1】"/>
    <w:autoRedefine/>
    <w:qFormat/>
    <w:uiPriority w:val="0"/>
    <w:pPr>
      <w:widowControl w:val="0"/>
      <w:adjustRightInd w:val="0"/>
      <w:snapToGrid w:val="0"/>
      <w:spacing w:line="500" w:lineRule="atLeast"/>
      <w:ind w:firstLine="480" w:firstLineChars="200"/>
      <w:jc w:val="both"/>
    </w:pPr>
    <w:rPr>
      <w:rFonts w:ascii="Times New Roman" w:hAnsi="Times New Roman" w:eastAsia="宋体" w:cs="Times New Roman"/>
      <w:kern w:val="2"/>
      <w:sz w:val="24"/>
      <w:szCs w:val="24"/>
      <w:lang w:val="en-US" w:eastAsia="zh-CN" w:bidi="ar-SA"/>
    </w:rPr>
  </w:style>
  <w:style w:type="paragraph" w:customStyle="1" w:styleId="96">
    <w:name w:val="【表格】"/>
    <w:basedOn w:val="1"/>
    <w:autoRedefine/>
    <w:qFormat/>
    <w:uiPriority w:val="0"/>
    <w:pPr>
      <w:snapToGrid w:val="0"/>
      <w:spacing w:line="400" w:lineRule="exact"/>
    </w:pPr>
    <w:rPr>
      <w:spacing w:val="-4"/>
    </w:rPr>
  </w:style>
  <w:style w:type="character" w:customStyle="1" w:styleId="97">
    <w:name w:val="font21"/>
    <w:basedOn w:val="32"/>
    <w:qFormat/>
    <w:uiPriority w:val="0"/>
    <w:rPr>
      <w:rFonts w:hint="eastAsia" w:ascii="宋体" w:hAnsi="宋体" w:eastAsia="宋体" w:cs="宋体"/>
      <w:color w:val="000000"/>
      <w:sz w:val="20"/>
      <w:szCs w:val="20"/>
      <w:u w:val="none"/>
    </w:rPr>
  </w:style>
  <w:style w:type="character" w:customStyle="1" w:styleId="98">
    <w:name w:val="font51"/>
    <w:basedOn w:val="32"/>
    <w:qFormat/>
    <w:uiPriority w:val="0"/>
    <w:rPr>
      <w:rFonts w:hint="default" w:ascii="Times New Roman" w:hAnsi="Times New Roman" w:cs="Times New Roman"/>
      <w:color w:val="000000"/>
      <w:sz w:val="20"/>
      <w:szCs w:val="20"/>
      <w:u w:val="none"/>
      <w:vertAlign w:val="superscript"/>
    </w:rPr>
  </w:style>
  <w:style w:type="paragraph" w:customStyle="1" w:styleId="99">
    <w:name w:val="样式 正文11 + 首行缩进:  2 字符"/>
    <w:basedOn w:val="1"/>
    <w:qFormat/>
    <w:uiPriority w:val="0"/>
    <w:pPr>
      <w:spacing w:line="500" w:lineRule="exact"/>
      <w:ind w:firstLine="560" w:firstLineChars="200"/>
    </w:pPr>
    <w:rPr>
      <w:rFonts w:ascii="宋体" w:hAnsi="宋体" w:cs="宋体"/>
      <w:color w:val="FF0000"/>
      <w:sz w:val="2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3.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2.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footer" Target="footer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pn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jpeg"/><Relationship Id="rId16" Type="http://schemas.openxmlformats.org/officeDocument/2006/relationships/image" Target="media/image8.png"/><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101</Pages>
  <Words>14577</Words>
  <Characters>15961</Characters>
  <Lines>583</Lines>
  <Paragraphs>164</Paragraphs>
  <TotalTime>0</TotalTime>
  <ScaleCrop>false</ScaleCrop>
  <LinksUpToDate>false</LinksUpToDate>
  <CharactersWithSpaces>16103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JQK</cp:lastModifiedBy>
  <cp:lastPrinted>2023-10-31T08:40:00Z</cp:lastPrinted>
  <dcterms:modified xsi:type="dcterms:W3CDTF">2026-01-26T06:13:57Z</dcterms:modified>
  <cp:revision>126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BF4C60EF68554F8BB7DEF6A497F8783E</vt:lpwstr>
  </property>
  <property fmtid="{D5CDD505-2E9C-101B-9397-08002B2CF9AE}" pid="4" name="KSOTemplateDocerSaveRecord">
    <vt:lpwstr>eyJoZGlkIjoiYjNlYzJjZWY3MWE2MjdkODU1NzM1NDFlNzEzMTUwYmYiLCJ1c2VySWQiOiIyODAzMjIxODcifQ==</vt:lpwstr>
  </property>
</Properties>
</file>