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8C0F6">
      <w:pPr>
        <w:rPr>
          <w:rFonts w:hint="eastAsia" w:ascii="仿宋_GB2312" w:hAnsi="仿宋_GB2312" w:eastAsia="仿宋_GB2312" w:cs="仿宋_GB2312"/>
          <w:color w:val="auto"/>
          <w:sz w:val="36"/>
          <w:szCs w:val="36"/>
          <w:lang w:eastAsia="zh-CN"/>
        </w:rPr>
      </w:pPr>
      <w:bookmarkStart w:id="0" w:name="_Hlk57883707"/>
      <w:r>
        <w:rPr>
          <w:rFonts w:hint="eastAsia" w:ascii="仿宋_GB2312" w:hAnsi="仿宋_GB2312" w:eastAsia="仿宋_GB2312" w:cs="仿宋_GB2312"/>
          <w:color w:val="auto"/>
          <w:sz w:val="36"/>
          <w:szCs w:val="36"/>
          <w:lang w:eastAsia="zh-CN"/>
        </w:rPr>
        <w:drawing>
          <wp:inline distT="0" distB="0" distL="114300" distR="114300">
            <wp:extent cx="5274945" cy="7726045"/>
            <wp:effectExtent l="0" t="0" r="1905" b="8255"/>
            <wp:docPr id="1" name="图片 1" descr="博物馆项目封面盖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博物馆项目封面盖章"/>
                    <pic:cNvPicPr>
                      <a:picLocks noChangeAspect="1"/>
                    </pic:cNvPicPr>
                  </pic:nvPicPr>
                  <pic:blipFill>
                    <a:blip r:embed="rId8"/>
                    <a:srcRect l="8498" t="3216" r="6119" b="2952"/>
                    <a:stretch>
                      <a:fillRect/>
                    </a:stretch>
                  </pic:blipFill>
                  <pic:spPr>
                    <a:xfrm>
                      <a:off x="0" y="0"/>
                      <a:ext cx="5274945" cy="7726045"/>
                    </a:xfrm>
                    <a:prstGeom prst="rect">
                      <a:avLst/>
                    </a:prstGeom>
                  </pic:spPr>
                </pic:pic>
              </a:graphicData>
            </a:graphic>
          </wp:inline>
        </w:drawing>
      </w:r>
    </w:p>
    <w:p w14:paraId="707B520E">
      <w:pPr>
        <w:rPr>
          <w:rFonts w:ascii="仿宋_GB2312" w:hAnsi="仿宋_GB2312" w:eastAsia="仿宋_GB2312" w:cs="仿宋_GB2312"/>
          <w:color w:val="auto"/>
          <w:sz w:val="36"/>
          <w:szCs w:val="36"/>
        </w:rPr>
      </w:pPr>
    </w:p>
    <w:p w14:paraId="1866AA1E">
      <w:pPr>
        <w:rPr>
          <w:rFonts w:ascii="仿宋_GB2312" w:hAnsi="仿宋_GB2312" w:eastAsia="仿宋_GB2312" w:cs="仿宋_GB2312"/>
          <w:color w:val="auto"/>
          <w:sz w:val="36"/>
          <w:szCs w:val="36"/>
        </w:rPr>
      </w:pPr>
    </w:p>
    <w:bookmarkEnd w:id="0"/>
    <w:p w14:paraId="63CA8B44">
      <w:pPr>
        <w:adjustRightInd w:val="0"/>
        <w:snapToGrid w:val="0"/>
        <w:jc w:val="center"/>
        <w:rPr>
          <w:rFonts w:hint="eastAsia" w:ascii="方正小标宋_GBK" w:eastAsia="方正小标宋_GBK"/>
          <w:bCs/>
          <w:color w:val="auto"/>
          <w:sz w:val="72"/>
          <w:szCs w:val="72"/>
        </w:rPr>
      </w:pPr>
    </w:p>
    <w:p w14:paraId="6001BBE6">
      <w:pPr>
        <w:adjustRightInd w:val="0"/>
        <w:snapToGrid w:val="0"/>
        <w:jc w:val="center"/>
        <w:rPr>
          <w:rFonts w:hint="eastAsia" w:ascii="方正小标宋_GBK" w:eastAsia="方正小标宋_GBK"/>
          <w:bCs/>
          <w:color w:val="auto"/>
          <w:sz w:val="72"/>
          <w:szCs w:val="72"/>
        </w:rPr>
      </w:pPr>
      <w:r>
        <w:rPr>
          <w:rFonts w:hint="eastAsia" w:ascii="方正小标宋_GBK" w:eastAsia="方正小标宋_GBK"/>
          <w:bCs/>
          <w:color w:val="auto"/>
          <w:sz w:val="72"/>
          <w:szCs w:val="72"/>
        </w:rPr>
        <w:t>建设项目环境影响报告表</w:t>
      </w:r>
    </w:p>
    <w:p w14:paraId="72962576">
      <w:pPr>
        <w:adjustRightInd w:val="0"/>
        <w:snapToGrid w:val="0"/>
        <w:spacing w:before="192" w:beforeLines="80"/>
        <w:jc w:val="center"/>
        <w:rPr>
          <w:rFonts w:hint="eastAsia" w:ascii="楷体_GB2312" w:eastAsia="楷体_GB2312"/>
          <w:bCs/>
          <w:color w:val="auto"/>
          <w:sz w:val="48"/>
          <w:szCs w:val="48"/>
        </w:rPr>
      </w:pPr>
      <w:r>
        <w:rPr>
          <w:rFonts w:hint="eastAsia" w:ascii="楷体_GB2312" w:eastAsia="楷体_GB2312"/>
          <w:bCs/>
          <w:color w:val="auto"/>
          <w:sz w:val="48"/>
          <w:szCs w:val="48"/>
        </w:rPr>
        <w:t>（生态影响类）</w:t>
      </w:r>
    </w:p>
    <w:p w14:paraId="1A1797C5">
      <w:pPr>
        <w:adjustRightInd w:val="0"/>
        <w:snapToGrid w:val="0"/>
        <w:spacing w:line="288" w:lineRule="auto"/>
        <w:jc w:val="center"/>
        <w:rPr>
          <w:rFonts w:ascii="华文仿宋" w:hAnsi="华文仿宋" w:eastAsia="华文仿宋" w:cs="华文仿宋"/>
          <w:color w:val="auto"/>
          <w:kern w:val="44"/>
          <w:sz w:val="44"/>
          <w:szCs w:val="44"/>
        </w:rPr>
      </w:pPr>
      <w:bookmarkStart w:id="1" w:name="_Hlk57883728"/>
    </w:p>
    <w:p w14:paraId="1553FC31">
      <w:pPr>
        <w:jc w:val="center"/>
        <w:rPr>
          <w:rFonts w:eastAsia="仿宋"/>
          <w:color w:val="auto"/>
          <w:sz w:val="44"/>
          <w:szCs w:val="44"/>
        </w:rPr>
      </w:pPr>
    </w:p>
    <w:p w14:paraId="70F75E9D">
      <w:pPr>
        <w:jc w:val="center"/>
        <w:rPr>
          <w:rFonts w:eastAsia="仿宋"/>
          <w:color w:val="auto"/>
          <w:sz w:val="44"/>
          <w:szCs w:val="44"/>
        </w:rPr>
      </w:pPr>
    </w:p>
    <w:p w14:paraId="2EFB214D">
      <w:pPr>
        <w:jc w:val="center"/>
        <w:rPr>
          <w:rFonts w:eastAsia="仿宋"/>
          <w:color w:val="auto"/>
          <w:sz w:val="44"/>
          <w:szCs w:val="44"/>
        </w:rPr>
      </w:pPr>
    </w:p>
    <w:bookmarkEnd w:id="1"/>
    <w:p w14:paraId="03AC25F3">
      <w:pPr>
        <w:widowControl/>
        <w:ind w:left="1440" w:hanging="1440" w:hangingChars="400"/>
        <w:jc w:val="left"/>
        <w:rPr>
          <w:rFonts w:hint="eastAsia" w:ascii="仿宋_GB2312" w:eastAsia="仿宋_GB2312"/>
          <w:color w:val="auto"/>
          <w:sz w:val="36"/>
          <w:szCs w:val="36"/>
          <w:u w:val="single"/>
          <w:lang w:eastAsia="zh-CN"/>
        </w:rPr>
      </w:pPr>
      <w:r>
        <w:rPr>
          <w:rFonts w:hint="eastAsia" w:ascii="仿宋_GB2312" w:eastAsia="仿宋_GB2312"/>
          <w:color w:val="auto"/>
          <w:sz w:val="36"/>
          <w:szCs w:val="36"/>
        </w:rPr>
        <w:t>项目名称</w:t>
      </w:r>
      <w:r>
        <w:rPr>
          <w:rFonts w:hint="eastAsia" w:ascii="仿宋_GB2312" w:eastAsia="仿宋_GB2312"/>
          <w:color w:val="auto"/>
          <w:sz w:val="36"/>
          <w:szCs w:val="36"/>
          <w:u w:val="single"/>
        </w:rPr>
        <w:t>:</w:t>
      </w:r>
      <w:r>
        <w:rPr>
          <w:rFonts w:hint="eastAsia" w:ascii="仿宋_GB2312" w:eastAsia="仿宋_GB2312"/>
          <w:color w:val="auto"/>
          <w:sz w:val="36"/>
          <w:szCs w:val="36"/>
          <w:u w:val="single"/>
          <w:lang w:eastAsia="zh-CN"/>
        </w:rPr>
        <w:t>省道名山至兴凯湖公路兴光至兴凯湖博物馆段路面改造工程</w:t>
      </w:r>
    </w:p>
    <w:p w14:paraId="620CB736">
      <w:pPr>
        <w:adjustRightInd w:val="0"/>
        <w:snapToGrid w:val="0"/>
        <w:rPr>
          <w:rFonts w:hint="eastAsia" w:ascii="仿宋_GB2312" w:eastAsia="仿宋_GB2312"/>
          <w:color w:val="auto"/>
          <w:sz w:val="36"/>
          <w:szCs w:val="36"/>
          <w:u w:val="single"/>
        </w:rPr>
      </w:pPr>
      <w:r>
        <w:rPr>
          <w:rFonts w:hint="eastAsia" w:ascii="仿宋_GB2312" w:eastAsia="仿宋_GB2312"/>
          <w:color w:val="auto"/>
          <w:sz w:val="36"/>
          <w:szCs w:val="36"/>
        </w:rPr>
        <w:t>建设单位（盖章）：</w:t>
      </w:r>
      <w:r>
        <w:rPr>
          <w:rFonts w:hint="eastAsia" w:ascii="仿宋_GB2312" w:eastAsia="仿宋_GB2312"/>
          <w:color w:val="auto"/>
          <w:sz w:val="36"/>
          <w:szCs w:val="36"/>
          <w:u w:val="single"/>
        </w:rPr>
        <w:t xml:space="preserve">     </w:t>
      </w:r>
      <w:r>
        <w:rPr>
          <w:rFonts w:hint="eastAsia" w:ascii="仿宋_GB2312" w:eastAsia="仿宋_GB2312"/>
          <w:color w:val="auto"/>
          <w:sz w:val="36"/>
          <w:szCs w:val="36"/>
          <w:u w:val="single"/>
          <w:lang w:eastAsia="zh-CN"/>
        </w:rPr>
        <w:t>密山市交通运输局</w:t>
      </w:r>
      <w:r>
        <w:rPr>
          <w:rFonts w:hint="eastAsia" w:ascii="仿宋_GB2312" w:eastAsia="仿宋_GB2312"/>
          <w:color w:val="auto"/>
          <w:sz w:val="36"/>
          <w:szCs w:val="36"/>
          <w:u w:val="single"/>
        </w:rPr>
        <w:t xml:space="preserve">     </w:t>
      </w:r>
    </w:p>
    <w:p w14:paraId="244C3B2A">
      <w:pPr>
        <w:adjustRightInd w:val="0"/>
        <w:snapToGrid w:val="0"/>
        <w:rPr>
          <w:rFonts w:hint="eastAsia" w:ascii="仿宋_GB2312" w:eastAsia="仿宋_GB2312"/>
          <w:color w:val="auto"/>
          <w:sz w:val="36"/>
          <w:szCs w:val="36"/>
          <w:u w:val="single"/>
        </w:rPr>
      </w:pPr>
      <w:r>
        <w:rPr>
          <w:rFonts w:hint="eastAsia" w:ascii="仿宋_GB2312" w:eastAsia="仿宋_GB2312"/>
          <w:color w:val="auto"/>
          <w:sz w:val="36"/>
          <w:szCs w:val="36"/>
        </w:rPr>
        <w:t>编制日期：</w:t>
      </w:r>
      <w:r>
        <w:rPr>
          <w:rFonts w:hint="eastAsia" w:ascii="仿宋_GB2312" w:eastAsia="仿宋_GB2312"/>
          <w:color w:val="auto"/>
          <w:sz w:val="36"/>
          <w:szCs w:val="36"/>
          <w:u w:val="single"/>
        </w:rPr>
        <w:t xml:space="preserve">          202</w:t>
      </w:r>
      <w:r>
        <w:rPr>
          <w:rFonts w:hint="eastAsia" w:ascii="仿宋_GB2312" w:eastAsia="仿宋_GB2312"/>
          <w:color w:val="auto"/>
          <w:sz w:val="36"/>
          <w:szCs w:val="36"/>
          <w:u w:val="single"/>
          <w:lang w:val="en-US" w:eastAsia="zh-CN"/>
        </w:rPr>
        <w:t>6</w:t>
      </w:r>
      <w:r>
        <w:rPr>
          <w:rFonts w:hint="eastAsia" w:ascii="仿宋_GB2312" w:eastAsia="仿宋_GB2312"/>
          <w:color w:val="auto"/>
          <w:sz w:val="36"/>
          <w:szCs w:val="36"/>
          <w:u w:val="single"/>
        </w:rPr>
        <w:t>年</w:t>
      </w:r>
      <w:r>
        <w:rPr>
          <w:rFonts w:hint="eastAsia" w:ascii="仿宋_GB2312" w:eastAsia="仿宋_GB2312"/>
          <w:color w:val="auto"/>
          <w:sz w:val="36"/>
          <w:szCs w:val="36"/>
          <w:u w:val="single"/>
          <w:lang w:val="en-US" w:eastAsia="zh-CN"/>
        </w:rPr>
        <w:t>01</w:t>
      </w:r>
      <w:r>
        <w:rPr>
          <w:rFonts w:hint="eastAsia" w:ascii="仿宋_GB2312" w:eastAsia="仿宋_GB2312"/>
          <w:color w:val="auto"/>
          <w:sz w:val="36"/>
          <w:szCs w:val="36"/>
          <w:u w:val="single"/>
        </w:rPr>
        <w:t>月</w:t>
      </w:r>
      <w:r>
        <w:rPr>
          <w:rFonts w:ascii="仿宋_GB2312" w:eastAsia="仿宋_GB2312"/>
          <w:color w:val="auto"/>
          <w:sz w:val="36"/>
          <w:szCs w:val="36"/>
          <w:u w:val="single"/>
        </w:rPr>
        <w:t xml:space="preserve"> </w:t>
      </w:r>
      <w:r>
        <w:rPr>
          <w:rFonts w:hint="eastAsia" w:ascii="仿宋_GB2312" w:eastAsia="仿宋_GB2312"/>
          <w:color w:val="auto"/>
          <w:sz w:val="36"/>
          <w:szCs w:val="36"/>
          <w:u w:val="single"/>
        </w:rPr>
        <w:t xml:space="preserve">   </w:t>
      </w:r>
      <w:r>
        <w:rPr>
          <w:rFonts w:ascii="仿宋_GB2312" w:eastAsia="仿宋_GB2312"/>
          <w:color w:val="auto"/>
          <w:sz w:val="36"/>
          <w:szCs w:val="36"/>
          <w:u w:val="single"/>
        </w:rPr>
        <w:t xml:space="preserve"> </w:t>
      </w:r>
      <w:r>
        <w:rPr>
          <w:rFonts w:hint="eastAsia" w:ascii="仿宋_GB2312" w:eastAsia="仿宋_GB2312"/>
          <w:color w:val="auto"/>
          <w:sz w:val="36"/>
          <w:szCs w:val="36"/>
          <w:u w:val="single"/>
        </w:rPr>
        <w:t xml:space="preserve"> </w:t>
      </w:r>
      <w:r>
        <w:rPr>
          <w:rFonts w:ascii="仿宋_GB2312" w:eastAsia="仿宋_GB2312"/>
          <w:color w:val="auto"/>
          <w:sz w:val="36"/>
          <w:szCs w:val="36"/>
          <w:u w:val="single"/>
        </w:rPr>
        <w:t xml:space="preserve">       </w:t>
      </w:r>
    </w:p>
    <w:p w14:paraId="4C761D1D">
      <w:pPr>
        <w:adjustRightInd w:val="0"/>
        <w:snapToGrid w:val="0"/>
        <w:spacing w:line="288" w:lineRule="auto"/>
        <w:rPr>
          <w:rFonts w:ascii="仿宋_GB2312" w:eastAsia="仿宋_GB2312"/>
          <w:color w:val="auto"/>
          <w:sz w:val="36"/>
          <w:szCs w:val="36"/>
          <w:u w:val="single"/>
        </w:rPr>
      </w:pPr>
    </w:p>
    <w:p w14:paraId="2D6663D3">
      <w:pPr>
        <w:adjustRightInd w:val="0"/>
        <w:snapToGrid w:val="0"/>
        <w:spacing w:line="288" w:lineRule="auto"/>
        <w:rPr>
          <w:rFonts w:ascii="仿宋_GB2312" w:eastAsia="仿宋_GB2312"/>
          <w:color w:val="auto"/>
          <w:sz w:val="36"/>
          <w:szCs w:val="36"/>
        </w:rPr>
      </w:pPr>
    </w:p>
    <w:p w14:paraId="727D9B73">
      <w:pPr>
        <w:pStyle w:val="23"/>
        <w:rPr>
          <w:rFonts w:ascii="仿宋_GB2312" w:eastAsia="仿宋_GB2312"/>
          <w:color w:val="auto"/>
          <w:sz w:val="36"/>
          <w:szCs w:val="36"/>
        </w:rPr>
      </w:pPr>
    </w:p>
    <w:p w14:paraId="2B2C23B9">
      <w:pPr>
        <w:adjustRightInd w:val="0"/>
        <w:snapToGrid w:val="0"/>
        <w:spacing w:line="288" w:lineRule="auto"/>
        <w:jc w:val="center"/>
        <w:rPr>
          <w:rFonts w:hint="eastAsia" w:ascii="楷体_GB2312" w:eastAsia="楷体_GB2312"/>
          <w:color w:val="auto"/>
          <w:sz w:val="36"/>
          <w:szCs w:val="36"/>
        </w:rPr>
      </w:pPr>
      <w:r>
        <w:rPr>
          <w:rFonts w:hint="eastAsia" w:ascii="楷体_GB2312" w:eastAsia="楷体_GB2312"/>
          <w:color w:val="auto"/>
          <w:sz w:val="36"/>
          <w:szCs w:val="36"/>
        </w:rPr>
        <w:t>中华人民共和国生态环境部制</w:t>
      </w:r>
    </w:p>
    <w:p w14:paraId="3FB07142">
      <w:pPr>
        <w:adjustRightInd w:val="0"/>
        <w:snapToGrid w:val="0"/>
        <w:spacing w:line="288" w:lineRule="auto"/>
        <w:jc w:val="center"/>
        <w:rPr>
          <w:rFonts w:hint="eastAsia" w:ascii="楷体_GB2312" w:eastAsia="楷体_GB2312"/>
          <w:color w:val="auto"/>
          <w:sz w:val="36"/>
          <w:szCs w:val="36"/>
        </w:rPr>
      </w:pPr>
    </w:p>
    <w:p w14:paraId="189C1E72">
      <w:pPr>
        <w:adjustRightInd w:val="0"/>
        <w:snapToGrid w:val="0"/>
        <w:spacing w:line="288" w:lineRule="auto"/>
        <w:jc w:val="center"/>
        <w:rPr>
          <w:rFonts w:hint="eastAsia" w:ascii="楷体_GB2312" w:eastAsia="楷体_GB2312"/>
          <w:color w:val="auto"/>
          <w:sz w:val="36"/>
          <w:szCs w:val="36"/>
        </w:rPr>
      </w:pPr>
    </w:p>
    <w:p w14:paraId="5E581F3F">
      <w:pPr>
        <w:adjustRightInd w:val="0"/>
        <w:snapToGrid w:val="0"/>
        <w:spacing w:line="288" w:lineRule="auto"/>
        <w:jc w:val="center"/>
        <w:rPr>
          <w:rFonts w:hint="eastAsia" w:ascii="楷体_GB2312" w:eastAsia="楷体_GB2312"/>
          <w:color w:val="auto"/>
          <w:sz w:val="36"/>
          <w:szCs w:val="36"/>
          <w:lang w:eastAsia="zh-CN"/>
        </w:rPr>
      </w:pPr>
      <w:r>
        <w:rPr>
          <w:rFonts w:hint="eastAsia" w:ascii="楷体_GB2312" w:eastAsia="楷体_GB2312"/>
          <w:color w:val="auto"/>
          <w:sz w:val="36"/>
          <w:szCs w:val="36"/>
          <w:lang w:eastAsia="zh-CN"/>
        </w:rPr>
        <w:drawing>
          <wp:inline distT="0" distB="0" distL="114300" distR="114300">
            <wp:extent cx="5237480" cy="6983730"/>
            <wp:effectExtent l="0" t="0" r="1270" b="7620"/>
            <wp:docPr id="6" name="图片 6" descr="1ce03c1e8ecd42dfedeee6665487cc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ce03c1e8ecd42dfedeee6665487ccd3"/>
                    <pic:cNvPicPr>
                      <a:picLocks noChangeAspect="1"/>
                    </pic:cNvPicPr>
                  </pic:nvPicPr>
                  <pic:blipFill>
                    <a:blip r:embed="rId9"/>
                    <a:stretch>
                      <a:fillRect/>
                    </a:stretch>
                  </pic:blipFill>
                  <pic:spPr>
                    <a:xfrm>
                      <a:off x="0" y="0"/>
                      <a:ext cx="5237480" cy="6983730"/>
                    </a:xfrm>
                    <a:prstGeom prst="rect">
                      <a:avLst/>
                    </a:prstGeom>
                  </pic:spPr>
                </pic:pic>
              </a:graphicData>
            </a:graphic>
          </wp:inline>
        </w:drawing>
      </w:r>
    </w:p>
    <w:p w14:paraId="3FBA3199">
      <w:pPr>
        <w:jc w:val="center"/>
        <w:rPr>
          <w:b/>
          <w:bCs/>
          <w:color w:val="auto"/>
          <w:sz w:val="30"/>
          <w:szCs w:val="30"/>
        </w:rPr>
      </w:pPr>
    </w:p>
    <w:p w14:paraId="6D792CFB">
      <w:pPr>
        <w:jc w:val="center"/>
        <w:rPr>
          <w:b/>
          <w:bCs/>
          <w:color w:val="auto"/>
          <w:sz w:val="30"/>
          <w:szCs w:val="30"/>
        </w:rPr>
      </w:pPr>
    </w:p>
    <w:p w14:paraId="3431A4BF">
      <w:pPr>
        <w:jc w:val="center"/>
        <w:rPr>
          <w:b/>
          <w:bCs/>
          <w:color w:val="auto"/>
          <w:sz w:val="30"/>
          <w:szCs w:val="30"/>
        </w:rPr>
      </w:pPr>
    </w:p>
    <w:p w14:paraId="45C744A2">
      <w:pPr>
        <w:jc w:val="center"/>
        <w:rPr>
          <w:b/>
          <w:bCs/>
          <w:color w:val="auto"/>
          <w:sz w:val="30"/>
          <w:szCs w:val="30"/>
        </w:rPr>
      </w:pPr>
    </w:p>
    <w:p w14:paraId="72DD164B">
      <w:pPr>
        <w:jc w:val="center"/>
        <w:rPr>
          <w:b/>
          <w:bCs/>
          <w:color w:val="auto"/>
          <w:sz w:val="30"/>
          <w:szCs w:val="30"/>
        </w:rPr>
      </w:pPr>
    </w:p>
    <w:p w14:paraId="605E05D9">
      <w:pPr>
        <w:jc w:val="center"/>
        <w:rPr>
          <w:b/>
          <w:bCs/>
          <w:color w:val="auto"/>
          <w:sz w:val="30"/>
          <w:szCs w:val="30"/>
        </w:rPr>
      </w:pPr>
      <w:r>
        <w:rPr>
          <w:b/>
          <w:bCs/>
          <w:color w:val="auto"/>
          <w:sz w:val="30"/>
          <w:szCs w:val="30"/>
        </w:rPr>
        <w:t>目 录</w:t>
      </w:r>
    </w:p>
    <w:p w14:paraId="2B9F3A12">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TOC \o "1-1" \h \u </w:instrText>
      </w:r>
      <w:r>
        <w:rPr>
          <w:color w:val="auto"/>
          <w:sz w:val="21"/>
          <w:szCs w:val="21"/>
        </w:rPr>
        <w:fldChar w:fldCharType="separate"/>
      </w:r>
      <w:r>
        <w:rPr>
          <w:color w:val="auto"/>
          <w:sz w:val="21"/>
          <w:szCs w:val="21"/>
        </w:rPr>
        <w:fldChar w:fldCharType="begin"/>
      </w:r>
      <w:r>
        <w:rPr>
          <w:color w:val="auto"/>
          <w:sz w:val="21"/>
          <w:szCs w:val="21"/>
        </w:rPr>
        <w:instrText xml:space="preserve"> HYPERLINK \l _Toc30934 </w:instrText>
      </w:r>
      <w:r>
        <w:rPr>
          <w:color w:val="auto"/>
          <w:sz w:val="21"/>
          <w:szCs w:val="21"/>
        </w:rPr>
        <w:fldChar w:fldCharType="separate"/>
      </w:r>
      <w:r>
        <w:rPr>
          <w:snapToGrid w:val="0"/>
          <w:color w:val="auto"/>
          <w:kern w:val="21"/>
          <w:sz w:val="21"/>
          <w:szCs w:val="21"/>
        </w:rPr>
        <w:t>一、建设项目基本情况</w:t>
      </w:r>
      <w:r>
        <w:rPr>
          <w:color w:val="auto"/>
          <w:sz w:val="21"/>
          <w:szCs w:val="21"/>
        </w:rPr>
        <w:tab/>
      </w:r>
      <w:r>
        <w:rPr>
          <w:color w:val="auto"/>
          <w:sz w:val="21"/>
          <w:szCs w:val="21"/>
        </w:rPr>
        <w:fldChar w:fldCharType="begin"/>
      </w:r>
      <w:r>
        <w:rPr>
          <w:color w:val="auto"/>
          <w:sz w:val="21"/>
          <w:szCs w:val="21"/>
        </w:rPr>
        <w:instrText xml:space="preserve"> PAGEREF _Toc30934 \h </w:instrText>
      </w:r>
      <w:r>
        <w:rPr>
          <w:color w:val="auto"/>
          <w:sz w:val="21"/>
          <w:szCs w:val="21"/>
        </w:rPr>
        <w:fldChar w:fldCharType="separate"/>
      </w:r>
      <w:r>
        <w:rPr>
          <w:color w:val="auto"/>
          <w:sz w:val="21"/>
          <w:szCs w:val="21"/>
        </w:rPr>
        <w:t>1</w:t>
      </w:r>
      <w:r>
        <w:rPr>
          <w:color w:val="auto"/>
          <w:sz w:val="21"/>
          <w:szCs w:val="21"/>
        </w:rPr>
        <w:fldChar w:fldCharType="end"/>
      </w:r>
      <w:r>
        <w:rPr>
          <w:color w:val="auto"/>
          <w:sz w:val="21"/>
          <w:szCs w:val="21"/>
        </w:rPr>
        <w:fldChar w:fldCharType="end"/>
      </w:r>
    </w:p>
    <w:p w14:paraId="7C89105A">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_Toc7258 </w:instrText>
      </w:r>
      <w:r>
        <w:rPr>
          <w:color w:val="auto"/>
          <w:sz w:val="21"/>
          <w:szCs w:val="21"/>
        </w:rPr>
        <w:fldChar w:fldCharType="separate"/>
      </w:r>
      <w:r>
        <w:rPr>
          <w:snapToGrid w:val="0"/>
          <w:color w:val="auto"/>
          <w:kern w:val="21"/>
          <w:sz w:val="21"/>
          <w:szCs w:val="21"/>
        </w:rPr>
        <w:t>二、建设内容</w:t>
      </w:r>
      <w:r>
        <w:rPr>
          <w:color w:val="auto"/>
          <w:sz w:val="21"/>
          <w:szCs w:val="21"/>
        </w:rPr>
        <w:tab/>
      </w:r>
      <w:r>
        <w:rPr>
          <w:color w:val="auto"/>
          <w:sz w:val="21"/>
          <w:szCs w:val="21"/>
        </w:rPr>
        <w:fldChar w:fldCharType="begin"/>
      </w:r>
      <w:r>
        <w:rPr>
          <w:color w:val="auto"/>
          <w:sz w:val="21"/>
          <w:szCs w:val="21"/>
        </w:rPr>
        <w:instrText xml:space="preserve"> PAGEREF _Toc7258 \h </w:instrText>
      </w:r>
      <w:r>
        <w:rPr>
          <w:color w:val="auto"/>
          <w:sz w:val="21"/>
          <w:szCs w:val="21"/>
        </w:rPr>
        <w:fldChar w:fldCharType="separate"/>
      </w:r>
      <w:r>
        <w:rPr>
          <w:color w:val="auto"/>
          <w:sz w:val="21"/>
          <w:szCs w:val="21"/>
        </w:rPr>
        <w:t>16</w:t>
      </w:r>
      <w:r>
        <w:rPr>
          <w:color w:val="auto"/>
          <w:sz w:val="21"/>
          <w:szCs w:val="21"/>
        </w:rPr>
        <w:fldChar w:fldCharType="end"/>
      </w:r>
      <w:r>
        <w:rPr>
          <w:color w:val="auto"/>
          <w:sz w:val="21"/>
          <w:szCs w:val="21"/>
        </w:rPr>
        <w:fldChar w:fldCharType="end"/>
      </w:r>
    </w:p>
    <w:p w14:paraId="177F4A9B">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_Toc9504 </w:instrText>
      </w:r>
      <w:r>
        <w:rPr>
          <w:color w:val="auto"/>
          <w:sz w:val="21"/>
          <w:szCs w:val="21"/>
        </w:rPr>
        <w:fldChar w:fldCharType="separate"/>
      </w:r>
      <w:r>
        <w:rPr>
          <w:snapToGrid w:val="0"/>
          <w:color w:val="auto"/>
          <w:kern w:val="21"/>
          <w:sz w:val="21"/>
          <w:szCs w:val="21"/>
        </w:rPr>
        <w:t>三、生态环境现状、保护目标及评价标准</w:t>
      </w:r>
      <w:r>
        <w:rPr>
          <w:color w:val="auto"/>
          <w:sz w:val="21"/>
          <w:szCs w:val="21"/>
        </w:rPr>
        <w:tab/>
      </w:r>
      <w:r>
        <w:rPr>
          <w:color w:val="auto"/>
          <w:sz w:val="21"/>
          <w:szCs w:val="21"/>
        </w:rPr>
        <w:fldChar w:fldCharType="begin"/>
      </w:r>
      <w:r>
        <w:rPr>
          <w:color w:val="auto"/>
          <w:sz w:val="21"/>
          <w:szCs w:val="21"/>
        </w:rPr>
        <w:instrText xml:space="preserve"> PAGEREF _Toc9504 \h </w:instrText>
      </w:r>
      <w:r>
        <w:rPr>
          <w:color w:val="auto"/>
          <w:sz w:val="21"/>
          <w:szCs w:val="21"/>
        </w:rPr>
        <w:fldChar w:fldCharType="separate"/>
      </w:r>
      <w:r>
        <w:rPr>
          <w:color w:val="auto"/>
          <w:sz w:val="21"/>
          <w:szCs w:val="21"/>
        </w:rPr>
        <w:t>35</w:t>
      </w:r>
      <w:r>
        <w:rPr>
          <w:color w:val="auto"/>
          <w:sz w:val="21"/>
          <w:szCs w:val="21"/>
        </w:rPr>
        <w:fldChar w:fldCharType="end"/>
      </w:r>
      <w:r>
        <w:rPr>
          <w:color w:val="auto"/>
          <w:sz w:val="21"/>
          <w:szCs w:val="21"/>
        </w:rPr>
        <w:fldChar w:fldCharType="end"/>
      </w:r>
    </w:p>
    <w:p w14:paraId="4442F3D6">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_Toc23563 </w:instrText>
      </w:r>
      <w:r>
        <w:rPr>
          <w:color w:val="auto"/>
          <w:sz w:val="21"/>
          <w:szCs w:val="21"/>
        </w:rPr>
        <w:fldChar w:fldCharType="separate"/>
      </w:r>
      <w:r>
        <w:rPr>
          <w:snapToGrid w:val="0"/>
          <w:color w:val="auto"/>
          <w:kern w:val="21"/>
          <w:sz w:val="21"/>
          <w:szCs w:val="21"/>
        </w:rPr>
        <w:t>四、生态环境影响分析</w:t>
      </w:r>
      <w:r>
        <w:rPr>
          <w:color w:val="auto"/>
          <w:sz w:val="21"/>
          <w:szCs w:val="21"/>
        </w:rPr>
        <w:tab/>
      </w:r>
      <w:r>
        <w:rPr>
          <w:color w:val="auto"/>
          <w:sz w:val="21"/>
          <w:szCs w:val="21"/>
        </w:rPr>
        <w:fldChar w:fldCharType="begin"/>
      </w:r>
      <w:r>
        <w:rPr>
          <w:color w:val="auto"/>
          <w:sz w:val="21"/>
          <w:szCs w:val="21"/>
        </w:rPr>
        <w:instrText xml:space="preserve"> PAGEREF _Toc23563 \h </w:instrText>
      </w:r>
      <w:r>
        <w:rPr>
          <w:color w:val="auto"/>
          <w:sz w:val="21"/>
          <w:szCs w:val="21"/>
        </w:rPr>
        <w:fldChar w:fldCharType="separate"/>
      </w:r>
      <w:r>
        <w:rPr>
          <w:color w:val="auto"/>
          <w:sz w:val="21"/>
          <w:szCs w:val="21"/>
        </w:rPr>
        <w:t>60</w:t>
      </w:r>
      <w:r>
        <w:rPr>
          <w:color w:val="auto"/>
          <w:sz w:val="21"/>
          <w:szCs w:val="21"/>
        </w:rPr>
        <w:fldChar w:fldCharType="end"/>
      </w:r>
      <w:r>
        <w:rPr>
          <w:color w:val="auto"/>
          <w:sz w:val="21"/>
          <w:szCs w:val="21"/>
        </w:rPr>
        <w:fldChar w:fldCharType="end"/>
      </w:r>
    </w:p>
    <w:p w14:paraId="78267323">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_Toc516 </w:instrText>
      </w:r>
      <w:r>
        <w:rPr>
          <w:color w:val="auto"/>
          <w:sz w:val="21"/>
          <w:szCs w:val="21"/>
        </w:rPr>
        <w:fldChar w:fldCharType="separate"/>
      </w:r>
      <w:r>
        <w:rPr>
          <w:snapToGrid w:val="0"/>
          <w:color w:val="auto"/>
          <w:kern w:val="21"/>
          <w:sz w:val="21"/>
          <w:szCs w:val="21"/>
        </w:rPr>
        <w:t>五、主要生态环境保护措施</w:t>
      </w:r>
      <w:r>
        <w:rPr>
          <w:color w:val="auto"/>
          <w:sz w:val="21"/>
          <w:szCs w:val="21"/>
        </w:rPr>
        <w:tab/>
      </w:r>
      <w:r>
        <w:rPr>
          <w:color w:val="auto"/>
          <w:sz w:val="21"/>
          <w:szCs w:val="21"/>
        </w:rPr>
        <w:fldChar w:fldCharType="begin"/>
      </w:r>
      <w:r>
        <w:rPr>
          <w:color w:val="auto"/>
          <w:sz w:val="21"/>
          <w:szCs w:val="21"/>
        </w:rPr>
        <w:instrText xml:space="preserve"> PAGEREF _Toc516 \h </w:instrText>
      </w:r>
      <w:r>
        <w:rPr>
          <w:color w:val="auto"/>
          <w:sz w:val="21"/>
          <w:szCs w:val="21"/>
        </w:rPr>
        <w:fldChar w:fldCharType="separate"/>
      </w:r>
      <w:r>
        <w:rPr>
          <w:color w:val="auto"/>
          <w:sz w:val="21"/>
          <w:szCs w:val="21"/>
        </w:rPr>
        <w:t>70</w:t>
      </w:r>
      <w:r>
        <w:rPr>
          <w:color w:val="auto"/>
          <w:sz w:val="21"/>
          <w:szCs w:val="21"/>
        </w:rPr>
        <w:fldChar w:fldCharType="end"/>
      </w:r>
      <w:r>
        <w:rPr>
          <w:color w:val="auto"/>
          <w:sz w:val="21"/>
          <w:szCs w:val="21"/>
        </w:rPr>
        <w:fldChar w:fldCharType="end"/>
      </w:r>
    </w:p>
    <w:p w14:paraId="657F27A4">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_Toc13468 </w:instrText>
      </w:r>
      <w:r>
        <w:rPr>
          <w:color w:val="auto"/>
          <w:sz w:val="21"/>
          <w:szCs w:val="21"/>
        </w:rPr>
        <w:fldChar w:fldCharType="separate"/>
      </w:r>
      <w:r>
        <w:rPr>
          <w:snapToGrid w:val="0"/>
          <w:color w:val="auto"/>
          <w:kern w:val="21"/>
          <w:sz w:val="21"/>
          <w:szCs w:val="21"/>
        </w:rPr>
        <w:t>六、生态环境保护措施监督检查清单</w:t>
      </w:r>
      <w:r>
        <w:rPr>
          <w:color w:val="auto"/>
          <w:sz w:val="21"/>
          <w:szCs w:val="21"/>
        </w:rPr>
        <w:tab/>
      </w:r>
      <w:r>
        <w:rPr>
          <w:color w:val="auto"/>
          <w:sz w:val="21"/>
          <w:szCs w:val="21"/>
        </w:rPr>
        <w:fldChar w:fldCharType="begin"/>
      </w:r>
      <w:r>
        <w:rPr>
          <w:color w:val="auto"/>
          <w:sz w:val="21"/>
          <w:szCs w:val="21"/>
        </w:rPr>
        <w:instrText xml:space="preserve"> PAGEREF _Toc13468 \h </w:instrText>
      </w:r>
      <w:r>
        <w:rPr>
          <w:color w:val="auto"/>
          <w:sz w:val="21"/>
          <w:szCs w:val="21"/>
        </w:rPr>
        <w:fldChar w:fldCharType="separate"/>
      </w:r>
      <w:r>
        <w:rPr>
          <w:color w:val="auto"/>
          <w:sz w:val="21"/>
          <w:szCs w:val="21"/>
        </w:rPr>
        <w:t>79</w:t>
      </w:r>
      <w:r>
        <w:rPr>
          <w:color w:val="auto"/>
          <w:sz w:val="21"/>
          <w:szCs w:val="21"/>
        </w:rPr>
        <w:fldChar w:fldCharType="end"/>
      </w:r>
      <w:r>
        <w:rPr>
          <w:color w:val="auto"/>
          <w:sz w:val="21"/>
          <w:szCs w:val="21"/>
        </w:rPr>
        <w:fldChar w:fldCharType="end"/>
      </w:r>
    </w:p>
    <w:p w14:paraId="0C549678">
      <w:pPr>
        <w:pStyle w:val="22"/>
        <w:tabs>
          <w:tab w:val="right" w:leader="dot" w:pos="8250"/>
        </w:tabs>
        <w:rPr>
          <w:color w:val="auto"/>
          <w:sz w:val="21"/>
          <w:szCs w:val="21"/>
        </w:rPr>
      </w:pPr>
      <w:r>
        <w:rPr>
          <w:color w:val="auto"/>
          <w:sz w:val="21"/>
          <w:szCs w:val="21"/>
        </w:rPr>
        <w:fldChar w:fldCharType="begin"/>
      </w:r>
      <w:r>
        <w:rPr>
          <w:color w:val="auto"/>
          <w:sz w:val="21"/>
          <w:szCs w:val="21"/>
        </w:rPr>
        <w:instrText xml:space="preserve"> HYPERLINK \l _Toc24890 </w:instrText>
      </w:r>
      <w:r>
        <w:rPr>
          <w:color w:val="auto"/>
          <w:sz w:val="21"/>
          <w:szCs w:val="21"/>
        </w:rPr>
        <w:fldChar w:fldCharType="separate"/>
      </w:r>
      <w:r>
        <w:rPr>
          <w:snapToGrid w:val="0"/>
          <w:color w:val="auto"/>
          <w:kern w:val="21"/>
          <w:sz w:val="21"/>
          <w:szCs w:val="21"/>
        </w:rPr>
        <w:t>七、结论</w:t>
      </w:r>
      <w:r>
        <w:rPr>
          <w:color w:val="auto"/>
          <w:sz w:val="21"/>
          <w:szCs w:val="21"/>
        </w:rPr>
        <w:tab/>
      </w:r>
      <w:r>
        <w:rPr>
          <w:color w:val="auto"/>
          <w:sz w:val="21"/>
          <w:szCs w:val="21"/>
        </w:rPr>
        <w:fldChar w:fldCharType="begin"/>
      </w:r>
      <w:r>
        <w:rPr>
          <w:color w:val="auto"/>
          <w:sz w:val="21"/>
          <w:szCs w:val="21"/>
        </w:rPr>
        <w:instrText xml:space="preserve"> PAGEREF _Toc24890 \h </w:instrText>
      </w:r>
      <w:r>
        <w:rPr>
          <w:color w:val="auto"/>
          <w:sz w:val="21"/>
          <w:szCs w:val="21"/>
        </w:rPr>
        <w:fldChar w:fldCharType="separate"/>
      </w:r>
      <w:r>
        <w:rPr>
          <w:color w:val="auto"/>
          <w:sz w:val="21"/>
          <w:szCs w:val="21"/>
        </w:rPr>
        <w:t>79</w:t>
      </w:r>
      <w:r>
        <w:rPr>
          <w:color w:val="auto"/>
          <w:sz w:val="21"/>
          <w:szCs w:val="21"/>
        </w:rPr>
        <w:fldChar w:fldCharType="end"/>
      </w:r>
      <w:r>
        <w:rPr>
          <w:color w:val="auto"/>
          <w:sz w:val="21"/>
          <w:szCs w:val="21"/>
        </w:rPr>
        <w:fldChar w:fldCharType="end"/>
      </w:r>
    </w:p>
    <w:p w14:paraId="12E7E39B">
      <w:pPr>
        <w:spacing w:line="276" w:lineRule="auto"/>
        <w:rPr>
          <w:b/>
          <w:color w:val="auto"/>
          <w:sz w:val="21"/>
          <w:szCs w:val="21"/>
        </w:rPr>
      </w:pPr>
      <w:r>
        <w:rPr>
          <w:color w:val="auto"/>
          <w:sz w:val="21"/>
          <w:szCs w:val="21"/>
        </w:rPr>
        <w:fldChar w:fldCharType="end"/>
      </w:r>
      <w:r>
        <w:rPr>
          <w:rFonts w:hint="eastAsia"/>
          <w:b/>
          <w:color w:val="auto"/>
          <w:sz w:val="21"/>
          <w:szCs w:val="21"/>
        </w:rPr>
        <w:t>附件：</w:t>
      </w:r>
    </w:p>
    <w:p w14:paraId="01BA5E19">
      <w:pPr>
        <w:spacing w:line="276" w:lineRule="auto"/>
        <w:ind w:firstLine="420" w:firstLineChars="200"/>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附件</w:t>
      </w:r>
      <w:r>
        <w:rPr>
          <w:rFonts w:hint="eastAsia"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rPr>
        <w:t xml:space="preserve"> 关于</w:t>
      </w:r>
      <w:r>
        <w:rPr>
          <w:rFonts w:hint="eastAsia" w:ascii="Times New Roman" w:hAnsi="Times New Roman" w:eastAsia="宋体" w:cs="Times New Roman"/>
          <w:color w:val="auto"/>
          <w:sz w:val="21"/>
          <w:szCs w:val="21"/>
          <w:lang w:eastAsia="zh-CN"/>
        </w:rPr>
        <w:t>省道名山至兴凯湖公路兴光至兴凯湖博物馆段路面改造工程</w:t>
      </w:r>
      <w:r>
        <w:rPr>
          <w:rFonts w:hint="eastAsia" w:ascii="Times New Roman" w:hAnsi="Times New Roman" w:eastAsia="宋体" w:cs="Times New Roman"/>
          <w:color w:val="auto"/>
          <w:sz w:val="21"/>
          <w:szCs w:val="21"/>
        </w:rPr>
        <w:t>施工图设计的批复</w:t>
      </w:r>
    </w:p>
    <w:p w14:paraId="4888801D">
      <w:pPr>
        <w:spacing w:line="276" w:lineRule="auto"/>
        <w:ind w:firstLine="420" w:firstLineChars="200"/>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附件2 生态环境分区管控分析报告</w:t>
      </w:r>
    </w:p>
    <w:p w14:paraId="2C39005E">
      <w:pPr>
        <w:spacing w:line="276" w:lineRule="auto"/>
        <w:ind w:firstLine="420" w:firstLineChars="20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附件3 《关于省道名山至兴凯湖公路兴光至兴凯湖博物馆段路面改造工程占用黑龙江兴凯湖国家地质公园的请示》的复函</w:t>
      </w:r>
    </w:p>
    <w:p w14:paraId="54251227">
      <w:pPr>
        <w:spacing w:line="276" w:lineRule="auto"/>
        <w:ind w:firstLine="420" w:firstLineChars="200"/>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附件4 噪声监测报告</w:t>
      </w:r>
    </w:p>
    <w:p w14:paraId="26198149">
      <w:pPr>
        <w:spacing w:line="276" w:lineRule="auto"/>
        <w:ind w:firstLine="420" w:firstLineChars="200"/>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附件</w:t>
      </w:r>
      <w:r>
        <w:rPr>
          <w:rFonts w:hint="eastAsia" w:cs="Times New Roman"/>
          <w:color w:val="auto"/>
          <w:sz w:val="21"/>
          <w:szCs w:val="21"/>
          <w:lang w:val="en-US" w:eastAsia="zh-CN"/>
        </w:rPr>
        <w:t xml:space="preserve">5 </w:t>
      </w:r>
      <w:r>
        <w:rPr>
          <w:rFonts w:hint="eastAsia" w:ascii="Times New Roman" w:hAnsi="Times New Roman" w:eastAsia="宋体" w:cs="Times New Roman"/>
          <w:color w:val="auto"/>
          <w:sz w:val="21"/>
          <w:szCs w:val="21"/>
          <w:lang w:val="en-US" w:eastAsia="zh-CN"/>
        </w:rPr>
        <w:t>租赁合同(沥青混凝土拌合站)</w:t>
      </w:r>
    </w:p>
    <w:p w14:paraId="77925D60">
      <w:pPr>
        <w:spacing w:line="276" w:lineRule="auto"/>
        <w:ind w:firstLine="420" w:firstLineChars="200"/>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附件</w:t>
      </w:r>
      <w:r>
        <w:rPr>
          <w:rFonts w:hint="eastAsia" w:cs="Times New Roman"/>
          <w:color w:val="auto"/>
          <w:sz w:val="21"/>
          <w:szCs w:val="21"/>
          <w:lang w:val="en-US" w:eastAsia="zh-CN"/>
        </w:rPr>
        <w:t xml:space="preserve">6 </w:t>
      </w:r>
      <w:r>
        <w:rPr>
          <w:rFonts w:hint="eastAsia" w:ascii="Times New Roman" w:hAnsi="Times New Roman" w:eastAsia="宋体" w:cs="Times New Roman"/>
          <w:color w:val="auto"/>
          <w:sz w:val="21"/>
          <w:szCs w:val="21"/>
          <w:lang w:val="en-US" w:eastAsia="zh-CN"/>
        </w:rPr>
        <w:t>租赁合同(施工驻地)</w:t>
      </w:r>
    </w:p>
    <w:p w14:paraId="13A9F6C0">
      <w:pPr>
        <w:spacing w:line="276" w:lineRule="auto"/>
        <w:ind w:firstLine="420" w:firstLineChars="200"/>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附件</w:t>
      </w:r>
      <w:r>
        <w:rPr>
          <w:rFonts w:hint="eastAsia" w:cs="Times New Roman"/>
          <w:color w:val="auto"/>
          <w:sz w:val="21"/>
          <w:szCs w:val="21"/>
          <w:lang w:val="en-US" w:eastAsia="zh-CN"/>
        </w:rPr>
        <w:t xml:space="preserve">7 </w:t>
      </w:r>
      <w:r>
        <w:rPr>
          <w:rFonts w:hint="eastAsia" w:ascii="Times New Roman" w:hAnsi="Times New Roman" w:eastAsia="宋体" w:cs="Times New Roman"/>
          <w:color w:val="auto"/>
          <w:sz w:val="21"/>
          <w:szCs w:val="21"/>
          <w:lang w:val="en-US" w:eastAsia="zh-CN"/>
        </w:rPr>
        <w:t>改造工程限速方案说明</w:t>
      </w:r>
    </w:p>
    <w:p w14:paraId="3AEDF93D">
      <w:pPr>
        <w:rPr>
          <w:rFonts w:hint="eastAsia"/>
          <w:color w:val="auto"/>
        </w:rPr>
      </w:pPr>
    </w:p>
    <w:p w14:paraId="31D1B4CD">
      <w:pPr>
        <w:spacing w:line="276" w:lineRule="auto"/>
        <w:rPr>
          <w:b/>
          <w:color w:val="auto"/>
          <w:sz w:val="21"/>
          <w:szCs w:val="21"/>
        </w:rPr>
      </w:pPr>
      <w:r>
        <w:rPr>
          <w:rFonts w:hint="eastAsia"/>
          <w:b/>
          <w:color w:val="auto"/>
          <w:sz w:val="21"/>
          <w:szCs w:val="21"/>
        </w:rPr>
        <w:t>附图：</w:t>
      </w:r>
    </w:p>
    <w:p w14:paraId="359D8753">
      <w:pPr>
        <w:spacing w:line="276" w:lineRule="auto"/>
        <w:ind w:firstLine="420" w:firstLineChars="200"/>
        <w:rPr>
          <w:color w:val="auto"/>
          <w:sz w:val="21"/>
          <w:szCs w:val="21"/>
        </w:rPr>
      </w:pPr>
      <w:r>
        <w:rPr>
          <w:rFonts w:hint="eastAsia"/>
          <w:color w:val="auto"/>
          <w:sz w:val="21"/>
          <w:szCs w:val="21"/>
        </w:rPr>
        <w:t>附图1 本项目地理位置图</w:t>
      </w:r>
    </w:p>
    <w:p w14:paraId="3AA38856">
      <w:pPr>
        <w:spacing w:line="276" w:lineRule="auto"/>
        <w:ind w:firstLine="420" w:firstLineChars="200"/>
        <w:rPr>
          <w:color w:val="auto"/>
          <w:sz w:val="21"/>
          <w:szCs w:val="21"/>
        </w:rPr>
      </w:pPr>
      <w:r>
        <w:rPr>
          <w:color w:val="auto"/>
          <w:sz w:val="21"/>
          <w:szCs w:val="21"/>
        </w:rPr>
        <w:t>附图2 区域地表水系图</w:t>
      </w:r>
    </w:p>
    <w:p w14:paraId="2FB07871">
      <w:pPr>
        <w:spacing w:line="276" w:lineRule="auto"/>
        <w:ind w:firstLine="420" w:firstLineChars="200"/>
        <w:rPr>
          <w:rFonts w:hint="eastAsia"/>
          <w:color w:val="auto"/>
          <w:sz w:val="21"/>
          <w:szCs w:val="21"/>
        </w:rPr>
      </w:pPr>
      <w:r>
        <w:rPr>
          <w:color w:val="auto"/>
          <w:sz w:val="21"/>
          <w:szCs w:val="21"/>
        </w:rPr>
        <w:t xml:space="preserve">附图3 </w:t>
      </w:r>
      <w:r>
        <w:rPr>
          <w:rFonts w:hint="eastAsia"/>
          <w:color w:val="auto"/>
          <w:sz w:val="21"/>
          <w:szCs w:val="21"/>
          <w:lang w:val="en-US" w:eastAsia="zh-CN"/>
        </w:rPr>
        <w:t>项目</w:t>
      </w:r>
      <w:r>
        <w:rPr>
          <w:color w:val="auto"/>
          <w:sz w:val="21"/>
          <w:szCs w:val="21"/>
        </w:rPr>
        <w:t>路线走向图</w:t>
      </w:r>
    </w:p>
    <w:p w14:paraId="3E54D40A">
      <w:pPr>
        <w:spacing w:line="276" w:lineRule="auto"/>
        <w:ind w:firstLine="420" w:firstLineChars="200"/>
        <w:rPr>
          <w:color w:val="auto"/>
          <w:sz w:val="21"/>
          <w:szCs w:val="21"/>
        </w:rPr>
      </w:pPr>
      <w:r>
        <w:rPr>
          <w:color w:val="auto"/>
          <w:sz w:val="21"/>
          <w:szCs w:val="21"/>
        </w:rPr>
        <w:t>附图</w:t>
      </w:r>
      <w:r>
        <w:rPr>
          <w:rFonts w:hint="eastAsia"/>
          <w:color w:val="auto"/>
          <w:sz w:val="21"/>
          <w:szCs w:val="21"/>
          <w:lang w:val="en-US" w:eastAsia="zh-CN"/>
        </w:rPr>
        <w:t>4</w:t>
      </w:r>
      <w:r>
        <w:rPr>
          <w:color w:val="auto"/>
          <w:sz w:val="21"/>
          <w:szCs w:val="21"/>
        </w:rPr>
        <w:t xml:space="preserve"> 施工总布置图</w:t>
      </w:r>
    </w:p>
    <w:p w14:paraId="7DA5A5CB">
      <w:pPr>
        <w:spacing w:line="276" w:lineRule="auto"/>
        <w:ind w:firstLine="420" w:firstLineChars="200"/>
        <w:rPr>
          <w:color w:val="auto"/>
          <w:sz w:val="21"/>
          <w:szCs w:val="21"/>
        </w:rPr>
      </w:pPr>
      <w:r>
        <w:rPr>
          <w:color w:val="auto"/>
          <w:sz w:val="21"/>
          <w:szCs w:val="21"/>
        </w:rPr>
        <w:t xml:space="preserve">附图5 </w:t>
      </w:r>
      <w:r>
        <w:rPr>
          <w:rFonts w:hint="eastAsia"/>
          <w:color w:val="auto"/>
          <w:sz w:val="21"/>
          <w:szCs w:val="21"/>
          <w:lang w:val="en-US" w:eastAsia="zh-CN"/>
        </w:rPr>
        <w:t>声环境</w:t>
      </w:r>
      <w:r>
        <w:rPr>
          <w:color w:val="auto"/>
          <w:sz w:val="21"/>
          <w:szCs w:val="21"/>
        </w:rPr>
        <w:t>敏感点位置示意图</w:t>
      </w:r>
    </w:p>
    <w:p w14:paraId="698E1AB7">
      <w:pPr>
        <w:spacing w:line="276" w:lineRule="auto"/>
        <w:ind w:firstLine="420" w:firstLineChars="200"/>
        <w:rPr>
          <w:rFonts w:hint="eastAsia"/>
          <w:color w:val="auto"/>
          <w:sz w:val="21"/>
          <w:szCs w:val="21"/>
          <w:lang w:val="en-US" w:eastAsia="zh-CN"/>
        </w:rPr>
      </w:pPr>
      <w:r>
        <w:rPr>
          <w:rFonts w:hint="eastAsia"/>
          <w:color w:val="auto"/>
          <w:sz w:val="21"/>
          <w:szCs w:val="21"/>
          <w:lang w:val="en-US" w:eastAsia="zh-CN"/>
        </w:rPr>
        <w:t>附图6 样方样线调查位置示意图</w:t>
      </w:r>
    </w:p>
    <w:p w14:paraId="12130339">
      <w:pPr>
        <w:spacing w:line="276" w:lineRule="auto"/>
        <w:ind w:firstLine="420" w:firstLineChars="200"/>
        <w:rPr>
          <w:rFonts w:hint="default"/>
          <w:color w:val="auto"/>
          <w:sz w:val="21"/>
          <w:szCs w:val="21"/>
          <w:lang w:val="en-US" w:eastAsia="zh-CN"/>
        </w:rPr>
      </w:pPr>
      <w:r>
        <w:rPr>
          <w:rFonts w:hint="eastAsia"/>
          <w:color w:val="auto"/>
          <w:sz w:val="21"/>
          <w:szCs w:val="21"/>
          <w:lang w:val="en-US" w:eastAsia="zh-CN"/>
        </w:rPr>
        <w:t>附图7 样方调查现场照片</w:t>
      </w:r>
    </w:p>
    <w:p w14:paraId="0135AB21">
      <w:pPr>
        <w:spacing w:line="276" w:lineRule="auto"/>
        <w:rPr>
          <w:rFonts w:hint="eastAsia"/>
          <w:color w:val="auto"/>
          <w:sz w:val="21"/>
          <w:szCs w:val="21"/>
          <w:lang w:val="en-US" w:eastAsia="zh-CN"/>
        </w:rPr>
      </w:pPr>
      <w:r>
        <w:rPr>
          <w:rFonts w:hint="eastAsia"/>
          <w:color w:val="auto"/>
          <w:sz w:val="21"/>
          <w:szCs w:val="21"/>
          <w:lang w:val="en-US" w:eastAsia="zh-CN"/>
        </w:rPr>
        <w:t>附表：</w:t>
      </w:r>
    </w:p>
    <w:p w14:paraId="308B1AF7">
      <w:pPr>
        <w:spacing w:line="276" w:lineRule="auto"/>
        <w:ind w:firstLine="420" w:firstLineChars="20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植物样方调查表</w:t>
      </w:r>
    </w:p>
    <w:p w14:paraId="2BC59F18">
      <w:pPr>
        <w:spacing w:line="276" w:lineRule="auto"/>
        <w:rPr>
          <w:rFonts w:hint="eastAsia"/>
          <w:color w:val="auto"/>
          <w:sz w:val="21"/>
          <w:szCs w:val="21"/>
          <w:lang w:val="en-US" w:eastAsia="zh-CN"/>
        </w:rPr>
      </w:pPr>
    </w:p>
    <w:p w14:paraId="1E767DE7">
      <w:pPr>
        <w:pStyle w:val="11"/>
        <w:ind w:firstLine="0" w:firstLineChars="0"/>
        <w:rPr>
          <w:rFonts w:ascii="仿宋_GB2312" w:eastAsia="仿宋_GB2312"/>
          <w:color w:val="auto"/>
          <w:sz w:val="36"/>
          <w:szCs w:val="36"/>
        </w:rPr>
      </w:pPr>
    </w:p>
    <w:p w14:paraId="17F6A8E2">
      <w:pPr>
        <w:pStyle w:val="11"/>
        <w:ind w:firstLine="0" w:firstLineChars="0"/>
        <w:rPr>
          <w:rFonts w:ascii="仿宋_GB2312" w:eastAsia="仿宋_GB2312"/>
          <w:color w:val="auto"/>
          <w:sz w:val="36"/>
          <w:szCs w:val="36"/>
        </w:rPr>
        <w:sectPr>
          <w:footerReference r:id="rId5" w:type="default"/>
          <w:pgSz w:w="11850" w:h="16783"/>
          <w:pgMar w:top="1440" w:right="1800" w:bottom="1440" w:left="1800" w:header="851" w:footer="1077" w:gutter="0"/>
          <w:pgBorders>
            <w:top w:val="none" w:sz="0" w:space="0"/>
            <w:left w:val="none" w:sz="0" w:space="0"/>
            <w:bottom w:val="none" w:sz="0" w:space="0"/>
            <w:right w:val="none" w:sz="0" w:space="0"/>
          </w:pgBorders>
          <w:pgNumType w:start="21"/>
          <w:cols w:space="720" w:num="1"/>
          <w:docGrid w:linePitch="312" w:charSpace="0"/>
        </w:sectPr>
      </w:pPr>
    </w:p>
    <w:p w14:paraId="46B6DF86">
      <w:pPr>
        <w:pStyle w:val="26"/>
        <w:spacing w:before="0" w:beforeAutospacing="0" w:after="120" w:afterLines="50" w:afterAutospacing="0"/>
        <w:jc w:val="center"/>
        <w:outlineLvl w:val="0"/>
        <w:rPr>
          <w:rFonts w:ascii="黑体" w:hAnsi="黑体" w:eastAsia="黑体"/>
          <w:snapToGrid w:val="0"/>
          <w:color w:val="auto"/>
          <w:kern w:val="21"/>
          <w:sz w:val="30"/>
          <w:szCs w:val="30"/>
        </w:rPr>
      </w:pPr>
      <w:bookmarkStart w:id="2" w:name="_Toc30934"/>
      <w:r>
        <w:rPr>
          <w:rFonts w:hint="eastAsia" w:ascii="黑体" w:hAnsi="黑体" w:eastAsia="黑体"/>
          <w:snapToGrid w:val="0"/>
          <w:color w:val="auto"/>
          <w:kern w:val="21"/>
          <w:sz w:val="30"/>
          <w:szCs w:val="30"/>
        </w:rPr>
        <w:t>一、建设项目基本情况</w:t>
      </w:r>
      <w:bookmarkEnd w:id="2"/>
    </w:p>
    <w:tbl>
      <w:tblPr>
        <w:tblStyle w:val="31"/>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13" w:type="dxa"/>
          <w:bottom w:w="0" w:type="dxa"/>
          <w:right w:w="113" w:type="dxa"/>
        </w:tblCellMar>
      </w:tblPr>
      <w:tblGrid>
        <w:gridCol w:w="1417"/>
        <w:gridCol w:w="2109"/>
        <w:gridCol w:w="1793"/>
        <w:gridCol w:w="3060"/>
      </w:tblGrid>
      <w:tr w14:paraId="4D707C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3B2CF83A">
            <w:pPr>
              <w:spacing w:line="240" w:lineRule="auto"/>
              <w:jc w:val="center"/>
              <w:rPr>
                <w:rFonts w:cs="宋体"/>
                <w:color w:val="auto"/>
                <w:kern w:val="21"/>
                <w:szCs w:val="21"/>
              </w:rPr>
            </w:pPr>
            <w:r>
              <w:rPr>
                <w:rFonts w:hint="eastAsia" w:cs="宋体"/>
                <w:color w:val="auto"/>
                <w:kern w:val="21"/>
                <w:szCs w:val="21"/>
              </w:rPr>
              <w:t>建设项目名称</w:t>
            </w:r>
          </w:p>
        </w:tc>
        <w:tc>
          <w:tcPr>
            <w:tcW w:w="6616" w:type="dxa"/>
            <w:gridSpan w:val="3"/>
            <w:noWrap w:val="0"/>
            <w:vAlign w:val="center"/>
          </w:tcPr>
          <w:p w14:paraId="79518391">
            <w:pPr>
              <w:spacing w:line="240" w:lineRule="auto"/>
              <w:jc w:val="left"/>
              <w:rPr>
                <w:rFonts w:hint="eastAsia" w:eastAsia="宋体" w:cs="宋体"/>
                <w:color w:val="auto"/>
                <w:kern w:val="21"/>
                <w:szCs w:val="21"/>
                <w:lang w:eastAsia="zh-CN"/>
              </w:rPr>
            </w:pPr>
            <w:r>
              <w:rPr>
                <w:rFonts w:hint="eastAsia"/>
                <w:color w:val="auto"/>
                <w:kern w:val="21"/>
                <w:lang w:eastAsia="zh-CN"/>
              </w:rPr>
              <w:t>省道名山至兴凯湖公路兴光至兴凯湖博物馆段路面改造工程</w:t>
            </w:r>
          </w:p>
        </w:tc>
      </w:tr>
      <w:tr w14:paraId="2EEB09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045DFA90">
            <w:pPr>
              <w:spacing w:line="240" w:lineRule="auto"/>
              <w:jc w:val="center"/>
              <w:rPr>
                <w:rFonts w:cs="宋体"/>
                <w:color w:val="auto"/>
                <w:kern w:val="21"/>
                <w:szCs w:val="21"/>
              </w:rPr>
            </w:pPr>
            <w:r>
              <w:rPr>
                <w:rFonts w:hint="eastAsia" w:cs="宋体"/>
                <w:color w:val="auto"/>
                <w:kern w:val="21"/>
                <w:szCs w:val="21"/>
              </w:rPr>
              <w:t>项目代码</w:t>
            </w:r>
          </w:p>
        </w:tc>
        <w:tc>
          <w:tcPr>
            <w:tcW w:w="6616" w:type="dxa"/>
            <w:gridSpan w:val="3"/>
            <w:noWrap w:val="0"/>
            <w:vAlign w:val="center"/>
          </w:tcPr>
          <w:p w14:paraId="092E481B">
            <w:pPr>
              <w:spacing w:line="240" w:lineRule="auto"/>
              <w:jc w:val="center"/>
              <w:rPr>
                <w:rFonts w:hint="eastAsia" w:eastAsia="宋体" w:cs="宋体"/>
                <w:color w:val="auto"/>
                <w:kern w:val="21"/>
                <w:szCs w:val="21"/>
                <w:lang w:val="en-US" w:eastAsia="zh-CN"/>
              </w:rPr>
            </w:pPr>
            <w:r>
              <w:rPr>
                <w:rFonts w:hint="eastAsia" w:cs="宋体"/>
                <w:color w:val="auto"/>
                <w:kern w:val="21"/>
                <w:szCs w:val="21"/>
                <w:lang w:val="en-US" w:eastAsia="zh-CN"/>
              </w:rPr>
              <w:t>/</w:t>
            </w:r>
          </w:p>
        </w:tc>
      </w:tr>
      <w:tr w14:paraId="19BB97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5D7F20CB">
            <w:pPr>
              <w:spacing w:line="240" w:lineRule="auto"/>
              <w:jc w:val="center"/>
              <w:rPr>
                <w:rFonts w:cs="宋体"/>
                <w:color w:val="auto"/>
                <w:kern w:val="21"/>
                <w:szCs w:val="21"/>
              </w:rPr>
            </w:pPr>
            <w:r>
              <w:rPr>
                <w:rFonts w:hint="eastAsia" w:cs="宋体"/>
                <w:color w:val="auto"/>
                <w:kern w:val="21"/>
                <w:szCs w:val="21"/>
              </w:rPr>
              <w:t>建设单位联系人</w:t>
            </w:r>
          </w:p>
        </w:tc>
        <w:tc>
          <w:tcPr>
            <w:tcW w:w="1890" w:type="dxa"/>
            <w:noWrap w:val="0"/>
            <w:vAlign w:val="center"/>
          </w:tcPr>
          <w:p w14:paraId="05FFE5EE">
            <w:pPr>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鞠博宇</w:t>
            </w:r>
          </w:p>
        </w:tc>
        <w:tc>
          <w:tcPr>
            <w:tcW w:w="1755" w:type="dxa"/>
            <w:noWrap w:val="0"/>
            <w:vAlign w:val="center"/>
          </w:tcPr>
          <w:p w14:paraId="1E74BA8C">
            <w:pPr>
              <w:spacing w:line="240" w:lineRule="auto"/>
              <w:jc w:val="center"/>
              <w:rPr>
                <w:rFonts w:cs="宋体"/>
                <w:color w:val="auto"/>
                <w:kern w:val="21"/>
                <w:szCs w:val="21"/>
              </w:rPr>
            </w:pPr>
            <w:r>
              <w:rPr>
                <w:rFonts w:hint="eastAsia" w:cs="宋体"/>
                <w:color w:val="auto"/>
                <w:kern w:val="21"/>
                <w:szCs w:val="21"/>
              </w:rPr>
              <w:t>联系方式</w:t>
            </w:r>
          </w:p>
        </w:tc>
        <w:tc>
          <w:tcPr>
            <w:tcW w:w="2971" w:type="dxa"/>
            <w:noWrap w:val="0"/>
            <w:vAlign w:val="center"/>
          </w:tcPr>
          <w:p w14:paraId="608CB796">
            <w:pPr>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13614689497</w:t>
            </w:r>
          </w:p>
        </w:tc>
      </w:tr>
      <w:tr w14:paraId="4E957C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6242232A">
            <w:pPr>
              <w:spacing w:line="240" w:lineRule="auto"/>
              <w:jc w:val="center"/>
              <w:rPr>
                <w:rFonts w:cs="宋体"/>
                <w:color w:val="auto"/>
                <w:kern w:val="21"/>
                <w:szCs w:val="21"/>
              </w:rPr>
            </w:pPr>
            <w:r>
              <w:rPr>
                <w:rFonts w:hint="eastAsia" w:cs="宋体"/>
                <w:color w:val="auto"/>
                <w:kern w:val="21"/>
                <w:szCs w:val="21"/>
              </w:rPr>
              <w:t>建设地点</w:t>
            </w:r>
          </w:p>
        </w:tc>
        <w:tc>
          <w:tcPr>
            <w:tcW w:w="6616" w:type="dxa"/>
            <w:gridSpan w:val="3"/>
            <w:noWrap w:val="0"/>
            <w:vAlign w:val="center"/>
          </w:tcPr>
          <w:p w14:paraId="0297529B">
            <w:pPr>
              <w:widowControl/>
              <w:spacing w:line="240" w:lineRule="auto"/>
              <w:jc w:val="center"/>
              <w:rPr>
                <w:rFonts w:cs="宋体"/>
                <w:color w:val="auto"/>
                <w:kern w:val="21"/>
                <w:szCs w:val="21"/>
              </w:rPr>
            </w:pPr>
            <w:r>
              <w:rPr>
                <w:rFonts w:hint="eastAsia" w:cs="宋体"/>
                <w:color w:val="auto"/>
                <w:kern w:val="21"/>
                <w:szCs w:val="21"/>
              </w:rPr>
              <w:t>黑龙江省</w:t>
            </w:r>
            <w:r>
              <w:rPr>
                <w:rFonts w:hint="eastAsia" w:cs="宋体"/>
                <w:color w:val="auto"/>
                <w:kern w:val="21"/>
                <w:szCs w:val="21"/>
                <w:lang w:val="en-US" w:eastAsia="zh-CN"/>
              </w:rPr>
              <w:t>鸡西</w:t>
            </w:r>
            <w:r>
              <w:rPr>
                <w:rFonts w:hint="eastAsia" w:cs="宋体"/>
                <w:color w:val="auto"/>
                <w:kern w:val="21"/>
                <w:szCs w:val="21"/>
              </w:rPr>
              <w:t>市</w:t>
            </w:r>
            <w:r>
              <w:rPr>
                <w:rFonts w:hint="eastAsia" w:cs="宋体"/>
                <w:color w:val="auto"/>
                <w:kern w:val="21"/>
                <w:szCs w:val="21"/>
                <w:lang w:val="en-US" w:eastAsia="zh-CN"/>
              </w:rPr>
              <w:t>密山</w:t>
            </w:r>
            <w:r>
              <w:rPr>
                <w:rFonts w:hint="eastAsia" w:cs="宋体"/>
                <w:color w:val="auto"/>
                <w:kern w:val="21"/>
                <w:szCs w:val="21"/>
              </w:rPr>
              <w:t>市境内</w:t>
            </w:r>
          </w:p>
        </w:tc>
      </w:tr>
      <w:tr w14:paraId="6B2D51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267F61A5">
            <w:pPr>
              <w:spacing w:line="240" w:lineRule="auto"/>
              <w:jc w:val="center"/>
              <w:rPr>
                <w:rFonts w:cs="宋体"/>
                <w:color w:val="auto"/>
                <w:kern w:val="21"/>
                <w:szCs w:val="21"/>
              </w:rPr>
            </w:pPr>
            <w:r>
              <w:rPr>
                <w:rFonts w:hint="eastAsia" w:cs="宋体"/>
                <w:color w:val="auto"/>
                <w:kern w:val="21"/>
                <w:szCs w:val="21"/>
              </w:rPr>
              <w:t>地理坐标</w:t>
            </w:r>
          </w:p>
        </w:tc>
        <w:tc>
          <w:tcPr>
            <w:tcW w:w="6616" w:type="dxa"/>
            <w:gridSpan w:val="3"/>
            <w:noWrap w:val="0"/>
            <w:vAlign w:val="center"/>
          </w:tcPr>
          <w:p w14:paraId="36CAF1A6">
            <w:pPr>
              <w:spacing w:line="240" w:lineRule="auto"/>
              <w:rPr>
                <w:rFonts w:cs="宋体"/>
                <w:color w:val="auto"/>
                <w:kern w:val="21"/>
                <w:szCs w:val="21"/>
              </w:rPr>
            </w:pPr>
            <w:r>
              <w:rPr>
                <w:rFonts w:hint="eastAsia" w:cs="宋体"/>
                <w:color w:val="auto"/>
                <w:kern w:val="21"/>
                <w:szCs w:val="21"/>
              </w:rPr>
              <w:t>起点（</w:t>
            </w:r>
            <w:r>
              <w:rPr>
                <w:rFonts w:hint="eastAsia" w:cs="宋体"/>
                <w:color w:val="auto"/>
                <w:kern w:val="21"/>
                <w:szCs w:val="21"/>
                <w:u w:val="single"/>
              </w:rPr>
              <w:t>1</w:t>
            </w:r>
            <w:r>
              <w:rPr>
                <w:rFonts w:hint="eastAsia" w:cs="宋体"/>
                <w:color w:val="auto"/>
                <w:kern w:val="21"/>
                <w:szCs w:val="21"/>
                <w:u w:val="single"/>
                <w:lang w:val="en-US" w:eastAsia="zh-CN"/>
              </w:rPr>
              <w:t>31</w:t>
            </w:r>
            <w:r>
              <w:rPr>
                <w:rFonts w:cs="宋体"/>
                <w:color w:val="auto"/>
                <w:kern w:val="21"/>
                <w:szCs w:val="21"/>
                <w:u w:val="single"/>
              </w:rPr>
              <w:t xml:space="preserve"> </w:t>
            </w:r>
            <w:r>
              <w:rPr>
                <w:rFonts w:hint="eastAsia" w:cs="宋体"/>
                <w:color w:val="auto"/>
                <w:kern w:val="21"/>
                <w:szCs w:val="21"/>
              </w:rPr>
              <w:t>度</w:t>
            </w:r>
            <w:r>
              <w:rPr>
                <w:rFonts w:cs="宋体"/>
                <w:color w:val="auto"/>
                <w:kern w:val="21"/>
                <w:szCs w:val="21"/>
                <w:u w:val="single"/>
              </w:rPr>
              <w:t xml:space="preserve"> </w:t>
            </w:r>
            <w:r>
              <w:rPr>
                <w:rFonts w:hint="eastAsia" w:cs="宋体"/>
                <w:color w:val="auto"/>
                <w:kern w:val="21"/>
                <w:szCs w:val="21"/>
                <w:u w:val="single"/>
                <w:lang w:val="en-US" w:eastAsia="zh-CN"/>
              </w:rPr>
              <w:t>54</w:t>
            </w:r>
            <w:r>
              <w:rPr>
                <w:rFonts w:cs="宋体"/>
                <w:color w:val="auto"/>
                <w:kern w:val="21"/>
                <w:szCs w:val="21"/>
                <w:u w:val="single"/>
              </w:rPr>
              <w:t xml:space="preserve"> </w:t>
            </w:r>
            <w:r>
              <w:rPr>
                <w:rFonts w:hint="eastAsia" w:cs="宋体"/>
                <w:color w:val="auto"/>
                <w:kern w:val="21"/>
                <w:szCs w:val="21"/>
              </w:rPr>
              <w:t>分</w:t>
            </w:r>
            <w:r>
              <w:rPr>
                <w:rFonts w:cs="宋体"/>
                <w:color w:val="auto"/>
                <w:kern w:val="21"/>
                <w:szCs w:val="21"/>
                <w:u w:val="single"/>
              </w:rPr>
              <w:t xml:space="preserve"> 2</w:t>
            </w:r>
            <w:r>
              <w:rPr>
                <w:rFonts w:hint="eastAsia" w:cs="宋体"/>
                <w:color w:val="auto"/>
                <w:kern w:val="21"/>
                <w:szCs w:val="21"/>
                <w:u w:val="single"/>
                <w:lang w:val="en-US" w:eastAsia="zh-CN"/>
              </w:rPr>
              <w:t>8.047</w:t>
            </w:r>
            <w:r>
              <w:rPr>
                <w:rFonts w:cs="宋体"/>
                <w:color w:val="auto"/>
                <w:kern w:val="21"/>
                <w:szCs w:val="21"/>
                <w:u w:val="single"/>
              </w:rPr>
              <w:t xml:space="preserve"> </w:t>
            </w:r>
            <w:r>
              <w:rPr>
                <w:rFonts w:hint="eastAsia" w:cs="宋体"/>
                <w:color w:val="auto"/>
                <w:kern w:val="21"/>
                <w:szCs w:val="21"/>
              </w:rPr>
              <w:t>秒，</w:t>
            </w:r>
            <w:r>
              <w:rPr>
                <w:rFonts w:cs="宋体"/>
                <w:color w:val="auto"/>
                <w:kern w:val="21"/>
                <w:szCs w:val="21"/>
                <w:u w:val="single"/>
              </w:rPr>
              <w:t xml:space="preserve"> </w:t>
            </w:r>
            <w:r>
              <w:rPr>
                <w:rFonts w:hint="eastAsia" w:cs="宋体"/>
                <w:color w:val="auto"/>
                <w:kern w:val="21"/>
                <w:szCs w:val="21"/>
                <w:u w:val="single"/>
              </w:rPr>
              <w:t>4</w:t>
            </w:r>
            <w:r>
              <w:rPr>
                <w:rFonts w:hint="eastAsia" w:cs="宋体"/>
                <w:color w:val="auto"/>
                <w:kern w:val="21"/>
                <w:szCs w:val="21"/>
                <w:u w:val="single"/>
                <w:lang w:val="en-US" w:eastAsia="zh-CN"/>
              </w:rPr>
              <w:t>5</w:t>
            </w:r>
            <w:r>
              <w:rPr>
                <w:rFonts w:cs="宋体"/>
                <w:color w:val="auto"/>
                <w:kern w:val="21"/>
                <w:szCs w:val="21"/>
                <w:u w:val="single"/>
              </w:rPr>
              <w:t xml:space="preserve"> </w:t>
            </w:r>
            <w:r>
              <w:rPr>
                <w:rFonts w:hint="eastAsia" w:cs="宋体"/>
                <w:color w:val="auto"/>
                <w:kern w:val="21"/>
                <w:szCs w:val="21"/>
              </w:rPr>
              <w:t>度</w:t>
            </w:r>
            <w:r>
              <w:rPr>
                <w:rFonts w:cs="宋体"/>
                <w:color w:val="auto"/>
                <w:kern w:val="21"/>
                <w:szCs w:val="21"/>
                <w:u w:val="single"/>
              </w:rPr>
              <w:t xml:space="preserve"> </w:t>
            </w:r>
            <w:r>
              <w:rPr>
                <w:rFonts w:hint="eastAsia" w:cs="宋体"/>
                <w:color w:val="auto"/>
                <w:kern w:val="21"/>
                <w:szCs w:val="21"/>
                <w:u w:val="single"/>
                <w:lang w:val="en-US" w:eastAsia="zh-CN"/>
              </w:rPr>
              <w:t>33</w:t>
            </w:r>
            <w:r>
              <w:rPr>
                <w:rFonts w:cs="宋体"/>
                <w:color w:val="auto"/>
                <w:kern w:val="21"/>
                <w:szCs w:val="21"/>
                <w:u w:val="single"/>
              </w:rPr>
              <w:t xml:space="preserve"> </w:t>
            </w:r>
            <w:r>
              <w:rPr>
                <w:rFonts w:hint="eastAsia" w:cs="宋体"/>
                <w:color w:val="auto"/>
                <w:kern w:val="21"/>
                <w:szCs w:val="21"/>
              </w:rPr>
              <w:t>分</w:t>
            </w:r>
            <w:r>
              <w:rPr>
                <w:rFonts w:cs="宋体"/>
                <w:color w:val="auto"/>
                <w:kern w:val="21"/>
                <w:szCs w:val="21"/>
                <w:u w:val="single"/>
              </w:rPr>
              <w:t xml:space="preserve"> </w:t>
            </w:r>
            <w:r>
              <w:rPr>
                <w:rFonts w:hint="eastAsia" w:cs="宋体"/>
                <w:color w:val="auto"/>
                <w:kern w:val="21"/>
                <w:szCs w:val="21"/>
                <w:u w:val="single"/>
                <w:lang w:val="en-US" w:eastAsia="zh-CN"/>
              </w:rPr>
              <w:t>27.981</w:t>
            </w:r>
            <w:r>
              <w:rPr>
                <w:rFonts w:hint="eastAsia" w:cs="宋体"/>
                <w:color w:val="auto"/>
                <w:kern w:val="21"/>
                <w:szCs w:val="21"/>
              </w:rPr>
              <w:t>秒）</w:t>
            </w:r>
          </w:p>
          <w:p w14:paraId="5D5BF441">
            <w:pPr>
              <w:spacing w:line="240" w:lineRule="auto"/>
              <w:rPr>
                <w:rFonts w:hint="eastAsia"/>
                <w:color w:val="auto"/>
              </w:rPr>
            </w:pPr>
            <w:r>
              <w:rPr>
                <w:rFonts w:hint="eastAsia" w:cs="宋体"/>
                <w:color w:val="auto"/>
                <w:kern w:val="21"/>
                <w:szCs w:val="21"/>
              </w:rPr>
              <w:t>终点（</w:t>
            </w:r>
            <w:r>
              <w:rPr>
                <w:rFonts w:cs="宋体"/>
                <w:color w:val="auto"/>
                <w:kern w:val="21"/>
                <w:szCs w:val="21"/>
                <w:u w:val="single"/>
              </w:rPr>
              <w:t xml:space="preserve"> </w:t>
            </w:r>
            <w:r>
              <w:rPr>
                <w:rFonts w:hint="eastAsia" w:cs="宋体"/>
                <w:color w:val="auto"/>
                <w:kern w:val="21"/>
                <w:szCs w:val="21"/>
                <w:u w:val="single"/>
              </w:rPr>
              <w:t>1</w:t>
            </w:r>
            <w:r>
              <w:rPr>
                <w:rFonts w:hint="eastAsia" w:cs="宋体"/>
                <w:color w:val="auto"/>
                <w:kern w:val="21"/>
                <w:szCs w:val="21"/>
                <w:u w:val="single"/>
                <w:lang w:val="en-US" w:eastAsia="zh-CN"/>
              </w:rPr>
              <w:t>32</w:t>
            </w:r>
            <w:r>
              <w:rPr>
                <w:rFonts w:cs="宋体"/>
                <w:color w:val="auto"/>
                <w:kern w:val="21"/>
                <w:szCs w:val="21"/>
                <w:u w:val="single"/>
              </w:rPr>
              <w:t xml:space="preserve"> </w:t>
            </w:r>
            <w:r>
              <w:rPr>
                <w:rFonts w:hint="eastAsia" w:cs="宋体"/>
                <w:color w:val="auto"/>
                <w:kern w:val="21"/>
                <w:szCs w:val="21"/>
              </w:rPr>
              <w:t>度</w:t>
            </w:r>
            <w:r>
              <w:rPr>
                <w:rFonts w:cs="宋体"/>
                <w:color w:val="auto"/>
                <w:kern w:val="21"/>
                <w:szCs w:val="21"/>
                <w:u w:val="single"/>
              </w:rPr>
              <w:t xml:space="preserve"> </w:t>
            </w:r>
            <w:r>
              <w:rPr>
                <w:rFonts w:hint="eastAsia" w:cs="宋体"/>
                <w:color w:val="auto"/>
                <w:kern w:val="21"/>
                <w:szCs w:val="21"/>
                <w:u w:val="single"/>
                <w:lang w:val="en-US" w:eastAsia="zh-CN"/>
              </w:rPr>
              <w:t>19</w:t>
            </w:r>
            <w:r>
              <w:rPr>
                <w:rFonts w:cs="宋体"/>
                <w:color w:val="auto"/>
                <w:kern w:val="21"/>
                <w:szCs w:val="21"/>
                <w:u w:val="single"/>
              </w:rPr>
              <w:t xml:space="preserve"> </w:t>
            </w:r>
            <w:r>
              <w:rPr>
                <w:rFonts w:hint="eastAsia" w:cs="宋体"/>
                <w:color w:val="auto"/>
                <w:kern w:val="21"/>
                <w:szCs w:val="21"/>
              </w:rPr>
              <w:t>分</w:t>
            </w:r>
            <w:r>
              <w:rPr>
                <w:rFonts w:hint="eastAsia" w:cs="宋体"/>
                <w:color w:val="auto"/>
                <w:kern w:val="21"/>
                <w:szCs w:val="21"/>
                <w:u w:val="single"/>
                <w:lang w:val="en-US" w:eastAsia="zh-CN"/>
              </w:rPr>
              <w:t>3.805</w:t>
            </w:r>
            <w:r>
              <w:rPr>
                <w:rFonts w:cs="宋体"/>
                <w:color w:val="auto"/>
                <w:kern w:val="21"/>
                <w:szCs w:val="21"/>
                <w:u w:val="single"/>
              </w:rPr>
              <w:t xml:space="preserve"> </w:t>
            </w:r>
            <w:r>
              <w:rPr>
                <w:rFonts w:hint="eastAsia" w:cs="宋体"/>
                <w:color w:val="auto"/>
                <w:kern w:val="21"/>
                <w:szCs w:val="21"/>
              </w:rPr>
              <w:t>秒，</w:t>
            </w:r>
            <w:r>
              <w:rPr>
                <w:rFonts w:cs="宋体"/>
                <w:color w:val="auto"/>
                <w:kern w:val="21"/>
                <w:szCs w:val="21"/>
                <w:u w:val="single"/>
              </w:rPr>
              <w:t xml:space="preserve"> </w:t>
            </w:r>
            <w:r>
              <w:rPr>
                <w:rFonts w:hint="eastAsia" w:cs="宋体"/>
                <w:color w:val="auto"/>
                <w:kern w:val="21"/>
                <w:szCs w:val="21"/>
                <w:u w:val="single"/>
              </w:rPr>
              <w:t>4</w:t>
            </w:r>
            <w:r>
              <w:rPr>
                <w:rFonts w:hint="eastAsia" w:cs="宋体"/>
                <w:color w:val="auto"/>
                <w:kern w:val="21"/>
                <w:szCs w:val="21"/>
                <w:u w:val="single"/>
                <w:lang w:val="en-US" w:eastAsia="zh-CN"/>
              </w:rPr>
              <w:t>5</w:t>
            </w:r>
            <w:r>
              <w:rPr>
                <w:rFonts w:cs="宋体"/>
                <w:color w:val="auto"/>
                <w:kern w:val="21"/>
                <w:szCs w:val="21"/>
                <w:u w:val="single"/>
              </w:rPr>
              <w:t xml:space="preserve"> </w:t>
            </w:r>
            <w:r>
              <w:rPr>
                <w:rFonts w:hint="eastAsia" w:cs="宋体"/>
                <w:color w:val="auto"/>
                <w:kern w:val="21"/>
                <w:szCs w:val="21"/>
              </w:rPr>
              <w:t>度</w:t>
            </w:r>
            <w:r>
              <w:rPr>
                <w:rFonts w:hint="eastAsia" w:cs="宋体"/>
                <w:color w:val="auto"/>
                <w:kern w:val="21"/>
                <w:szCs w:val="21"/>
                <w:u w:val="single"/>
                <w:lang w:val="en-US" w:eastAsia="zh-CN"/>
              </w:rPr>
              <w:t>22</w:t>
            </w:r>
            <w:r>
              <w:rPr>
                <w:rFonts w:cs="宋体"/>
                <w:color w:val="auto"/>
                <w:kern w:val="21"/>
                <w:szCs w:val="21"/>
                <w:u w:val="single"/>
              </w:rPr>
              <w:t xml:space="preserve"> </w:t>
            </w:r>
            <w:r>
              <w:rPr>
                <w:rFonts w:hint="eastAsia" w:cs="宋体"/>
                <w:color w:val="auto"/>
                <w:kern w:val="21"/>
                <w:szCs w:val="21"/>
              </w:rPr>
              <w:t>分</w:t>
            </w:r>
            <w:r>
              <w:rPr>
                <w:rFonts w:cs="宋体"/>
                <w:color w:val="auto"/>
                <w:kern w:val="21"/>
                <w:szCs w:val="21"/>
                <w:u w:val="single"/>
              </w:rPr>
              <w:t xml:space="preserve"> </w:t>
            </w:r>
            <w:r>
              <w:rPr>
                <w:rFonts w:hint="eastAsia" w:cs="宋体"/>
                <w:color w:val="auto"/>
                <w:kern w:val="21"/>
                <w:szCs w:val="21"/>
                <w:u w:val="single"/>
                <w:lang w:val="en-US" w:eastAsia="zh-CN"/>
              </w:rPr>
              <w:t>6.938</w:t>
            </w:r>
            <w:r>
              <w:rPr>
                <w:rFonts w:cs="宋体"/>
                <w:color w:val="auto"/>
                <w:kern w:val="21"/>
                <w:szCs w:val="21"/>
                <w:u w:val="single"/>
              </w:rPr>
              <w:t xml:space="preserve"> </w:t>
            </w:r>
            <w:r>
              <w:rPr>
                <w:rFonts w:hint="eastAsia" w:cs="宋体"/>
                <w:color w:val="auto"/>
                <w:kern w:val="21"/>
                <w:szCs w:val="21"/>
              </w:rPr>
              <w:t>秒）</w:t>
            </w:r>
          </w:p>
        </w:tc>
      </w:tr>
      <w:tr w14:paraId="42E8D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012429BD">
            <w:pPr>
              <w:spacing w:line="240" w:lineRule="auto"/>
              <w:jc w:val="center"/>
              <w:rPr>
                <w:rFonts w:cs="宋体"/>
                <w:color w:val="auto"/>
                <w:kern w:val="21"/>
                <w:szCs w:val="21"/>
              </w:rPr>
            </w:pPr>
            <w:r>
              <w:rPr>
                <w:rFonts w:hint="eastAsia" w:cs="宋体"/>
                <w:color w:val="auto"/>
                <w:kern w:val="21"/>
                <w:szCs w:val="21"/>
              </w:rPr>
              <w:t>建设项目</w:t>
            </w:r>
          </w:p>
          <w:p w14:paraId="05324174">
            <w:pPr>
              <w:spacing w:line="240" w:lineRule="auto"/>
              <w:jc w:val="center"/>
              <w:rPr>
                <w:rFonts w:cs="宋体"/>
                <w:color w:val="auto"/>
                <w:kern w:val="21"/>
                <w:szCs w:val="21"/>
              </w:rPr>
            </w:pPr>
            <w:r>
              <w:rPr>
                <w:rFonts w:hint="eastAsia" w:cs="宋体"/>
                <w:color w:val="auto"/>
                <w:kern w:val="21"/>
                <w:szCs w:val="21"/>
              </w:rPr>
              <w:t>行业类别</w:t>
            </w:r>
          </w:p>
        </w:tc>
        <w:tc>
          <w:tcPr>
            <w:tcW w:w="1890" w:type="dxa"/>
            <w:noWrap w:val="0"/>
            <w:vAlign w:val="center"/>
          </w:tcPr>
          <w:p w14:paraId="123625D5">
            <w:pPr>
              <w:spacing w:line="240" w:lineRule="auto"/>
              <w:rPr>
                <w:rFonts w:cs="宋体"/>
                <w:color w:val="auto"/>
                <w:kern w:val="21"/>
                <w:szCs w:val="21"/>
              </w:rPr>
            </w:pPr>
            <w:r>
              <w:rPr>
                <w:rFonts w:hint="eastAsia"/>
                <w:color w:val="auto"/>
                <w:kern w:val="21"/>
              </w:rPr>
              <w:t>五十二、交通运输业、管道运输业-130 等级公路（不含维护；不含生命救援、应急保通工程以及国防交通保障项目；不含改扩建四级公路）-其他（配套设施除外；不涉及环境敏感区的三级、四级公路除外）</w:t>
            </w:r>
          </w:p>
        </w:tc>
        <w:tc>
          <w:tcPr>
            <w:tcW w:w="1755" w:type="dxa"/>
            <w:noWrap w:val="0"/>
            <w:vAlign w:val="center"/>
          </w:tcPr>
          <w:p w14:paraId="672E3625">
            <w:pPr>
              <w:spacing w:line="240" w:lineRule="auto"/>
              <w:jc w:val="center"/>
              <w:rPr>
                <w:rFonts w:cs="宋体"/>
                <w:color w:val="auto"/>
                <w:kern w:val="21"/>
                <w:szCs w:val="21"/>
              </w:rPr>
            </w:pPr>
            <w:r>
              <w:rPr>
                <w:rFonts w:hint="eastAsia" w:cs="宋体"/>
                <w:color w:val="auto"/>
                <w:kern w:val="21"/>
                <w:szCs w:val="21"/>
              </w:rPr>
              <w:t>用地（用海）面积（</w:t>
            </w:r>
            <w:r>
              <w:rPr>
                <w:rFonts w:cs="宋体"/>
                <w:color w:val="auto"/>
                <w:kern w:val="21"/>
                <w:szCs w:val="21"/>
              </w:rPr>
              <w:t>m</w:t>
            </w:r>
            <w:r>
              <w:rPr>
                <w:rFonts w:cs="宋体"/>
                <w:color w:val="auto"/>
                <w:kern w:val="21"/>
                <w:szCs w:val="21"/>
                <w:vertAlign w:val="superscript"/>
              </w:rPr>
              <w:t>2</w:t>
            </w:r>
            <w:r>
              <w:rPr>
                <w:rFonts w:hint="eastAsia" w:cs="宋体"/>
                <w:color w:val="auto"/>
                <w:kern w:val="21"/>
                <w:szCs w:val="21"/>
              </w:rPr>
              <w:t>）</w:t>
            </w:r>
            <w:r>
              <w:rPr>
                <w:rFonts w:cs="宋体"/>
                <w:color w:val="auto"/>
                <w:kern w:val="21"/>
                <w:szCs w:val="21"/>
              </w:rPr>
              <w:t>/</w:t>
            </w:r>
            <w:r>
              <w:rPr>
                <w:rFonts w:hint="eastAsia" w:cs="宋体"/>
                <w:color w:val="auto"/>
                <w:kern w:val="21"/>
                <w:szCs w:val="21"/>
              </w:rPr>
              <w:t>长度（</w:t>
            </w:r>
            <w:r>
              <w:rPr>
                <w:rFonts w:cs="宋体"/>
                <w:color w:val="auto"/>
                <w:kern w:val="21"/>
                <w:szCs w:val="21"/>
              </w:rPr>
              <w:t>km</w:t>
            </w:r>
            <w:r>
              <w:rPr>
                <w:rFonts w:hint="eastAsia" w:cs="宋体"/>
                <w:color w:val="auto"/>
                <w:kern w:val="21"/>
                <w:szCs w:val="21"/>
              </w:rPr>
              <w:t>）</w:t>
            </w:r>
          </w:p>
        </w:tc>
        <w:tc>
          <w:tcPr>
            <w:tcW w:w="2971" w:type="dxa"/>
            <w:noWrap w:val="0"/>
            <w:vAlign w:val="center"/>
          </w:tcPr>
          <w:p w14:paraId="0714A4CC">
            <w:pPr>
              <w:spacing w:line="240" w:lineRule="auto"/>
              <w:rPr>
                <w:rFonts w:hint="eastAsia" w:cs="宋体"/>
                <w:color w:val="auto"/>
                <w:kern w:val="21"/>
                <w:szCs w:val="21"/>
              </w:rPr>
            </w:pPr>
            <w:r>
              <w:rPr>
                <w:rFonts w:hint="eastAsia"/>
                <w:color w:val="auto"/>
                <w:kern w:val="21"/>
                <w:lang w:val="en-US" w:eastAsia="zh-CN"/>
              </w:rPr>
              <w:t>道路</w:t>
            </w:r>
            <w:r>
              <w:rPr>
                <w:rFonts w:hint="eastAsia"/>
                <w:color w:val="auto"/>
                <w:kern w:val="21"/>
              </w:rPr>
              <w:t>永久占地</w:t>
            </w:r>
            <w:r>
              <w:rPr>
                <w:rFonts w:hint="eastAsia"/>
                <w:color w:val="auto"/>
                <w:kern w:val="21"/>
                <w:lang w:val="en-US" w:eastAsia="zh-CN"/>
              </w:rPr>
              <w:t>53.47535</w:t>
            </w:r>
            <w:r>
              <w:rPr>
                <w:rFonts w:hint="eastAsia"/>
                <w:color w:val="auto"/>
                <w:kern w:val="21"/>
              </w:rPr>
              <w:t>hm</w:t>
            </w:r>
            <w:r>
              <w:rPr>
                <w:rFonts w:hint="eastAsia"/>
                <w:color w:val="auto"/>
                <w:kern w:val="21"/>
                <w:vertAlign w:val="superscript"/>
              </w:rPr>
              <w:t>2</w:t>
            </w:r>
            <w:r>
              <w:rPr>
                <w:rFonts w:hint="eastAsia"/>
                <w:color w:val="auto"/>
                <w:kern w:val="21"/>
              </w:rPr>
              <w:t>，路线全长</w:t>
            </w:r>
            <w:r>
              <w:rPr>
                <w:rFonts w:hint="eastAsia"/>
                <w:color w:val="auto"/>
                <w:kern w:val="21"/>
                <w:lang w:val="en-US" w:eastAsia="zh-CN"/>
              </w:rPr>
              <w:t>44</w:t>
            </w:r>
            <w:r>
              <w:rPr>
                <w:rFonts w:hint="eastAsia" w:ascii="Times New Roman" w:hAnsi="Times New Roman" w:eastAsia="宋体" w:cs="Times New Roman"/>
                <w:color w:val="auto"/>
                <w:lang w:val="en-US" w:eastAsia="zh-CN"/>
              </w:rPr>
              <w:t>.954km（</w:t>
            </w:r>
            <w:r>
              <w:rPr>
                <w:rFonts w:hint="eastAsia" w:ascii="Times New Roman" w:hAnsi="Times New Roman" w:eastAsia="宋体" w:cs="Times New Roman"/>
                <w:color w:val="auto"/>
                <w:lang w:val="zh-CN" w:eastAsia="zh-CN"/>
              </w:rPr>
              <w:t>建设里程</w:t>
            </w:r>
            <w:r>
              <w:rPr>
                <w:rFonts w:hint="eastAsia" w:ascii="Times New Roman" w:hAnsi="Times New Roman" w:eastAsia="宋体" w:cs="Times New Roman"/>
                <w:color w:val="auto"/>
                <w:lang w:val="en-US" w:eastAsia="zh-CN"/>
              </w:rPr>
              <w:t>43.950</w:t>
            </w:r>
            <w:r>
              <w:rPr>
                <w:rFonts w:hint="eastAsia" w:ascii="Times New Roman" w:hAnsi="Times New Roman" w:eastAsia="宋体" w:cs="Times New Roman"/>
                <w:color w:val="auto"/>
                <w:lang w:val="zh-CN" w:eastAsia="zh-CN"/>
              </w:rPr>
              <w:t>km，利用</w:t>
            </w:r>
            <w:r>
              <w:rPr>
                <w:rFonts w:hint="eastAsia" w:ascii="Times New Roman" w:hAnsi="Times New Roman" w:eastAsia="宋体" w:cs="Times New Roman"/>
                <w:color w:val="auto"/>
                <w:lang w:val="en-US" w:eastAsia="zh-CN"/>
              </w:rPr>
              <w:t>穆棱河河滩大桥及引道、上跨建鸡高速分离桥1.004km）</w:t>
            </w:r>
            <w:r>
              <w:rPr>
                <w:rFonts w:hint="eastAsia" w:cs="Times New Roman"/>
                <w:color w:val="auto"/>
                <w:lang w:val="en-US" w:eastAsia="zh-CN"/>
              </w:rPr>
              <w:t>；</w:t>
            </w:r>
            <w:r>
              <w:rPr>
                <w:rFonts w:hint="eastAsia"/>
                <w:color w:val="auto"/>
                <w:kern w:val="21"/>
              </w:rPr>
              <w:t>临时占地</w:t>
            </w:r>
            <w:r>
              <w:rPr>
                <w:rFonts w:hint="eastAsia"/>
                <w:color w:val="auto"/>
                <w:kern w:val="21"/>
                <w:lang w:val="en-US" w:eastAsia="zh-CN"/>
              </w:rPr>
              <w:t>3.86</w:t>
            </w:r>
            <w:r>
              <w:rPr>
                <w:rFonts w:hint="eastAsia"/>
                <w:color w:val="auto"/>
                <w:kern w:val="21"/>
              </w:rPr>
              <w:t>hm</w:t>
            </w:r>
            <w:r>
              <w:rPr>
                <w:rFonts w:hint="eastAsia"/>
                <w:color w:val="auto"/>
                <w:kern w:val="21"/>
                <w:vertAlign w:val="superscript"/>
              </w:rPr>
              <w:t>2</w:t>
            </w:r>
          </w:p>
        </w:tc>
      </w:tr>
      <w:tr w14:paraId="7424A3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17D687D8">
            <w:pPr>
              <w:spacing w:line="240" w:lineRule="auto"/>
              <w:jc w:val="center"/>
              <w:rPr>
                <w:rFonts w:cs="宋体"/>
                <w:color w:val="auto"/>
                <w:kern w:val="21"/>
                <w:szCs w:val="21"/>
              </w:rPr>
            </w:pPr>
            <w:r>
              <w:rPr>
                <w:rFonts w:hint="eastAsia" w:cs="宋体"/>
                <w:color w:val="auto"/>
                <w:kern w:val="21"/>
                <w:szCs w:val="21"/>
              </w:rPr>
              <w:t>建设性质</w:t>
            </w:r>
          </w:p>
        </w:tc>
        <w:tc>
          <w:tcPr>
            <w:tcW w:w="1890" w:type="dxa"/>
            <w:noWrap w:val="0"/>
            <w:vAlign w:val="center"/>
          </w:tcPr>
          <w:p w14:paraId="256CB534">
            <w:pPr>
              <w:adjustRightInd w:val="0"/>
              <w:snapToGrid w:val="0"/>
              <w:spacing w:line="240" w:lineRule="auto"/>
              <w:jc w:val="left"/>
              <w:rPr>
                <w:rFonts w:ascii="宋体" w:hAnsi="宋体" w:cs="宋体"/>
                <w:color w:val="auto"/>
                <w:szCs w:val="21"/>
              </w:rPr>
            </w:pPr>
            <w:r>
              <w:rPr>
                <w:rFonts w:hint="eastAsia" w:ascii="宋体" w:hAnsi="宋体" w:cs="宋体"/>
                <w:color w:val="auto"/>
                <w:szCs w:val="21"/>
              </w:rPr>
              <w:t>□新建（迁建）</w:t>
            </w:r>
          </w:p>
          <w:p w14:paraId="3AFE56DB">
            <w:pPr>
              <w:adjustRightInd w:val="0"/>
              <w:snapToGrid w:val="0"/>
              <w:spacing w:line="240" w:lineRule="auto"/>
              <w:jc w:val="left"/>
              <w:rPr>
                <w:rFonts w:ascii="宋体" w:hAnsi="宋体" w:cs="宋体"/>
                <w:color w:val="auto"/>
                <w:szCs w:val="21"/>
              </w:rPr>
            </w:pPr>
            <w:r>
              <w:rPr>
                <w:rFonts w:hint="eastAsia" w:ascii="宋体" w:hAnsi="宋体" w:cs="宋体"/>
                <w:color w:val="auto"/>
                <w:szCs w:val="21"/>
                <w:lang w:eastAsia="zh-CN"/>
              </w:rPr>
              <w:t>☑</w:t>
            </w:r>
            <w:r>
              <w:rPr>
                <w:rFonts w:hint="eastAsia" w:ascii="宋体" w:hAnsi="宋体" w:cs="宋体"/>
                <w:color w:val="auto"/>
                <w:szCs w:val="21"/>
              </w:rPr>
              <w:t>改建</w:t>
            </w:r>
          </w:p>
          <w:p w14:paraId="3C9E2123">
            <w:pPr>
              <w:adjustRightInd w:val="0"/>
              <w:snapToGrid w:val="0"/>
              <w:spacing w:line="240" w:lineRule="auto"/>
              <w:jc w:val="left"/>
              <w:rPr>
                <w:rFonts w:ascii="宋体" w:hAnsi="宋体" w:cs="宋体"/>
                <w:color w:val="auto"/>
                <w:szCs w:val="21"/>
              </w:rPr>
            </w:pPr>
            <w:r>
              <w:rPr>
                <w:rFonts w:hint="eastAsia" w:ascii="宋体" w:hAnsi="宋体" w:cs="宋体"/>
                <w:color w:val="auto"/>
                <w:szCs w:val="21"/>
              </w:rPr>
              <w:sym w:font="Wingdings 2" w:char="00A3"/>
            </w:r>
            <w:r>
              <w:rPr>
                <w:rFonts w:hint="eastAsia" w:ascii="宋体" w:hAnsi="宋体" w:cs="宋体"/>
                <w:color w:val="auto"/>
                <w:szCs w:val="21"/>
              </w:rPr>
              <w:t>扩建</w:t>
            </w:r>
          </w:p>
          <w:p w14:paraId="7F2BBD50">
            <w:pPr>
              <w:spacing w:line="240" w:lineRule="auto"/>
              <w:jc w:val="left"/>
              <w:rPr>
                <w:rFonts w:cs="宋体"/>
                <w:color w:val="auto"/>
                <w:kern w:val="21"/>
                <w:szCs w:val="21"/>
              </w:rPr>
            </w:pPr>
            <w:r>
              <w:rPr>
                <w:rFonts w:hint="eastAsia" w:ascii="宋体" w:hAnsi="宋体" w:cs="宋体"/>
                <w:color w:val="auto"/>
                <w:szCs w:val="21"/>
              </w:rPr>
              <w:t>□技术改造</w:t>
            </w:r>
          </w:p>
        </w:tc>
        <w:tc>
          <w:tcPr>
            <w:tcW w:w="1755" w:type="dxa"/>
            <w:noWrap w:val="0"/>
            <w:vAlign w:val="center"/>
          </w:tcPr>
          <w:p w14:paraId="1E7DEE73">
            <w:pPr>
              <w:spacing w:line="240" w:lineRule="auto"/>
              <w:jc w:val="center"/>
              <w:rPr>
                <w:rFonts w:cs="宋体"/>
                <w:color w:val="auto"/>
                <w:kern w:val="21"/>
                <w:szCs w:val="21"/>
              </w:rPr>
            </w:pPr>
            <w:r>
              <w:rPr>
                <w:rFonts w:hint="eastAsia" w:cs="宋体"/>
                <w:color w:val="auto"/>
                <w:kern w:val="21"/>
                <w:szCs w:val="21"/>
              </w:rPr>
              <w:t>建设项目</w:t>
            </w:r>
          </w:p>
          <w:p w14:paraId="71F42B13">
            <w:pPr>
              <w:spacing w:line="240" w:lineRule="auto"/>
              <w:jc w:val="center"/>
              <w:rPr>
                <w:rFonts w:cs="宋体"/>
                <w:color w:val="auto"/>
                <w:kern w:val="21"/>
                <w:szCs w:val="21"/>
              </w:rPr>
            </w:pPr>
            <w:r>
              <w:rPr>
                <w:rFonts w:hint="eastAsia" w:cs="宋体"/>
                <w:color w:val="auto"/>
                <w:kern w:val="21"/>
                <w:szCs w:val="21"/>
              </w:rPr>
              <w:t>申报情形</w:t>
            </w:r>
          </w:p>
        </w:tc>
        <w:tc>
          <w:tcPr>
            <w:tcW w:w="2971" w:type="dxa"/>
            <w:noWrap w:val="0"/>
            <w:vAlign w:val="center"/>
          </w:tcPr>
          <w:p w14:paraId="41A507F9">
            <w:pPr>
              <w:spacing w:line="240" w:lineRule="auto"/>
              <w:jc w:val="left"/>
              <w:rPr>
                <w:rFonts w:cs="宋体"/>
                <w:color w:val="auto"/>
                <w:kern w:val="21"/>
                <w:szCs w:val="21"/>
              </w:rPr>
            </w:pPr>
            <w:r>
              <w:rPr>
                <w:rFonts w:hint="eastAsia" w:cs="宋体"/>
                <w:color w:val="auto"/>
                <w:kern w:val="21"/>
                <w:szCs w:val="21"/>
              </w:rPr>
              <w:sym w:font="Wingdings 2" w:char="0052"/>
            </w:r>
            <w:r>
              <w:rPr>
                <w:rFonts w:hint="eastAsia" w:cs="宋体"/>
                <w:color w:val="auto"/>
                <w:kern w:val="21"/>
                <w:szCs w:val="21"/>
              </w:rPr>
              <w:t>首次申报项目</w:t>
            </w:r>
          </w:p>
          <w:p w14:paraId="6E8A879C">
            <w:pPr>
              <w:spacing w:line="240" w:lineRule="auto"/>
              <w:jc w:val="left"/>
              <w:rPr>
                <w:rFonts w:cs="宋体"/>
                <w:color w:val="auto"/>
                <w:kern w:val="21"/>
                <w:szCs w:val="21"/>
              </w:rPr>
            </w:pPr>
            <w:r>
              <w:rPr>
                <w:rFonts w:hint="eastAsia" w:cs="宋体"/>
                <w:color w:val="auto"/>
                <w:kern w:val="21"/>
                <w:szCs w:val="21"/>
              </w:rPr>
              <w:t>□不予批准后再次申报项目</w:t>
            </w:r>
          </w:p>
          <w:p w14:paraId="4EBB8A14">
            <w:pPr>
              <w:spacing w:line="240" w:lineRule="auto"/>
              <w:jc w:val="left"/>
              <w:rPr>
                <w:rFonts w:cs="宋体"/>
                <w:color w:val="auto"/>
                <w:kern w:val="21"/>
                <w:szCs w:val="21"/>
              </w:rPr>
            </w:pPr>
            <w:r>
              <w:rPr>
                <w:rFonts w:hint="eastAsia" w:cs="宋体"/>
                <w:color w:val="auto"/>
                <w:kern w:val="21"/>
                <w:szCs w:val="21"/>
              </w:rPr>
              <w:t>□超五年重新审核项目</w:t>
            </w:r>
          </w:p>
          <w:p w14:paraId="6D2CF413">
            <w:pPr>
              <w:spacing w:line="240" w:lineRule="auto"/>
              <w:rPr>
                <w:rFonts w:cs="宋体"/>
                <w:color w:val="auto"/>
                <w:kern w:val="21"/>
                <w:szCs w:val="21"/>
              </w:rPr>
            </w:pPr>
            <w:r>
              <w:rPr>
                <w:rFonts w:hint="eastAsia" w:cs="宋体"/>
                <w:color w:val="auto"/>
                <w:kern w:val="21"/>
                <w:szCs w:val="21"/>
              </w:rPr>
              <w:t>□重大变动重新报批项目</w:t>
            </w:r>
          </w:p>
        </w:tc>
      </w:tr>
      <w:tr w14:paraId="6B4830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030E7DEB">
            <w:pPr>
              <w:spacing w:line="240" w:lineRule="auto"/>
              <w:jc w:val="center"/>
              <w:rPr>
                <w:rFonts w:cs="宋体"/>
                <w:color w:val="auto"/>
                <w:kern w:val="21"/>
                <w:szCs w:val="21"/>
              </w:rPr>
            </w:pPr>
            <w:r>
              <w:rPr>
                <w:rFonts w:hint="eastAsia" w:cs="宋体"/>
                <w:color w:val="auto"/>
                <w:kern w:val="21"/>
                <w:szCs w:val="21"/>
              </w:rPr>
              <w:t>项目审批（核准</w:t>
            </w:r>
            <w:r>
              <w:rPr>
                <w:rFonts w:cs="宋体"/>
                <w:color w:val="auto"/>
                <w:kern w:val="21"/>
                <w:szCs w:val="21"/>
              </w:rPr>
              <w:t>/</w:t>
            </w:r>
            <w:r>
              <w:rPr>
                <w:rFonts w:hint="eastAsia" w:cs="宋体"/>
                <w:color w:val="auto"/>
                <w:kern w:val="21"/>
                <w:szCs w:val="21"/>
              </w:rPr>
              <w:t>备案）部门（选填）</w:t>
            </w:r>
          </w:p>
        </w:tc>
        <w:tc>
          <w:tcPr>
            <w:tcW w:w="1890" w:type="dxa"/>
            <w:noWrap w:val="0"/>
            <w:vAlign w:val="center"/>
          </w:tcPr>
          <w:p w14:paraId="39A826F3">
            <w:pPr>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w:t>
            </w:r>
          </w:p>
        </w:tc>
        <w:tc>
          <w:tcPr>
            <w:tcW w:w="1755" w:type="dxa"/>
            <w:noWrap w:val="0"/>
            <w:vAlign w:val="center"/>
          </w:tcPr>
          <w:p w14:paraId="2F679EA9">
            <w:pPr>
              <w:spacing w:line="240" w:lineRule="auto"/>
              <w:jc w:val="center"/>
              <w:rPr>
                <w:rFonts w:cs="宋体"/>
                <w:color w:val="auto"/>
                <w:kern w:val="21"/>
                <w:szCs w:val="21"/>
              </w:rPr>
            </w:pPr>
            <w:r>
              <w:rPr>
                <w:rFonts w:hint="eastAsia" w:cs="宋体"/>
                <w:color w:val="auto"/>
                <w:kern w:val="21"/>
                <w:szCs w:val="21"/>
              </w:rPr>
              <w:t>项目审批（核准</w:t>
            </w:r>
            <w:r>
              <w:rPr>
                <w:rFonts w:cs="宋体"/>
                <w:color w:val="auto"/>
                <w:kern w:val="21"/>
                <w:szCs w:val="21"/>
              </w:rPr>
              <w:t>/</w:t>
            </w:r>
            <w:r>
              <w:rPr>
                <w:rFonts w:hint="eastAsia" w:cs="宋体"/>
                <w:color w:val="auto"/>
                <w:kern w:val="21"/>
                <w:szCs w:val="21"/>
              </w:rPr>
              <w:t>备案）文号（选填）</w:t>
            </w:r>
          </w:p>
        </w:tc>
        <w:tc>
          <w:tcPr>
            <w:tcW w:w="2971" w:type="dxa"/>
            <w:noWrap w:val="0"/>
            <w:vAlign w:val="center"/>
          </w:tcPr>
          <w:p w14:paraId="0F08D029">
            <w:pPr>
              <w:spacing w:line="240" w:lineRule="auto"/>
              <w:jc w:val="center"/>
              <w:rPr>
                <w:rFonts w:hint="eastAsia" w:eastAsia="宋体" w:cs="宋体"/>
                <w:color w:val="auto"/>
                <w:kern w:val="21"/>
                <w:szCs w:val="21"/>
                <w:lang w:val="en-US" w:eastAsia="zh-CN"/>
              </w:rPr>
            </w:pPr>
            <w:r>
              <w:rPr>
                <w:rFonts w:hint="eastAsia" w:cs="宋体"/>
                <w:color w:val="auto"/>
                <w:kern w:val="21"/>
                <w:szCs w:val="21"/>
                <w:lang w:val="en-US" w:eastAsia="zh-CN"/>
              </w:rPr>
              <w:t>/</w:t>
            </w:r>
          </w:p>
        </w:tc>
      </w:tr>
      <w:tr w14:paraId="0D9EC4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00A7EF67">
            <w:pPr>
              <w:spacing w:line="240" w:lineRule="auto"/>
              <w:jc w:val="center"/>
              <w:rPr>
                <w:rFonts w:cs="宋体"/>
                <w:color w:val="auto"/>
                <w:kern w:val="21"/>
                <w:szCs w:val="21"/>
              </w:rPr>
            </w:pPr>
            <w:r>
              <w:rPr>
                <w:rFonts w:hint="eastAsia" w:cs="宋体"/>
                <w:color w:val="auto"/>
                <w:kern w:val="21"/>
                <w:szCs w:val="21"/>
              </w:rPr>
              <w:t>总投资（万元）</w:t>
            </w:r>
          </w:p>
        </w:tc>
        <w:tc>
          <w:tcPr>
            <w:tcW w:w="1890" w:type="dxa"/>
            <w:noWrap w:val="0"/>
            <w:vAlign w:val="center"/>
          </w:tcPr>
          <w:p w14:paraId="132FF166">
            <w:pPr>
              <w:widowControl/>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12583.1925</w:t>
            </w:r>
          </w:p>
        </w:tc>
        <w:tc>
          <w:tcPr>
            <w:tcW w:w="1755" w:type="dxa"/>
            <w:noWrap w:val="0"/>
            <w:tcMar>
              <w:top w:w="16" w:type="dxa"/>
              <w:left w:w="16" w:type="dxa"/>
              <w:right w:w="16" w:type="dxa"/>
            </w:tcMar>
            <w:vAlign w:val="center"/>
          </w:tcPr>
          <w:p w14:paraId="33E58973">
            <w:pPr>
              <w:spacing w:line="240" w:lineRule="auto"/>
              <w:jc w:val="center"/>
              <w:rPr>
                <w:rFonts w:cs="宋体"/>
                <w:color w:val="auto"/>
                <w:kern w:val="21"/>
                <w:szCs w:val="21"/>
              </w:rPr>
            </w:pPr>
            <w:r>
              <w:rPr>
                <w:rFonts w:hint="eastAsia" w:cs="宋体"/>
                <w:color w:val="auto"/>
                <w:kern w:val="21"/>
                <w:szCs w:val="21"/>
              </w:rPr>
              <w:t>环保投资（万元）</w:t>
            </w:r>
          </w:p>
        </w:tc>
        <w:tc>
          <w:tcPr>
            <w:tcW w:w="2971" w:type="dxa"/>
            <w:noWrap w:val="0"/>
            <w:vAlign w:val="center"/>
          </w:tcPr>
          <w:p w14:paraId="5F589CEE">
            <w:pPr>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322</w:t>
            </w:r>
          </w:p>
        </w:tc>
      </w:tr>
      <w:tr w14:paraId="6C5D1F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6748F1AB">
            <w:pPr>
              <w:spacing w:line="240" w:lineRule="auto"/>
              <w:jc w:val="center"/>
              <w:rPr>
                <w:rFonts w:cs="宋体"/>
                <w:color w:val="auto"/>
                <w:kern w:val="21"/>
                <w:szCs w:val="21"/>
              </w:rPr>
            </w:pPr>
            <w:r>
              <w:rPr>
                <w:rFonts w:hint="eastAsia" w:cs="宋体"/>
                <w:color w:val="auto"/>
                <w:kern w:val="21"/>
                <w:szCs w:val="21"/>
              </w:rPr>
              <w:t>环保投资占比（</w:t>
            </w:r>
            <w:r>
              <w:rPr>
                <w:rFonts w:cs="宋体"/>
                <w:color w:val="auto"/>
                <w:kern w:val="21"/>
                <w:szCs w:val="21"/>
              </w:rPr>
              <w:t>%</w:t>
            </w:r>
            <w:r>
              <w:rPr>
                <w:rFonts w:hint="eastAsia" w:cs="宋体"/>
                <w:color w:val="auto"/>
                <w:kern w:val="21"/>
                <w:szCs w:val="21"/>
              </w:rPr>
              <w:t>）</w:t>
            </w:r>
          </w:p>
        </w:tc>
        <w:tc>
          <w:tcPr>
            <w:tcW w:w="1890" w:type="dxa"/>
            <w:noWrap w:val="0"/>
            <w:vAlign w:val="center"/>
          </w:tcPr>
          <w:p w14:paraId="028A13F5">
            <w:pPr>
              <w:spacing w:line="240" w:lineRule="auto"/>
              <w:jc w:val="center"/>
              <w:rPr>
                <w:rFonts w:hint="default" w:eastAsia="宋体" w:cs="宋体"/>
                <w:color w:val="auto"/>
                <w:kern w:val="21"/>
                <w:szCs w:val="21"/>
                <w:lang w:val="en-US" w:eastAsia="zh-CN"/>
              </w:rPr>
            </w:pPr>
            <w:r>
              <w:rPr>
                <w:rFonts w:hint="eastAsia" w:cs="宋体"/>
                <w:color w:val="auto"/>
                <w:kern w:val="21"/>
                <w:szCs w:val="21"/>
                <w:lang w:val="en-US" w:eastAsia="zh-CN"/>
              </w:rPr>
              <w:t>2.56</w:t>
            </w:r>
          </w:p>
        </w:tc>
        <w:tc>
          <w:tcPr>
            <w:tcW w:w="1755" w:type="dxa"/>
            <w:noWrap w:val="0"/>
            <w:tcMar>
              <w:top w:w="16" w:type="dxa"/>
              <w:left w:w="16" w:type="dxa"/>
              <w:right w:w="16" w:type="dxa"/>
            </w:tcMar>
            <w:vAlign w:val="center"/>
          </w:tcPr>
          <w:p w14:paraId="547118C6">
            <w:pPr>
              <w:spacing w:line="240" w:lineRule="auto"/>
              <w:jc w:val="center"/>
              <w:rPr>
                <w:rFonts w:cs="宋体"/>
                <w:color w:val="auto"/>
                <w:kern w:val="21"/>
                <w:szCs w:val="21"/>
              </w:rPr>
            </w:pPr>
            <w:r>
              <w:rPr>
                <w:rFonts w:hint="eastAsia" w:cs="宋体"/>
                <w:color w:val="auto"/>
                <w:kern w:val="21"/>
                <w:szCs w:val="21"/>
              </w:rPr>
              <w:t>施工工期</w:t>
            </w:r>
          </w:p>
        </w:tc>
        <w:tc>
          <w:tcPr>
            <w:tcW w:w="2971" w:type="dxa"/>
            <w:noWrap w:val="0"/>
            <w:vAlign w:val="center"/>
          </w:tcPr>
          <w:p w14:paraId="6D5F8A4D">
            <w:pPr>
              <w:spacing w:line="240" w:lineRule="auto"/>
              <w:jc w:val="center"/>
              <w:rPr>
                <w:rFonts w:cs="宋体"/>
                <w:color w:val="auto"/>
                <w:kern w:val="21"/>
                <w:szCs w:val="21"/>
              </w:rPr>
            </w:pPr>
            <w:r>
              <w:rPr>
                <w:rFonts w:hint="eastAsia"/>
                <w:color w:val="auto"/>
                <w:kern w:val="21"/>
                <w:szCs w:val="21"/>
                <w:lang w:val="en-US" w:eastAsia="zh-CN"/>
              </w:rPr>
              <w:t>3</w:t>
            </w:r>
            <w:r>
              <w:rPr>
                <w:color w:val="auto"/>
                <w:kern w:val="21"/>
                <w:szCs w:val="21"/>
              </w:rPr>
              <w:t>个月(202</w:t>
            </w:r>
            <w:r>
              <w:rPr>
                <w:rFonts w:hint="eastAsia"/>
                <w:color w:val="auto"/>
                <w:kern w:val="21"/>
                <w:szCs w:val="21"/>
                <w:lang w:val="en-US" w:eastAsia="zh-CN"/>
              </w:rPr>
              <w:t>6</w:t>
            </w:r>
            <w:r>
              <w:rPr>
                <w:color w:val="auto"/>
                <w:kern w:val="21"/>
                <w:szCs w:val="21"/>
              </w:rPr>
              <w:t>年</w:t>
            </w:r>
            <w:r>
              <w:rPr>
                <w:rFonts w:hint="eastAsia"/>
                <w:color w:val="auto"/>
                <w:kern w:val="21"/>
                <w:szCs w:val="21"/>
                <w:lang w:val="en-US" w:eastAsia="zh-CN"/>
              </w:rPr>
              <w:t>4</w:t>
            </w:r>
            <w:r>
              <w:rPr>
                <w:color w:val="auto"/>
                <w:kern w:val="21"/>
                <w:szCs w:val="21"/>
              </w:rPr>
              <w:t>月-</w:t>
            </w:r>
            <w:r>
              <w:rPr>
                <w:rFonts w:hint="eastAsia"/>
                <w:color w:val="auto"/>
                <w:kern w:val="21"/>
                <w:szCs w:val="21"/>
                <w:lang w:val="en-US" w:eastAsia="zh-CN"/>
              </w:rPr>
              <w:t>6</w:t>
            </w:r>
            <w:r>
              <w:rPr>
                <w:rFonts w:hint="eastAsia"/>
                <w:color w:val="auto"/>
                <w:kern w:val="21"/>
                <w:szCs w:val="21"/>
              </w:rPr>
              <w:t>月</w:t>
            </w:r>
            <w:r>
              <w:rPr>
                <w:color w:val="auto"/>
                <w:kern w:val="21"/>
                <w:szCs w:val="21"/>
              </w:rPr>
              <w:t>)</w:t>
            </w:r>
          </w:p>
        </w:tc>
      </w:tr>
      <w:tr w14:paraId="7E9250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680" w:hRule="atLeast"/>
        </w:trPr>
        <w:tc>
          <w:tcPr>
            <w:tcW w:w="1660" w:type="dxa"/>
            <w:noWrap w:val="0"/>
            <w:tcMar>
              <w:top w:w="16" w:type="dxa"/>
              <w:left w:w="16" w:type="dxa"/>
              <w:right w:w="16" w:type="dxa"/>
            </w:tcMar>
            <w:vAlign w:val="center"/>
          </w:tcPr>
          <w:p w14:paraId="2A5103F6">
            <w:pPr>
              <w:spacing w:line="240" w:lineRule="auto"/>
              <w:jc w:val="center"/>
              <w:rPr>
                <w:rFonts w:cs="宋体"/>
                <w:color w:val="auto"/>
                <w:kern w:val="21"/>
                <w:szCs w:val="21"/>
              </w:rPr>
            </w:pPr>
            <w:r>
              <w:rPr>
                <w:rFonts w:hint="eastAsia" w:cs="宋体"/>
                <w:color w:val="auto"/>
                <w:kern w:val="21"/>
                <w:szCs w:val="21"/>
              </w:rPr>
              <w:t>是否开工建设</w:t>
            </w:r>
          </w:p>
        </w:tc>
        <w:tc>
          <w:tcPr>
            <w:tcW w:w="6616" w:type="dxa"/>
            <w:gridSpan w:val="3"/>
            <w:noWrap w:val="0"/>
            <w:vAlign w:val="center"/>
          </w:tcPr>
          <w:p w14:paraId="3C38F2B0">
            <w:pPr>
              <w:spacing w:line="240" w:lineRule="auto"/>
              <w:ind w:firstLine="105"/>
              <w:jc w:val="left"/>
              <w:rPr>
                <w:rFonts w:cs="宋体"/>
                <w:color w:val="auto"/>
                <w:kern w:val="21"/>
                <w:szCs w:val="21"/>
              </w:rPr>
            </w:pPr>
            <w:r>
              <w:rPr>
                <w:rFonts w:hint="eastAsia" w:cs="宋体"/>
                <w:color w:val="auto"/>
                <w:kern w:val="21"/>
                <w:szCs w:val="21"/>
              </w:rPr>
              <w:sym w:font="Wingdings 2" w:char="0052"/>
            </w:r>
            <w:r>
              <w:rPr>
                <w:rFonts w:hint="eastAsia" w:cs="宋体"/>
                <w:color w:val="auto"/>
                <w:kern w:val="21"/>
                <w:szCs w:val="21"/>
              </w:rPr>
              <w:t>否</w:t>
            </w:r>
          </w:p>
          <w:p w14:paraId="523C04B2">
            <w:pPr>
              <w:spacing w:line="240" w:lineRule="auto"/>
              <w:ind w:firstLine="92"/>
              <w:jc w:val="left"/>
              <w:rPr>
                <w:rFonts w:cs="宋体"/>
                <w:color w:val="auto"/>
                <w:kern w:val="21"/>
                <w:szCs w:val="21"/>
              </w:rPr>
            </w:pPr>
            <w:r>
              <w:rPr>
                <w:rFonts w:hint="eastAsia" w:cs="宋体"/>
                <w:color w:val="auto"/>
                <w:kern w:val="21"/>
                <w:szCs w:val="21"/>
                <w:lang w:eastAsia="zh-CN"/>
              </w:rPr>
              <w:t>□</w:t>
            </w:r>
            <w:r>
              <w:rPr>
                <w:rFonts w:hint="eastAsia" w:cs="宋体"/>
                <w:color w:val="auto"/>
                <w:kern w:val="21"/>
                <w:szCs w:val="21"/>
              </w:rPr>
              <w:t>是</w:t>
            </w:r>
          </w:p>
        </w:tc>
      </w:tr>
      <w:tr w14:paraId="48ABEB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745" w:hRule="atLeast"/>
        </w:trPr>
        <w:tc>
          <w:tcPr>
            <w:tcW w:w="1660" w:type="dxa"/>
            <w:noWrap w:val="0"/>
            <w:tcMar>
              <w:top w:w="16" w:type="dxa"/>
              <w:left w:w="16" w:type="dxa"/>
              <w:right w:w="16" w:type="dxa"/>
            </w:tcMar>
            <w:vAlign w:val="center"/>
          </w:tcPr>
          <w:p w14:paraId="2EFAD926">
            <w:pPr>
              <w:spacing w:line="240" w:lineRule="auto"/>
              <w:jc w:val="center"/>
              <w:rPr>
                <w:rFonts w:hint="eastAsia" w:cs="宋体"/>
                <w:color w:val="auto"/>
                <w:kern w:val="21"/>
                <w:szCs w:val="21"/>
              </w:rPr>
            </w:pPr>
            <w:r>
              <w:rPr>
                <w:rFonts w:hint="eastAsia" w:cs="宋体"/>
                <w:color w:val="auto"/>
                <w:kern w:val="21"/>
                <w:szCs w:val="21"/>
              </w:rPr>
              <w:t>专项评价</w:t>
            </w:r>
          </w:p>
          <w:p w14:paraId="0CCDF8F1">
            <w:pPr>
              <w:spacing w:line="240" w:lineRule="auto"/>
              <w:jc w:val="center"/>
              <w:rPr>
                <w:rFonts w:cs="宋体"/>
                <w:color w:val="auto"/>
                <w:kern w:val="21"/>
                <w:szCs w:val="21"/>
              </w:rPr>
            </w:pPr>
            <w:r>
              <w:rPr>
                <w:rFonts w:hint="eastAsia" w:cs="宋体"/>
                <w:color w:val="auto"/>
                <w:kern w:val="21"/>
                <w:szCs w:val="21"/>
              </w:rPr>
              <w:t>设置情况</w:t>
            </w:r>
          </w:p>
        </w:tc>
        <w:tc>
          <w:tcPr>
            <w:tcW w:w="6616" w:type="dxa"/>
            <w:gridSpan w:val="3"/>
            <w:noWrap w:val="0"/>
            <w:tcMar>
              <w:top w:w="16" w:type="dxa"/>
              <w:left w:w="16" w:type="dxa"/>
              <w:right w:w="16" w:type="dxa"/>
            </w:tcMar>
            <w:vAlign w:val="center"/>
          </w:tcPr>
          <w:p w14:paraId="3F8409D5">
            <w:pPr>
              <w:pStyle w:val="72"/>
              <w:rPr>
                <w:rFonts w:hint="default" w:ascii="Times New Roman" w:hAnsi="Times New Roman" w:eastAsia="宋体" w:cs="Times New Roman"/>
                <w:color w:val="auto"/>
              </w:rPr>
            </w:pPr>
          </w:p>
          <w:p w14:paraId="15C77119">
            <w:pPr>
              <w:pStyle w:val="72"/>
              <w:rPr>
                <w:rFonts w:hint="default" w:ascii="Times New Roman" w:hAnsi="Times New Roman" w:eastAsia="宋体" w:cs="Times New Roman"/>
                <w:color w:val="auto"/>
              </w:rPr>
            </w:pPr>
          </w:p>
          <w:p w14:paraId="49A85166">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表1-1  专项评价设置情况表</w:t>
            </w:r>
          </w:p>
          <w:tbl>
            <w:tblPr>
              <w:tblStyle w:val="31"/>
              <w:tblW w:w="5000"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3432"/>
              <w:gridCol w:w="1793"/>
              <w:gridCol w:w="774"/>
            </w:tblGrid>
            <w:tr w14:paraId="6B669F3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01E68929">
                  <w:pPr>
                    <w:pStyle w:val="80"/>
                    <w:rPr>
                      <w:color w:val="auto"/>
                    </w:rPr>
                  </w:pPr>
                  <w:r>
                    <w:rPr>
                      <w:rFonts w:hint="eastAsia"/>
                      <w:color w:val="auto"/>
                    </w:rPr>
                    <w:t>专项评价的类别</w:t>
                  </w:r>
                </w:p>
              </w:tc>
              <w:tc>
                <w:tcPr>
                  <w:tcW w:w="2475" w:type="pct"/>
                  <w:tcBorders>
                    <w:tl2br w:val="nil"/>
                    <w:tr2bl w:val="nil"/>
                  </w:tcBorders>
                  <w:noWrap w:val="0"/>
                  <w:vAlign w:val="center"/>
                </w:tcPr>
                <w:p w14:paraId="61230386">
                  <w:pPr>
                    <w:pStyle w:val="80"/>
                    <w:rPr>
                      <w:color w:val="auto"/>
                    </w:rPr>
                  </w:pPr>
                  <w:r>
                    <w:rPr>
                      <w:rFonts w:hint="eastAsia"/>
                      <w:color w:val="auto"/>
                    </w:rPr>
                    <w:t>涉及项目类别</w:t>
                  </w:r>
                </w:p>
              </w:tc>
              <w:tc>
                <w:tcPr>
                  <w:tcW w:w="1293" w:type="pct"/>
                  <w:tcBorders>
                    <w:tl2br w:val="nil"/>
                    <w:tr2bl w:val="nil"/>
                  </w:tcBorders>
                  <w:noWrap w:val="0"/>
                  <w:vAlign w:val="center"/>
                </w:tcPr>
                <w:p w14:paraId="410EE9D7">
                  <w:pPr>
                    <w:pStyle w:val="80"/>
                    <w:rPr>
                      <w:color w:val="auto"/>
                    </w:rPr>
                  </w:pPr>
                  <w:r>
                    <w:rPr>
                      <w:rFonts w:hint="eastAsia"/>
                      <w:color w:val="auto"/>
                    </w:rPr>
                    <w:t>本项目情况</w:t>
                  </w:r>
                </w:p>
              </w:tc>
              <w:tc>
                <w:tcPr>
                  <w:tcW w:w="558" w:type="pct"/>
                  <w:tcBorders>
                    <w:tl2br w:val="nil"/>
                    <w:tr2bl w:val="nil"/>
                  </w:tcBorders>
                  <w:noWrap w:val="0"/>
                  <w:vAlign w:val="center"/>
                </w:tcPr>
                <w:p w14:paraId="6AF83053">
                  <w:pPr>
                    <w:pStyle w:val="80"/>
                    <w:rPr>
                      <w:color w:val="auto"/>
                    </w:rPr>
                  </w:pPr>
                  <w:r>
                    <w:rPr>
                      <w:rFonts w:hint="eastAsia"/>
                      <w:color w:val="auto"/>
                    </w:rPr>
                    <w:t>设置情况</w:t>
                  </w:r>
                </w:p>
              </w:tc>
            </w:tr>
            <w:tr w14:paraId="077516B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32D5FD7A">
                  <w:pPr>
                    <w:pStyle w:val="80"/>
                    <w:rPr>
                      <w:color w:val="auto"/>
                    </w:rPr>
                  </w:pPr>
                  <w:r>
                    <w:rPr>
                      <w:rFonts w:hint="eastAsia"/>
                      <w:color w:val="auto"/>
                    </w:rPr>
                    <w:t>地表水</w:t>
                  </w:r>
                </w:p>
              </w:tc>
              <w:tc>
                <w:tcPr>
                  <w:tcW w:w="2475" w:type="pct"/>
                  <w:tcBorders>
                    <w:tl2br w:val="nil"/>
                    <w:tr2bl w:val="nil"/>
                  </w:tcBorders>
                  <w:noWrap w:val="0"/>
                  <w:vAlign w:val="center"/>
                </w:tcPr>
                <w:p w14:paraId="3843CA30">
                  <w:pPr>
                    <w:pStyle w:val="80"/>
                    <w:jc w:val="both"/>
                    <w:rPr>
                      <w:rFonts w:hint="eastAsia"/>
                      <w:color w:val="auto"/>
                    </w:rPr>
                  </w:pPr>
                  <w:r>
                    <w:rPr>
                      <w:rFonts w:hint="eastAsia"/>
                      <w:color w:val="auto"/>
                    </w:rPr>
                    <w:t>水力发电：引水式发电、涉及调峰发电的项目；</w:t>
                  </w:r>
                </w:p>
                <w:p w14:paraId="43227228">
                  <w:pPr>
                    <w:pStyle w:val="80"/>
                    <w:jc w:val="both"/>
                    <w:rPr>
                      <w:rFonts w:hint="eastAsia"/>
                      <w:color w:val="auto"/>
                    </w:rPr>
                  </w:pPr>
                  <w:r>
                    <w:rPr>
                      <w:rFonts w:hint="eastAsia"/>
                      <w:color w:val="auto"/>
                    </w:rPr>
                    <w:t>人工湖、人工湿地：全部；</w:t>
                  </w:r>
                </w:p>
                <w:p w14:paraId="07046C2A">
                  <w:pPr>
                    <w:pStyle w:val="80"/>
                    <w:jc w:val="both"/>
                    <w:rPr>
                      <w:rFonts w:hint="eastAsia"/>
                      <w:color w:val="auto"/>
                    </w:rPr>
                  </w:pPr>
                  <w:r>
                    <w:rPr>
                      <w:rFonts w:hint="eastAsia"/>
                      <w:color w:val="auto"/>
                    </w:rPr>
                    <w:t>水库：全部；</w:t>
                  </w:r>
                </w:p>
                <w:p w14:paraId="39132032">
                  <w:pPr>
                    <w:pStyle w:val="80"/>
                    <w:jc w:val="both"/>
                    <w:rPr>
                      <w:rFonts w:hint="eastAsia"/>
                      <w:color w:val="auto"/>
                    </w:rPr>
                  </w:pPr>
                  <w:r>
                    <w:rPr>
                      <w:rFonts w:hint="eastAsia"/>
                      <w:color w:val="auto"/>
                    </w:rPr>
                    <w:t>引水工程：全部（配套的管线工程等除外）；</w:t>
                  </w:r>
                </w:p>
                <w:p w14:paraId="5074D5A1">
                  <w:pPr>
                    <w:pStyle w:val="80"/>
                    <w:jc w:val="both"/>
                    <w:rPr>
                      <w:rFonts w:hint="eastAsia"/>
                      <w:color w:val="auto"/>
                    </w:rPr>
                  </w:pPr>
                  <w:r>
                    <w:rPr>
                      <w:rFonts w:hint="eastAsia"/>
                      <w:color w:val="auto"/>
                    </w:rPr>
                    <w:t>防洪除涝工程：包含水库的项目；</w:t>
                  </w:r>
                </w:p>
                <w:p w14:paraId="76523629">
                  <w:pPr>
                    <w:pStyle w:val="80"/>
                    <w:jc w:val="both"/>
                    <w:rPr>
                      <w:color w:val="auto"/>
                    </w:rPr>
                  </w:pPr>
                  <w:r>
                    <w:rPr>
                      <w:rFonts w:hint="eastAsia"/>
                      <w:color w:val="auto"/>
                    </w:rPr>
                    <w:t>河湖整治：涉及清淤且底泥存在重金属污染的项目</w:t>
                  </w:r>
                </w:p>
              </w:tc>
              <w:tc>
                <w:tcPr>
                  <w:tcW w:w="1293" w:type="pct"/>
                  <w:tcBorders>
                    <w:tl2br w:val="nil"/>
                    <w:tr2bl w:val="nil"/>
                  </w:tcBorders>
                  <w:noWrap w:val="0"/>
                  <w:vAlign w:val="center"/>
                </w:tcPr>
                <w:p w14:paraId="6FE58F86">
                  <w:pPr>
                    <w:pStyle w:val="80"/>
                    <w:rPr>
                      <w:color w:val="auto"/>
                    </w:rPr>
                  </w:pPr>
                  <w:r>
                    <w:rPr>
                      <w:rFonts w:hint="eastAsia"/>
                      <w:color w:val="auto"/>
                    </w:rPr>
                    <w:t>本项目不属于上述项目类别</w:t>
                  </w:r>
                </w:p>
              </w:tc>
              <w:tc>
                <w:tcPr>
                  <w:tcW w:w="558" w:type="pct"/>
                  <w:tcBorders>
                    <w:tl2br w:val="nil"/>
                    <w:tr2bl w:val="nil"/>
                  </w:tcBorders>
                  <w:noWrap w:val="0"/>
                  <w:vAlign w:val="center"/>
                </w:tcPr>
                <w:p w14:paraId="0E8C0F8C">
                  <w:pPr>
                    <w:pStyle w:val="80"/>
                    <w:rPr>
                      <w:color w:val="auto"/>
                    </w:rPr>
                  </w:pPr>
                  <w:r>
                    <w:rPr>
                      <w:rFonts w:hint="eastAsia"/>
                      <w:color w:val="auto"/>
                    </w:rPr>
                    <w:t>无需设置</w:t>
                  </w:r>
                </w:p>
              </w:tc>
            </w:tr>
            <w:tr w14:paraId="65EB6A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11ED64B0">
                  <w:pPr>
                    <w:pStyle w:val="80"/>
                    <w:rPr>
                      <w:color w:val="auto"/>
                    </w:rPr>
                  </w:pPr>
                  <w:r>
                    <w:rPr>
                      <w:rFonts w:hint="eastAsia"/>
                      <w:color w:val="auto"/>
                    </w:rPr>
                    <w:t>地下水</w:t>
                  </w:r>
                </w:p>
              </w:tc>
              <w:tc>
                <w:tcPr>
                  <w:tcW w:w="2475" w:type="pct"/>
                  <w:tcBorders>
                    <w:tl2br w:val="nil"/>
                    <w:tr2bl w:val="nil"/>
                  </w:tcBorders>
                  <w:noWrap w:val="0"/>
                  <w:vAlign w:val="center"/>
                </w:tcPr>
                <w:p w14:paraId="7F7337EF">
                  <w:pPr>
                    <w:pStyle w:val="80"/>
                    <w:jc w:val="both"/>
                    <w:rPr>
                      <w:color w:val="auto"/>
                    </w:rPr>
                  </w:pPr>
                  <w:r>
                    <w:rPr>
                      <w:rFonts w:hint="eastAsia"/>
                      <w:color w:val="auto"/>
                    </w:rPr>
                    <w:t>陆地石油和天然气开采：全部；</w:t>
                  </w:r>
                </w:p>
                <w:p w14:paraId="7A3B3605">
                  <w:pPr>
                    <w:pStyle w:val="80"/>
                    <w:jc w:val="both"/>
                    <w:rPr>
                      <w:color w:val="auto"/>
                    </w:rPr>
                  </w:pPr>
                  <w:r>
                    <w:rPr>
                      <w:rFonts w:hint="eastAsia"/>
                      <w:color w:val="auto"/>
                    </w:rPr>
                    <w:t>地下水（含矿泉水）开采：全部；</w:t>
                  </w:r>
                </w:p>
                <w:p w14:paraId="21B5266B">
                  <w:pPr>
                    <w:pStyle w:val="80"/>
                    <w:jc w:val="both"/>
                    <w:rPr>
                      <w:color w:val="auto"/>
                    </w:rPr>
                  </w:pPr>
                  <w:r>
                    <w:rPr>
                      <w:rFonts w:hint="eastAsia"/>
                      <w:color w:val="auto"/>
                    </w:rPr>
                    <w:t>水利、水电、交通等：含穿越可溶岩地层隧道的项目</w:t>
                  </w:r>
                </w:p>
              </w:tc>
              <w:tc>
                <w:tcPr>
                  <w:tcW w:w="1293" w:type="pct"/>
                  <w:tcBorders>
                    <w:tl2br w:val="nil"/>
                    <w:tr2bl w:val="nil"/>
                  </w:tcBorders>
                  <w:noWrap w:val="0"/>
                  <w:vAlign w:val="center"/>
                </w:tcPr>
                <w:p w14:paraId="035B27FA">
                  <w:pPr>
                    <w:pStyle w:val="80"/>
                    <w:rPr>
                      <w:color w:val="auto"/>
                    </w:rPr>
                  </w:pPr>
                  <w:r>
                    <w:rPr>
                      <w:rFonts w:hint="eastAsia"/>
                      <w:color w:val="auto"/>
                    </w:rPr>
                    <w:t>本项目不属于上述项目类别</w:t>
                  </w:r>
                </w:p>
              </w:tc>
              <w:tc>
                <w:tcPr>
                  <w:tcW w:w="558" w:type="pct"/>
                  <w:tcBorders>
                    <w:tl2br w:val="nil"/>
                    <w:tr2bl w:val="nil"/>
                  </w:tcBorders>
                  <w:noWrap w:val="0"/>
                  <w:vAlign w:val="center"/>
                </w:tcPr>
                <w:p w14:paraId="0917B99D">
                  <w:pPr>
                    <w:pStyle w:val="80"/>
                    <w:rPr>
                      <w:color w:val="auto"/>
                    </w:rPr>
                  </w:pPr>
                  <w:r>
                    <w:rPr>
                      <w:rFonts w:hint="eastAsia"/>
                      <w:color w:val="auto"/>
                    </w:rPr>
                    <w:t>无需设置</w:t>
                  </w:r>
                </w:p>
              </w:tc>
            </w:tr>
            <w:tr w14:paraId="4CF684C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23CABDA2">
                  <w:pPr>
                    <w:pStyle w:val="80"/>
                    <w:rPr>
                      <w:color w:val="auto"/>
                    </w:rPr>
                  </w:pPr>
                  <w:r>
                    <w:rPr>
                      <w:rFonts w:hint="eastAsia"/>
                      <w:color w:val="auto"/>
                    </w:rPr>
                    <w:t>生态</w:t>
                  </w:r>
                </w:p>
              </w:tc>
              <w:tc>
                <w:tcPr>
                  <w:tcW w:w="2475" w:type="pct"/>
                  <w:tcBorders>
                    <w:tl2br w:val="nil"/>
                    <w:tr2bl w:val="nil"/>
                  </w:tcBorders>
                  <w:noWrap w:val="0"/>
                  <w:vAlign w:val="center"/>
                </w:tcPr>
                <w:p w14:paraId="383A9D1D">
                  <w:pPr>
                    <w:pStyle w:val="80"/>
                    <w:jc w:val="both"/>
                    <w:rPr>
                      <w:color w:val="auto"/>
                    </w:rPr>
                  </w:pPr>
                  <w:r>
                    <w:rPr>
                      <w:rFonts w:hint="eastAsia"/>
                      <w:color w:val="auto"/>
                    </w:rPr>
                    <w:t>涉及环境敏感区（不包括饮用水水源保护区，以居住、医疗卫生、文化教育、科研、行政办公为主要功能的区域，以及文物保护单位）的项目</w:t>
                  </w:r>
                </w:p>
              </w:tc>
              <w:tc>
                <w:tcPr>
                  <w:tcW w:w="1293" w:type="pct"/>
                  <w:tcBorders>
                    <w:tl2br w:val="nil"/>
                    <w:tr2bl w:val="nil"/>
                  </w:tcBorders>
                  <w:noWrap w:val="0"/>
                  <w:vAlign w:val="center"/>
                </w:tcPr>
                <w:p w14:paraId="1F9E63DC">
                  <w:pPr>
                    <w:pStyle w:val="80"/>
                    <w:rPr>
                      <w:color w:val="auto"/>
                    </w:rPr>
                  </w:pPr>
                  <w:r>
                    <w:rPr>
                      <w:rFonts w:hint="eastAsia"/>
                      <w:color w:val="auto"/>
                    </w:rPr>
                    <w:t>本项目涉及环境敏感区：</w:t>
                  </w:r>
                  <w:r>
                    <w:rPr>
                      <w:rFonts w:hint="eastAsia" w:ascii="Times New Roman" w:hAnsi="Times New Roman" w:eastAsia="宋体" w:cs="Times New Roman"/>
                      <w:b w:val="0"/>
                      <w:bCs/>
                      <w:snapToGrid w:val="0"/>
                      <w:color w:val="auto"/>
                      <w:kern w:val="2"/>
                      <w:sz w:val="21"/>
                      <w:szCs w:val="21"/>
                      <w:lang w:val="en-US" w:eastAsia="zh-CN" w:bidi="ar-SA"/>
                    </w:rPr>
                    <w:t>黑龙江兴凯湖国家地质公园</w:t>
                  </w:r>
                  <w:r>
                    <w:rPr>
                      <w:rFonts w:hint="eastAsia"/>
                      <w:color w:val="auto"/>
                    </w:rPr>
                    <w:t>、</w:t>
                  </w:r>
                  <w:r>
                    <w:rPr>
                      <w:rFonts w:hint="eastAsia" w:ascii="Times New Roman" w:hAnsi="Times New Roman" w:eastAsia="宋体" w:cs="Times New Roman"/>
                      <w:b w:val="0"/>
                      <w:bCs/>
                      <w:snapToGrid w:val="0"/>
                      <w:color w:val="auto"/>
                      <w:kern w:val="2"/>
                      <w:sz w:val="21"/>
                      <w:szCs w:val="21"/>
                      <w:lang w:val="en-US" w:eastAsia="zh-CN" w:bidi="ar-SA"/>
                    </w:rPr>
                    <w:t>黑龙江兴凯湖国家级自然保护区、兴凯湖风景名胜区</w:t>
                  </w:r>
                </w:p>
              </w:tc>
              <w:tc>
                <w:tcPr>
                  <w:tcW w:w="558" w:type="pct"/>
                  <w:tcBorders>
                    <w:tl2br w:val="nil"/>
                    <w:tr2bl w:val="nil"/>
                  </w:tcBorders>
                  <w:noWrap w:val="0"/>
                  <w:vAlign w:val="center"/>
                </w:tcPr>
                <w:p w14:paraId="42609A15">
                  <w:pPr>
                    <w:pStyle w:val="80"/>
                    <w:rPr>
                      <w:color w:val="auto"/>
                    </w:rPr>
                  </w:pPr>
                  <w:r>
                    <w:rPr>
                      <w:rFonts w:hint="eastAsia"/>
                      <w:color w:val="auto"/>
                    </w:rPr>
                    <w:t>需设置</w:t>
                  </w:r>
                </w:p>
              </w:tc>
            </w:tr>
            <w:tr w14:paraId="56E59E8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5FFD93C1">
                  <w:pPr>
                    <w:pStyle w:val="80"/>
                    <w:rPr>
                      <w:color w:val="auto"/>
                    </w:rPr>
                  </w:pPr>
                  <w:r>
                    <w:rPr>
                      <w:rFonts w:hint="eastAsia"/>
                      <w:color w:val="auto"/>
                    </w:rPr>
                    <w:t>大气</w:t>
                  </w:r>
                </w:p>
              </w:tc>
              <w:tc>
                <w:tcPr>
                  <w:tcW w:w="2475" w:type="pct"/>
                  <w:tcBorders>
                    <w:tl2br w:val="nil"/>
                    <w:tr2bl w:val="nil"/>
                  </w:tcBorders>
                  <w:noWrap w:val="0"/>
                  <w:vAlign w:val="center"/>
                </w:tcPr>
                <w:p w14:paraId="3A8EAEEA">
                  <w:pPr>
                    <w:pStyle w:val="80"/>
                    <w:jc w:val="both"/>
                    <w:rPr>
                      <w:color w:val="auto"/>
                    </w:rPr>
                  </w:pPr>
                  <w:r>
                    <w:rPr>
                      <w:rFonts w:hint="eastAsia"/>
                      <w:color w:val="auto"/>
                    </w:rPr>
                    <w:t>油气、液体化工码头：全部；</w:t>
                  </w:r>
                </w:p>
                <w:p w14:paraId="5C4732F1">
                  <w:pPr>
                    <w:pStyle w:val="80"/>
                    <w:jc w:val="both"/>
                    <w:rPr>
                      <w:color w:val="auto"/>
                    </w:rPr>
                  </w:pPr>
                  <w:r>
                    <w:rPr>
                      <w:rFonts w:hint="eastAsia"/>
                      <w:color w:val="auto"/>
                    </w:rPr>
                    <w:t>干散货（含煤炭、矿石）、件杂、多用途、通用码头：涉及粉尘、挥发性有机物排放的项目</w:t>
                  </w:r>
                </w:p>
              </w:tc>
              <w:tc>
                <w:tcPr>
                  <w:tcW w:w="1293" w:type="pct"/>
                  <w:tcBorders>
                    <w:tl2br w:val="nil"/>
                    <w:tr2bl w:val="nil"/>
                  </w:tcBorders>
                  <w:noWrap w:val="0"/>
                  <w:vAlign w:val="center"/>
                </w:tcPr>
                <w:p w14:paraId="1F38ADDA">
                  <w:pPr>
                    <w:pStyle w:val="80"/>
                    <w:rPr>
                      <w:color w:val="auto"/>
                    </w:rPr>
                  </w:pPr>
                  <w:r>
                    <w:rPr>
                      <w:rFonts w:hint="eastAsia"/>
                      <w:color w:val="auto"/>
                    </w:rPr>
                    <w:t>本项目不属于上述项目类别</w:t>
                  </w:r>
                </w:p>
              </w:tc>
              <w:tc>
                <w:tcPr>
                  <w:tcW w:w="558" w:type="pct"/>
                  <w:tcBorders>
                    <w:tl2br w:val="nil"/>
                    <w:tr2bl w:val="nil"/>
                  </w:tcBorders>
                  <w:noWrap w:val="0"/>
                  <w:vAlign w:val="center"/>
                </w:tcPr>
                <w:p w14:paraId="14EB7ED1">
                  <w:pPr>
                    <w:pStyle w:val="80"/>
                    <w:rPr>
                      <w:color w:val="auto"/>
                    </w:rPr>
                  </w:pPr>
                  <w:r>
                    <w:rPr>
                      <w:rFonts w:hint="eastAsia"/>
                      <w:color w:val="auto"/>
                    </w:rPr>
                    <w:t>无需设置</w:t>
                  </w:r>
                </w:p>
              </w:tc>
            </w:tr>
            <w:tr w14:paraId="02B424E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1F7A3E5D">
                  <w:pPr>
                    <w:pStyle w:val="80"/>
                    <w:rPr>
                      <w:color w:val="auto"/>
                    </w:rPr>
                  </w:pPr>
                  <w:r>
                    <w:rPr>
                      <w:rFonts w:hint="eastAsia"/>
                      <w:color w:val="auto"/>
                    </w:rPr>
                    <w:t>噪声</w:t>
                  </w:r>
                </w:p>
              </w:tc>
              <w:tc>
                <w:tcPr>
                  <w:tcW w:w="2475" w:type="pct"/>
                  <w:tcBorders>
                    <w:tl2br w:val="nil"/>
                    <w:tr2bl w:val="nil"/>
                  </w:tcBorders>
                  <w:noWrap w:val="0"/>
                  <w:vAlign w:val="center"/>
                </w:tcPr>
                <w:p w14:paraId="783658B1">
                  <w:pPr>
                    <w:pStyle w:val="80"/>
                    <w:jc w:val="both"/>
                    <w:rPr>
                      <w:color w:val="auto"/>
                    </w:rPr>
                  </w:pPr>
                  <w:r>
                    <w:rPr>
                      <w:rFonts w:hint="eastAsia"/>
                      <w:color w:val="auto"/>
                    </w:rPr>
                    <w:t>公路、铁路、机场等交通运输业涉及环境敏感区（以居住、医疗卫生、文化教育、科研、行政办公为主要功能的区域）的项目；</w:t>
                  </w:r>
                </w:p>
                <w:p w14:paraId="6235B0A9">
                  <w:pPr>
                    <w:pStyle w:val="80"/>
                    <w:jc w:val="both"/>
                    <w:rPr>
                      <w:color w:val="auto"/>
                    </w:rPr>
                  </w:pPr>
                  <w:r>
                    <w:rPr>
                      <w:rFonts w:hint="eastAsia"/>
                      <w:color w:val="auto"/>
                    </w:rPr>
                    <w:t>城市道路（不含维护，不含支路、人行天桥、人行地道）：全部</w:t>
                  </w:r>
                </w:p>
              </w:tc>
              <w:tc>
                <w:tcPr>
                  <w:tcW w:w="1293" w:type="pct"/>
                  <w:tcBorders>
                    <w:tl2br w:val="nil"/>
                    <w:tr2bl w:val="nil"/>
                  </w:tcBorders>
                  <w:noWrap w:val="0"/>
                  <w:vAlign w:val="center"/>
                </w:tcPr>
                <w:p w14:paraId="12F91573">
                  <w:pPr>
                    <w:pStyle w:val="80"/>
                    <w:rPr>
                      <w:color w:val="auto"/>
                    </w:rPr>
                  </w:pPr>
                  <w:r>
                    <w:rPr>
                      <w:rFonts w:hint="eastAsia"/>
                      <w:color w:val="auto"/>
                    </w:rPr>
                    <w:t>本项目沿线涉及村屯</w:t>
                  </w:r>
                  <w:r>
                    <w:rPr>
                      <w:rFonts w:hint="eastAsia"/>
                      <w:color w:val="auto"/>
                      <w:lang w:eastAsia="zh-CN"/>
                    </w:rPr>
                    <w:t>、</w:t>
                  </w:r>
                  <w:r>
                    <w:rPr>
                      <w:rFonts w:hint="eastAsia"/>
                      <w:color w:val="auto"/>
                      <w:lang w:val="en-US" w:eastAsia="zh-CN"/>
                    </w:rPr>
                    <w:t>学校、办公楼等</w:t>
                  </w:r>
                  <w:r>
                    <w:rPr>
                      <w:rFonts w:hint="eastAsia"/>
                      <w:color w:val="auto"/>
                    </w:rPr>
                    <w:t>（以居住</w:t>
                  </w:r>
                  <w:r>
                    <w:rPr>
                      <w:rFonts w:hint="eastAsia"/>
                      <w:color w:val="auto"/>
                      <w:lang w:eastAsia="zh-CN"/>
                    </w:rPr>
                    <w:t>、</w:t>
                  </w:r>
                  <w:r>
                    <w:rPr>
                      <w:rFonts w:hint="eastAsia"/>
                      <w:color w:val="auto"/>
                      <w:lang w:val="en-US" w:eastAsia="zh-CN"/>
                    </w:rPr>
                    <w:t>文化教育、行政办公</w:t>
                  </w:r>
                  <w:r>
                    <w:rPr>
                      <w:rFonts w:hint="eastAsia"/>
                      <w:color w:val="auto"/>
                    </w:rPr>
                    <w:t>为主要功能的区域）</w:t>
                  </w:r>
                </w:p>
              </w:tc>
              <w:tc>
                <w:tcPr>
                  <w:tcW w:w="558" w:type="pct"/>
                  <w:tcBorders>
                    <w:tl2br w:val="nil"/>
                    <w:tr2bl w:val="nil"/>
                  </w:tcBorders>
                  <w:noWrap w:val="0"/>
                  <w:vAlign w:val="center"/>
                </w:tcPr>
                <w:p w14:paraId="309B1174">
                  <w:pPr>
                    <w:pStyle w:val="80"/>
                    <w:rPr>
                      <w:color w:val="auto"/>
                    </w:rPr>
                  </w:pPr>
                  <w:r>
                    <w:rPr>
                      <w:rFonts w:hint="eastAsia"/>
                      <w:color w:val="auto"/>
                    </w:rPr>
                    <w:t>需设置</w:t>
                  </w:r>
                </w:p>
              </w:tc>
            </w:tr>
            <w:tr w14:paraId="43967C2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672" w:type="pct"/>
                  <w:tcBorders>
                    <w:tl2br w:val="nil"/>
                    <w:tr2bl w:val="nil"/>
                  </w:tcBorders>
                  <w:noWrap w:val="0"/>
                  <w:vAlign w:val="center"/>
                </w:tcPr>
                <w:p w14:paraId="2E38353C">
                  <w:pPr>
                    <w:pStyle w:val="80"/>
                    <w:rPr>
                      <w:color w:val="auto"/>
                    </w:rPr>
                  </w:pPr>
                  <w:r>
                    <w:rPr>
                      <w:rFonts w:hint="eastAsia"/>
                      <w:color w:val="auto"/>
                    </w:rPr>
                    <w:t>环境风险</w:t>
                  </w:r>
                </w:p>
              </w:tc>
              <w:tc>
                <w:tcPr>
                  <w:tcW w:w="2475" w:type="pct"/>
                  <w:tcBorders>
                    <w:tl2br w:val="nil"/>
                    <w:tr2bl w:val="nil"/>
                  </w:tcBorders>
                  <w:noWrap w:val="0"/>
                  <w:vAlign w:val="center"/>
                </w:tcPr>
                <w:p w14:paraId="1E39F61B">
                  <w:pPr>
                    <w:pStyle w:val="80"/>
                    <w:jc w:val="both"/>
                    <w:rPr>
                      <w:color w:val="auto"/>
                    </w:rPr>
                  </w:pPr>
                  <w:r>
                    <w:rPr>
                      <w:rFonts w:hint="eastAsia"/>
                      <w:color w:val="auto"/>
                    </w:rPr>
                    <w:t>石油和天然气开采：全部；</w:t>
                  </w:r>
                </w:p>
                <w:p w14:paraId="2760B50F">
                  <w:pPr>
                    <w:pStyle w:val="80"/>
                    <w:jc w:val="both"/>
                    <w:rPr>
                      <w:color w:val="auto"/>
                    </w:rPr>
                  </w:pPr>
                  <w:r>
                    <w:rPr>
                      <w:rFonts w:hint="eastAsia"/>
                      <w:color w:val="auto"/>
                    </w:rPr>
                    <w:t>油气、液体化工码头：全部；</w:t>
                  </w:r>
                </w:p>
                <w:p w14:paraId="52F9A8B5">
                  <w:pPr>
                    <w:pStyle w:val="80"/>
                    <w:jc w:val="both"/>
                    <w:rPr>
                      <w:color w:val="auto"/>
                    </w:rPr>
                  </w:pPr>
                  <w:r>
                    <w:rPr>
                      <w:rFonts w:hint="eastAsia"/>
                      <w:color w:val="auto"/>
                    </w:rPr>
                    <w:t>原油、成品油、天然气管线（不含城镇天然气管线、企业厂区内管线），危险化学品输送管线（不含企业厂区内管线）：全部</w:t>
                  </w:r>
                </w:p>
              </w:tc>
              <w:tc>
                <w:tcPr>
                  <w:tcW w:w="1293" w:type="pct"/>
                  <w:tcBorders>
                    <w:tl2br w:val="nil"/>
                    <w:tr2bl w:val="nil"/>
                  </w:tcBorders>
                  <w:noWrap w:val="0"/>
                  <w:vAlign w:val="center"/>
                </w:tcPr>
                <w:p w14:paraId="561EF87E">
                  <w:pPr>
                    <w:pStyle w:val="80"/>
                    <w:rPr>
                      <w:color w:val="auto"/>
                    </w:rPr>
                  </w:pPr>
                  <w:r>
                    <w:rPr>
                      <w:rFonts w:hint="eastAsia"/>
                      <w:color w:val="auto"/>
                    </w:rPr>
                    <w:t>本项目不属于上述项目类别</w:t>
                  </w:r>
                </w:p>
              </w:tc>
              <w:tc>
                <w:tcPr>
                  <w:tcW w:w="558" w:type="pct"/>
                  <w:tcBorders>
                    <w:tl2br w:val="nil"/>
                    <w:tr2bl w:val="nil"/>
                  </w:tcBorders>
                  <w:noWrap w:val="0"/>
                  <w:vAlign w:val="center"/>
                </w:tcPr>
                <w:p w14:paraId="6CE876E0">
                  <w:pPr>
                    <w:pStyle w:val="80"/>
                    <w:rPr>
                      <w:color w:val="auto"/>
                    </w:rPr>
                  </w:pPr>
                  <w:r>
                    <w:rPr>
                      <w:rFonts w:hint="eastAsia"/>
                      <w:color w:val="auto"/>
                    </w:rPr>
                    <w:t>无需设置</w:t>
                  </w:r>
                </w:p>
              </w:tc>
            </w:tr>
          </w:tbl>
          <w:p w14:paraId="0FA4C316">
            <w:pPr>
              <w:pStyle w:val="76"/>
              <w:rPr>
                <w:rFonts w:cs="宋体"/>
                <w:color w:val="auto"/>
                <w:kern w:val="21"/>
                <w:szCs w:val="21"/>
              </w:rPr>
            </w:pPr>
            <w:r>
              <w:rPr>
                <w:rFonts w:hint="eastAsia"/>
                <w:color w:val="auto"/>
              </w:rPr>
              <w:t>综上分析，本项目需要设置生态和噪声专项评价。</w:t>
            </w:r>
          </w:p>
        </w:tc>
      </w:tr>
      <w:tr w14:paraId="236658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486" w:hRule="atLeast"/>
        </w:trPr>
        <w:tc>
          <w:tcPr>
            <w:tcW w:w="1660" w:type="dxa"/>
            <w:noWrap w:val="0"/>
            <w:tcMar>
              <w:top w:w="16" w:type="dxa"/>
              <w:left w:w="16" w:type="dxa"/>
              <w:right w:w="16" w:type="dxa"/>
            </w:tcMar>
            <w:vAlign w:val="center"/>
          </w:tcPr>
          <w:p w14:paraId="1C14A2FE">
            <w:pPr>
              <w:spacing w:line="240" w:lineRule="auto"/>
              <w:jc w:val="center"/>
              <w:rPr>
                <w:rFonts w:cs="宋体"/>
                <w:color w:val="auto"/>
                <w:kern w:val="21"/>
                <w:szCs w:val="21"/>
              </w:rPr>
            </w:pPr>
            <w:r>
              <w:rPr>
                <w:rFonts w:hint="eastAsia" w:cs="宋体"/>
                <w:color w:val="auto"/>
                <w:kern w:val="21"/>
                <w:szCs w:val="21"/>
              </w:rPr>
              <w:t>规划情况</w:t>
            </w:r>
          </w:p>
        </w:tc>
        <w:tc>
          <w:tcPr>
            <w:tcW w:w="6616" w:type="dxa"/>
            <w:gridSpan w:val="3"/>
            <w:noWrap w:val="0"/>
            <w:tcMar>
              <w:top w:w="16" w:type="dxa"/>
              <w:left w:w="16" w:type="dxa"/>
              <w:right w:w="16" w:type="dxa"/>
            </w:tcMar>
            <w:vAlign w:val="center"/>
          </w:tcPr>
          <w:p w14:paraId="0DFA1B8B">
            <w:pPr>
              <w:pStyle w:val="76"/>
              <w:spacing w:line="276" w:lineRule="auto"/>
              <w:rPr>
                <w:rFonts w:hint="eastAsia"/>
                <w:color w:val="auto"/>
                <w:lang w:val="en-US" w:eastAsia="zh-CN"/>
              </w:rPr>
            </w:pPr>
            <w:r>
              <w:rPr>
                <w:rFonts w:hint="eastAsia"/>
                <w:color w:val="auto"/>
                <w:lang w:val="zh-CN" w:eastAsia="zh-CN"/>
              </w:rPr>
              <w:t>《黑龙江省省道网规划（2023年—2035年）》</w:t>
            </w:r>
            <w:r>
              <w:rPr>
                <w:rFonts w:hint="eastAsia"/>
                <w:color w:val="auto"/>
                <w:lang w:val="en-US" w:eastAsia="zh-CN"/>
              </w:rPr>
              <w:t>，黑龙江省交通运输厅，黑交发[2024]20号；</w:t>
            </w:r>
          </w:p>
        </w:tc>
      </w:tr>
      <w:tr w14:paraId="120766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397" w:hRule="atLeast"/>
        </w:trPr>
        <w:tc>
          <w:tcPr>
            <w:tcW w:w="1660" w:type="dxa"/>
            <w:noWrap w:val="0"/>
            <w:tcMar>
              <w:top w:w="16" w:type="dxa"/>
              <w:left w:w="16" w:type="dxa"/>
              <w:right w:w="16" w:type="dxa"/>
            </w:tcMar>
            <w:vAlign w:val="center"/>
          </w:tcPr>
          <w:p w14:paraId="44BB2DA7">
            <w:pPr>
              <w:spacing w:line="240" w:lineRule="auto"/>
              <w:jc w:val="center"/>
              <w:rPr>
                <w:rFonts w:cs="宋体"/>
                <w:color w:val="auto"/>
                <w:kern w:val="21"/>
                <w:szCs w:val="21"/>
              </w:rPr>
            </w:pPr>
            <w:r>
              <w:rPr>
                <w:rFonts w:hint="eastAsia" w:cs="宋体"/>
                <w:color w:val="auto"/>
                <w:kern w:val="21"/>
                <w:szCs w:val="21"/>
              </w:rPr>
              <w:t>规划环境影响</w:t>
            </w:r>
          </w:p>
          <w:p w14:paraId="5538E45B">
            <w:pPr>
              <w:spacing w:line="240" w:lineRule="auto"/>
              <w:jc w:val="center"/>
              <w:rPr>
                <w:rFonts w:cs="宋体"/>
                <w:color w:val="auto"/>
                <w:kern w:val="21"/>
                <w:szCs w:val="21"/>
              </w:rPr>
            </w:pPr>
            <w:r>
              <w:rPr>
                <w:rFonts w:hint="eastAsia" w:cs="宋体"/>
                <w:color w:val="auto"/>
                <w:kern w:val="21"/>
                <w:szCs w:val="21"/>
              </w:rPr>
              <w:t>评价情况</w:t>
            </w:r>
          </w:p>
        </w:tc>
        <w:tc>
          <w:tcPr>
            <w:tcW w:w="6616" w:type="dxa"/>
            <w:gridSpan w:val="3"/>
            <w:noWrap w:val="0"/>
            <w:tcMar>
              <w:top w:w="16" w:type="dxa"/>
              <w:left w:w="16" w:type="dxa"/>
              <w:right w:w="16" w:type="dxa"/>
            </w:tcMar>
            <w:vAlign w:val="center"/>
          </w:tcPr>
          <w:p w14:paraId="6AB8EE2A">
            <w:pPr>
              <w:pStyle w:val="76"/>
              <w:spacing w:line="276" w:lineRule="auto"/>
              <w:rPr>
                <w:rFonts w:hint="eastAsia"/>
                <w:color w:val="auto"/>
                <w:lang w:val="en-US" w:eastAsia="zh-CN"/>
              </w:rPr>
            </w:pPr>
            <w:r>
              <w:rPr>
                <w:rFonts w:hint="eastAsia"/>
                <w:color w:val="auto"/>
                <w:lang w:val="zh-CN" w:eastAsia="zh-CN"/>
              </w:rPr>
              <w:t>《黑龙江省省道网规划（2023年—2035年）</w:t>
            </w:r>
            <w:r>
              <w:rPr>
                <w:rFonts w:hint="eastAsia"/>
                <w:color w:val="auto"/>
                <w:lang w:val="en-US" w:eastAsia="zh-CN"/>
              </w:rPr>
              <w:t>环境影响报告书审查意见</w:t>
            </w:r>
            <w:r>
              <w:rPr>
                <w:rFonts w:hint="eastAsia"/>
                <w:color w:val="auto"/>
                <w:lang w:val="zh-CN" w:eastAsia="zh-CN"/>
              </w:rPr>
              <w:t>》</w:t>
            </w:r>
            <w:r>
              <w:rPr>
                <w:rFonts w:hint="eastAsia"/>
                <w:color w:val="auto"/>
                <w:lang w:val="en-US" w:eastAsia="zh-CN"/>
              </w:rPr>
              <w:t>，黑龙江省生态环境厅，黑环函[2023]285号</w:t>
            </w:r>
          </w:p>
        </w:tc>
      </w:tr>
      <w:tr w14:paraId="6325F9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3693" w:hRule="atLeast"/>
        </w:trPr>
        <w:tc>
          <w:tcPr>
            <w:tcW w:w="1660" w:type="dxa"/>
            <w:noWrap w:val="0"/>
            <w:tcMar>
              <w:top w:w="16" w:type="dxa"/>
              <w:left w:w="16" w:type="dxa"/>
              <w:right w:w="16" w:type="dxa"/>
            </w:tcMar>
            <w:vAlign w:val="center"/>
          </w:tcPr>
          <w:p w14:paraId="3AA748D9">
            <w:pPr>
              <w:autoSpaceDE w:val="0"/>
              <w:autoSpaceDN w:val="0"/>
              <w:spacing w:line="240" w:lineRule="auto"/>
              <w:jc w:val="center"/>
              <w:rPr>
                <w:rFonts w:hint="eastAsia" w:cs="宋体"/>
                <w:color w:val="auto"/>
                <w:kern w:val="21"/>
                <w:szCs w:val="21"/>
              </w:rPr>
            </w:pPr>
            <w:r>
              <w:rPr>
                <w:rFonts w:hint="eastAsia" w:cs="宋体"/>
                <w:color w:val="auto"/>
                <w:kern w:val="21"/>
                <w:szCs w:val="21"/>
              </w:rPr>
              <w:t>规划及规划环境影响评价符合性分析</w:t>
            </w:r>
          </w:p>
        </w:tc>
        <w:tc>
          <w:tcPr>
            <w:tcW w:w="6616" w:type="dxa"/>
            <w:gridSpan w:val="3"/>
            <w:noWrap w:val="0"/>
            <w:tcMar>
              <w:top w:w="16" w:type="dxa"/>
              <w:left w:w="16" w:type="dxa"/>
              <w:right w:w="16" w:type="dxa"/>
            </w:tcMar>
            <w:vAlign w:val="center"/>
          </w:tcPr>
          <w:p w14:paraId="7A19CD9F">
            <w:pPr>
              <w:pStyle w:val="76"/>
              <w:rPr>
                <w:color w:val="auto"/>
              </w:rPr>
            </w:pPr>
            <w:r>
              <w:rPr>
                <w:rFonts w:hint="eastAsia"/>
                <w:color w:val="auto"/>
              </w:rPr>
              <w:t>1、与</w:t>
            </w:r>
            <w:r>
              <w:rPr>
                <w:rFonts w:hint="eastAsia"/>
                <w:color w:val="auto"/>
                <w:lang w:val="en-US" w:eastAsia="zh-CN"/>
              </w:rPr>
              <w:t>黑龙江省省道</w:t>
            </w:r>
            <w:r>
              <w:rPr>
                <w:rFonts w:hint="eastAsia"/>
                <w:color w:val="auto"/>
              </w:rPr>
              <w:t>网规划及规划环评的</w:t>
            </w:r>
            <w:r>
              <w:rPr>
                <w:color w:val="auto"/>
              </w:rPr>
              <w:t>符合性</w:t>
            </w:r>
          </w:p>
          <w:p w14:paraId="5DA60C4E">
            <w:pPr>
              <w:pStyle w:val="76"/>
              <w:rPr>
                <w:color w:val="auto"/>
              </w:rPr>
            </w:pPr>
            <w:r>
              <w:rPr>
                <w:color w:val="auto"/>
              </w:rPr>
              <w:t>本项目属于《</w:t>
            </w:r>
            <w:r>
              <w:rPr>
                <w:rFonts w:hint="eastAsia"/>
                <w:color w:val="auto"/>
                <w:lang w:val="zh-CN" w:eastAsia="zh-CN"/>
              </w:rPr>
              <w:t>黑龙江省省道网规划（2023年—2035年）</w:t>
            </w:r>
            <w:r>
              <w:rPr>
                <w:color w:val="auto"/>
              </w:rPr>
              <w:t>》</w:t>
            </w:r>
            <w:r>
              <w:rPr>
                <w:rFonts w:hint="eastAsia"/>
                <w:color w:val="auto"/>
              </w:rPr>
              <w:t>（</w:t>
            </w:r>
            <w:r>
              <w:rPr>
                <w:rFonts w:hint="eastAsia"/>
                <w:color w:val="auto"/>
                <w:lang w:val="en-US" w:eastAsia="zh-CN"/>
              </w:rPr>
              <w:t>黑交发[2024]20号</w:t>
            </w:r>
            <w:r>
              <w:rPr>
                <w:rFonts w:hint="eastAsia"/>
                <w:color w:val="auto"/>
              </w:rPr>
              <w:t>）</w:t>
            </w:r>
            <w:r>
              <w:rPr>
                <w:rFonts w:hint="eastAsia"/>
                <w:color w:val="auto"/>
                <w:lang w:val="en-US" w:eastAsia="zh-CN"/>
              </w:rPr>
              <w:t>普通省道网“北南纵线（18</w:t>
            </w:r>
            <w:r>
              <w:rPr>
                <w:rFonts w:hint="eastAsia"/>
                <w:color w:val="auto"/>
              </w:rPr>
              <w:t>条</w:t>
            </w:r>
            <w:r>
              <w:rPr>
                <w:rFonts w:hint="eastAsia"/>
                <w:color w:val="auto"/>
                <w:lang w:val="en-US" w:eastAsia="zh-CN"/>
              </w:rPr>
              <w:t>）”</w:t>
            </w:r>
            <w:r>
              <w:rPr>
                <w:rFonts w:hint="eastAsia"/>
                <w:color w:val="auto"/>
              </w:rPr>
              <w:t>中的“</w:t>
            </w:r>
            <w:r>
              <w:rPr>
                <w:rFonts w:hint="eastAsia"/>
                <w:color w:val="auto"/>
                <w:lang w:val="en-US" w:eastAsia="zh-CN"/>
              </w:rPr>
              <w:t>S202二九一农场-北兴农场</w:t>
            </w:r>
            <w:r>
              <w:rPr>
                <w:rFonts w:hint="eastAsia"/>
                <w:color w:val="auto"/>
              </w:rPr>
              <w:t>”</w:t>
            </w:r>
            <w:r>
              <w:rPr>
                <w:color w:val="auto"/>
              </w:rPr>
              <w:t>，符合《</w:t>
            </w:r>
            <w:r>
              <w:rPr>
                <w:rFonts w:hint="eastAsia"/>
                <w:color w:val="auto"/>
                <w:lang w:val="zh-CN" w:eastAsia="zh-CN"/>
              </w:rPr>
              <w:t>黑龙江省省道网规划（2023年—2035年）</w:t>
            </w:r>
            <w:r>
              <w:rPr>
                <w:color w:val="auto"/>
              </w:rPr>
              <w:t>》规划。</w:t>
            </w:r>
          </w:p>
          <w:p w14:paraId="707247C7">
            <w:pPr>
              <w:pStyle w:val="76"/>
              <w:rPr>
                <w:color w:val="auto"/>
              </w:rPr>
            </w:pPr>
            <w:r>
              <w:rPr>
                <w:rFonts w:hint="eastAsia"/>
                <w:color w:val="auto"/>
                <w:lang w:val="zh-CN" w:eastAsia="zh-CN"/>
              </w:rPr>
              <w:t>《黑龙江省省道网规划（2023年—2035年）</w:t>
            </w:r>
            <w:r>
              <w:rPr>
                <w:rFonts w:hint="eastAsia"/>
                <w:color w:val="auto"/>
                <w:lang w:val="en-US" w:eastAsia="zh-CN"/>
              </w:rPr>
              <w:t>环境影响报告书》</w:t>
            </w:r>
            <w:r>
              <w:rPr>
                <w:rFonts w:hint="eastAsia"/>
                <w:color w:val="auto"/>
              </w:rPr>
              <w:t>于</w:t>
            </w:r>
            <w:r>
              <w:rPr>
                <w:color w:val="auto"/>
              </w:rPr>
              <w:t>20</w:t>
            </w:r>
            <w:r>
              <w:rPr>
                <w:rFonts w:hint="eastAsia"/>
                <w:color w:val="auto"/>
                <w:lang w:val="en-US" w:eastAsia="zh-CN"/>
              </w:rPr>
              <w:t>23</w:t>
            </w:r>
            <w:r>
              <w:rPr>
                <w:rFonts w:hint="eastAsia"/>
                <w:color w:val="auto"/>
              </w:rPr>
              <w:t>年</w:t>
            </w:r>
            <w:r>
              <w:rPr>
                <w:rFonts w:hint="eastAsia"/>
                <w:color w:val="auto"/>
                <w:lang w:val="en-US" w:eastAsia="zh-CN"/>
              </w:rPr>
              <w:t>11</w:t>
            </w:r>
            <w:r>
              <w:rPr>
                <w:rFonts w:hint="eastAsia"/>
                <w:color w:val="auto"/>
              </w:rPr>
              <w:t>月完成，并通过</w:t>
            </w:r>
            <w:r>
              <w:rPr>
                <w:rFonts w:hint="eastAsia"/>
                <w:color w:val="auto"/>
                <w:lang w:val="en-US" w:eastAsia="zh-CN"/>
              </w:rPr>
              <w:t>黑龙江省生态环境厅</w:t>
            </w:r>
            <w:r>
              <w:rPr>
                <w:rFonts w:hint="eastAsia"/>
                <w:color w:val="auto"/>
              </w:rPr>
              <w:t>组织的评审。</w:t>
            </w:r>
            <w:r>
              <w:rPr>
                <w:rFonts w:hint="eastAsia"/>
                <w:color w:val="auto"/>
                <w:lang w:val="en-US" w:eastAsia="zh-CN"/>
              </w:rPr>
              <w:t>黑龙江省生态环境厅</w:t>
            </w:r>
            <w:r>
              <w:rPr>
                <w:rFonts w:hint="eastAsia"/>
                <w:color w:val="auto"/>
              </w:rPr>
              <w:t>于</w:t>
            </w:r>
            <w:r>
              <w:rPr>
                <w:color w:val="auto"/>
              </w:rPr>
              <w:t>20</w:t>
            </w:r>
            <w:r>
              <w:rPr>
                <w:rFonts w:hint="eastAsia"/>
                <w:color w:val="auto"/>
                <w:lang w:val="en-US" w:eastAsia="zh-CN"/>
              </w:rPr>
              <w:t>2</w:t>
            </w:r>
            <w:r>
              <w:rPr>
                <w:color w:val="auto"/>
              </w:rPr>
              <w:t>3</w:t>
            </w:r>
            <w:r>
              <w:rPr>
                <w:rFonts w:hint="eastAsia"/>
                <w:color w:val="auto"/>
              </w:rPr>
              <w:t>年</w:t>
            </w:r>
            <w:r>
              <w:rPr>
                <w:color w:val="auto"/>
              </w:rPr>
              <w:t>1</w:t>
            </w:r>
            <w:r>
              <w:rPr>
                <w:rFonts w:hint="eastAsia"/>
                <w:color w:val="auto"/>
                <w:lang w:val="en-US" w:eastAsia="zh-CN"/>
              </w:rPr>
              <w:t>1</w:t>
            </w:r>
            <w:r>
              <w:rPr>
                <w:rFonts w:hint="eastAsia"/>
                <w:color w:val="auto"/>
              </w:rPr>
              <w:t>月以</w:t>
            </w:r>
            <w:r>
              <w:rPr>
                <w:rFonts w:hint="eastAsia"/>
                <w:color w:val="auto"/>
                <w:lang w:val="en-US" w:eastAsia="zh-CN"/>
              </w:rPr>
              <w:t>黑环函[2023]285号</w:t>
            </w:r>
            <w:r>
              <w:rPr>
                <w:rFonts w:hint="eastAsia"/>
                <w:color w:val="auto"/>
              </w:rPr>
              <w:t>文出具了《关于&lt;</w:t>
            </w:r>
            <w:r>
              <w:rPr>
                <w:rFonts w:hint="eastAsia"/>
                <w:color w:val="auto"/>
                <w:lang w:val="zh-CN" w:eastAsia="zh-CN"/>
              </w:rPr>
              <w:t>黑龙江省省道网规划（2023年—2035年）</w:t>
            </w:r>
            <w:r>
              <w:rPr>
                <w:rFonts w:hint="eastAsia"/>
                <w:color w:val="auto"/>
              </w:rPr>
              <w:t>环境影响报告书&gt;的审查意见》，其相关要求均予以执行和落实。</w:t>
            </w:r>
            <w:bookmarkStart w:id="3" w:name="_Hlk68806103"/>
            <w:r>
              <w:rPr>
                <w:rFonts w:hint="eastAsia"/>
                <w:color w:val="auto"/>
              </w:rPr>
              <w:t>本项目符合《</w:t>
            </w:r>
            <w:r>
              <w:rPr>
                <w:rFonts w:hint="eastAsia"/>
                <w:color w:val="auto"/>
                <w:lang w:val="zh-CN" w:eastAsia="zh-CN"/>
              </w:rPr>
              <w:t>黑龙江省省道网规划（2023年—2035年）</w:t>
            </w:r>
            <w:r>
              <w:rPr>
                <w:rFonts w:hint="eastAsia"/>
                <w:color w:val="auto"/>
              </w:rPr>
              <w:t>环境影响报告书》及审查意见的要求</w:t>
            </w:r>
            <w:bookmarkEnd w:id="3"/>
            <w:r>
              <w:rPr>
                <w:rFonts w:hint="eastAsia"/>
                <w:color w:val="auto"/>
              </w:rPr>
              <w:t>。本项目工程对《</w:t>
            </w:r>
            <w:r>
              <w:rPr>
                <w:rFonts w:hint="eastAsia"/>
                <w:color w:val="auto"/>
                <w:lang w:val="zh-CN" w:eastAsia="zh-CN"/>
              </w:rPr>
              <w:t>黑龙江省省道网规划（2023年—2035年）</w:t>
            </w:r>
            <w:r>
              <w:rPr>
                <w:rFonts w:hint="eastAsia"/>
                <w:color w:val="auto"/>
              </w:rPr>
              <w:t>环境影响报告书》及审查意见的执行情况见表</w:t>
            </w:r>
            <w:r>
              <w:rPr>
                <w:color w:val="auto"/>
              </w:rPr>
              <w:t>1</w:t>
            </w:r>
            <w:r>
              <w:rPr>
                <w:rFonts w:hint="eastAsia"/>
                <w:color w:val="auto"/>
              </w:rPr>
              <w:t>-</w:t>
            </w:r>
            <w:r>
              <w:rPr>
                <w:color w:val="auto"/>
              </w:rPr>
              <w:t>2</w:t>
            </w:r>
            <w:r>
              <w:rPr>
                <w:rFonts w:hint="eastAsia"/>
                <w:color w:val="auto"/>
              </w:rPr>
              <w:t>。</w:t>
            </w:r>
          </w:p>
          <w:p w14:paraId="76DFA764">
            <w:pPr>
              <w:pStyle w:val="76"/>
              <w:rPr>
                <w:rFonts w:hint="eastAsia"/>
                <w:color w:val="auto"/>
              </w:rPr>
            </w:pPr>
            <w:r>
              <w:rPr>
                <w:rFonts w:hint="eastAsia"/>
                <w:color w:val="auto"/>
              </w:rPr>
              <w:t>根据《</w:t>
            </w:r>
            <w:r>
              <w:rPr>
                <w:rFonts w:hint="eastAsia"/>
                <w:color w:val="auto"/>
                <w:lang w:val="en-US" w:eastAsia="zh-CN"/>
              </w:rPr>
              <w:t>黑龙江省交通运输厅</w:t>
            </w:r>
            <w:r>
              <w:rPr>
                <w:rFonts w:hint="eastAsia"/>
                <w:color w:val="auto"/>
              </w:rPr>
              <w:t xml:space="preserve"> 关于印发&lt;</w:t>
            </w:r>
            <w:r>
              <w:rPr>
                <w:rFonts w:hint="eastAsia"/>
                <w:color w:val="auto"/>
                <w:lang w:val="zh-CN" w:eastAsia="zh-CN"/>
              </w:rPr>
              <w:t>黑龙江省省道网规划（2023年—2035年）</w:t>
            </w:r>
            <w:r>
              <w:rPr>
                <w:rFonts w:hint="eastAsia"/>
                <w:color w:val="auto"/>
              </w:rPr>
              <w:t>&gt;的通知》（</w:t>
            </w:r>
            <w:r>
              <w:rPr>
                <w:rFonts w:hint="eastAsia"/>
                <w:color w:val="auto"/>
                <w:lang w:val="en-US" w:eastAsia="zh-CN"/>
              </w:rPr>
              <w:t>黑交发[2024]20号</w:t>
            </w:r>
            <w:r>
              <w:rPr>
                <w:rFonts w:hint="eastAsia"/>
                <w:color w:val="auto"/>
              </w:rPr>
              <w:t>），本项目</w:t>
            </w:r>
            <w:r>
              <w:rPr>
                <w:rFonts w:hint="eastAsia"/>
                <w:color w:val="auto"/>
                <w:lang w:val="en-US" w:eastAsia="zh-CN"/>
              </w:rPr>
              <w:t>属于普通省道网“北南纵线（18</w:t>
            </w:r>
            <w:r>
              <w:rPr>
                <w:rFonts w:hint="eastAsia"/>
                <w:color w:val="auto"/>
              </w:rPr>
              <w:t>条</w:t>
            </w:r>
            <w:r>
              <w:rPr>
                <w:rFonts w:hint="eastAsia"/>
                <w:color w:val="auto"/>
                <w:lang w:val="en-US" w:eastAsia="zh-CN"/>
              </w:rPr>
              <w:t>）”</w:t>
            </w:r>
            <w:r>
              <w:rPr>
                <w:rFonts w:hint="eastAsia"/>
                <w:color w:val="auto"/>
              </w:rPr>
              <w:t>中的“</w:t>
            </w:r>
            <w:r>
              <w:rPr>
                <w:rFonts w:hint="eastAsia"/>
                <w:color w:val="auto"/>
                <w:lang w:val="en-US" w:eastAsia="zh-CN"/>
              </w:rPr>
              <w:t>S202二九一农场-北兴农场</w:t>
            </w:r>
            <w:r>
              <w:rPr>
                <w:rFonts w:hint="eastAsia"/>
                <w:color w:val="auto"/>
              </w:rPr>
              <w:t>”。</w:t>
            </w:r>
          </w:p>
          <w:p w14:paraId="4F61CAFE">
            <w:pPr>
              <w:pStyle w:val="72"/>
              <w:spacing w:line="240" w:lineRule="auto"/>
              <w:rPr>
                <w:rFonts w:hint="default" w:ascii="Times New Roman" w:hAnsi="Times New Roman" w:eastAsia="宋体" w:cs="Times New Roman"/>
                <w:color w:val="auto"/>
              </w:rPr>
            </w:pPr>
            <w:r>
              <w:rPr>
                <w:rFonts w:hint="default" w:ascii="Times New Roman" w:hAnsi="Times New Roman" w:eastAsia="宋体" w:cs="Times New Roman"/>
                <w:color w:val="auto"/>
              </w:rPr>
              <w:t>表1-2  与</w:t>
            </w:r>
            <w:r>
              <w:rPr>
                <w:rFonts w:hint="default" w:ascii="Times New Roman" w:hAnsi="Times New Roman" w:eastAsia="宋体" w:cs="Times New Roman"/>
                <w:color w:val="auto"/>
                <w:lang w:val="zh-CN" w:eastAsia="zh-CN"/>
              </w:rPr>
              <w:t>黑龙江省省道网规划（2023年—2035年）</w:t>
            </w:r>
            <w:r>
              <w:rPr>
                <w:rFonts w:hint="default" w:ascii="Times New Roman" w:hAnsi="Times New Roman" w:eastAsia="宋体" w:cs="Times New Roman"/>
                <w:color w:val="auto"/>
              </w:rPr>
              <w:t>&gt;环境影响报告书审查意见对比分析</w:t>
            </w:r>
          </w:p>
          <w:tbl>
            <w:tblPr>
              <w:tblStyle w:val="31"/>
              <w:tblW w:w="4987" w:type="pct"/>
              <w:tblInd w:w="108"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3309"/>
              <w:gridCol w:w="850"/>
            </w:tblGrid>
            <w:tr w14:paraId="27D9A46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trPr>
              <w:tc>
                <w:tcPr>
                  <w:tcW w:w="1991" w:type="pct"/>
                  <w:tcBorders>
                    <w:tl2br w:val="nil"/>
                    <w:tr2bl w:val="nil"/>
                  </w:tcBorders>
                  <w:noWrap w:val="0"/>
                  <w:vAlign w:val="center"/>
                </w:tcPr>
                <w:p w14:paraId="46643976">
                  <w:pPr>
                    <w:pStyle w:val="80"/>
                    <w:rPr>
                      <w:color w:val="auto"/>
                    </w:rPr>
                  </w:pPr>
                  <w:r>
                    <w:rPr>
                      <w:color w:val="auto"/>
                    </w:rPr>
                    <w:t>规划审查意见相关文件要求</w:t>
                  </w:r>
                </w:p>
              </w:tc>
              <w:tc>
                <w:tcPr>
                  <w:tcW w:w="2393" w:type="pct"/>
                  <w:tcBorders>
                    <w:tl2br w:val="nil"/>
                    <w:tr2bl w:val="nil"/>
                  </w:tcBorders>
                  <w:noWrap w:val="0"/>
                  <w:vAlign w:val="center"/>
                </w:tcPr>
                <w:p w14:paraId="3EDC3A18">
                  <w:pPr>
                    <w:pStyle w:val="80"/>
                    <w:rPr>
                      <w:color w:val="auto"/>
                    </w:rPr>
                  </w:pPr>
                  <w:r>
                    <w:rPr>
                      <w:color w:val="auto"/>
                    </w:rPr>
                    <w:t>本项目</w:t>
                  </w:r>
                  <w:r>
                    <w:rPr>
                      <w:rFonts w:hint="eastAsia"/>
                      <w:color w:val="auto"/>
                    </w:rPr>
                    <w:t>与规划审查意见相</w:t>
                  </w:r>
                  <w:r>
                    <w:rPr>
                      <w:color w:val="auto"/>
                    </w:rPr>
                    <w:t>符性分析</w:t>
                  </w:r>
                </w:p>
              </w:tc>
              <w:tc>
                <w:tcPr>
                  <w:tcW w:w="615" w:type="pct"/>
                  <w:tcBorders>
                    <w:tl2br w:val="nil"/>
                    <w:tr2bl w:val="nil"/>
                  </w:tcBorders>
                  <w:noWrap w:val="0"/>
                  <w:vAlign w:val="center"/>
                </w:tcPr>
                <w:p w14:paraId="087C912E">
                  <w:pPr>
                    <w:pStyle w:val="80"/>
                    <w:rPr>
                      <w:color w:val="auto"/>
                    </w:rPr>
                  </w:pPr>
                  <w:r>
                    <w:rPr>
                      <w:rFonts w:hint="eastAsia"/>
                      <w:color w:val="auto"/>
                    </w:rPr>
                    <w:t>分析结果</w:t>
                  </w:r>
                </w:p>
              </w:tc>
            </w:tr>
            <w:tr w14:paraId="17B9F9C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1" w:type="pct"/>
                  <w:tcBorders>
                    <w:tl2br w:val="nil"/>
                    <w:tr2bl w:val="nil"/>
                  </w:tcBorders>
                  <w:noWrap w:val="0"/>
                  <w:vAlign w:val="center"/>
                </w:tcPr>
                <w:p w14:paraId="3D81EF55">
                  <w:pPr>
                    <w:pStyle w:val="80"/>
                    <w:rPr>
                      <w:color w:val="auto"/>
                    </w:rPr>
                  </w:pPr>
                  <w:r>
                    <w:rPr>
                      <w:rFonts w:hint="eastAsia"/>
                      <w:color w:val="auto"/>
                    </w:rPr>
                    <w:t>加强规划引导，坚持绿色发展和协调发展理念。坚持生态优先、高效集约，以生态环境质量改善为核心，做好《规划》与各级国土空间规划和“三线一单”生态环境分区管控体系的衔接，优化路网布局，合理确定路网规模和建设时序。集约节约用地，加强黑土地保护，促进公路建设与生态环境保护相协调。</w:t>
                  </w:r>
                </w:p>
              </w:tc>
              <w:tc>
                <w:tcPr>
                  <w:tcW w:w="2393" w:type="pct"/>
                  <w:tcBorders>
                    <w:tl2br w:val="nil"/>
                    <w:tr2bl w:val="nil"/>
                  </w:tcBorders>
                  <w:noWrap w:val="0"/>
                  <w:vAlign w:val="center"/>
                </w:tcPr>
                <w:p w14:paraId="340BE82D">
                  <w:pPr>
                    <w:pStyle w:val="80"/>
                    <w:rPr>
                      <w:rFonts w:hint="eastAsia" w:eastAsia="宋体"/>
                      <w:color w:val="auto"/>
                      <w:lang w:val="en-US" w:eastAsia="zh-CN"/>
                    </w:rPr>
                  </w:pPr>
                  <w:r>
                    <w:rPr>
                      <w:rFonts w:hint="eastAsia"/>
                      <w:color w:val="auto"/>
                      <w:lang w:val="en-US" w:eastAsia="zh-CN"/>
                    </w:rPr>
                    <w:t>本项目为改建工程，主要对现有道路进行路面改造，不涉及新增永久占地，不占用黑土地，项目建设符合</w:t>
                  </w:r>
                  <w:r>
                    <w:rPr>
                      <w:rFonts w:hint="eastAsia"/>
                      <w:color w:val="auto"/>
                    </w:rPr>
                    <w:t>“三线一单”生态环境分区管控</w:t>
                  </w:r>
                  <w:r>
                    <w:rPr>
                      <w:rFonts w:hint="eastAsia"/>
                      <w:color w:val="auto"/>
                      <w:lang w:val="en-US" w:eastAsia="zh-CN"/>
                    </w:rPr>
                    <w:t>要求。</w:t>
                  </w:r>
                </w:p>
              </w:tc>
              <w:tc>
                <w:tcPr>
                  <w:tcW w:w="615" w:type="pct"/>
                  <w:tcBorders>
                    <w:tl2br w:val="nil"/>
                    <w:tr2bl w:val="nil"/>
                  </w:tcBorders>
                  <w:noWrap w:val="0"/>
                  <w:vAlign w:val="center"/>
                </w:tcPr>
                <w:p w14:paraId="72E1EE7C">
                  <w:pPr>
                    <w:pStyle w:val="80"/>
                    <w:rPr>
                      <w:color w:val="auto"/>
                    </w:rPr>
                  </w:pPr>
                  <w:r>
                    <w:rPr>
                      <w:color w:val="auto"/>
                    </w:rPr>
                    <w:t>符合</w:t>
                  </w:r>
                </w:p>
              </w:tc>
            </w:tr>
            <w:tr w14:paraId="132C4CC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1" w:type="pct"/>
                  <w:tcBorders>
                    <w:tl2br w:val="nil"/>
                    <w:tr2bl w:val="nil"/>
                  </w:tcBorders>
                  <w:noWrap w:val="0"/>
                  <w:vAlign w:val="center"/>
                </w:tcPr>
                <w:p w14:paraId="5D961597">
                  <w:pPr>
                    <w:pStyle w:val="80"/>
                    <w:rPr>
                      <w:color w:val="auto"/>
                    </w:rPr>
                  </w:pPr>
                  <w:r>
                    <w:rPr>
                      <w:rFonts w:hint="eastAsia"/>
                      <w:color w:val="auto"/>
                    </w:rPr>
                    <w:t>进一步优化调整规划线路。新建线路应尽量避让或远离环境敏感区，严禁穿越自然保护区核心区和缓冲区、风景名胜区的核心景区、饮用水水源一级保护区等依法划定的需要特殊保护的环境敏感区。</w:t>
                  </w:r>
                </w:p>
              </w:tc>
              <w:tc>
                <w:tcPr>
                  <w:tcW w:w="2393" w:type="pct"/>
                  <w:tcBorders>
                    <w:tl2br w:val="nil"/>
                    <w:tr2bl w:val="nil"/>
                  </w:tcBorders>
                  <w:noWrap w:val="0"/>
                  <w:vAlign w:val="center"/>
                </w:tcPr>
                <w:p w14:paraId="3D050302">
                  <w:pPr>
                    <w:pStyle w:val="80"/>
                    <w:rPr>
                      <w:rFonts w:hint="eastAsia" w:eastAsia="宋体"/>
                      <w:color w:val="auto"/>
                      <w:lang w:val="en-US" w:eastAsia="zh-CN"/>
                    </w:rPr>
                  </w:pPr>
                  <w:r>
                    <w:rPr>
                      <w:rFonts w:hint="eastAsia"/>
                      <w:color w:val="auto"/>
                      <w:lang w:val="en-US" w:eastAsia="zh-CN"/>
                    </w:rPr>
                    <w:t>本项目为改建工程，主要对现有道路进行路面改造，不涉及调整规划路线；现有道路不涉及穿越</w:t>
                  </w:r>
                  <w:r>
                    <w:rPr>
                      <w:rFonts w:hint="eastAsia"/>
                      <w:color w:val="auto"/>
                    </w:rPr>
                    <w:t>自然保护区核心区和缓冲区、风景名胜区的核心景区、饮用水水源一级保护区等依法划定的需要特殊保护的环境敏感区</w:t>
                  </w:r>
                  <w:r>
                    <w:rPr>
                      <w:rFonts w:hint="eastAsia"/>
                      <w:color w:val="auto"/>
                      <w:lang w:eastAsia="zh-CN"/>
                    </w:rPr>
                    <w:t>。</w:t>
                  </w:r>
                </w:p>
              </w:tc>
              <w:tc>
                <w:tcPr>
                  <w:tcW w:w="615" w:type="pct"/>
                  <w:tcBorders>
                    <w:tl2br w:val="nil"/>
                    <w:tr2bl w:val="nil"/>
                  </w:tcBorders>
                  <w:noWrap w:val="0"/>
                  <w:vAlign w:val="center"/>
                </w:tcPr>
                <w:p w14:paraId="121B1ED3">
                  <w:pPr>
                    <w:pStyle w:val="80"/>
                    <w:rPr>
                      <w:color w:val="auto"/>
                    </w:rPr>
                  </w:pPr>
                  <w:r>
                    <w:rPr>
                      <w:color w:val="auto"/>
                    </w:rPr>
                    <w:t>符合</w:t>
                  </w:r>
                </w:p>
              </w:tc>
            </w:tr>
            <w:tr w14:paraId="235C322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1" w:type="pct"/>
                  <w:tcBorders>
                    <w:tl2br w:val="nil"/>
                    <w:tr2bl w:val="nil"/>
                  </w:tcBorders>
                  <w:noWrap w:val="0"/>
                  <w:vAlign w:val="center"/>
                </w:tcPr>
                <w:p w14:paraId="39D259E4">
                  <w:pPr>
                    <w:pStyle w:val="80"/>
                    <w:rPr>
                      <w:color w:val="auto"/>
                    </w:rPr>
                  </w:pPr>
                  <w:r>
                    <w:rPr>
                      <w:rFonts w:hint="eastAsia"/>
                      <w:color w:val="auto"/>
                    </w:rPr>
                    <w:t>严守环境质量底线。严格执行生态环境准入要求，强化污染物排放管控。相关项目应符合法律法规要求，依法履行环境影响评价等手续。强化污水、废气、固体废物收集、处理措施，严格执行相应的排放控制标准。合理设置声环境控制地带，强化噪声防治措施，减少对环境敏感目标的影响。</w:t>
                  </w:r>
                </w:p>
              </w:tc>
              <w:tc>
                <w:tcPr>
                  <w:tcW w:w="2393" w:type="pct"/>
                  <w:tcBorders>
                    <w:tl2br w:val="nil"/>
                    <w:tr2bl w:val="nil"/>
                  </w:tcBorders>
                  <w:noWrap w:val="0"/>
                  <w:vAlign w:val="center"/>
                </w:tcPr>
                <w:p w14:paraId="312A1C83">
                  <w:pPr>
                    <w:pStyle w:val="80"/>
                    <w:rPr>
                      <w:rFonts w:hint="default" w:eastAsia="宋体"/>
                      <w:color w:val="auto"/>
                      <w:lang w:val="en-US" w:eastAsia="zh-CN"/>
                    </w:rPr>
                  </w:pPr>
                  <w:r>
                    <w:rPr>
                      <w:rFonts w:hint="eastAsia"/>
                      <w:color w:val="auto"/>
                      <w:lang w:val="en-US" w:eastAsia="zh-CN"/>
                    </w:rPr>
                    <w:t>本项目为道路工程，运营期主要排放汽车尾气、交通噪声，通过采取措施降低现有道路对周边居民区的声环境影响，对区域生态环境影响较小。</w:t>
                  </w:r>
                </w:p>
              </w:tc>
              <w:tc>
                <w:tcPr>
                  <w:tcW w:w="615" w:type="pct"/>
                  <w:tcBorders>
                    <w:tl2br w:val="nil"/>
                    <w:tr2bl w:val="nil"/>
                  </w:tcBorders>
                  <w:noWrap w:val="0"/>
                  <w:vAlign w:val="center"/>
                </w:tcPr>
                <w:p w14:paraId="5319BE7B">
                  <w:pPr>
                    <w:pStyle w:val="80"/>
                    <w:rPr>
                      <w:color w:val="auto"/>
                    </w:rPr>
                  </w:pPr>
                  <w:r>
                    <w:rPr>
                      <w:color w:val="auto"/>
                    </w:rPr>
                    <w:t>符合</w:t>
                  </w:r>
                </w:p>
              </w:tc>
            </w:tr>
            <w:tr w14:paraId="12F4CF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1" w:type="pct"/>
                  <w:tcBorders>
                    <w:tl2br w:val="nil"/>
                    <w:tr2bl w:val="nil"/>
                  </w:tcBorders>
                  <w:noWrap w:val="0"/>
                  <w:vAlign w:val="center"/>
                </w:tcPr>
                <w:p w14:paraId="7F629824">
                  <w:pPr>
                    <w:pStyle w:val="80"/>
                    <w:rPr>
                      <w:color w:val="auto"/>
                    </w:rPr>
                  </w:pPr>
                  <w:r>
                    <w:rPr>
                      <w:rFonts w:hint="eastAsia"/>
                      <w:color w:val="auto"/>
                    </w:rPr>
                    <w:t>完善风险防控和环境监测体系建设。建立健全区域环境风险防范体系，建立应急响应联动机制，提升环境风险防控和应急响应能力。对涉及饮用水水源保护区的路线，应在路线优化的基础上加强环境风险防范措施，保障饮用水水源安全。根据规划实施的主要环境影响制定环境监测计划，并根据监测结果优化调整生态环境保护和环境风险防范措施。</w:t>
                  </w:r>
                </w:p>
              </w:tc>
              <w:tc>
                <w:tcPr>
                  <w:tcW w:w="2393" w:type="pct"/>
                  <w:tcBorders>
                    <w:tl2br w:val="nil"/>
                    <w:tr2bl w:val="nil"/>
                  </w:tcBorders>
                  <w:noWrap w:val="0"/>
                  <w:vAlign w:val="center"/>
                </w:tcPr>
                <w:p w14:paraId="06489929">
                  <w:pPr>
                    <w:pStyle w:val="80"/>
                    <w:rPr>
                      <w:color w:val="auto"/>
                    </w:rPr>
                  </w:pPr>
                  <w:r>
                    <w:rPr>
                      <w:rFonts w:hint="default" w:ascii="Times New Roman" w:hAnsi="Times New Roman" w:cs="Times New Roman"/>
                      <w:color w:val="auto"/>
                      <w:sz w:val="21"/>
                      <w:szCs w:val="21"/>
                    </w:rPr>
                    <w:t>本项目</w:t>
                  </w:r>
                  <w:r>
                    <w:rPr>
                      <w:rFonts w:hint="eastAsia" w:ascii="Times New Roman" w:hAnsi="Times New Roman" w:cs="Times New Roman"/>
                      <w:color w:val="auto"/>
                      <w:sz w:val="21"/>
                      <w:szCs w:val="21"/>
                      <w:lang w:val="en-US" w:eastAsia="zh-CN"/>
                    </w:rPr>
                    <w:t>主要为路面改造工程</w:t>
                  </w:r>
                  <w:r>
                    <w:rPr>
                      <w:rFonts w:hint="default" w:ascii="Times New Roman" w:hAnsi="Times New Roman" w:cs="Times New Roman"/>
                      <w:color w:val="auto"/>
                      <w:sz w:val="21"/>
                      <w:szCs w:val="21"/>
                    </w:rPr>
                    <w:t>，</w:t>
                  </w:r>
                  <w:r>
                    <w:rPr>
                      <w:rFonts w:hint="eastAsia" w:ascii="Times New Roman" w:hAnsi="Times New Roman" w:cs="Times New Roman"/>
                      <w:color w:val="auto"/>
                      <w:sz w:val="21"/>
                      <w:szCs w:val="21"/>
                      <w:lang w:val="en-US" w:eastAsia="zh-CN"/>
                    </w:rPr>
                    <w:t>道路下游水</w:t>
                  </w:r>
                  <w:r>
                    <w:rPr>
                      <w:rFonts w:hint="eastAsia" w:ascii="Times New Roman" w:hAnsi="Times New Roman" w:eastAsia="宋体" w:cs="Times New Roman"/>
                      <w:color w:val="auto"/>
                      <w:sz w:val="21"/>
                      <w:szCs w:val="21"/>
                      <w:lang w:val="en-US" w:eastAsia="zh-CN"/>
                    </w:rPr>
                    <w:t>体有兴凯湖</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为跨国界水体，本项目对桥梁进行</w:t>
                  </w:r>
                  <w:r>
                    <w:rPr>
                      <w:rFonts w:hint="default" w:ascii="Times New Roman" w:hAnsi="Times New Roman" w:eastAsia="宋体" w:cs="Times New Roman"/>
                      <w:color w:val="auto"/>
                      <w:sz w:val="21"/>
                      <w:szCs w:val="21"/>
                    </w:rPr>
                    <w:t>加固护栏，设警示标志等。一旦事故发生，应及时迅速报警，及时通知有关部门，立即启动项目应急预案，采取应急措施。</w:t>
                  </w:r>
                  <w:r>
                    <w:rPr>
                      <w:rFonts w:hint="eastAsia" w:ascii="Times New Roman" w:hAnsi="Times New Roman" w:eastAsia="宋体" w:cs="Times New Roman"/>
                      <w:color w:val="auto"/>
                      <w:sz w:val="21"/>
                      <w:szCs w:val="21"/>
                      <w:lang w:val="en-US" w:eastAsia="zh-CN"/>
                    </w:rPr>
                    <w:t>加强</w:t>
                  </w:r>
                  <w:r>
                    <w:rPr>
                      <w:rFonts w:hint="default" w:ascii="Times New Roman" w:hAnsi="Times New Roman" w:eastAsia="宋体" w:cs="Times New Roman"/>
                      <w:color w:val="auto"/>
                      <w:sz w:val="21"/>
                      <w:szCs w:val="21"/>
                    </w:rPr>
                    <w:t>水体环境风险管控</w:t>
                  </w:r>
                  <w:r>
                    <w:rPr>
                      <w:rFonts w:hint="eastAsia" w:ascii="Times New Roman" w:hAnsi="Times New Roman" w:eastAsia="宋体" w:cs="Times New Roman"/>
                      <w:color w:val="auto"/>
                      <w:sz w:val="21"/>
                      <w:szCs w:val="21"/>
                      <w:lang w:val="en-US" w:eastAsia="zh-CN"/>
                    </w:rPr>
                    <w:t>。</w:t>
                  </w:r>
                </w:p>
              </w:tc>
              <w:tc>
                <w:tcPr>
                  <w:tcW w:w="615" w:type="pct"/>
                  <w:tcBorders>
                    <w:tl2br w:val="nil"/>
                    <w:tr2bl w:val="nil"/>
                  </w:tcBorders>
                  <w:noWrap w:val="0"/>
                  <w:vAlign w:val="center"/>
                </w:tcPr>
                <w:p w14:paraId="42FE0459">
                  <w:pPr>
                    <w:pStyle w:val="80"/>
                    <w:rPr>
                      <w:color w:val="auto"/>
                    </w:rPr>
                  </w:pPr>
                  <w:r>
                    <w:rPr>
                      <w:color w:val="auto"/>
                    </w:rPr>
                    <w:t>符合</w:t>
                  </w:r>
                </w:p>
              </w:tc>
            </w:tr>
          </w:tbl>
          <w:p w14:paraId="2938B8BA">
            <w:pPr>
              <w:rPr>
                <w:rFonts w:hint="eastAsia"/>
                <w:color w:val="auto"/>
              </w:rPr>
            </w:pPr>
          </w:p>
        </w:tc>
      </w:tr>
      <w:tr w14:paraId="1E7234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13462" w:hRule="atLeast"/>
        </w:trPr>
        <w:tc>
          <w:tcPr>
            <w:tcW w:w="1660" w:type="dxa"/>
            <w:noWrap w:val="0"/>
            <w:tcMar>
              <w:top w:w="16" w:type="dxa"/>
              <w:left w:w="16" w:type="dxa"/>
              <w:right w:w="16" w:type="dxa"/>
            </w:tcMar>
            <w:vAlign w:val="center"/>
          </w:tcPr>
          <w:p w14:paraId="1B84BCBB">
            <w:pPr>
              <w:autoSpaceDE w:val="0"/>
              <w:autoSpaceDN w:val="0"/>
              <w:spacing w:line="240" w:lineRule="auto"/>
              <w:jc w:val="center"/>
              <w:rPr>
                <w:rFonts w:hint="eastAsia" w:cs="宋体"/>
                <w:color w:val="auto"/>
                <w:kern w:val="21"/>
                <w:szCs w:val="21"/>
              </w:rPr>
            </w:pPr>
            <w:r>
              <w:rPr>
                <w:rFonts w:hint="eastAsia" w:cs="宋体"/>
                <w:color w:val="auto"/>
                <w:kern w:val="21"/>
                <w:szCs w:val="21"/>
              </w:rPr>
              <w:t>其他符合性分析</w:t>
            </w:r>
          </w:p>
        </w:tc>
        <w:tc>
          <w:tcPr>
            <w:tcW w:w="6616" w:type="dxa"/>
            <w:gridSpan w:val="3"/>
            <w:noWrap w:val="0"/>
            <w:tcMar>
              <w:top w:w="16" w:type="dxa"/>
              <w:left w:w="16" w:type="dxa"/>
              <w:right w:w="16" w:type="dxa"/>
            </w:tcMar>
            <w:vAlign w:val="center"/>
          </w:tcPr>
          <w:p w14:paraId="2E1C9699">
            <w:pPr>
              <w:pStyle w:val="76"/>
              <w:rPr>
                <w:rFonts w:hint="eastAsia"/>
                <w:color w:val="auto"/>
              </w:rPr>
            </w:pPr>
            <w:r>
              <w:rPr>
                <w:rFonts w:hint="eastAsia"/>
                <w:color w:val="auto"/>
              </w:rPr>
              <w:t>1、产业政策符合性分析</w:t>
            </w:r>
          </w:p>
          <w:p w14:paraId="40A02598">
            <w:pPr>
              <w:pStyle w:val="76"/>
              <w:rPr>
                <w:rFonts w:hint="eastAsia"/>
                <w:color w:val="auto"/>
              </w:rPr>
            </w:pPr>
            <w:r>
              <w:rPr>
                <w:rFonts w:hint="eastAsia"/>
                <w:color w:val="auto"/>
              </w:rPr>
              <w:t>本项目为</w:t>
            </w:r>
            <w:r>
              <w:rPr>
                <w:rFonts w:hint="eastAsia"/>
                <w:color w:val="auto"/>
                <w:lang w:val="en-US" w:eastAsia="zh-CN"/>
              </w:rPr>
              <w:t>省道</w:t>
            </w:r>
            <w:r>
              <w:rPr>
                <w:rFonts w:hint="eastAsia"/>
                <w:color w:val="auto"/>
              </w:rPr>
              <w:t>二级公路，属于</w:t>
            </w:r>
            <w:r>
              <w:rPr>
                <w:color w:val="auto"/>
              </w:rPr>
              <w:t>《产业结构调整指导目录（20</w:t>
            </w:r>
            <w:r>
              <w:rPr>
                <w:rFonts w:hint="eastAsia"/>
                <w:color w:val="auto"/>
                <w:lang w:val="en-US" w:eastAsia="zh-CN"/>
              </w:rPr>
              <w:t>24</w:t>
            </w:r>
            <w:r>
              <w:rPr>
                <w:color w:val="auto"/>
              </w:rPr>
              <w:t>年本）》</w:t>
            </w:r>
            <w:r>
              <w:rPr>
                <w:rFonts w:hint="eastAsia"/>
                <w:color w:val="auto"/>
              </w:rPr>
              <w:t>鼓励类中“二十四、公路及道路运输”中的“</w:t>
            </w:r>
            <w:r>
              <w:rPr>
                <w:rFonts w:hint="eastAsia"/>
                <w:color w:val="auto"/>
                <w:lang w:val="en-US" w:eastAsia="zh-CN"/>
              </w:rPr>
              <w:t>1</w:t>
            </w:r>
            <w:r>
              <w:rPr>
                <w:rFonts w:hint="eastAsia"/>
                <w:color w:val="auto"/>
              </w:rPr>
              <w:t>、国省干线改造升级”，本项目符合国家相关产业政策。</w:t>
            </w:r>
          </w:p>
          <w:p w14:paraId="3D07520F">
            <w:pPr>
              <w:ind w:firstLine="420"/>
              <w:rPr>
                <w:color w:val="auto"/>
              </w:rPr>
            </w:pPr>
            <w:r>
              <w:rPr>
                <w:rFonts w:hint="eastAsia"/>
                <w:color w:val="auto"/>
              </w:rPr>
              <w:t>2.与“生态环境分区管控”的符合性分析</w:t>
            </w:r>
          </w:p>
          <w:p w14:paraId="27F0DD4D">
            <w:pPr>
              <w:ind w:firstLine="420"/>
              <w:rPr>
                <w:color w:val="auto"/>
              </w:rPr>
            </w:pPr>
            <w:r>
              <w:rPr>
                <w:color w:val="auto"/>
              </w:rPr>
              <w:drawing>
                <wp:anchor distT="0" distB="0" distL="114300" distR="114300" simplePos="0" relativeHeight="251666432" behindDoc="0" locked="0" layoutInCell="1" allowOverlap="1">
                  <wp:simplePos x="0" y="0"/>
                  <wp:positionH relativeFrom="column">
                    <wp:posOffset>34290</wp:posOffset>
                  </wp:positionH>
                  <wp:positionV relativeFrom="paragraph">
                    <wp:posOffset>2368550</wp:posOffset>
                  </wp:positionV>
                  <wp:extent cx="4251960" cy="2294890"/>
                  <wp:effectExtent l="0" t="0" r="15240" b="10160"/>
                  <wp:wrapNone/>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
                          <a:stretch>
                            <a:fillRect/>
                          </a:stretch>
                        </pic:blipFill>
                        <pic:spPr>
                          <a:xfrm>
                            <a:off x="0" y="0"/>
                            <a:ext cx="4251960" cy="2294890"/>
                          </a:xfrm>
                          <a:prstGeom prst="rect">
                            <a:avLst/>
                          </a:prstGeom>
                          <a:noFill/>
                          <a:ln>
                            <a:noFill/>
                          </a:ln>
                        </pic:spPr>
                      </pic:pic>
                    </a:graphicData>
                  </a:graphic>
                </wp:anchor>
              </w:drawing>
            </w:r>
            <w:r>
              <w:rPr>
                <w:color w:val="auto"/>
              </w:rPr>
              <w:t>本项目位于黑龙江省</w:t>
            </w:r>
            <w:r>
              <w:rPr>
                <w:rFonts w:hint="eastAsia"/>
                <w:color w:val="auto"/>
                <w:lang w:val="en-US" w:eastAsia="zh-CN"/>
              </w:rPr>
              <w:t>鸡西</w:t>
            </w:r>
            <w:r>
              <w:rPr>
                <w:rFonts w:hint="eastAsia"/>
                <w:color w:val="auto"/>
              </w:rPr>
              <w:t>市</w:t>
            </w:r>
            <w:r>
              <w:rPr>
                <w:rFonts w:hint="eastAsia"/>
                <w:color w:val="auto"/>
                <w:lang w:val="en-US" w:eastAsia="zh-CN"/>
              </w:rPr>
              <w:t>密山</w:t>
            </w:r>
            <w:r>
              <w:rPr>
                <w:rFonts w:hint="eastAsia"/>
                <w:color w:val="auto"/>
              </w:rPr>
              <w:t>市，</w:t>
            </w:r>
            <w:r>
              <w:rPr>
                <w:color w:val="auto"/>
              </w:rPr>
              <w:t>根据</w:t>
            </w:r>
            <w:r>
              <w:rPr>
                <w:rFonts w:hint="eastAsia"/>
                <w:color w:val="auto"/>
              </w:rPr>
              <w:t>《黑龙江省人民政府关于实施“三线一单”生态环境分区管控的意见》（黑政发[2020]14号）、《关于发布2023年生态环境分区管控动态更新的通知》（黑环发〔2024〕1号）、</w:t>
            </w:r>
            <w:r>
              <w:rPr>
                <w:rFonts w:hint="eastAsia"/>
                <w:color w:val="auto"/>
                <w:highlight w:val="none"/>
              </w:rPr>
              <w:t>《</w:t>
            </w:r>
            <w:r>
              <w:rPr>
                <w:rFonts w:hint="eastAsia"/>
                <w:color w:val="auto"/>
                <w:highlight w:val="none"/>
                <w:lang w:val="en-US" w:eastAsia="zh-CN"/>
              </w:rPr>
              <w:t>鸡西</w:t>
            </w:r>
            <w:r>
              <w:rPr>
                <w:rFonts w:hint="eastAsia"/>
                <w:color w:val="auto"/>
                <w:highlight w:val="none"/>
              </w:rPr>
              <w:t>市人民政府关于“三线一单”生态环境分区管控的实施意见》（</w:t>
            </w:r>
            <w:r>
              <w:rPr>
                <w:rFonts w:hint="eastAsia"/>
                <w:color w:val="auto"/>
                <w:highlight w:val="none"/>
                <w:lang w:val="en-US" w:eastAsia="zh-CN"/>
              </w:rPr>
              <w:t>鸡</w:t>
            </w:r>
            <w:r>
              <w:rPr>
                <w:rFonts w:hint="eastAsia"/>
                <w:color w:val="auto"/>
                <w:highlight w:val="none"/>
              </w:rPr>
              <w:t>政</w:t>
            </w:r>
            <w:r>
              <w:rPr>
                <w:rFonts w:hint="eastAsia"/>
                <w:color w:val="auto"/>
                <w:highlight w:val="none"/>
                <w:lang w:val="en-US" w:eastAsia="zh-CN"/>
              </w:rPr>
              <w:t>发</w:t>
            </w:r>
            <w:r>
              <w:rPr>
                <w:rFonts w:hint="eastAsia"/>
                <w:color w:val="auto"/>
                <w:highlight w:val="none"/>
              </w:rPr>
              <w:t>〔2021〕</w:t>
            </w:r>
            <w:r>
              <w:rPr>
                <w:rFonts w:hint="eastAsia"/>
                <w:color w:val="auto"/>
                <w:highlight w:val="none"/>
                <w:lang w:val="en-US" w:eastAsia="zh-CN"/>
              </w:rPr>
              <w:t>7</w:t>
            </w:r>
            <w:r>
              <w:rPr>
                <w:rFonts w:hint="eastAsia"/>
                <w:color w:val="auto"/>
                <w:highlight w:val="none"/>
              </w:rPr>
              <w:t>号）、《</w:t>
            </w:r>
            <w:r>
              <w:rPr>
                <w:rFonts w:hint="eastAsia"/>
                <w:color w:val="auto"/>
                <w:highlight w:val="none"/>
                <w:lang w:val="en-US" w:eastAsia="zh-CN"/>
              </w:rPr>
              <w:t>鸡西</w:t>
            </w:r>
            <w:r>
              <w:rPr>
                <w:rFonts w:hint="eastAsia"/>
                <w:color w:val="auto"/>
                <w:highlight w:val="none"/>
              </w:rPr>
              <w:t>市生态环境准入清单》（2023年版）</w:t>
            </w:r>
            <w:r>
              <w:rPr>
                <w:rFonts w:hint="eastAsia"/>
                <w:color w:val="auto"/>
                <w:highlight w:val="none"/>
                <w:lang w:val="en-US" w:eastAsia="zh-CN"/>
              </w:rPr>
              <w:t>以及</w:t>
            </w:r>
            <w:r>
              <w:rPr>
                <w:rFonts w:hint="eastAsia"/>
                <w:color w:val="auto"/>
                <w:highlight w:val="none"/>
              </w:rPr>
              <w:t>《</w:t>
            </w:r>
            <w:r>
              <w:rPr>
                <w:rFonts w:hint="eastAsia"/>
                <w:color w:val="auto"/>
                <w:kern w:val="21"/>
                <w:lang w:eastAsia="zh-CN"/>
              </w:rPr>
              <w:t>省道名山至兴凯湖公路兴光至兴凯湖博物馆段路面改造工程</w:t>
            </w:r>
            <w:r>
              <w:rPr>
                <w:rFonts w:hint="eastAsia"/>
                <w:color w:val="auto"/>
                <w:highlight w:val="none"/>
              </w:rPr>
              <w:t>生态环境分区管控分析报告》</w:t>
            </w:r>
            <w:r>
              <w:rPr>
                <w:rFonts w:hint="eastAsia"/>
                <w:color w:val="auto"/>
                <w:highlight w:val="none"/>
                <w:lang w:val="en-US" w:eastAsia="zh-CN"/>
              </w:rPr>
              <w:t>可知</w:t>
            </w:r>
            <w:r>
              <w:rPr>
                <w:rFonts w:hint="eastAsia"/>
                <w:color w:val="auto"/>
                <w:highlight w:val="none"/>
              </w:rPr>
              <w:t>，</w:t>
            </w:r>
            <w:r>
              <w:rPr>
                <w:color w:val="auto"/>
              </w:rPr>
              <w:t>本项目与</w:t>
            </w:r>
            <w:r>
              <w:rPr>
                <w:rFonts w:hint="eastAsia"/>
                <w:color w:val="auto"/>
              </w:rPr>
              <w:t>“生态环境管控分区”</w:t>
            </w:r>
            <w:r>
              <w:rPr>
                <w:color w:val="auto"/>
              </w:rPr>
              <w:t>符合性如下：</w:t>
            </w:r>
          </w:p>
          <w:p w14:paraId="197AA6EF">
            <w:pPr>
              <w:ind w:firstLine="420"/>
              <w:rPr>
                <w:color w:val="auto"/>
              </w:rPr>
            </w:pPr>
          </w:p>
          <w:p w14:paraId="0A47DB2F">
            <w:pPr>
              <w:ind w:firstLine="420"/>
              <w:rPr>
                <w:color w:val="auto"/>
              </w:rPr>
            </w:pPr>
            <w:r>
              <w:rPr>
                <w:rFonts w:hint="eastAsia"/>
                <w:color w:val="auto"/>
              </w:rPr>
              <w:t>（1）“一图”</w:t>
            </w:r>
          </w:p>
          <w:p w14:paraId="2F6D8D07">
            <w:pPr>
              <w:pStyle w:val="76"/>
              <w:rPr>
                <w:rFonts w:hint="eastAsia"/>
                <w:color w:val="auto"/>
              </w:rPr>
            </w:pPr>
          </w:p>
          <w:p w14:paraId="19702871">
            <w:pPr>
              <w:pStyle w:val="76"/>
              <w:rPr>
                <w:rFonts w:hint="eastAsia"/>
                <w:color w:val="auto"/>
              </w:rPr>
            </w:pPr>
          </w:p>
          <w:p w14:paraId="27CB8187">
            <w:pPr>
              <w:pStyle w:val="76"/>
              <w:rPr>
                <w:rFonts w:hint="eastAsia"/>
                <w:color w:val="auto"/>
              </w:rPr>
            </w:pPr>
          </w:p>
          <w:p w14:paraId="6E920C6E">
            <w:pPr>
              <w:pStyle w:val="76"/>
              <w:rPr>
                <w:rFonts w:hint="eastAsia"/>
                <w:color w:val="auto"/>
              </w:rPr>
            </w:pPr>
          </w:p>
          <w:p w14:paraId="2C665D84">
            <w:pPr>
              <w:pStyle w:val="76"/>
              <w:rPr>
                <w:rFonts w:hint="eastAsia"/>
                <w:color w:val="auto"/>
              </w:rPr>
            </w:pPr>
          </w:p>
          <w:p w14:paraId="2395F12B">
            <w:pPr>
              <w:pStyle w:val="76"/>
              <w:rPr>
                <w:rFonts w:hint="eastAsia"/>
                <w:color w:val="auto"/>
                <w:lang w:val="en-US" w:eastAsia="zh-CN"/>
              </w:rPr>
            </w:pPr>
          </w:p>
          <w:p w14:paraId="3F887D1B">
            <w:pPr>
              <w:pStyle w:val="76"/>
              <w:jc w:val="center"/>
              <w:rPr>
                <w:rFonts w:hint="default" w:eastAsia="宋体"/>
                <w:color w:val="auto"/>
                <w:lang w:val="en-US" w:eastAsia="zh-CN"/>
              </w:rPr>
            </w:pPr>
            <w:r>
              <w:rPr>
                <w:rFonts w:hint="eastAsia"/>
                <w:color w:val="auto"/>
                <w:lang w:val="en-US" w:eastAsia="zh-CN"/>
              </w:rPr>
              <w:t>图1-1  项目与环境管控单元叠加图</w:t>
            </w:r>
          </w:p>
          <w:p w14:paraId="0F939D2B">
            <w:pPr>
              <w:pStyle w:val="76"/>
              <w:rPr>
                <w:rFonts w:hint="eastAsia"/>
                <w:color w:val="auto"/>
              </w:rPr>
            </w:pPr>
            <w:r>
              <w:rPr>
                <w:rFonts w:hint="eastAsia"/>
                <w:color w:val="auto"/>
              </w:rPr>
              <w:t>如图1-1，本项目所在区域涉及优先保护单元、重点管控单元</w:t>
            </w:r>
            <w:r>
              <w:rPr>
                <w:rFonts w:hint="eastAsia"/>
                <w:color w:val="auto"/>
                <w:lang w:val="en-US" w:eastAsia="zh-CN"/>
              </w:rPr>
              <w:t>及</w:t>
            </w:r>
            <w:r>
              <w:rPr>
                <w:rFonts w:hint="eastAsia"/>
                <w:color w:val="auto"/>
              </w:rPr>
              <w:t>一般管控单元。</w:t>
            </w:r>
          </w:p>
          <w:p w14:paraId="28563C63">
            <w:pPr>
              <w:pStyle w:val="76"/>
              <w:rPr>
                <w:rFonts w:hint="eastAsia"/>
                <w:color w:val="auto"/>
              </w:rPr>
            </w:pPr>
          </w:p>
          <w:p w14:paraId="3B469E9A">
            <w:pPr>
              <w:pStyle w:val="76"/>
              <w:rPr>
                <w:rFonts w:hint="eastAsia"/>
                <w:color w:val="auto"/>
              </w:rPr>
            </w:pPr>
          </w:p>
          <w:p w14:paraId="16A6DB83">
            <w:pPr>
              <w:pStyle w:val="76"/>
              <w:rPr>
                <w:rFonts w:hint="eastAsia"/>
                <w:color w:val="auto"/>
              </w:rPr>
            </w:pPr>
          </w:p>
          <w:p w14:paraId="52980E14">
            <w:pPr>
              <w:pStyle w:val="76"/>
              <w:rPr>
                <w:rFonts w:hint="eastAsia"/>
                <w:color w:val="auto"/>
              </w:rPr>
            </w:pPr>
          </w:p>
          <w:p w14:paraId="6747026D">
            <w:pPr>
              <w:pStyle w:val="76"/>
              <w:rPr>
                <w:rFonts w:hint="eastAsia"/>
                <w:color w:val="auto"/>
              </w:rPr>
            </w:pPr>
            <w:r>
              <w:rPr>
                <w:color w:val="auto"/>
              </w:rPr>
              <w:drawing>
                <wp:anchor distT="0" distB="0" distL="114300" distR="114300" simplePos="0" relativeHeight="251667456" behindDoc="0" locked="0" layoutInCell="1" allowOverlap="1">
                  <wp:simplePos x="0" y="0"/>
                  <wp:positionH relativeFrom="column">
                    <wp:posOffset>156210</wp:posOffset>
                  </wp:positionH>
                  <wp:positionV relativeFrom="paragraph">
                    <wp:posOffset>50800</wp:posOffset>
                  </wp:positionV>
                  <wp:extent cx="4154170" cy="2917190"/>
                  <wp:effectExtent l="0" t="0" r="17780" b="16510"/>
                  <wp:wrapNone/>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11"/>
                          <a:stretch>
                            <a:fillRect/>
                          </a:stretch>
                        </pic:blipFill>
                        <pic:spPr>
                          <a:xfrm>
                            <a:off x="0" y="0"/>
                            <a:ext cx="4154170" cy="2917190"/>
                          </a:xfrm>
                          <a:prstGeom prst="rect">
                            <a:avLst/>
                          </a:prstGeom>
                          <a:noFill/>
                          <a:ln>
                            <a:noFill/>
                          </a:ln>
                        </pic:spPr>
                      </pic:pic>
                    </a:graphicData>
                  </a:graphic>
                </wp:anchor>
              </w:drawing>
            </w:r>
          </w:p>
          <w:p w14:paraId="6D31D7E1">
            <w:pPr>
              <w:pStyle w:val="76"/>
              <w:rPr>
                <w:rFonts w:hint="eastAsia"/>
                <w:color w:val="auto"/>
              </w:rPr>
            </w:pPr>
          </w:p>
          <w:p w14:paraId="3F705D8D">
            <w:pPr>
              <w:pStyle w:val="76"/>
              <w:rPr>
                <w:rFonts w:hint="eastAsia"/>
                <w:color w:val="auto"/>
              </w:rPr>
            </w:pPr>
          </w:p>
          <w:p w14:paraId="3EF19E0B">
            <w:pPr>
              <w:pStyle w:val="76"/>
              <w:rPr>
                <w:rFonts w:hint="eastAsia"/>
                <w:color w:val="auto"/>
              </w:rPr>
            </w:pPr>
          </w:p>
          <w:p w14:paraId="671370E1">
            <w:pPr>
              <w:pStyle w:val="76"/>
              <w:rPr>
                <w:rFonts w:hint="eastAsia"/>
                <w:color w:val="auto"/>
              </w:rPr>
            </w:pPr>
          </w:p>
          <w:p w14:paraId="0E7ABB9C">
            <w:pPr>
              <w:pStyle w:val="76"/>
              <w:rPr>
                <w:rFonts w:hint="eastAsia"/>
                <w:color w:val="auto"/>
              </w:rPr>
            </w:pPr>
          </w:p>
          <w:p w14:paraId="2C2C7D22">
            <w:pPr>
              <w:pStyle w:val="76"/>
              <w:rPr>
                <w:rFonts w:hint="eastAsia"/>
                <w:color w:val="auto"/>
              </w:rPr>
            </w:pPr>
            <w:r>
              <w:rPr>
                <w:color w:val="auto"/>
              </w:rPr>
              <w:drawing>
                <wp:anchor distT="0" distB="0" distL="114300" distR="114300" simplePos="0" relativeHeight="251668480" behindDoc="0" locked="0" layoutInCell="1" allowOverlap="1">
                  <wp:simplePos x="0" y="0"/>
                  <wp:positionH relativeFrom="column">
                    <wp:posOffset>248285</wp:posOffset>
                  </wp:positionH>
                  <wp:positionV relativeFrom="paragraph">
                    <wp:posOffset>170180</wp:posOffset>
                  </wp:positionV>
                  <wp:extent cx="904875" cy="593090"/>
                  <wp:effectExtent l="0" t="0" r="9525" b="16510"/>
                  <wp:wrapNone/>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2"/>
                          <a:stretch>
                            <a:fillRect/>
                          </a:stretch>
                        </pic:blipFill>
                        <pic:spPr>
                          <a:xfrm>
                            <a:off x="0" y="0"/>
                            <a:ext cx="904875" cy="593090"/>
                          </a:xfrm>
                          <a:prstGeom prst="rect">
                            <a:avLst/>
                          </a:prstGeom>
                          <a:noFill/>
                          <a:ln>
                            <a:noFill/>
                          </a:ln>
                        </pic:spPr>
                      </pic:pic>
                    </a:graphicData>
                  </a:graphic>
                </wp:anchor>
              </w:drawing>
            </w:r>
          </w:p>
          <w:p w14:paraId="1F46DAC3">
            <w:pPr>
              <w:pStyle w:val="76"/>
              <w:rPr>
                <w:rFonts w:hint="eastAsia"/>
                <w:color w:val="auto"/>
              </w:rPr>
            </w:pPr>
          </w:p>
          <w:p w14:paraId="43C9C9CB">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20"/>
              <w:jc w:val="center"/>
              <w:textAlignment w:val="auto"/>
              <w:rPr>
                <w:rFonts w:hint="default" w:ascii="Times New Roman" w:hAnsi="Times New Roman" w:cs="Times New Roman"/>
                <w:b w:val="0"/>
                <w:bCs w:val="0"/>
                <w:color w:val="auto"/>
              </w:rPr>
            </w:pPr>
            <w:r>
              <w:rPr>
                <w:rFonts w:hint="default" w:ascii="Times New Roman" w:hAnsi="Times New Roman" w:cs="Times New Roman"/>
                <w:b w:val="0"/>
                <w:bCs w:val="0"/>
                <w:color w:val="auto"/>
              </w:rPr>
              <w:t>图1-</w:t>
            </w:r>
            <w:r>
              <w:rPr>
                <w:rFonts w:hint="eastAsia" w:ascii="Times New Roman" w:hAnsi="Times New Roman" w:cs="Times New Roman"/>
                <w:b w:val="0"/>
                <w:bCs w:val="0"/>
                <w:color w:val="auto"/>
                <w:lang w:val="en-US" w:eastAsia="zh-CN"/>
              </w:rPr>
              <w:t>2</w:t>
            </w:r>
            <w:r>
              <w:rPr>
                <w:rFonts w:hint="default" w:ascii="Times New Roman" w:hAnsi="Times New Roman" w:cs="Times New Roman"/>
                <w:b w:val="0"/>
                <w:bCs w:val="0"/>
                <w:color w:val="auto"/>
              </w:rPr>
              <w:t xml:space="preserve"> </w:t>
            </w:r>
            <w:r>
              <w:rPr>
                <w:rFonts w:hint="eastAsia" w:ascii="Times New Roman" w:hAnsi="Times New Roman" w:cs="Times New Roman"/>
                <w:b w:val="0"/>
                <w:bCs w:val="0"/>
                <w:color w:val="auto"/>
                <w:lang w:val="en-US" w:eastAsia="zh-CN"/>
              </w:rPr>
              <w:t xml:space="preserve"> </w:t>
            </w:r>
            <w:r>
              <w:rPr>
                <w:rFonts w:hint="default" w:ascii="Times New Roman" w:hAnsi="Times New Roman" w:cs="Times New Roman"/>
                <w:b w:val="0"/>
                <w:bCs w:val="0"/>
                <w:color w:val="auto"/>
              </w:rPr>
              <w:t>项目与自然保护地（现状）叠加图</w:t>
            </w:r>
          </w:p>
          <w:p w14:paraId="224BF2FC">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420"/>
              <w:jc w:val="both"/>
              <w:textAlignment w:val="auto"/>
              <w:rPr>
                <w:rFonts w:hint="default" w:ascii="Times New Roman" w:hAnsi="Times New Roman" w:cs="Times New Roman"/>
                <w:b w:val="0"/>
                <w:bCs w:val="0"/>
                <w:color w:val="auto"/>
              </w:rPr>
            </w:pPr>
          </w:p>
          <w:p w14:paraId="651637ED">
            <w:pPr>
              <w:pStyle w:val="76"/>
              <w:rPr>
                <w:rFonts w:hint="default" w:ascii="Times New Roman" w:hAnsi="Times New Roman" w:eastAsia="宋体" w:cs="Times New Roman"/>
                <w:color w:val="auto"/>
                <w:lang w:val="en-US" w:eastAsia="zh-CN"/>
              </w:rPr>
            </w:pPr>
            <w:r>
              <w:rPr>
                <w:rFonts w:hint="eastAsia" w:cs="Times New Roman"/>
                <w:color w:val="auto"/>
                <w:lang w:val="en-US" w:eastAsia="zh-CN"/>
              </w:rPr>
              <w:t xml:space="preserve">图1-2  </w:t>
            </w:r>
            <w:r>
              <w:rPr>
                <w:rFonts w:hint="eastAsia" w:ascii="Times New Roman" w:hAnsi="Times New Roman" w:eastAsia="宋体" w:cs="Times New Roman"/>
                <w:color w:val="auto"/>
                <w:lang w:val="en-US" w:eastAsia="zh-CN"/>
              </w:rPr>
              <w:t>项目与</w:t>
            </w:r>
            <w:r>
              <w:rPr>
                <w:rFonts w:hint="eastAsia" w:ascii="Times New Roman" w:hAnsi="Times New Roman" w:eastAsia="宋体" w:cs="Times New Roman"/>
                <w:color w:val="auto"/>
              </w:rPr>
              <w:t>黑龙江省生态环境分区管控数据应用平台</w:t>
            </w:r>
            <w:r>
              <w:rPr>
                <w:rFonts w:hint="eastAsia" w:ascii="Times New Roman" w:hAnsi="Times New Roman" w:eastAsia="宋体" w:cs="Times New Roman"/>
                <w:color w:val="auto"/>
                <w:lang w:val="en-US" w:eastAsia="zh-CN"/>
              </w:rPr>
              <w:t>中地质公园（现状）叠图</w:t>
            </w:r>
          </w:p>
          <w:p w14:paraId="3862D106">
            <w:pPr>
              <w:pStyle w:val="76"/>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根据本项目与</w:t>
            </w:r>
            <w:r>
              <w:rPr>
                <w:rFonts w:hint="eastAsia" w:ascii="Times New Roman" w:hAnsi="Times New Roman" w:eastAsia="宋体" w:cs="Times New Roman"/>
                <w:color w:val="auto"/>
              </w:rPr>
              <w:t>黑龙江省生态环境分区管控数据应用平台</w:t>
            </w:r>
            <w:r>
              <w:rPr>
                <w:rFonts w:hint="eastAsia" w:ascii="Times New Roman" w:hAnsi="Times New Roman" w:eastAsia="宋体" w:cs="Times New Roman"/>
                <w:color w:val="auto"/>
                <w:lang w:val="en-US" w:eastAsia="zh-CN"/>
              </w:rPr>
              <w:t>中地质公园（现状）叠图（上图1-2），本项目占用黑龙江兴凯湖国家地质公园。根据</w:t>
            </w:r>
            <w:r>
              <w:rPr>
                <w:rFonts w:hint="eastAsia"/>
                <w:color w:val="auto"/>
                <w:highlight w:val="none"/>
              </w:rPr>
              <w:t>《</w:t>
            </w:r>
            <w:r>
              <w:rPr>
                <w:rFonts w:hint="eastAsia"/>
                <w:color w:val="auto"/>
                <w:kern w:val="21"/>
                <w:lang w:eastAsia="zh-CN"/>
              </w:rPr>
              <w:t>省道名山至兴凯湖公路兴光至兴凯湖博物馆段路面改造工程</w:t>
            </w:r>
            <w:r>
              <w:rPr>
                <w:rFonts w:hint="eastAsia"/>
                <w:color w:val="auto"/>
                <w:highlight w:val="none"/>
              </w:rPr>
              <w:t>生态环境分区管控分析报告》</w:t>
            </w:r>
            <w:r>
              <w:rPr>
                <w:rFonts w:hint="eastAsia"/>
                <w:color w:val="auto"/>
                <w:highlight w:val="none"/>
                <w:lang w:eastAsia="zh-CN"/>
              </w:rPr>
              <w:t>（</w:t>
            </w:r>
            <w:r>
              <w:rPr>
                <w:rFonts w:hint="eastAsia"/>
                <w:color w:val="auto"/>
                <w:highlight w:val="none"/>
                <w:lang w:val="en-US" w:eastAsia="zh-CN"/>
              </w:rPr>
              <w:t>见附件2</w:t>
            </w:r>
            <w:r>
              <w:rPr>
                <w:rFonts w:hint="eastAsia"/>
                <w:color w:val="auto"/>
                <w:highlight w:val="none"/>
                <w:lang w:eastAsia="zh-CN"/>
              </w:rPr>
              <w:t>），</w:t>
            </w:r>
            <w:r>
              <w:rPr>
                <w:rFonts w:hint="eastAsia"/>
                <w:color w:val="auto"/>
                <w:highlight w:val="none"/>
                <w:lang w:val="en-US" w:eastAsia="zh-CN"/>
              </w:rPr>
              <w:t>本项目不占用自然保护地，即整合优化后，本项目不占用</w:t>
            </w:r>
            <w:r>
              <w:rPr>
                <w:rFonts w:hint="eastAsia" w:ascii="Times New Roman" w:hAnsi="Times New Roman" w:eastAsia="宋体" w:cs="Times New Roman"/>
                <w:color w:val="auto"/>
                <w:lang w:val="en-US" w:eastAsia="zh-CN"/>
              </w:rPr>
              <w:t>黑龙江兴凯湖国家地质公园。</w:t>
            </w:r>
          </w:p>
          <w:p w14:paraId="6775CB8E">
            <w:pPr>
              <w:ind w:firstLine="420"/>
              <w:rPr>
                <w:rFonts w:hint="default" w:ascii="Times New Roman" w:hAnsi="Times New Roman" w:cs="Times New Roman"/>
                <w:color w:val="auto"/>
              </w:rPr>
            </w:pPr>
            <w:r>
              <w:rPr>
                <w:rFonts w:hint="default" w:ascii="Times New Roman" w:hAnsi="Times New Roman" w:cs="Times New Roman"/>
                <w:color w:val="auto"/>
              </w:rPr>
              <w:t>（2）“一表”</w:t>
            </w:r>
          </w:p>
          <w:p w14:paraId="55FF9875">
            <w:pPr>
              <w:ind w:firstLine="422"/>
              <w:jc w:val="center"/>
              <w:rPr>
                <w:rFonts w:hint="default" w:ascii="Times New Roman" w:hAnsi="Times New Roman" w:cs="Times New Roman"/>
                <w:b/>
                <w:bCs/>
                <w:color w:val="auto"/>
              </w:rPr>
            </w:pPr>
            <w:r>
              <w:rPr>
                <w:rFonts w:hint="default" w:ascii="Times New Roman" w:hAnsi="Times New Roman" w:cs="Times New Roman"/>
                <w:b/>
                <w:bCs/>
                <w:color w:val="auto"/>
              </w:rPr>
              <w:t>表1-</w:t>
            </w:r>
            <w:r>
              <w:rPr>
                <w:rFonts w:hint="eastAsia" w:cs="Times New Roman"/>
                <w:b/>
                <w:bCs/>
                <w:color w:val="auto"/>
                <w:lang w:val="en-US" w:eastAsia="zh-CN"/>
              </w:rPr>
              <w:t>3</w:t>
            </w:r>
            <w:r>
              <w:rPr>
                <w:rFonts w:hint="default" w:ascii="Times New Roman" w:hAnsi="Times New Roman" w:cs="Times New Roman"/>
                <w:b/>
                <w:bCs/>
                <w:color w:val="auto"/>
              </w:rPr>
              <w:t xml:space="preserve"> </w:t>
            </w:r>
            <w:r>
              <w:rPr>
                <w:rFonts w:hint="eastAsia" w:ascii="Times New Roman" w:hAnsi="Times New Roman" w:cs="Times New Roman"/>
                <w:b/>
                <w:bCs/>
                <w:color w:val="auto"/>
                <w:lang w:val="en-US" w:eastAsia="zh-CN"/>
              </w:rPr>
              <w:t xml:space="preserve"> </w:t>
            </w:r>
            <w:r>
              <w:rPr>
                <w:rFonts w:hint="default" w:ascii="Times New Roman" w:hAnsi="Times New Roman" w:cs="Times New Roman"/>
                <w:b/>
                <w:bCs/>
                <w:color w:val="auto"/>
              </w:rPr>
              <w:t>本项目与“生态环境管控分区”符合性分析表</w:t>
            </w:r>
          </w:p>
          <w:tbl>
            <w:tblPr>
              <w:tblStyle w:val="3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74"/>
              <w:gridCol w:w="3450"/>
              <w:gridCol w:w="2506"/>
            </w:tblGrid>
            <w:tr w14:paraId="38DAD52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5000" w:type="pct"/>
                  <w:gridSpan w:val="3"/>
                  <w:tcBorders>
                    <w:tl2br w:val="nil"/>
                    <w:tr2bl w:val="nil"/>
                  </w:tcBorders>
                  <w:shd w:val="clear" w:color="auto" w:fill="auto"/>
                  <w:vAlign w:val="center"/>
                </w:tcPr>
                <w:p w14:paraId="025E07C4">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一、生态保护红线</w:t>
                  </w:r>
                </w:p>
              </w:tc>
            </w:tr>
            <w:tr w14:paraId="0823888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703" w:type="pct"/>
                  <w:tcBorders>
                    <w:tl2br w:val="nil"/>
                    <w:tr2bl w:val="nil"/>
                  </w:tcBorders>
                  <w:shd w:val="clear" w:color="auto" w:fill="auto"/>
                  <w:vAlign w:val="center"/>
                </w:tcPr>
                <w:p w14:paraId="6DDA39FD">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管控单元类别</w:t>
                  </w:r>
                </w:p>
              </w:tc>
              <w:tc>
                <w:tcPr>
                  <w:tcW w:w="4296" w:type="pct"/>
                  <w:gridSpan w:val="2"/>
                  <w:tcBorders>
                    <w:tl2br w:val="nil"/>
                    <w:tr2bl w:val="nil"/>
                  </w:tcBorders>
                  <w:shd w:val="clear" w:color="auto" w:fill="auto"/>
                  <w:vAlign w:val="center"/>
                </w:tcPr>
                <w:p w14:paraId="1048FB70">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优先保护区</w:t>
                  </w:r>
                </w:p>
              </w:tc>
            </w:tr>
            <w:tr w14:paraId="0E1D845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3" w:type="pct"/>
                  <w:tcBorders>
                    <w:tl2br w:val="nil"/>
                    <w:tr2bl w:val="nil"/>
                  </w:tcBorders>
                  <w:shd w:val="clear" w:color="auto" w:fill="auto"/>
                  <w:vAlign w:val="center"/>
                </w:tcPr>
                <w:p w14:paraId="7003B425">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符合性分析</w:t>
                  </w:r>
                </w:p>
              </w:tc>
              <w:tc>
                <w:tcPr>
                  <w:tcW w:w="4296" w:type="pct"/>
                  <w:gridSpan w:val="2"/>
                  <w:tcBorders>
                    <w:tl2br w:val="nil"/>
                    <w:tr2bl w:val="nil"/>
                  </w:tcBorders>
                  <w:shd w:val="clear" w:color="auto" w:fill="auto"/>
                  <w:vAlign w:val="center"/>
                </w:tcPr>
                <w:p w14:paraId="643CCD3E">
                  <w:pPr>
                    <w:pStyle w:val="91"/>
                    <w:spacing w:line="240" w:lineRule="auto"/>
                    <w:jc w:val="both"/>
                    <w:rPr>
                      <w:rFonts w:hint="default" w:ascii="Times New Roman" w:hAnsi="Times New Roman" w:cs="Times New Roman"/>
                      <w:color w:val="auto"/>
                      <w:sz w:val="18"/>
                      <w:szCs w:val="18"/>
                    </w:rPr>
                  </w:pPr>
                  <w:r>
                    <w:rPr>
                      <w:rFonts w:hint="eastAsia" w:ascii="Times New Roman" w:hAnsi="Times New Roman" w:cs="Times New Roman"/>
                      <w:color w:val="auto"/>
                      <w:sz w:val="18"/>
                      <w:szCs w:val="18"/>
                      <w:lang w:val="en-US" w:eastAsia="zh-CN"/>
                    </w:rPr>
                    <w:t>本</w:t>
                  </w:r>
                  <w:r>
                    <w:rPr>
                      <w:rFonts w:hint="default" w:ascii="Times New Roman" w:hAnsi="Times New Roman" w:cs="Times New Roman"/>
                      <w:color w:val="auto"/>
                      <w:sz w:val="18"/>
                      <w:szCs w:val="18"/>
                    </w:rPr>
                    <w:t>工程</w:t>
                  </w:r>
                  <w:r>
                    <w:rPr>
                      <w:rFonts w:hint="eastAsia" w:ascii="Times New Roman" w:hAnsi="Times New Roman" w:cs="Times New Roman"/>
                      <w:color w:val="auto"/>
                      <w:sz w:val="18"/>
                      <w:szCs w:val="18"/>
                      <w:lang w:val="en-US" w:eastAsia="zh-CN"/>
                    </w:rPr>
                    <w:t>不</w:t>
                  </w:r>
                  <w:r>
                    <w:rPr>
                      <w:rFonts w:hint="default" w:ascii="Times New Roman" w:hAnsi="Times New Roman" w:cs="Times New Roman"/>
                      <w:color w:val="auto"/>
                      <w:sz w:val="18"/>
                      <w:szCs w:val="18"/>
                    </w:rPr>
                    <w:t>涉及生态保护</w:t>
                  </w:r>
                  <w:r>
                    <w:rPr>
                      <w:rFonts w:hint="default" w:ascii="Times New Roman" w:hAnsi="Times New Roman" w:eastAsia="宋体" w:cs="Times New Roman"/>
                      <w:color w:val="auto"/>
                      <w:sz w:val="18"/>
                      <w:szCs w:val="18"/>
                    </w:rPr>
                    <w:t>红线</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属于一般生态空间，</w:t>
                  </w:r>
                  <w:r>
                    <w:rPr>
                      <w:rFonts w:hint="default" w:ascii="Times New Roman" w:hAnsi="Times New Roman" w:eastAsia="宋体" w:cs="Times New Roman"/>
                      <w:color w:val="auto"/>
                      <w:sz w:val="18"/>
                      <w:szCs w:val="18"/>
                      <w:lang w:eastAsia="zh-CN"/>
                    </w:rPr>
                    <w:t>符合要求。</w:t>
                  </w:r>
                </w:p>
              </w:tc>
            </w:tr>
            <w:tr w14:paraId="1F4BA8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5000" w:type="pct"/>
                  <w:gridSpan w:val="3"/>
                  <w:tcBorders>
                    <w:tl2br w:val="nil"/>
                    <w:tr2bl w:val="nil"/>
                  </w:tcBorders>
                  <w:shd w:val="clear" w:color="auto" w:fill="auto"/>
                  <w:vAlign w:val="center"/>
                </w:tcPr>
                <w:p w14:paraId="7D80E8A9">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二、环境质量底线</w:t>
                  </w:r>
                </w:p>
              </w:tc>
            </w:tr>
            <w:tr w14:paraId="734F51D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703" w:type="pct"/>
                  <w:tcBorders>
                    <w:tl2br w:val="nil"/>
                    <w:tr2bl w:val="nil"/>
                  </w:tcBorders>
                  <w:shd w:val="clear" w:color="auto" w:fill="auto"/>
                  <w:vAlign w:val="center"/>
                </w:tcPr>
                <w:p w14:paraId="4290DE09">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大气环境质量底线</w:t>
                  </w:r>
                </w:p>
              </w:tc>
              <w:tc>
                <w:tcPr>
                  <w:tcW w:w="4296" w:type="pct"/>
                  <w:gridSpan w:val="2"/>
                  <w:tcBorders>
                    <w:tl2br w:val="nil"/>
                    <w:tr2bl w:val="nil"/>
                  </w:tcBorders>
                  <w:shd w:val="clear" w:color="auto" w:fill="auto"/>
                  <w:vAlign w:val="center"/>
                </w:tcPr>
                <w:p w14:paraId="75AD8ED4">
                  <w:pPr>
                    <w:pStyle w:val="92"/>
                    <w:spacing w:line="240" w:lineRule="auto"/>
                    <w:ind w:firstLine="42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根据</w:t>
                  </w:r>
                  <w:r>
                    <w:rPr>
                      <w:rFonts w:hint="eastAsia" w:ascii="Times New Roman" w:hAnsi="Times New Roman" w:eastAsia="宋体" w:cs="Times New Roman"/>
                      <w:color w:val="auto"/>
                      <w:kern w:val="0"/>
                      <w:sz w:val="18"/>
                      <w:szCs w:val="18"/>
                      <w:lang w:val="en-US" w:eastAsia="zh-CN" w:bidi="ar-SA"/>
                    </w:rPr>
                    <w:t>黑龙江省生态环境分区管控数据应用平台出具</w:t>
                  </w:r>
                  <w:r>
                    <w:rPr>
                      <w:rFonts w:hint="default" w:ascii="Times New Roman" w:hAnsi="Times New Roman" w:eastAsia="宋体" w:cs="Times New Roman"/>
                      <w:color w:val="auto"/>
                      <w:kern w:val="0"/>
                      <w:sz w:val="18"/>
                      <w:szCs w:val="18"/>
                      <w:lang w:val="en-US" w:eastAsia="zh-CN" w:bidi="ar-SA"/>
                    </w:rPr>
                    <w:t>的《</w:t>
                  </w:r>
                  <w:r>
                    <w:rPr>
                      <w:rFonts w:hint="eastAsia" w:ascii="Times New Roman" w:hAnsi="Times New Roman" w:eastAsia="宋体" w:cs="Times New Roman"/>
                      <w:color w:val="auto"/>
                      <w:kern w:val="0"/>
                      <w:sz w:val="18"/>
                      <w:szCs w:val="18"/>
                      <w:lang w:val="zh-CN" w:eastAsia="zh-CN" w:bidi="ar-SA"/>
                    </w:rPr>
                    <w:t>省道名山至兴凯湖公路兴光至兴凯湖博物馆段路面改造工程</w:t>
                  </w:r>
                  <w:r>
                    <w:rPr>
                      <w:rFonts w:hint="eastAsia" w:ascii="Times New Roman" w:hAnsi="Times New Roman" w:eastAsia="宋体" w:cs="Times New Roman"/>
                      <w:color w:val="auto"/>
                      <w:kern w:val="0"/>
                      <w:sz w:val="18"/>
                      <w:szCs w:val="18"/>
                      <w:lang w:val="en-US" w:eastAsia="zh-CN" w:bidi="ar-SA"/>
                    </w:rPr>
                    <w:t>生态环境分区管控分析报告</w:t>
                  </w:r>
                  <w:r>
                    <w:rPr>
                      <w:rFonts w:hint="default" w:ascii="Times New Roman" w:hAnsi="Times New Roman" w:eastAsia="宋体" w:cs="Times New Roman"/>
                      <w:color w:val="auto"/>
                      <w:kern w:val="0"/>
                      <w:sz w:val="18"/>
                      <w:szCs w:val="18"/>
                      <w:lang w:val="en-US" w:eastAsia="zh-CN" w:bidi="ar-SA"/>
                    </w:rPr>
                    <w:t>》（见附件</w:t>
                  </w:r>
                  <w:r>
                    <w:rPr>
                      <w:rFonts w:hint="eastAsia" w:ascii="Times New Roman" w:hAnsi="Times New Roman" w:eastAsia="宋体" w:cs="Times New Roman"/>
                      <w:color w:val="auto"/>
                      <w:kern w:val="0"/>
                      <w:sz w:val="18"/>
                      <w:szCs w:val="18"/>
                      <w:lang w:val="en-US" w:eastAsia="zh-CN" w:bidi="ar-SA"/>
                    </w:rPr>
                    <w:t>2</w:t>
                  </w:r>
                  <w:r>
                    <w:rPr>
                      <w:rFonts w:hint="default" w:ascii="Times New Roman" w:hAnsi="Times New Roman" w:eastAsia="宋体" w:cs="Times New Roman"/>
                      <w:color w:val="auto"/>
                      <w:kern w:val="0"/>
                      <w:sz w:val="18"/>
                      <w:szCs w:val="18"/>
                      <w:lang w:val="en-US" w:eastAsia="zh-CN" w:bidi="ar-SA"/>
                    </w:rPr>
                    <w:t>），</w:t>
                  </w:r>
                  <w:r>
                    <w:rPr>
                      <w:rFonts w:hint="eastAsia" w:ascii="Times New Roman" w:hAnsi="Times New Roman" w:eastAsia="宋体" w:cs="Times New Roman"/>
                      <w:color w:val="auto"/>
                      <w:kern w:val="0"/>
                      <w:sz w:val="18"/>
                      <w:szCs w:val="18"/>
                      <w:lang w:val="en-US" w:eastAsia="zh-CN" w:bidi="ar-SA"/>
                    </w:rPr>
                    <w:t>本项目位于</w:t>
                  </w:r>
                  <w:r>
                    <w:rPr>
                      <w:rFonts w:hint="default" w:ascii="Times New Roman" w:hAnsi="Times New Roman" w:eastAsia="宋体" w:cs="Times New Roman"/>
                      <w:color w:val="auto"/>
                      <w:kern w:val="0"/>
                      <w:sz w:val="18"/>
                      <w:szCs w:val="18"/>
                      <w:lang w:val="en-US" w:eastAsia="zh-CN" w:bidi="ar-SA"/>
                    </w:rPr>
                    <w:t>密山市水环境城镇生活污染重点管控区</w:t>
                  </w:r>
                  <w:r>
                    <w:rPr>
                      <w:rFonts w:hint="eastAsia" w:ascii="Times New Roman" w:hAnsi="Times New Roman" w:eastAsia="宋体" w:cs="Times New Roman"/>
                      <w:color w:val="auto"/>
                      <w:kern w:val="0"/>
                      <w:sz w:val="18"/>
                      <w:szCs w:val="18"/>
                      <w:lang w:val="en-US" w:eastAsia="zh-CN" w:bidi="ar-SA"/>
                    </w:rPr>
                    <w:t>、密山</w:t>
                  </w:r>
                  <w:r>
                    <w:rPr>
                      <w:rFonts w:hint="default" w:ascii="Times New Roman" w:hAnsi="Times New Roman" w:eastAsia="宋体" w:cs="Times New Roman"/>
                      <w:color w:val="auto"/>
                      <w:kern w:val="0"/>
                      <w:sz w:val="18"/>
                      <w:szCs w:val="18"/>
                      <w:lang w:val="en-US" w:eastAsia="zh-CN" w:bidi="ar-SA"/>
                    </w:rPr>
                    <w:t>市水环境农业污染重点管控区</w:t>
                  </w:r>
                  <w:r>
                    <w:rPr>
                      <w:rFonts w:hint="eastAsia" w:ascii="Times New Roman" w:hAnsi="Times New Roman" w:eastAsia="宋体" w:cs="Times New Roman"/>
                      <w:color w:val="auto"/>
                      <w:kern w:val="0"/>
                      <w:sz w:val="18"/>
                      <w:szCs w:val="18"/>
                      <w:lang w:val="en-US" w:eastAsia="zh-CN" w:bidi="ar-SA"/>
                    </w:rPr>
                    <w:t>、</w:t>
                  </w:r>
                  <w:r>
                    <w:rPr>
                      <w:rFonts w:hint="default" w:ascii="Times New Roman" w:hAnsi="Times New Roman" w:eastAsia="宋体" w:cs="Times New Roman"/>
                      <w:color w:val="auto"/>
                      <w:kern w:val="0"/>
                      <w:sz w:val="18"/>
                      <w:szCs w:val="18"/>
                      <w:lang w:val="en-US" w:eastAsia="zh-CN" w:bidi="ar-SA"/>
                    </w:rPr>
                    <w:t>密山市其他水环境重点管控区</w:t>
                  </w:r>
                  <w:r>
                    <w:rPr>
                      <w:rFonts w:hint="eastAsia" w:ascii="Times New Roman" w:hAnsi="Times New Roman" w:eastAsia="宋体" w:cs="Times New Roman"/>
                      <w:color w:val="auto"/>
                      <w:kern w:val="0"/>
                      <w:sz w:val="18"/>
                      <w:szCs w:val="18"/>
                      <w:lang w:val="en-US" w:eastAsia="zh-CN" w:bidi="ar-SA"/>
                    </w:rPr>
                    <w:t>和</w:t>
                  </w:r>
                  <w:r>
                    <w:rPr>
                      <w:rFonts w:hint="default" w:ascii="Times New Roman" w:hAnsi="Times New Roman" w:eastAsia="宋体" w:cs="Times New Roman"/>
                      <w:color w:val="auto"/>
                      <w:kern w:val="0"/>
                      <w:sz w:val="18"/>
                      <w:szCs w:val="18"/>
                      <w:lang w:val="en-US" w:eastAsia="zh-CN" w:bidi="ar-SA"/>
                    </w:rPr>
                    <w:t>密山市城镇空间</w:t>
                  </w:r>
                  <w:r>
                    <w:rPr>
                      <w:rFonts w:hint="eastAsia" w:ascii="Times New Roman" w:hAnsi="Times New Roman" w:eastAsia="宋体" w:cs="Times New Roman"/>
                      <w:color w:val="auto"/>
                      <w:kern w:val="0"/>
                      <w:sz w:val="18"/>
                      <w:szCs w:val="18"/>
                      <w:lang w:val="en-US" w:eastAsia="zh-CN" w:bidi="ar-SA"/>
                    </w:rPr>
                    <w:t>。</w:t>
                  </w:r>
                </w:p>
                <w:p w14:paraId="6B606924">
                  <w:pPr>
                    <w:pStyle w:val="93"/>
                    <w:spacing w:line="240" w:lineRule="auto"/>
                    <w:ind w:firstLine="482"/>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sq-AL" w:eastAsia="zh-CN" w:bidi="ar-SA"/>
                    </w:rPr>
                    <w:t>本工程</w:t>
                  </w:r>
                  <w:r>
                    <w:rPr>
                      <w:rFonts w:hint="default" w:ascii="Times New Roman" w:hAnsi="Times New Roman" w:eastAsia="宋体" w:cs="Times New Roman"/>
                      <w:color w:val="auto"/>
                      <w:kern w:val="0"/>
                      <w:sz w:val="18"/>
                      <w:szCs w:val="18"/>
                      <w:lang w:val="en-US" w:eastAsia="zh-CN" w:bidi="ar-SA"/>
                    </w:rPr>
                    <w:t>位于</w:t>
                  </w:r>
                  <w:r>
                    <w:rPr>
                      <w:rFonts w:hint="eastAsia" w:ascii="Times New Roman" w:hAnsi="Times New Roman" w:eastAsia="宋体" w:cs="Times New Roman"/>
                      <w:color w:val="auto"/>
                      <w:kern w:val="0"/>
                      <w:sz w:val="18"/>
                      <w:szCs w:val="18"/>
                      <w:lang w:val="en-US" w:eastAsia="zh-CN" w:bidi="ar-SA"/>
                    </w:rPr>
                    <w:t>鸡西市密山市</w:t>
                  </w:r>
                  <w:r>
                    <w:rPr>
                      <w:rFonts w:hint="default" w:ascii="Times New Roman" w:hAnsi="Times New Roman" w:eastAsia="宋体" w:cs="Times New Roman"/>
                      <w:color w:val="auto"/>
                      <w:kern w:val="0"/>
                      <w:sz w:val="18"/>
                      <w:szCs w:val="18"/>
                      <w:lang w:val="en-US" w:eastAsia="zh-CN" w:bidi="ar-SA"/>
                    </w:rPr>
                    <w:t>。根据《2024年黑龙江省生态环境质量状况》，</w:t>
                  </w:r>
                  <w:r>
                    <w:rPr>
                      <w:rFonts w:hint="eastAsia" w:ascii="Times New Roman" w:hAnsi="Times New Roman" w:eastAsia="宋体" w:cs="Times New Roman"/>
                      <w:color w:val="auto"/>
                      <w:kern w:val="0"/>
                      <w:sz w:val="18"/>
                      <w:szCs w:val="18"/>
                      <w:lang w:val="en-US" w:eastAsia="zh-CN" w:bidi="ar-SA"/>
                    </w:rPr>
                    <w:t>鸡西</w:t>
                  </w:r>
                  <w:r>
                    <w:rPr>
                      <w:rFonts w:hint="default" w:ascii="Times New Roman" w:hAnsi="Times New Roman" w:eastAsia="宋体" w:cs="Times New Roman"/>
                      <w:color w:val="auto"/>
                      <w:kern w:val="0"/>
                      <w:sz w:val="18"/>
                      <w:szCs w:val="18"/>
                      <w:lang w:val="en-US" w:eastAsia="zh-CN" w:bidi="ar-SA"/>
                    </w:rPr>
                    <w:t>市2024年环境空气质量为达标区。</w:t>
                  </w:r>
                  <w:r>
                    <w:rPr>
                      <w:rFonts w:hint="eastAsia" w:ascii="Times New Roman" w:hAnsi="Times New Roman" w:eastAsia="宋体" w:cs="Times New Roman"/>
                      <w:color w:val="auto"/>
                      <w:kern w:val="0"/>
                      <w:sz w:val="18"/>
                      <w:szCs w:val="18"/>
                      <w:lang w:val="en-US" w:eastAsia="zh-CN" w:bidi="ar-SA"/>
                    </w:rPr>
                    <w:t>本项目所在区域属于大气环境一般管控区、密山市大气环境受体敏感重点管控区，</w:t>
                  </w:r>
                  <w:r>
                    <w:rPr>
                      <w:rFonts w:hint="default" w:ascii="Times New Roman" w:hAnsi="Times New Roman" w:eastAsia="宋体" w:cs="Times New Roman"/>
                      <w:color w:val="auto"/>
                      <w:kern w:val="0"/>
                      <w:sz w:val="18"/>
                      <w:szCs w:val="18"/>
                      <w:lang w:val="en-US" w:eastAsia="zh-CN" w:bidi="ar-SA"/>
                    </w:rPr>
                    <w:t>项目在施工期会产生一定的施工扬尘及机械尾气，会对项目所在区域的大气环境产生一定的影响，施工结束后影响随之消除。</w:t>
                  </w:r>
                </w:p>
                <w:p w14:paraId="67F7E269">
                  <w:pPr>
                    <w:pStyle w:val="91"/>
                    <w:spacing w:before="0" w:after="0" w:line="240" w:lineRule="auto"/>
                    <w:jc w:val="both"/>
                    <w:rPr>
                      <w:rFonts w:hint="default" w:ascii="Times New Roman" w:hAnsi="Times New Roman" w:cs="Times New Roman"/>
                      <w:color w:val="auto"/>
                      <w:sz w:val="18"/>
                      <w:szCs w:val="18"/>
                    </w:rPr>
                  </w:pPr>
                  <w:r>
                    <w:rPr>
                      <w:rFonts w:hint="default" w:ascii="Times New Roman" w:hAnsi="Times New Roman" w:eastAsia="宋体" w:cs="Times New Roman"/>
                      <w:color w:val="auto"/>
                      <w:kern w:val="0"/>
                      <w:sz w:val="18"/>
                      <w:szCs w:val="18"/>
                      <w:lang w:val="en-US" w:eastAsia="zh-CN" w:bidi="ar-SA"/>
                    </w:rPr>
                    <w:t>项目运</w:t>
                  </w:r>
                  <w:r>
                    <w:rPr>
                      <w:rFonts w:hint="default" w:ascii="Times New Roman" w:hAnsi="Times New Roman" w:cs="Times New Roman"/>
                      <w:color w:val="auto"/>
                      <w:sz w:val="18"/>
                      <w:szCs w:val="18"/>
                    </w:rPr>
                    <w:t>营期废气主要为汽车尾气，公路为开放式区域，扩散条件良好。本项目建设对环境影响较小，不会突破项目所在区域的“大气环境质量底线”。</w:t>
                  </w:r>
                </w:p>
              </w:tc>
            </w:tr>
            <w:tr w14:paraId="1A0FCB9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703" w:type="pct"/>
                  <w:tcBorders>
                    <w:tl2br w:val="nil"/>
                    <w:tr2bl w:val="nil"/>
                  </w:tcBorders>
                  <w:shd w:val="clear" w:color="auto" w:fill="auto"/>
                  <w:vAlign w:val="center"/>
                </w:tcPr>
                <w:p w14:paraId="74E7EA29">
                  <w:pPr>
                    <w:pStyle w:val="91"/>
                    <w:spacing w:before="0" w:after="0" w:line="240" w:lineRule="auto"/>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水环境质量底线</w:t>
                  </w:r>
                </w:p>
              </w:tc>
              <w:tc>
                <w:tcPr>
                  <w:tcW w:w="4296" w:type="pct"/>
                  <w:gridSpan w:val="2"/>
                  <w:tcBorders>
                    <w:tl2br w:val="nil"/>
                    <w:tr2bl w:val="nil"/>
                  </w:tcBorders>
                  <w:shd w:val="clear" w:color="auto" w:fill="auto"/>
                  <w:vAlign w:val="center"/>
                </w:tcPr>
                <w:p w14:paraId="24DC7F5F">
                  <w:pPr>
                    <w:pStyle w:val="91"/>
                    <w:spacing w:before="0" w:after="0" w:line="240" w:lineRule="auto"/>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本项目在施工期会产生一定的</w:t>
                  </w:r>
                  <w:r>
                    <w:rPr>
                      <w:rFonts w:hint="default" w:ascii="Times New Roman" w:hAnsi="Times New Roman" w:eastAsia="宋体" w:cs="Times New Roman"/>
                      <w:color w:val="auto"/>
                      <w:sz w:val="18"/>
                      <w:szCs w:val="18"/>
                      <w:lang w:eastAsia="zh-CN"/>
                    </w:rPr>
                    <w:t>施工</w:t>
                  </w:r>
                  <w:r>
                    <w:rPr>
                      <w:rFonts w:hint="eastAsia" w:ascii="Times New Roman" w:hAnsi="Times New Roman" w:eastAsia="宋体" w:cs="Times New Roman"/>
                      <w:color w:val="auto"/>
                      <w:sz w:val="18"/>
                      <w:szCs w:val="18"/>
                      <w:lang w:eastAsia="zh-CN"/>
                    </w:rPr>
                    <w:t>废水</w:t>
                  </w:r>
                  <w:r>
                    <w:rPr>
                      <w:rFonts w:hint="default" w:ascii="Times New Roman" w:hAnsi="Times New Roman" w:eastAsia="宋体" w:cs="Times New Roman"/>
                      <w:color w:val="auto"/>
                      <w:sz w:val="18"/>
                      <w:szCs w:val="18"/>
                    </w:rPr>
                    <w:t>，会对项目所在区域的</w:t>
                  </w:r>
                  <w:r>
                    <w:rPr>
                      <w:rFonts w:hint="eastAsia" w:ascii="Times New Roman" w:hAnsi="Times New Roman" w:eastAsia="宋体" w:cs="Times New Roman"/>
                      <w:color w:val="auto"/>
                      <w:sz w:val="18"/>
                      <w:szCs w:val="18"/>
                      <w:lang w:eastAsia="zh-CN"/>
                    </w:rPr>
                    <w:t>地表水</w:t>
                  </w:r>
                  <w:r>
                    <w:rPr>
                      <w:rFonts w:hint="default" w:ascii="Times New Roman" w:hAnsi="Times New Roman" w:eastAsia="宋体" w:cs="Times New Roman"/>
                      <w:color w:val="auto"/>
                      <w:sz w:val="18"/>
                      <w:szCs w:val="18"/>
                    </w:rPr>
                    <w:t>环境产生一定的影响，施工结束后影响随之消除。运行期</w:t>
                  </w:r>
                  <w:r>
                    <w:rPr>
                      <w:rFonts w:hint="eastAsia" w:ascii="Times New Roman" w:hAnsi="Times New Roman" w:eastAsia="宋体" w:cs="Times New Roman"/>
                      <w:color w:val="auto"/>
                      <w:sz w:val="18"/>
                      <w:szCs w:val="18"/>
                      <w:lang w:val="en-US" w:eastAsia="zh-CN"/>
                    </w:rPr>
                    <w:t>不产生废水，故</w:t>
                  </w:r>
                  <w:r>
                    <w:rPr>
                      <w:rFonts w:hint="default" w:ascii="Times New Roman" w:hAnsi="Times New Roman" w:eastAsia="宋体" w:cs="Times New Roman"/>
                      <w:color w:val="auto"/>
                      <w:sz w:val="18"/>
                      <w:szCs w:val="18"/>
                    </w:rPr>
                    <w:t>本项目</w:t>
                  </w:r>
                  <w:r>
                    <w:rPr>
                      <w:rFonts w:hint="eastAsia" w:ascii="Times New Roman" w:hAnsi="Times New Roman" w:eastAsia="宋体" w:cs="Times New Roman"/>
                      <w:color w:val="auto"/>
                      <w:sz w:val="18"/>
                      <w:szCs w:val="18"/>
                      <w:lang w:eastAsia="zh-CN"/>
                    </w:rPr>
                    <w:t>实施后</w:t>
                  </w:r>
                  <w:r>
                    <w:rPr>
                      <w:rFonts w:hint="default" w:ascii="Times New Roman" w:hAnsi="Times New Roman" w:eastAsia="宋体" w:cs="Times New Roman"/>
                      <w:color w:val="auto"/>
                      <w:sz w:val="18"/>
                      <w:szCs w:val="18"/>
                    </w:rPr>
                    <w:t>不会导致区域环境质量降低，与环境质量底线相符合。本项目对周围环境影响较小，不会突破所“水环境质量底线”。</w:t>
                  </w:r>
                </w:p>
              </w:tc>
            </w:tr>
            <w:tr w14:paraId="1F15B44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703" w:type="pct"/>
                  <w:tcBorders>
                    <w:tl2br w:val="nil"/>
                    <w:tr2bl w:val="nil"/>
                  </w:tcBorders>
                  <w:shd w:val="clear" w:color="auto" w:fill="auto"/>
                  <w:vAlign w:val="center"/>
                </w:tcPr>
                <w:p w14:paraId="2C949EED">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地下水环境质量底线</w:t>
                  </w:r>
                </w:p>
              </w:tc>
              <w:tc>
                <w:tcPr>
                  <w:tcW w:w="4296" w:type="pct"/>
                  <w:gridSpan w:val="2"/>
                  <w:tcBorders>
                    <w:tl2br w:val="nil"/>
                    <w:tr2bl w:val="nil"/>
                  </w:tcBorders>
                  <w:shd w:val="clear" w:color="auto" w:fill="auto"/>
                  <w:vAlign w:val="center"/>
                </w:tcPr>
                <w:p w14:paraId="3B362A2D">
                  <w:pPr>
                    <w:pStyle w:val="91"/>
                    <w:spacing w:before="0" w:after="0" w:line="240" w:lineRule="auto"/>
                    <w:jc w:val="both"/>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项目的运行期、施工期采取相应环保措施后不会对地下水及土壤环境产生不利影响，不会突破区域内“土壤环境质量底线”、“地下水环境质量底线”。</w:t>
                  </w:r>
                </w:p>
              </w:tc>
            </w:tr>
            <w:tr w14:paraId="4B71C41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5000" w:type="pct"/>
                  <w:gridSpan w:val="3"/>
                  <w:tcBorders>
                    <w:tl2br w:val="nil"/>
                    <w:tr2bl w:val="nil"/>
                  </w:tcBorders>
                  <w:shd w:val="clear" w:color="auto" w:fill="auto"/>
                  <w:vAlign w:val="center"/>
                </w:tcPr>
                <w:p w14:paraId="0FC5B3FF">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三、资源利用上线</w:t>
                  </w:r>
                </w:p>
              </w:tc>
            </w:tr>
            <w:tr w14:paraId="40D0E0B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5000" w:type="pct"/>
                  <w:gridSpan w:val="3"/>
                  <w:tcBorders>
                    <w:tl2br w:val="nil"/>
                    <w:tr2bl w:val="nil"/>
                  </w:tcBorders>
                  <w:shd w:val="clear" w:color="auto" w:fill="auto"/>
                  <w:vAlign w:val="center"/>
                </w:tcPr>
                <w:p w14:paraId="182AF6A2">
                  <w:pPr>
                    <w:pStyle w:val="91"/>
                    <w:spacing w:line="240" w:lineRule="auto"/>
                    <w:jc w:val="both"/>
                    <w:rPr>
                      <w:rFonts w:hint="default" w:ascii="Times New Roman" w:hAnsi="Times New Roman" w:cs="Times New Roman"/>
                      <w:color w:val="auto"/>
                      <w:sz w:val="18"/>
                      <w:szCs w:val="18"/>
                    </w:rPr>
                  </w:pPr>
                  <w:r>
                    <w:rPr>
                      <w:rFonts w:hint="default" w:ascii="Times New Roman" w:hAnsi="Times New Roman" w:eastAsia="宋体" w:cs="Times New Roman"/>
                      <w:color w:val="auto"/>
                      <w:kern w:val="0"/>
                      <w:sz w:val="18"/>
                      <w:szCs w:val="18"/>
                      <w:lang w:val="en-US" w:eastAsia="zh-CN" w:bidi="ar-SA"/>
                    </w:rPr>
                    <w:t>本工程</w:t>
                  </w:r>
                  <w:r>
                    <w:rPr>
                      <w:rFonts w:hint="eastAsia" w:ascii="Times New Roman" w:hAnsi="Times New Roman" w:eastAsia="宋体" w:cs="Times New Roman"/>
                      <w:color w:val="auto"/>
                      <w:kern w:val="0"/>
                      <w:sz w:val="18"/>
                      <w:szCs w:val="18"/>
                      <w:lang w:val="en-US" w:eastAsia="zh-CN" w:bidi="ar-SA"/>
                    </w:rPr>
                    <w:t>所在区域属于自然资源一般管控区。本工程</w:t>
                  </w:r>
                  <w:r>
                    <w:rPr>
                      <w:rFonts w:hint="default" w:ascii="Times New Roman" w:hAnsi="Times New Roman" w:eastAsia="宋体" w:cs="Times New Roman"/>
                      <w:color w:val="auto"/>
                      <w:kern w:val="0"/>
                      <w:sz w:val="18"/>
                      <w:szCs w:val="18"/>
                      <w:lang w:val="en-US" w:eastAsia="zh-CN" w:bidi="ar-SA"/>
                    </w:rPr>
                    <w:t>不涉及新增永久占地，工程临时占地</w:t>
                  </w:r>
                  <w:r>
                    <w:rPr>
                      <w:rFonts w:hint="eastAsia" w:ascii="Times New Roman" w:hAnsi="Times New Roman" w:eastAsia="宋体" w:cs="Times New Roman"/>
                      <w:color w:val="auto"/>
                      <w:kern w:val="0"/>
                      <w:sz w:val="18"/>
                      <w:szCs w:val="18"/>
                      <w:lang w:val="en-US" w:eastAsia="zh-CN" w:bidi="ar-SA"/>
                    </w:rPr>
                    <w:t>为租用工业场地。</w:t>
                  </w:r>
                  <w:r>
                    <w:rPr>
                      <w:rFonts w:hint="default" w:ascii="Times New Roman" w:hAnsi="Times New Roman" w:eastAsia="宋体" w:cs="Times New Roman"/>
                      <w:color w:val="auto"/>
                      <w:kern w:val="0"/>
                      <w:sz w:val="18"/>
                      <w:szCs w:val="18"/>
                      <w:lang w:val="en-US" w:eastAsia="zh-CN" w:bidi="ar-SA"/>
                    </w:rPr>
                    <w:t>因此，本工程</w:t>
                  </w:r>
                  <w:r>
                    <w:rPr>
                      <w:rFonts w:hint="eastAsia" w:ascii="Times New Roman" w:hAnsi="Times New Roman" w:eastAsia="宋体" w:cs="Times New Roman"/>
                      <w:color w:val="auto"/>
                      <w:kern w:val="0"/>
                      <w:sz w:val="18"/>
                      <w:szCs w:val="18"/>
                      <w:lang w:val="en-US" w:eastAsia="zh-CN" w:bidi="ar-SA"/>
                    </w:rPr>
                    <w:t>建设</w:t>
                  </w:r>
                  <w:r>
                    <w:rPr>
                      <w:rFonts w:hint="default" w:ascii="Times New Roman" w:hAnsi="Times New Roman" w:eastAsia="宋体" w:cs="Times New Roman"/>
                      <w:color w:val="auto"/>
                      <w:kern w:val="0"/>
                      <w:sz w:val="18"/>
                      <w:szCs w:val="18"/>
                      <w:lang w:val="en-US" w:eastAsia="zh-CN" w:bidi="ar-SA"/>
                    </w:rPr>
                    <w:t>对工程所在区域土地资源影响较小，不会超过其土地利用资源上限</w:t>
                  </w:r>
                  <w:r>
                    <w:rPr>
                      <w:rFonts w:hint="default" w:ascii="Times New Roman" w:hAnsi="Times New Roman" w:cs="Times New Roman"/>
                      <w:color w:val="auto"/>
                      <w:sz w:val="18"/>
                      <w:szCs w:val="18"/>
                    </w:rPr>
                    <w:t>。</w:t>
                  </w:r>
                </w:p>
              </w:tc>
            </w:tr>
            <w:tr w14:paraId="0DC5EE4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5000" w:type="pct"/>
                  <w:gridSpan w:val="3"/>
                  <w:tcBorders>
                    <w:tl2br w:val="nil"/>
                    <w:tr2bl w:val="nil"/>
                  </w:tcBorders>
                  <w:shd w:val="clear" w:color="auto" w:fill="auto"/>
                  <w:vAlign w:val="center"/>
                </w:tcPr>
                <w:p w14:paraId="2DA344A7">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四、生态环境准入清单</w:t>
                  </w:r>
                </w:p>
              </w:tc>
            </w:tr>
            <w:tr w14:paraId="665A915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703" w:type="pct"/>
                  <w:tcBorders>
                    <w:tl2br w:val="nil"/>
                    <w:tr2bl w:val="nil"/>
                  </w:tcBorders>
                  <w:shd w:val="clear" w:color="auto" w:fill="auto"/>
                  <w:vAlign w:val="center"/>
                </w:tcPr>
                <w:p w14:paraId="6F3754E0">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环境管控单元名称</w:t>
                  </w:r>
                </w:p>
              </w:tc>
              <w:tc>
                <w:tcPr>
                  <w:tcW w:w="4296" w:type="pct"/>
                  <w:gridSpan w:val="2"/>
                  <w:tcBorders>
                    <w:tl2br w:val="nil"/>
                    <w:tr2bl w:val="nil"/>
                  </w:tcBorders>
                  <w:shd w:val="clear" w:color="auto" w:fill="auto"/>
                  <w:vAlign w:val="center"/>
                </w:tcPr>
                <w:p w14:paraId="2392869D">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密山市一般生态空间</w:t>
                  </w:r>
                </w:p>
              </w:tc>
            </w:tr>
            <w:tr w14:paraId="6393D04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703" w:type="pct"/>
                  <w:tcBorders>
                    <w:tl2br w:val="nil"/>
                    <w:tr2bl w:val="nil"/>
                  </w:tcBorders>
                  <w:shd w:val="clear" w:color="auto" w:fill="auto"/>
                  <w:vAlign w:val="center"/>
                </w:tcPr>
                <w:p w14:paraId="288C012D">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环境管控单元编码</w:t>
                  </w:r>
                </w:p>
              </w:tc>
              <w:tc>
                <w:tcPr>
                  <w:tcW w:w="4296" w:type="pct"/>
                  <w:gridSpan w:val="2"/>
                  <w:tcBorders>
                    <w:tl2br w:val="nil"/>
                    <w:tr2bl w:val="nil"/>
                  </w:tcBorders>
                  <w:shd w:val="clear" w:color="auto" w:fill="auto"/>
                  <w:vAlign w:val="center"/>
                </w:tcPr>
                <w:p w14:paraId="6688B558">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ZH23038210002</w:t>
                  </w:r>
                </w:p>
              </w:tc>
            </w:tr>
            <w:tr w14:paraId="35EB35C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703" w:type="pct"/>
                  <w:tcBorders>
                    <w:tl2br w:val="nil"/>
                    <w:tr2bl w:val="nil"/>
                  </w:tcBorders>
                  <w:shd w:val="clear" w:color="auto" w:fill="auto"/>
                  <w:vAlign w:val="center"/>
                </w:tcPr>
                <w:p w14:paraId="6B331137">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管控单元类别</w:t>
                  </w:r>
                </w:p>
              </w:tc>
              <w:tc>
                <w:tcPr>
                  <w:tcW w:w="4296" w:type="pct"/>
                  <w:gridSpan w:val="2"/>
                  <w:tcBorders>
                    <w:tl2br w:val="nil"/>
                    <w:tr2bl w:val="nil"/>
                  </w:tcBorders>
                  <w:shd w:val="clear" w:color="auto" w:fill="auto"/>
                  <w:vAlign w:val="center"/>
                </w:tcPr>
                <w:p w14:paraId="19A5E0F7">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优先保护单元</w:t>
                  </w:r>
                </w:p>
              </w:tc>
            </w:tr>
            <w:tr w14:paraId="30CA45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3192" w:type="pct"/>
                  <w:gridSpan w:val="2"/>
                  <w:tcBorders>
                    <w:tl2br w:val="nil"/>
                    <w:tr2bl w:val="nil"/>
                  </w:tcBorders>
                  <w:shd w:val="clear" w:color="auto" w:fill="auto"/>
                  <w:vAlign w:val="center"/>
                </w:tcPr>
                <w:p w14:paraId="08EAE8F9">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管控要求</w:t>
                  </w:r>
                </w:p>
              </w:tc>
              <w:tc>
                <w:tcPr>
                  <w:tcW w:w="1807" w:type="pct"/>
                  <w:tcBorders>
                    <w:tl2br w:val="nil"/>
                    <w:tr2bl w:val="nil"/>
                  </w:tcBorders>
                  <w:shd w:val="clear" w:color="auto" w:fill="auto"/>
                  <w:vAlign w:val="center"/>
                </w:tcPr>
                <w:p w14:paraId="777E027B">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符合性分析</w:t>
                  </w:r>
                </w:p>
              </w:tc>
            </w:tr>
            <w:tr w14:paraId="28F7AF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703" w:type="pct"/>
                  <w:tcBorders>
                    <w:tl2br w:val="nil"/>
                    <w:tr2bl w:val="nil"/>
                  </w:tcBorders>
                  <w:shd w:val="clear" w:color="auto" w:fill="auto"/>
                  <w:vAlign w:val="center"/>
                </w:tcPr>
                <w:p w14:paraId="0E4A16DD">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空间布局约束</w:t>
                  </w:r>
                </w:p>
              </w:tc>
              <w:tc>
                <w:tcPr>
                  <w:tcW w:w="2489" w:type="pct"/>
                  <w:tcBorders>
                    <w:tl2br w:val="nil"/>
                    <w:tr2bl w:val="nil"/>
                  </w:tcBorders>
                  <w:shd w:val="clear" w:color="auto" w:fill="auto"/>
                  <w:vAlign w:val="center"/>
                </w:tcPr>
                <w:p w14:paraId="7697700D">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1.区域执行本清单</w:t>
                  </w:r>
                  <w:r>
                    <w:rPr>
                      <w:rFonts w:hint="eastAsia" w:ascii="Times New Roman" w:hAnsi="Times New Roman" w:eastAsia="宋体" w:cs="Times New Roman"/>
                      <w:color w:val="auto"/>
                      <w:kern w:val="0"/>
                      <w:sz w:val="18"/>
                      <w:szCs w:val="18"/>
                      <w:lang w:val="en-US" w:eastAsia="zh-CN" w:bidi="ar-SA"/>
                    </w:rPr>
                    <w:t>全省准入要求中“3.1 总体要求”。</w:t>
                  </w:r>
                </w:p>
                <w:p w14:paraId="4EB27BC3">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2.生物多样性维护功能重要区、水土保持功能重要区同时执行本清单全省准入要求中“3.2 生态重要功能评价区”准入要求。</w:t>
                  </w:r>
                </w:p>
                <w:p w14:paraId="174BE1E8">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3.水土流失敏感区同时执行本清单全省准入要求中“3.3 生态敏感评价区”准入要求。</w:t>
                  </w:r>
                </w:p>
                <w:p w14:paraId="0FA97BEE">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kern w:val="0"/>
                      <w:sz w:val="18"/>
                      <w:szCs w:val="18"/>
                      <w:lang w:val="en-US" w:eastAsia="zh-CN" w:bidi="ar-SA"/>
                    </w:rPr>
                    <w:t>4.黑龙江密山马兰花省级湿地公园同时执行本清单全省准入要求中</w:t>
                  </w:r>
                  <w:r>
                    <w:rPr>
                      <w:rFonts w:hint="default" w:ascii="Times New Roman" w:hAnsi="Times New Roman" w:eastAsia="宋体" w:cs="Times New Roman"/>
                      <w:color w:val="auto"/>
                      <w:kern w:val="0"/>
                      <w:sz w:val="18"/>
                      <w:szCs w:val="18"/>
                      <w:lang w:val="en-US" w:eastAsia="zh-CN" w:bidi="ar-SA"/>
                    </w:rPr>
                    <w:t>“4.6 湿地公园”</w:t>
                  </w:r>
                  <w:r>
                    <w:rPr>
                      <w:rFonts w:hint="eastAsia" w:ascii="Times New Roman" w:hAnsi="Times New Roman" w:eastAsia="宋体" w:cs="Times New Roman"/>
                      <w:color w:val="auto"/>
                      <w:kern w:val="0"/>
                      <w:sz w:val="18"/>
                      <w:szCs w:val="18"/>
                      <w:lang w:val="en-US" w:eastAsia="zh-CN" w:bidi="ar-SA"/>
                    </w:rPr>
                    <w:t>准入要求。</w:t>
                  </w:r>
                </w:p>
              </w:tc>
              <w:tc>
                <w:tcPr>
                  <w:tcW w:w="1807" w:type="pct"/>
                  <w:tcBorders>
                    <w:tl2br w:val="nil"/>
                    <w:tr2bl w:val="nil"/>
                  </w:tcBorders>
                  <w:shd w:val="clear" w:color="auto" w:fill="auto"/>
                  <w:vAlign w:val="center"/>
                </w:tcPr>
                <w:p w14:paraId="513D4A0A">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本项目为现有公路路面改造工程，不属于开发性、生产型建设活动</w:t>
                  </w:r>
                  <w:r>
                    <w:rPr>
                      <w:rFonts w:hint="eastAsia" w:ascii="Times New Roman" w:hAnsi="Times New Roman" w:eastAsia="宋体" w:cs="Times New Roman"/>
                      <w:color w:val="auto"/>
                      <w:kern w:val="0"/>
                      <w:sz w:val="18"/>
                      <w:szCs w:val="18"/>
                      <w:lang w:val="en-US" w:eastAsia="zh-CN" w:bidi="ar-SA"/>
                    </w:rPr>
                    <w:t>，无新增</w:t>
                  </w:r>
                  <w:r>
                    <w:rPr>
                      <w:rFonts w:hint="default" w:ascii="Times New Roman" w:hAnsi="Times New Roman" w:eastAsia="宋体" w:cs="Times New Roman"/>
                      <w:color w:val="auto"/>
                      <w:kern w:val="0"/>
                      <w:sz w:val="18"/>
                      <w:szCs w:val="18"/>
                      <w:lang w:val="en-US" w:eastAsia="zh-CN" w:bidi="ar-SA"/>
                    </w:rPr>
                    <w:t>永久占地</w:t>
                  </w:r>
                  <w:r>
                    <w:rPr>
                      <w:rFonts w:hint="eastAsia" w:ascii="Times New Roman" w:hAnsi="Times New Roman" w:eastAsia="宋体" w:cs="Times New Roman"/>
                      <w:color w:val="auto"/>
                      <w:kern w:val="0"/>
                      <w:sz w:val="18"/>
                      <w:szCs w:val="18"/>
                      <w:lang w:val="en-US" w:eastAsia="zh-CN" w:bidi="ar-SA"/>
                    </w:rPr>
                    <w:t>，沿线不涉及生物多样性维护功能重要区、水土保持功能重要区、水土流失敏感区、湿地公园及饮用水水源地保护区等生态敏感区</w:t>
                  </w:r>
                  <w:r>
                    <w:rPr>
                      <w:rFonts w:hint="default" w:ascii="Times New Roman" w:hAnsi="Times New Roman" w:eastAsia="宋体" w:cs="Times New Roman"/>
                      <w:color w:val="auto"/>
                      <w:kern w:val="0"/>
                      <w:sz w:val="18"/>
                      <w:szCs w:val="18"/>
                      <w:lang w:val="en-US" w:eastAsia="zh-CN" w:bidi="ar-SA"/>
                    </w:rPr>
                    <w:t>。</w:t>
                  </w:r>
                </w:p>
              </w:tc>
            </w:tr>
            <w:tr w14:paraId="51ECAE9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703" w:type="pct"/>
                  <w:tcBorders>
                    <w:tl2br w:val="nil"/>
                    <w:tr2bl w:val="nil"/>
                  </w:tcBorders>
                  <w:shd w:val="clear" w:color="auto" w:fill="auto"/>
                  <w:vAlign w:val="center"/>
                </w:tcPr>
                <w:p w14:paraId="5435950E">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环境管控单元名称</w:t>
                  </w:r>
                </w:p>
              </w:tc>
              <w:tc>
                <w:tcPr>
                  <w:tcW w:w="4296" w:type="pct"/>
                  <w:gridSpan w:val="2"/>
                  <w:tcBorders>
                    <w:tl2br w:val="nil"/>
                    <w:tr2bl w:val="nil"/>
                  </w:tcBorders>
                  <w:shd w:val="clear" w:color="auto" w:fill="auto"/>
                  <w:vAlign w:val="center"/>
                </w:tcPr>
                <w:p w14:paraId="3109447D">
                  <w:pPr>
                    <w:pStyle w:val="91"/>
                    <w:numPr>
                      <w:ilvl w:val="0"/>
                      <w:numId w:val="0"/>
                    </w:numPr>
                    <w:spacing w:before="0" w:after="0" w:line="240" w:lineRule="auto"/>
                    <w:ind w:right="0" w:rightChars="0"/>
                    <w:jc w:val="center"/>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密山市水环境城镇生活污染重点管控区</w:t>
                  </w:r>
                </w:p>
              </w:tc>
            </w:tr>
            <w:tr w14:paraId="70E3A16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54" w:hRule="atLeast"/>
                <w:jc w:val="center"/>
              </w:trPr>
              <w:tc>
                <w:tcPr>
                  <w:tcW w:w="703" w:type="pct"/>
                  <w:tcBorders>
                    <w:tl2br w:val="nil"/>
                    <w:tr2bl w:val="nil"/>
                  </w:tcBorders>
                  <w:shd w:val="clear" w:color="auto" w:fill="auto"/>
                  <w:vAlign w:val="center"/>
                </w:tcPr>
                <w:p w14:paraId="40AD5D63">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环境管控单元编码</w:t>
                  </w:r>
                </w:p>
              </w:tc>
              <w:tc>
                <w:tcPr>
                  <w:tcW w:w="4296" w:type="pct"/>
                  <w:gridSpan w:val="2"/>
                  <w:tcBorders>
                    <w:tl2br w:val="nil"/>
                    <w:tr2bl w:val="nil"/>
                  </w:tcBorders>
                  <w:shd w:val="clear" w:color="auto" w:fill="auto"/>
                  <w:vAlign w:val="center"/>
                </w:tcPr>
                <w:p w14:paraId="37AB602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ZH23038220003</w:t>
                  </w:r>
                </w:p>
              </w:tc>
            </w:tr>
            <w:tr w14:paraId="58EA7E8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703" w:type="pct"/>
                  <w:tcBorders>
                    <w:tl2br w:val="nil"/>
                    <w:tr2bl w:val="nil"/>
                  </w:tcBorders>
                  <w:shd w:val="clear" w:color="auto" w:fill="auto"/>
                  <w:vAlign w:val="center"/>
                </w:tcPr>
                <w:p w14:paraId="444A4795">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管控单元类别</w:t>
                  </w:r>
                </w:p>
              </w:tc>
              <w:tc>
                <w:tcPr>
                  <w:tcW w:w="4296" w:type="pct"/>
                  <w:gridSpan w:val="2"/>
                  <w:tcBorders>
                    <w:tl2br w:val="nil"/>
                    <w:tr2bl w:val="nil"/>
                  </w:tcBorders>
                  <w:shd w:val="clear" w:color="auto" w:fill="auto"/>
                  <w:vAlign w:val="center"/>
                </w:tcPr>
                <w:p w14:paraId="497C11CA">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重点管控单元</w:t>
                  </w:r>
                </w:p>
              </w:tc>
            </w:tr>
            <w:tr w14:paraId="78182F0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192" w:type="pct"/>
                  <w:gridSpan w:val="2"/>
                  <w:tcBorders>
                    <w:tl2br w:val="nil"/>
                    <w:tr2bl w:val="nil"/>
                  </w:tcBorders>
                  <w:shd w:val="clear" w:color="auto" w:fill="auto"/>
                  <w:vAlign w:val="center"/>
                </w:tcPr>
                <w:p w14:paraId="76324D16">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管控要求</w:t>
                  </w:r>
                </w:p>
              </w:tc>
              <w:tc>
                <w:tcPr>
                  <w:tcW w:w="1807" w:type="pct"/>
                  <w:tcBorders>
                    <w:tl2br w:val="nil"/>
                    <w:tr2bl w:val="nil"/>
                  </w:tcBorders>
                  <w:shd w:val="clear" w:color="auto" w:fill="auto"/>
                  <w:vAlign w:val="center"/>
                </w:tcPr>
                <w:p w14:paraId="3F1AF79A">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项目符合性分析</w:t>
                  </w:r>
                </w:p>
              </w:tc>
            </w:tr>
            <w:tr w14:paraId="607759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5D0962A8">
                  <w:pPr>
                    <w:pStyle w:val="91"/>
                    <w:spacing w:line="240" w:lineRule="auto"/>
                    <w:rPr>
                      <w:rFonts w:hint="eastAsia" w:ascii="Times New Roman" w:hAnsi="Times New Roman" w:eastAsia="宋体" w:cs="Times New Roman"/>
                      <w:color w:val="auto"/>
                      <w:sz w:val="18"/>
                      <w:szCs w:val="18"/>
                      <w:lang w:eastAsia="zh-CN"/>
                    </w:rPr>
                  </w:pPr>
                  <w:r>
                    <w:rPr>
                      <w:rFonts w:hint="eastAsia" w:ascii="Times New Roman" w:hAnsi="Times New Roman" w:cs="Times New Roman"/>
                      <w:color w:val="auto"/>
                      <w:sz w:val="18"/>
                      <w:szCs w:val="18"/>
                      <w:lang w:val="en-US" w:eastAsia="zh-CN"/>
                    </w:rPr>
                    <w:t>管控要求</w:t>
                  </w:r>
                </w:p>
              </w:tc>
              <w:tc>
                <w:tcPr>
                  <w:tcW w:w="2489" w:type="pct"/>
                  <w:tcBorders>
                    <w:tl2br w:val="nil"/>
                    <w:tr2bl w:val="nil"/>
                  </w:tcBorders>
                  <w:shd w:val="clear" w:color="auto" w:fill="auto"/>
                  <w:vAlign w:val="center"/>
                </w:tcPr>
                <w:p w14:paraId="4CB8C1AB">
                  <w:pPr>
                    <w:pStyle w:val="91"/>
                    <w:spacing w:before="0" w:after="0" w:line="240" w:lineRule="auto"/>
                    <w:rPr>
                      <w:rFonts w:hint="default" w:ascii="Times New Roman" w:hAnsi="Times New Roman" w:cs="Times New Roman"/>
                      <w:color w:val="auto"/>
                      <w:sz w:val="18"/>
                      <w:szCs w:val="18"/>
                    </w:rPr>
                  </w:pPr>
                  <w:r>
                    <w:rPr>
                      <w:rFonts w:hint="default" w:ascii="Times New Roman" w:hAnsi="Times New Roman" w:eastAsia="宋体" w:cs="Times New Roman"/>
                      <w:color w:val="auto"/>
                      <w:sz w:val="18"/>
                      <w:szCs w:val="18"/>
                      <w:lang w:eastAsia="zh-CN"/>
                    </w:rPr>
                    <w:t>一、空间布局约束除干旱地区外，新建城区应全面实行雨污分流，鼓励对初期雨水进行收集、处理和资源化利用。二、污染物排放管控 1.新区污水管网规划建设应当与城市开发同步推进，除干旱地区外均实行雨污分流。 2.强化城中村、老旧城区和城乡结合部污水截流、收集。 3.推进合流制排水系统雨污分流改造，难以改造的，应采取截流、调蓄和治理等措施；推进现有污水处理设施配套管网建设；进一步提高城市、县城生活污水收集处理效能。 4.县级以上人民政府应当根据国土空间、水污染防治、城镇排水与污水处理等规划，合理确定城镇排水与污水处理设施建设标准，统筹安排管网、泵站、污水处理厂以及污泥处理处置、再生水利用、雨水调蓄和排放等排水与污水处理设施建设和改造，提高城镇污水收集率和处理率。</w:t>
                  </w:r>
                </w:p>
              </w:tc>
              <w:tc>
                <w:tcPr>
                  <w:tcW w:w="1807" w:type="pct"/>
                  <w:tcBorders>
                    <w:tl2br w:val="nil"/>
                    <w:tr2bl w:val="nil"/>
                  </w:tcBorders>
                  <w:shd w:val="clear" w:color="auto" w:fill="auto"/>
                  <w:vAlign w:val="center"/>
                </w:tcPr>
                <w:p w14:paraId="41CBD039">
                  <w:pPr>
                    <w:pStyle w:val="91"/>
                    <w:spacing w:before="0" w:after="0"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本项目为公路改建项目，</w:t>
                  </w:r>
                  <w:r>
                    <w:rPr>
                      <w:rFonts w:hint="eastAsia" w:ascii="Times New Roman" w:hAnsi="Times New Roman" w:cs="Times New Roman"/>
                      <w:color w:val="auto"/>
                      <w:sz w:val="18"/>
                      <w:szCs w:val="18"/>
                      <w:lang w:val="en-US" w:eastAsia="zh-CN"/>
                    </w:rPr>
                    <w:t>不涉及雨污分流、水污染物排放</w:t>
                  </w:r>
                  <w:r>
                    <w:rPr>
                      <w:rFonts w:hint="default" w:ascii="Times New Roman" w:hAnsi="Times New Roman" w:cs="Times New Roman"/>
                      <w:color w:val="auto"/>
                      <w:sz w:val="18"/>
                      <w:szCs w:val="18"/>
                    </w:rPr>
                    <w:t>。</w:t>
                  </w:r>
                </w:p>
              </w:tc>
            </w:tr>
            <w:tr w14:paraId="131B36C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14224DA0">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环境管控单元名称</w:t>
                  </w:r>
                </w:p>
              </w:tc>
              <w:tc>
                <w:tcPr>
                  <w:tcW w:w="4296" w:type="pct"/>
                  <w:gridSpan w:val="2"/>
                  <w:tcBorders>
                    <w:tl2br w:val="nil"/>
                    <w:tr2bl w:val="nil"/>
                  </w:tcBorders>
                  <w:shd w:val="clear" w:color="auto" w:fill="auto"/>
                  <w:vAlign w:val="center"/>
                </w:tcPr>
                <w:p w14:paraId="7583277E">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密山市城镇空间</w:t>
                  </w:r>
                </w:p>
              </w:tc>
            </w:tr>
            <w:tr w14:paraId="3B974B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44567157">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环境管控单元编码</w:t>
                  </w:r>
                </w:p>
              </w:tc>
              <w:tc>
                <w:tcPr>
                  <w:tcW w:w="4296" w:type="pct"/>
                  <w:gridSpan w:val="2"/>
                  <w:tcBorders>
                    <w:tl2br w:val="nil"/>
                    <w:tr2bl w:val="nil"/>
                  </w:tcBorders>
                  <w:shd w:val="clear" w:color="auto" w:fill="auto"/>
                  <w:vAlign w:val="center"/>
                </w:tcPr>
                <w:p w14:paraId="3B06ABBA">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ZH23038220002</w:t>
                  </w:r>
                </w:p>
              </w:tc>
            </w:tr>
            <w:tr w14:paraId="4184010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3EEFEE6C">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管控单元类别</w:t>
                  </w:r>
                </w:p>
              </w:tc>
              <w:tc>
                <w:tcPr>
                  <w:tcW w:w="4296" w:type="pct"/>
                  <w:gridSpan w:val="2"/>
                  <w:tcBorders>
                    <w:tl2br w:val="nil"/>
                    <w:tr2bl w:val="nil"/>
                  </w:tcBorders>
                  <w:shd w:val="clear" w:color="auto" w:fill="auto"/>
                  <w:vAlign w:val="center"/>
                </w:tcPr>
                <w:p w14:paraId="5A79BD7F">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重点管控单元</w:t>
                  </w:r>
                </w:p>
              </w:tc>
            </w:tr>
            <w:tr w14:paraId="5506FB5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3192" w:type="pct"/>
                  <w:gridSpan w:val="2"/>
                  <w:tcBorders>
                    <w:tl2br w:val="nil"/>
                    <w:tr2bl w:val="nil"/>
                  </w:tcBorders>
                  <w:shd w:val="clear" w:color="auto" w:fill="auto"/>
                  <w:vAlign w:val="center"/>
                </w:tcPr>
                <w:p w14:paraId="631F6FDC">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管控要求</w:t>
                  </w:r>
                </w:p>
              </w:tc>
              <w:tc>
                <w:tcPr>
                  <w:tcW w:w="1807" w:type="pct"/>
                  <w:tcBorders>
                    <w:tl2br w:val="nil"/>
                    <w:tr2bl w:val="nil"/>
                  </w:tcBorders>
                  <w:shd w:val="clear" w:color="auto" w:fill="auto"/>
                  <w:vAlign w:val="center"/>
                </w:tcPr>
                <w:p w14:paraId="4116BCB2">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项目符合性分析</w:t>
                  </w:r>
                </w:p>
              </w:tc>
            </w:tr>
            <w:tr w14:paraId="211EDB8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19CF6A73">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空间布局约束</w:t>
                  </w:r>
                </w:p>
              </w:tc>
              <w:tc>
                <w:tcPr>
                  <w:tcW w:w="2489" w:type="pct"/>
                  <w:tcBorders>
                    <w:tl2br w:val="nil"/>
                    <w:tr2bl w:val="nil"/>
                  </w:tcBorders>
                  <w:shd w:val="clear" w:color="auto" w:fill="auto"/>
                  <w:vAlign w:val="center"/>
                </w:tcPr>
                <w:p w14:paraId="0AD16A9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1.执行本清单（1）严禁在人口密集区新建危险化学品生产项目，城镇人口密集区危险化学品生产企业应搬迁改造。（2）禁止在城镇居民区、文化教育科学研究区等人口集中区域建设畜禽养殖场、养殖小区。2.水环境农业污染重点管控区同时执行</w:t>
                  </w:r>
                  <w:r>
                    <w:rPr>
                      <w:rFonts w:hint="eastAsia" w:ascii="Times New Roman" w:hAnsi="Times New Roman" w:eastAsia="宋体" w:cs="Times New Roman"/>
                      <w:color w:val="auto"/>
                      <w:kern w:val="0"/>
                      <w:sz w:val="18"/>
                      <w:szCs w:val="18"/>
                      <w:lang w:val="en-US" w:eastAsia="zh-CN" w:bidi="ar-SA"/>
                    </w:rPr>
                    <w:t>：</w:t>
                  </w:r>
                  <w:r>
                    <w:rPr>
                      <w:rFonts w:hint="default" w:ascii="Times New Roman" w:hAnsi="Times New Roman" w:eastAsia="宋体" w:cs="Times New Roman"/>
                      <w:color w:val="auto"/>
                      <w:kern w:val="0"/>
                      <w:sz w:val="18"/>
                      <w:szCs w:val="18"/>
                      <w:lang w:val="en-US" w:eastAsia="zh-CN" w:bidi="ar-SA"/>
                    </w:rPr>
                    <w:t>（1）科学划定畜禽养殖禁养区。（2）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复性增长。（3）水环境城镇生活污染重点管控区同时执行除干旱地区外，新建城区应全面实行雨污分流，鼓励对初期雨水进行收集、处理和资源化利用。</w:t>
                  </w:r>
                </w:p>
              </w:tc>
              <w:tc>
                <w:tcPr>
                  <w:tcW w:w="1807" w:type="pct"/>
                  <w:tcBorders>
                    <w:tl2br w:val="nil"/>
                    <w:tr2bl w:val="nil"/>
                  </w:tcBorders>
                  <w:shd w:val="clear" w:color="auto" w:fill="auto"/>
                  <w:vAlign w:val="center"/>
                </w:tcPr>
                <w:p w14:paraId="351E8EE6">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本工程为</w:t>
                  </w:r>
                  <w:r>
                    <w:rPr>
                      <w:rFonts w:hint="eastAsia" w:ascii="Times New Roman" w:hAnsi="Times New Roman" w:eastAsia="宋体" w:cs="Times New Roman"/>
                      <w:color w:val="auto"/>
                      <w:kern w:val="0"/>
                      <w:sz w:val="18"/>
                      <w:szCs w:val="18"/>
                      <w:lang w:val="en-US" w:eastAsia="zh-CN" w:bidi="ar-SA"/>
                    </w:rPr>
                    <w:t>道路改造工程，不涉及新建危险化学品生产项目、</w:t>
                  </w:r>
                  <w:r>
                    <w:rPr>
                      <w:rFonts w:hint="default" w:ascii="Times New Roman" w:hAnsi="Times New Roman" w:eastAsia="宋体" w:cs="Times New Roman"/>
                      <w:color w:val="auto"/>
                      <w:kern w:val="0"/>
                      <w:sz w:val="18"/>
                      <w:szCs w:val="18"/>
                      <w:lang w:val="en-US" w:eastAsia="zh-CN" w:bidi="ar-SA"/>
                    </w:rPr>
                    <w:t>畜</w:t>
                  </w:r>
                  <w:r>
                    <w:rPr>
                      <w:rFonts w:hint="eastAsia" w:ascii="Times New Roman" w:hAnsi="Times New Roman" w:eastAsia="宋体" w:cs="Times New Roman"/>
                      <w:color w:val="auto"/>
                      <w:kern w:val="0"/>
                      <w:sz w:val="18"/>
                      <w:szCs w:val="18"/>
                      <w:lang w:val="en-US" w:eastAsia="zh-CN" w:bidi="ar-SA"/>
                    </w:rPr>
                    <w:t>禽养殖场、养殖小区，运行期不产生废水，符合空间布局约束要求。</w:t>
                  </w:r>
                </w:p>
              </w:tc>
            </w:tr>
            <w:tr w14:paraId="3B36608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37C542E0">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污染物排放管控</w:t>
                  </w:r>
                </w:p>
              </w:tc>
              <w:tc>
                <w:tcPr>
                  <w:tcW w:w="2489" w:type="pct"/>
                  <w:tcBorders>
                    <w:tl2br w:val="nil"/>
                    <w:tr2bl w:val="nil"/>
                  </w:tcBorders>
                  <w:shd w:val="clear" w:color="auto" w:fill="auto"/>
                  <w:vAlign w:val="center"/>
                </w:tcPr>
                <w:p w14:paraId="545D318F">
                  <w:pPr>
                    <w:keepNext w:val="0"/>
                    <w:keepLines w:val="0"/>
                    <w:pageBreakBefore w:val="0"/>
                    <w:widowControl w:val="0"/>
                    <w:kinsoku/>
                    <w:wordWrap/>
                    <w:overflowPunct/>
                    <w:topLinePunct w:val="0"/>
                    <w:autoSpaceDE/>
                    <w:autoSpaceDN/>
                    <w:bidi w:val="0"/>
                    <w:adjustRightInd/>
                    <w:snapToGrid/>
                    <w:spacing w:before="3" w:line="240" w:lineRule="auto"/>
                    <w:ind w:left="8" w:leftChars="0" w:right="18" w:rightChars="0" w:firstLine="13" w:firstLineChars="0"/>
                    <w:jc w:val="left"/>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1.执行本清单：加快65t/h 以上燃煤锅炉（含电力）超低排放改造。2.水环境农业污染重点管控区同时执行 （1）支持规模化畜禽养殖场（小区）开展标准化改造和建设，提高畜禽粪污收集和处理机械化水平，实施雨污分流、粪污资源化利用，控制畜禽养殖污染排放。（2）畜禽养殖户应当及时对畜禽粪便、污水进行收集、贮存、清运，或者进行无害化处理。县级人民政府应当组织对本行政区域的畜禽散养密集区畜禽粪便、污水进行集中处理利用，督促乡镇人民政府建设或者配备污染防治配套设施。（3）全面加强农业面源污染防控，科学合理使用农业投入品，提高使用效率，减少农业内源性污染。 3.水环境城镇生活污染重点管控区同时执行：（1）新区污水管网规划建设应当与城市开发同步推进，除干旱地区外均实行雨污分流。（2）强化城中村、老旧城区和城乡结合部污水截流、收集。（3）推进合流制排水系统雨污分流改造，难以改造的，应采取截流、调蓄和治理等措施；推进现有污水处理设施配套管网建设；进一步提高城市、县城生活污水收集处理效能。（4）县级以上人民政府应当合理确定城镇排水与污水处理设施建设标准，统筹安排管网、泵站、污水处理厂以及污泥处理处置、再生水利用、雨水调蓄和排放等排水与污水处理设施建设和改造，提高城镇污水收集率和处理率。</w:t>
                  </w:r>
                </w:p>
              </w:tc>
              <w:tc>
                <w:tcPr>
                  <w:tcW w:w="1807" w:type="pct"/>
                  <w:tcBorders>
                    <w:tl2br w:val="nil"/>
                    <w:tr2bl w:val="nil"/>
                  </w:tcBorders>
                  <w:shd w:val="clear" w:color="auto" w:fill="auto"/>
                  <w:vAlign w:val="center"/>
                </w:tcPr>
                <w:p w14:paraId="5D58B820">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本工程为</w:t>
                  </w:r>
                  <w:r>
                    <w:rPr>
                      <w:rFonts w:hint="eastAsia" w:ascii="Times New Roman" w:hAnsi="Times New Roman" w:eastAsia="宋体" w:cs="Times New Roman"/>
                      <w:color w:val="auto"/>
                      <w:kern w:val="0"/>
                      <w:sz w:val="18"/>
                      <w:szCs w:val="18"/>
                      <w:lang w:val="en-US" w:eastAsia="zh-CN" w:bidi="ar-SA"/>
                    </w:rPr>
                    <w:t>道路改造工程，不涉及燃煤锅炉、</w:t>
                  </w:r>
                  <w:r>
                    <w:rPr>
                      <w:rFonts w:hint="default" w:ascii="Times New Roman" w:hAnsi="Times New Roman" w:eastAsia="宋体" w:cs="Times New Roman"/>
                      <w:color w:val="auto"/>
                      <w:kern w:val="0"/>
                      <w:sz w:val="18"/>
                      <w:szCs w:val="18"/>
                      <w:lang w:val="en-US" w:eastAsia="zh-CN" w:bidi="ar-SA"/>
                    </w:rPr>
                    <w:t>畜</w:t>
                  </w:r>
                  <w:r>
                    <w:rPr>
                      <w:rFonts w:hint="eastAsia" w:ascii="Times New Roman" w:hAnsi="Times New Roman" w:eastAsia="宋体" w:cs="Times New Roman"/>
                      <w:color w:val="auto"/>
                      <w:kern w:val="0"/>
                      <w:sz w:val="18"/>
                      <w:szCs w:val="18"/>
                      <w:lang w:val="en-US" w:eastAsia="zh-CN" w:bidi="ar-SA"/>
                    </w:rPr>
                    <w:t>禽养殖场、养殖小区，运行期不产生废水，符合污染物排放管控要求。</w:t>
                  </w:r>
                </w:p>
              </w:tc>
            </w:tr>
            <w:tr w14:paraId="2D26CD0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6E7264C0">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环境风险防控</w:t>
                  </w:r>
                </w:p>
              </w:tc>
              <w:tc>
                <w:tcPr>
                  <w:tcW w:w="2489" w:type="pct"/>
                  <w:tcBorders>
                    <w:tl2br w:val="nil"/>
                    <w:tr2bl w:val="nil"/>
                  </w:tcBorders>
                  <w:shd w:val="clear" w:color="auto" w:fill="auto"/>
                  <w:vAlign w:val="center"/>
                </w:tcPr>
                <w:p w14:paraId="21258DA7">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化工园区与城市建成区、人员密集场所、重要设施、敏感目标等应当保持规定的安全距离，相对封闭，不应保留常住居民，非关联企业和产业要逐步搬迁或退出，妥善防范化解“邻避 ”问题。严禁在松花江干流及一级支流沿岸 1 公里范围内布局化工园区。</w:t>
                  </w:r>
                </w:p>
              </w:tc>
              <w:tc>
                <w:tcPr>
                  <w:tcW w:w="1807" w:type="pct"/>
                  <w:tcBorders>
                    <w:tl2br w:val="nil"/>
                    <w:tr2bl w:val="nil"/>
                  </w:tcBorders>
                  <w:shd w:val="clear" w:color="auto" w:fill="auto"/>
                  <w:vAlign w:val="center"/>
                </w:tcPr>
                <w:p w14:paraId="51A802AD">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本工程</w:t>
                  </w:r>
                  <w:r>
                    <w:rPr>
                      <w:rFonts w:hint="eastAsia" w:ascii="Times New Roman" w:hAnsi="Times New Roman" w:eastAsia="宋体" w:cs="Times New Roman"/>
                      <w:color w:val="auto"/>
                      <w:kern w:val="0"/>
                      <w:sz w:val="18"/>
                      <w:szCs w:val="18"/>
                      <w:lang w:val="en-US" w:eastAsia="zh-CN" w:bidi="ar-SA"/>
                    </w:rPr>
                    <w:t>主要</w:t>
                  </w:r>
                  <w:r>
                    <w:rPr>
                      <w:rFonts w:hint="default" w:ascii="Times New Roman" w:hAnsi="Times New Roman" w:eastAsia="宋体" w:cs="Times New Roman"/>
                      <w:color w:val="auto"/>
                      <w:kern w:val="0"/>
                      <w:sz w:val="18"/>
                      <w:szCs w:val="18"/>
                      <w:lang w:val="en-US" w:eastAsia="zh-CN" w:bidi="ar-SA"/>
                    </w:rPr>
                    <w:t>为</w:t>
                  </w:r>
                  <w:r>
                    <w:rPr>
                      <w:rFonts w:hint="eastAsia" w:ascii="Times New Roman" w:hAnsi="Times New Roman" w:eastAsia="宋体" w:cs="Times New Roman"/>
                      <w:color w:val="auto"/>
                      <w:kern w:val="0"/>
                      <w:sz w:val="18"/>
                      <w:szCs w:val="18"/>
                      <w:lang w:val="en-US" w:eastAsia="zh-CN" w:bidi="ar-SA"/>
                    </w:rPr>
                    <w:t>路面改造工程，不涉及化工园区，符合环境风险防控要求。</w:t>
                  </w:r>
                </w:p>
              </w:tc>
            </w:tr>
            <w:tr w14:paraId="32A514A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0D5130FD">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资源开发效率要求</w:t>
                  </w:r>
                </w:p>
              </w:tc>
              <w:tc>
                <w:tcPr>
                  <w:tcW w:w="2489" w:type="pct"/>
                  <w:tcBorders>
                    <w:tl2br w:val="nil"/>
                    <w:tr2bl w:val="nil"/>
                  </w:tcBorders>
                  <w:shd w:val="clear" w:color="auto" w:fill="auto"/>
                  <w:vAlign w:val="center"/>
                </w:tcPr>
                <w:p w14:paraId="06A4A4F1">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1.推进污水再生利用设施建设。 2.公共建筑必须采用节水器具，限期淘汰公共建筑中不符合节水标准的水嘴、便器水箱等生活用水器具。</w:t>
                  </w:r>
                </w:p>
              </w:tc>
              <w:tc>
                <w:tcPr>
                  <w:tcW w:w="1807" w:type="pct"/>
                  <w:tcBorders>
                    <w:tl2br w:val="nil"/>
                    <w:tr2bl w:val="nil"/>
                  </w:tcBorders>
                  <w:shd w:val="clear" w:color="auto" w:fill="auto"/>
                  <w:vAlign w:val="center"/>
                </w:tcPr>
                <w:p w14:paraId="7F65F8BE">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lang w:val="en-US" w:eastAsia="zh-CN" w:bidi="ar-SA"/>
                    </w:rPr>
                    <w:t>本工程</w:t>
                  </w:r>
                  <w:r>
                    <w:rPr>
                      <w:rFonts w:hint="eastAsia" w:ascii="Times New Roman" w:hAnsi="Times New Roman" w:eastAsia="宋体" w:cs="Times New Roman"/>
                      <w:color w:val="auto"/>
                      <w:kern w:val="0"/>
                      <w:sz w:val="18"/>
                      <w:szCs w:val="18"/>
                      <w:lang w:val="en-US" w:eastAsia="zh-CN" w:bidi="ar-SA"/>
                    </w:rPr>
                    <w:t>主要</w:t>
                  </w:r>
                  <w:r>
                    <w:rPr>
                      <w:rFonts w:hint="default" w:ascii="Times New Roman" w:hAnsi="Times New Roman" w:eastAsia="宋体" w:cs="Times New Roman"/>
                      <w:color w:val="auto"/>
                      <w:kern w:val="0"/>
                      <w:sz w:val="18"/>
                      <w:szCs w:val="18"/>
                      <w:lang w:val="en-US" w:eastAsia="zh-CN" w:bidi="ar-SA"/>
                    </w:rPr>
                    <w:t>为</w:t>
                  </w:r>
                  <w:r>
                    <w:rPr>
                      <w:rFonts w:hint="eastAsia" w:ascii="Times New Roman" w:hAnsi="Times New Roman" w:eastAsia="宋体" w:cs="Times New Roman"/>
                      <w:color w:val="auto"/>
                      <w:kern w:val="0"/>
                      <w:sz w:val="18"/>
                      <w:szCs w:val="18"/>
                      <w:lang w:val="en-US" w:eastAsia="zh-CN" w:bidi="ar-SA"/>
                    </w:rPr>
                    <w:t>路面改造工程，运营期不产生废水，符合要求。</w:t>
                  </w:r>
                </w:p>
              </w:tc>
            </w:tr>
            <w:tr w14:paraId="10C285C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64496820">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环境管控单元名称</w:t>
                  </w:r>
                </w:p>
              </w:tc>
              <w:tc>
                <w:tcPr>
                  <w:tcW w:w="4296" w:type="pct"/>
                  <w:gridSpan w:val="2"/>
                  <w:tcBorders>
                    <w:tl2br w:val="nil"/>
                    <w:tr2bl w:val="nil"/>
                  </w:tcBorders>
                  <w:shd w:val="clear" w:color="auto" w:fill="auto"/>
                  <w:vAlign w:val="center"/>
                </w:tcPr>
                <w:p w14:paraId="1FA45B06">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密山市水环境农业污染重点管控区</w:t>
                  </w:r>
                </w:p>
              </w:tc>
            </w:tr>
            <w:tr w14:paraId="7E5EDBD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7038F52B">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环境管控单元编码</w:t>
                  </w:r>
                </w:p>
              </w:tc>
              <w:tc>
                <w:tcPr>
                  <w:tcW w:w="4296" w:type="pct"/>
                  <w:gridSpan w:val="2"/>
                  <w:tcBorders>
                    <w:tl2br w:val="nil"/>
                    <w:tr2bl w:val="nil"/>
                  </w:tcBorders>
                  <w:shd w:val="clear" w:color="auto" w:fill="auto"/>
                  <w:vAlign w:val="center"/>
                </w:tcPr>
                <w:p w14:paraId="601CCBA3">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ZH23038220004</w:t>
                  </w:r>
                </w:p>
              </w:tc>
            </w:tr>
            <w:tr w14:paraId="393FE9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3D600128">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管控单元类别</w:t>
                  </w:r>
                </w:p>
              </w:tc>
              <w:tc>
                <w:tcPr>
                  <w:tcW w:w="4296" w:type="pct"/>
                  <w:gridSpan w:val="2"/>
                  <w:tcBorders>
                    <w:tl2br w:val="nil"/>
                    <w:tr2bl w:val="nil"/>
                  </w:tcBorders>
                  <w:shd w:val="clear" w:color="auto" w:fill="auto"/>
                  <w:vAlign w:val="center"/>
                </w:tcPr>
                <w:p w14:paraId="03F738A3">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重点管控单元</w:t>
                  </w:r>
                </w:p>
              </w:tc>
            </w:tr>
            <w:tr w14:paraId="0AEC0E4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3192" w:type="pct"/>
                  <w:gridSpan w:val="2"/>
                  <w:tcBorders>
                    <w:tl2br w:val="nil"/>
                    <w:tr2bl w:val="nil"/>
                  </w:tcBorders>
                  <w:shd w:val="clear" w:color="auto" w:fill="auto"/>
                  <w:vAlign w:val="center"/>
                </w:tcPr>
                <w:p w14:paraId="0352AE74">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管控要求</w:t>
                  </w:r>
                </w:p>
              </w:tc>
              <w:tc>
                <w:tcPr>
                  <w:tcW w:w="1807" w:type="pct"/>
                  <w:tcBorders>
                    <w:tl2br w:val="nil"/>
                    <w:tr2bl w:val="nil"/>
                  </w:tcBorders>
                  <w:shd w:val="clear" w:color="auto" w:fill="auto"/>
                  <w:vAlign w:val="center"/>
                </w:tcPr>
                <w:p w14:paraId="48156C6B">
                  <w:pPr>
                    <w:pStyle w:val="91"/>
                    <w:spacing w:line="240" w:lineRule="auto"/>
                    <w:rPr>
                      <w:rFonts w:hint="default" w:ascii="Times New Roman" w:hAnsi="Times New Roman" w:cs="Times New Roman"/>
                      <w:color w:val="auto"/>
                      <w:sz w:val="18"/>
                      <w:szCs w:val="18"/>
                    </w:rPr>
                  </w:pPr>
                  <w:r>
                    <w:rPr>
                      <w:rFonts w:hint="default" w:ascii="Times New Roman" w:hAnsi="Times New Roman" w:cs="Times New Roman"/>
                      <w:color w:val="auto"/>
                      <w:sz w:val="18"/>
                      <w:szCs w:val="18"/>
                    </w:rPr>
                    <w:t>项目符合性分析</w:t>
                  </w:r>
                </w:p>
              </w:tc>
            </w:tr>
            <w:tr w14:paraId="18B009E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5F955192">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空间布局约束</w:t>
                  </w:r>
                </w:p>
              </w:tc>
              <w:tc>
                <w:tcPr>
                  <w:tcW w:w="2489" w:type="pct"/>
                  <w:tcBorders>
                    <w:tl2br w:val="nil"/>
                    <w:tr2bl w:val="nil"/>
                  </w:tcBorders>
                  <w:shd w:val="clear" w:color="auto" w:fill="auto"/>
                  <w:vAlign w:val="center"/>
                </w:tcPr>
                <w:p w14:paraId="4B00AAE3">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1.科学划定畜禽养殖禁养区。 2.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复性增长。</w:t>
                  </w:r>
                </w:p>
              </w:tc>
              <w:tc>
                <w:tcPr>
                  <w:tcW w:w="1807" w:type="pct"/>
                  <w:tcBorders>
                    <w:tl2br w:val="nil"/>
                    <w:tr2bl w:val="nil"/>
                  </w:tcBorders>
                  <w:shd w:val="clear" w:color="auto" w:fill="auto"/>
                  <w:vAlign w:val="center"/>
                </w:tcPr>
                <w:p w14:paraId="211D2B9A">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lang w:val="en-US"/>
                    </w:rPr>
                  </w:pPr>
                  <w:r>
                    <w:rPr>
                      <w:rFonts w:hint="default" w:ascii="Times New Roman" w:hAnsi="Times New Roman" w:eastAsia="宋体" w:cs="Times New Roman"/>
                      <w:color w:val="auto"/>
                      <w:sz w:val="18"/>
                      <w:szCs w:val="18"/>
                    </w:rPr>
                    <w:t>本</w:t>
                  </w:r>
                  <w:r>
                    <w:rPr>
                      <w:rFonts w:hint="default" w:ascii="Times New Roman" w:hAnsi="Times New Roman" w:eastAsia="宋体" w:cs="Times New Roman"/>
                      <w:color w:val="auto"/>
                      <w:sz w:val="18"/>
                      <w:szCs w:val="18"/>
                      <w:lang w:eastAsia="zh-CN"/>
                    </w:rPr>
                    <w:t>工程</w:t>
                  </w:r>
                  <w:r>
                    <w:rPr>
                      <w:rFonts w:hint="eastAsia" w:ascii="Times New Roman" w:hAnsi="Times New Roman" w:eastAsia="宋体" w:cs="Times New Roman"/>
                      <w:color w:val="auto"/>
                      <w:sz w:val="18"/>
                      <w:szCs w:val="18"/>
                      <w:lang w:val="en-US" w:eastAsia="zh-CN"/>
                    </w:rPr>
                    <w:t>主要</w:t>
                  </w:r>
                  <w:r>
                    <w:rPr>
                      <w:rFonts w:hint="default" w:ascii="Times New Roman" w:hAnsi="Times New Roman" w:eastAsia="宋体" w:cs="Times New Roman"/>
                      <w:color w:val="auto"/>
                      <w:sz w:val="18"/>
                      <w:szCs w:val="18"/>
                      <w:lang w:val="en-US" w:eastAsia="zh-CN"/>
                    </w:rPr>
                    <w:t>为</w:t>
                  </w:r>
                  <w:r>
                    <w:rPr>
                      <w:rFonts w:hint="eastAsia" w:ascii="Times New Roman" w:hAnsi="Times New Roman" w:eastAsia="宋体" w:cs="Times New Roman"/>
                      <w:color w:val="auto"/>
                      <w:sz w:val="18"/>
                      <w:szCs w:val="18"/>
                      <w:lang w:eastAsia="zh-CN"/>
                    </w:rPr>
                    <w:t>路面改造工程，</w:t>
                  </w:r>
                  <w:r>
                    <w:rPr>
                      <w:rFonts w:hint="eastAsia" w:ascii="Times New Roman" w:hAnsi="Times New Roman" w:eastAsia="宋体" w:cs="Times New Roman"/>
                      <w:color w:val="auto"/>
                      <w:sz w:val="18"/>
                      <w:szCs w:val="18"/>
                      <w:lang w:val="en-US" w:eastAsia="zh-CN"/>
                    </w:rPr>
                    <w:t>不涉及</w:t>
                  </w:r>
                  <w:r>
                    <w:rPr>
                      <w:rFonts w:hint="default" w:ascii="Times New Roman" w:hAnsi="Times New Roman" w:eastAsia="宋体" w:cs="Times New Roman"/>
                      <w:color w:val="auto"/>
                      <w:sz w:val="18"/>
                      <w:szCs w:val="18"/>
                    </w:rPr>
                    <w:t>畜</w:t>
                  </w:r>
                  <w:r>
                    <w:rPr>
                      <w:rFonts w:hint="eastAsia" w:ascii="Times New Roman" w:hAnsi="Times New Roman" w:eastAsia="宋体" w:cs="Times New Roman"/>
                      <w:color w:val="auto"/>
                      <w:sz w:val="18"/>
                      <w:szCs w:val="18"/>
                      <w:lang w:eastAsia="zh-CN"/>
                    </w:rPr>
                    <w:t>禽养殖场、养殖小区</w:t>
                  </w:r>
                  <w:r>
                    <w:rPr>
                      <w:rFonts w:hint="eastAsia" w:ascii="Times New Roman" w:hAnsi="Times New Roman" w:eastAsia="宋体" w:cs="Times New Roman"/>
                      <w:color w:val="auto"/>
                      <w:sz w:val="18"/>
                      <w:szCs w:val="18"/>
                      <w:lang w:val="en-US" w:eastAsia="zh-CN"/>
                    </w:rPr>
                    <w:t>、农业等，符合空间布局约束要求。</w:t>
                  </w:r>
                </w:p>
              </w:tc>
            </w:tr>
            <w:tr w14:paraId="46A67C9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206510D1">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污染物排放管控</w:t>
                  </w:r>
                </w:p>
              </w:tc>
              <w:tc>
                <w:tcPr>
                  <w:tcW w:w="2489" w:type="pct"/>
                  <w:tcBorders>
                    <w:tl2br w:val="nil"/>
                    <w:tr2bl w:val="nil"/>
                  </w:tcBorders>
                  <w:shd w:val="clear" w:color="auto" w:fill="auto"/>
                  <w:vAlign w:val="center"/>
                </w:tcPr>
                <w:p w14:paraId="00D9A5C9">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支持规模化畜禽养殖场（小区）开展标准化改造和建设，提高畜禽粪污收集和处理机械化水平，实施雨污分流、粪污资源化利用，控制畜禽养殖污染排放。2.畜禽散养密集区所在地县级人民政府应当组织对畜禽粪便、污水进行集中处理利用，督促乡镇人民政府建设或者 配备污染防治配套设施。3.全面加强农业面源污染防控，科学合理使用农业投入品，提高使用效率，减少农业内源性污染。</w:t>
                  </w:r>
                </w:p>
              </w:tc>
              <w:tc>
                <w:tcPr>
                  <w:tcW w:w="1807" w:type="pct"/>
                  <w:tcBorders>
                    <w:tl2br w:val="nil"/>
                    <w:tr2bl w:val="nil"/>
                  </w:tcBorders>
                  <w:shd w:val="clear" w:color="auto" w:fill="auto"/>
                  <w:vAlign w:val="center"/>
                </w:tcPr>
                <w:p w14:paraId="039C9AC1">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w:t>
                  </w:r>
                  <w:r>
                    <w:rPr>
                      <w:rFonts w:hint="default" w:ascii="Times New Roman" w:hAnsi="Times New Roman" w:eastAsia="宋体" w:cs="Times New Roman"/>
                      <w:color w:val="auto"/>
                      <w:sz w:val="18"/>
                      <w:szCs w:val="18"/>
                      <w:lang w:eastAsia="zh-CN"/>
                    </w:rPr>
                    <w:t>工程</w:t>
                  </w:r>
                  <w:r>
                    <w:rPr>
                      <w:rFonts w:hint="eastAsia" w:ascii="Times New Roman" w:hAnsi="Times New Roman" w:eastAsia="宋体" w:cs="Times New Roman"/>
                      <w:color w:val="auto"/>
                      <w:sz w:val="18"/>
                      <w:szCs w:val="18"/>
                      <w:lang w:val="en-US" w:eastAsia="zh-CN"/>
                    </w:rPr>
                    <w:t>主要</w:t>
                  </w:r>
                  <w:r>
                    <w:rPr>
                      <w:rFonts w:hint="default" w:ascii="Times New Roman" w:hAnsi="Times New Roman" w:eastAsia="宋体" w:cs="Times New Roman"/>
                      <w:color w:val="auto"/>
                      <w:sz w:val="18"/>
                      <w:szCs w:val="18"/>
                      <w:lang w:val="en-US" w:eastAsia="zh-CN"/>
                    </w:rPr>
                    <w:t>为</w:t>
                  </w:r>
                  <w:r>
                    <w:rPr>
                      <w:rFonts w:hint="eastAsia" w:ascii="Times New Roman" w:hAnsi="Times New Roman" w:eastAsia="宋体" w:cs="Times New Roman"/>
                      <w:color w:val="auto"/>
                      <w:sz w:val="18"/>
                      <w:szCs w:val="18"/>
                      <w:lang w:eastAsia="zh-CN"/>
                    </w:rPr>
                    <w:t>路面改造工程，</w:t>
                  </w:r>
                  <w:r>
                    <w:rPr>
                      <w:rFonts w:hint="eastAsia" w:ascii="Times New Roman" w:hAnsi="Times New Roman" w:eastAsia="宋体" w:cs="Times New Roman"/>
                      <w:color w:val="auto"/>
                      <w:sz w:val="18"/>
                      <w:szCs w:val="18"/>
                      <w:lang w:val="en-US" w:eastAsia="zh-CN"/>
                    </w:rPr>
                    <w:t>不涉及</w:t>
                  </w:r>
                  <w:r>
                    <w:rPr>
                      <w:rFonts w:hint="default" w:ascii="Times New Roman" w:hAnsi="Times New Roman" w:eastAsia="宋体" w:cs="Times New Roman"/>
                      <w:color w:val="auto"/>
                      <w:sz w:val="18"/>
                      <w:szCs w:val="18"/>
                    </w:rPr>
                    <w:t>畜</w:t>
                  </w:r>
                  <w:r>
                    <w:rPr>
                      <w:rFonts w:hint="eastAsia" w:ascii="Times New Roman" w:hAnsi="Times New Roman" w:eastAsia="宋体" w:cs="Times New Roman"/>
                      <w:color w:val="auto"/>
                      <w:sz w:val="18"/>
                      <w:szCs w:val="18"/>
                      <w:lang w:eastAsia="zh-CN"/>
                    </w:rPr>
                    <w:t>禽养殖场、养殖小区、</w:t>
                  </w:r>
                  <w:r>
                    <w:rPr>
                      <w:rFonts w:hint="eastAsia" w:ascii="Times New Roman" w:hAnsi="Times New Roman" w:eastAsia="宋体" w:cs="Times New Roman"/>
                      <w:color w:val="auto"/>
                      <w:sz w:val="18"/>
                      <w:szCs w:val="18"/>
                      <w:lang w:val="en-US" w:eastAsia="zh-CN"/>
                    </w:rPr>
                    <w:t>农业面源污染，符合污染物排放管控要求。</w:t>
                  </w:r>
                </w:p>
              </w:tc>
            </w:tr>
            <w:tr w14:paraId="1FB38C3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61D8EFA2">
                  <w:pPr>
                    <w:pStyle w:val="91"/>
                    <w:spacing w:line="240" w:lineRule="auto"/>
                    <w:ind w:right="0" w:rightChars="0" w:firstLine="0" w:firstLineChars="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color w:val="auto"/>
                      <w:sz w:val="18"/>
                      <w:szCs w:val="18"/>
                    </w:rPr>
                    <w:t>环境管控单元名称</w:t>
                  </w:r>
                </w:p>
              </w:tc>
              <w:tc>
                <w:tcPr>
                  <w:tcW w:w="4296" w:type="pct"/>
                  <w:gridSpan w:val="2"/>
                  <w:tcBorders>
                    <w:tl2br w:val="nil"/>
                    <w:tr2bl w:val="nil"/>
                  </w:tcBorders>
                  <w:shd w:val="clear" w:color="auto" w:fill="auto"/>
                  <w:vAlign w:val="center"/>
                </w:tcPr>
                <w:p w14:paraId="760D07C2">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密山市其他水环境重点管控区</w:t>
                  </w:r>
                </w:p>
              </w:tc>
            </w:tr>
            <w:tr w14:paraId="7B3C44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57B00FC3">
                  <w:pPr>
                    <w:pStyle w:val="91"/>
                    <w:spacing w:line="240" w:lineRule="auto"/>
                    <w:ind w:right="0" w:rightChars="0" w:firstLine="0" w:firstLineChars="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color w:val="auto"/>
                      <w:sz w:val="18"/>
                      <w:szCs w:val="18"/>
                    </w:rPr>
                    <w:t>环境管控单元编码</w:t>
                  </w:r>
                </w:p>
              </w:tc>
              <w:tc>
                <w:tcPr>
                  <w:tcW w:w="4296" w:type="pct"/>
                  <w:gridSpan w:val="2"/>
                  <w:tcBorders>
                    <w:tl2br w:val="nil"/>
                    <w:tr2bl w:val="nil"/>
                  </w:tcBorders>
                  <w:shd w:val="clear" w:color="auto" w:fill="auto"/>
                  <w:vAlign w:val="center"/>
                </w:tcPr>
                <w:p w14:paraId="3D607CC6">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ZH23038220005</w:t>
                  </w:r>
                </w:p>
              </w:tc>
            </w:tr>
            <w:tr w14:paraId="012583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701963BB">
                  <w:pPr>
                    <w:pStyle w:val="91"/>
                    <w:spacing w:line="240" w:lineRule="auto"/>
                    <w:ind w:right="0" w:rightChars="0" w:firstLine="0" w:firstLineChars="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color w:val="auto"/>
                      <w:sz w:val="18"/>
                      <w:szCs w:val="18"/>
                    </w:rPr>
                    <w:t>管控单元类别</w:t>
                  </w:r>
                </w:p>
              </w:tc>
              <w:tc>
                <w:tcPr>
                  <w:tcW w:w="4296" w:type="pct"/>
                  <w:gridSpan w:val="2"/>
                  <w:tcBorders>
                    <w:tl2br w:val="nil"/>
                    <w:tr2bl w:val="nil"/>
                  </w:tcBorders>
                  <w:shd w:val="clear" w:color="auto" w:fill="auto"/>
                  <w:vAlign w:val="center"/>
                </w:tcPr>
                <w:p w14:paraId="29101057">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重点管控单元</w:t>
                  </w:r>
                </w:p>
              </w:tc>
            </w:tr>
            <w:tr w14:paraId="166F02B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314B0BAB">
                  <w:pPr>
                    <w:pStyle w:val="91"/>
                    <w:spacing w:line="240" w:lineRule="auto"/>
                    <w:ind w:right="0" w:rightChars="0" w:firstLine="0" w:firstLineChars="0"/>
                    <w:rPr>
                      <w:rFonts w:hint="default" w:ascii="Times New Roman" w:hAnsi="Times New Roman" w:cs="Times New Roman"/>
                      <w:color w:val="auto"/>
                      <w:sz w:val="18"/>
                      <w:szCs w:val="18"/>
                    </w:rPr>
                  </w:pPr>
                  <w:r>
                    <w:rPr>
                      <w:rFonts w:hint="default" w:ascii="Times New Roman" w:hAnsi="Times New Roman" w:cs="Times New Roman"/>
                      <w:color w:val="auto"/>
                      <w:sz w:val="18"/>
                      <w:szCs w:val="18"/>
                    </w:rPr>
                    <w:t>管控要求</w:t>
                  </w:r>
                </w:p>
              </w:tc>
              <w:tc>
                <w:tcPr>
                  <w:tcW w:w="2489" w:type="pct"/>
                  <w:tcBorders>
                    <w:tl2br w:val="nil"/>
                    <w:tr2bl w:val="nil"/>
                  </w:tcBorders>
                  <w:shd w:val="clear" w:color="auto" w:fill="auto"/>
                  <w:vAlign w:val="center"/>
                </w:tcPr>
                <w:p w14:paraId="445E7138">
                  <w:pPr>
                    <w:pStyle w:val="91"/>
                    <w:spacing w:line="240" w:lineRule="auto"/>
                    <w:ind w:right="0" w:rightChars="0" w:firstLine="0" w:firstLineChars="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color w:val="auto"/>
                      <w:sz w:val="18"/>
                      <w:szCs w:val="18"/>
                    </w:rPr>
                    <w:t>项目符合性分析</w:t>
                  </w:r>
                </w:p>
              </w:tc>
              <w:tc>
                <w:tcPr>
                  <w:tcW w:w="1807" w:type="pct"/>
                  <w:tcBorders>
                    <w:tl2br w:val="nil"/>
                    <w:tr2bl w:val="nil"/>
                  </w:tcBorders>
                  <w:shd w:val="clear" w:color="auto" w:fill="auto"/>
                  <w:vAlign w:val="center"/>
                </w:tcPr>
                <w:p w14:paraId="1562EE2C">
                  <w:pPr>
                    <w:pStyle w:val="91"/>
                    <w:spacing w:line="240" w:lineRule="auto"/>
                    <w:ind w:right="0" w:rightChars="0" w:firstLine="0" w:firstLineChars="0"/>
                    <w:rPr>
                      <w:rFonts w:hint="default" w:ascii="Times New Roman" w:hAnsi="Times New Roman" w:eastAsia="宋体" w:cs="Times New Roman"/>
                      <w:color w:val="auto"/>
                      <w:kern w:val="0"/>
                      <w:sz w:val="18"/>
                      <w:szCs w:val="18"/>
                      <w:lang w:val="en-US" w:eastAsia="zh-CN" w:bidi="ar-SA"/>
                    </w:rPr>
                  </w:pPr>
                  <w:r>
                    <w:rPr>
                      <w:rFonts w:hint="default" w:ascii="Times New Roman" w:hAnsi="Times New Roman" w:cs="Times New Roman"/>
                      <w:color w:val="auto"/>
                      <w:sz w:val="18"/>
                      <w:szCs w:val="18"/>
                    </w:rPr>
                    <w:t>管控要求</w:t>
                  </w:r>
                </w:p>
              </w:tc>
            </w:tr>
            <w:tr w14:paraId="3AD33C1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703" w:type="pct"/>
                  <w:tcBorders>
                    <w:tl2br w:val="nil"/>
                    <w:tr2bl w:val="nil"/>
                  </w:tcBorders>
                  <w:shd w:val="clear" w:color="auto" w:fill="auto"/>
                  <w:vAlign w:val="center"/>
                </w:tcPr>
                <w:p w14:paraId="1D5FDCB4">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环境风险防控</w:t>
                  </w:r>
                </w:p>
              </w:tc>
              <w:tc>
                <w:tcPr>
                  <w:tcW w:w="2489" w:type="pct"/>
                  <w:tcBorders>
                    <w:tl2br w:val="nil"/>
                    <w:tr2bl w:val="nil"/>
                  </w:tcBorders>
                  <w:shd w:val="clear" w:color="auto" w:fill="auto"/>
                  <w:vAlign w:val="center"/>
                </w:tcPr>
                <w:p w14:paraId="591806F7">
                  <w:pPr>
                    <w:pStyle w:val="91"/>
                    <w:numPr>
                      <w:ilvl w:val="0"/>
                      <w:numId w:val="0"/>
                    </w:numPr>
                    <w:spacing w:before="0" w:after="0" w:line="240" w:lineRule="auto"/>
                    <w:ind w:right="0" w:rightChars="0"/>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1.加强黑龙江等跨国界水体环境风险管控。</w:t>
                  </w:r>
                </w:p>
              </w:tc>
              <w:tc>
                <w:tcPr>
                  <w:tcW w:w="1807" w:type="pct"/>
                  <w:tcBorders>
                    <w:tl2br w:val="nil"/>
                    <w:tr2bl w:val="nil"/>
                  </w:tcBorders>
                  <w:shd w:val="clear" w:color="auto" w:fill="auto"/>
                  <w:vAlign w:val="center"/>
                </w:tcPr>
                <w:p w14:paraId="4C5D7A92">
                  <w:pPr>
                    <w:pStyle w:val="91"/>
                    <w:numPr>
                      <w:ilvl w:val="0"/>
                      <w:numId w:val="0"/>
                    </w:numPr>
                    <w:spacing w:before="0" w:after="0" w:line="240" w:lineRule="auto"/>
                    <w:ind w:right="0" w:rightChars="0"/>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本项目</w:t>
                  </w:r>
                  <w:r>
                    <w:rPr>
                      <w:rFonts w:hint="eastAsia" w:ascii="Times New Roman" w:hAnsi="Times New Roman" w:cs="Times New Roman"/>
                      <w:color w:val="auto"/>
                      <w:sz w:val="18"/>
                      <w:szCs w:val="18"/>
                      <w:lang w:val="en-US" w:eastAsia="zh-CN"/>
                    </w:rPr>
                    <w:t>主要为路面改造工程</w:t>
                  </w:r>
                  <w:r>
                    <w:rPr>
                      <w:rFonts w:hint="default" w:ascii="Times New Roman" w:hAnsi="Times New Roman" w:cs="Times New Roman"/>
                      <w:color w:val="auto"/>
                      <w:sz w:val="18"/>
                      <w:szCs w:val="18"/>
                    </w:rPr>
                    <w:t>，</w:t>
                  </w:r>
                  <w:r>
                    <w:rPr>
                      <w:rFonts w:hint="eastAsia" w:ascii="Times New Roman" w:hAnsi="Times New Roman" w:cs="Times New Roman"/>
                      <w:color w:val="auto"/>
                      <w:sz w:val="18"/>
                      <w:szCs w:val="18"/>
                      <w:lang w:val="en-US" w:eastAsia="zh-CN"/>
                    </w:rPr>
                    <w:t>道路下游水</w:t>
                  </w:r>
                  <w:r>
                    <w:rPr>
                      <w:rFonts w:hint="eastAsia" w:ascii="Times New Roman" w:hAnsi="Times New Roman" w:eastAsia="宋体" w:cs="Times New Roman"/>
                      <w:color w:val="auto"/>
                      <w:sz w:val="18"/>
                      <w:szCs w:val="18"/>
                      <w:lang w:val="en-US" w:eastAsia="zh-CN"/>
                    </w:rPr>
                    <w:t>体有兴凯湖</w:t>
                  </w:r>
                  <w:r>
                    <w:rPr>
                      <w:rFonts w:hint="eastAsia" w:ascii="Times New Roman" w:hAnsi="Times New Roman" w:eastAsia="宋体" w:cs="Times New Roman"/>
                      <w:color w:val="auto"/>
                      <w:sz w:val="18"/>
                      <w:szCs w:val="18"/>
                      <w:lang w:eastAsia="zh-CN"/>
                    </w:rPr>
                    <w:t>，</w:t>
                  </w:r>
                  <w:r>
                    <w:rPr>
                      <w:rFonts w:hint="eastAsia" w:ascii="Times New Roman" w:hAnsi="Times New Roman" w:eastAsia="宋体" w:cs="Times New Roman"/>
                      <w:color w:val="auto"/>
                      <w:sz w:val="18"/>
                      <w:szCs w:val="18"/>
                      <w:lang w:val="en-US" w:eastAsia="zh-CN"/>
                    </w:rPr>
                    <w:t>为跨国界水体，本项目对桥梁进行</w:t>
                  </w:r>
                  <w:r>
                    <w:rPr>
                      <w:rFonts w:hint="default" w:ascii="Times New Roman" w:hAnsi="Times New Roman" w:eastAsia="宋体" w:cs="Times New Roman"/>
                      <w:color w:val="auto"/>
                      <w:sz w:val="18"/>
                      <w:szCs w:val="18"/>
                    </w:rPr>
                    <w:t>加固护栏，设警示标志等。一旦事故发生，应及时迅速报警，及时通知有关部门，立即启动项目应急预案，采取应急措施。</w:t>
                  </w:r>
                  <w:r>
                    <w:rPr>
                      <w:rFonts w:hint="eastAsia" w:ascii="Times New Roman" w:hAnsi="Times New Roman" w:eastAsia="宋体" w:cs="Times New Roman"/>
                      <w:color w:val="auto"/>
                      <w:sz w:val="18"/>
                      <w:szCs w:val="18"/>
                      <w:lang w:val="en-US" w:eastAsia="zh-CN"/>
                    </w:rPr>
                    <w:t>加强</w:t>
                  </w:r>
                  <w:r>
                    <w:rPr>
                      <w:rFonts w:hint="default" w:ascii="Times New Roman" w:hAnsi="Times New Roman" w:eastAsia="宋体" w:cs="Times New Roman"/>
                      <w:color w:val="auto"/>
                      <w:sz w:val="18"/>
                      <w:szCs w:val="18"/>
                    </w:rPr>
                    <w:t>水体环境风险管控</w:t>
                  </w:r>
                  <w:r>
                    <w:rPr>
                      <w:rFonts w:hint="eastAsia" w:ascii="Times New Roman" w:hAnsi="Times New Roman" w:eastAsia="宋体" w:cs="Times New Roman"/>
                      <w:color w:val="auto"/>
                      <w:sz w:val="18"/>
                      <w:szCs w:val="18"/>
                      <w:lang w:val="en-US" w:eastAsia="zh-CN"/>
                    </w:rPr>
                    <w:t>。</w:t>
                  </w:r>
                </w:p>
              </w:tc>
            </w:tr>
          </w:tbl>
          <w:p w14:paraId="2FA590D4">
            <w:pPr>
              <w:ind w:firstLine="420"/>
              <w:rPr>
                <w:rFonts w:hint="default" w:ascii="Times New Roman" w:hAnsi="Times New Roman" w:cs="Times New Roman"/>
                <w:color w:val="auto"/>
              </w:rPr>
            </w:pPr>
            <w:r>
              <w:rPr>
                <w:rFonts w:hint="default" w:ascii="Times New Roman" w:hAnsi="Times New Roman" w:cs="Times New Roman"/>
                <w:color w:val="auto"/>
              </w:rPr>
              <w:t>（3）“一说明”</w:t>
            </w:r>
          </w:p>
          <w:p w14:paraId="7486430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eastAsia" w:cs="Times New Roman"/>
                <w:color w:val="auto"/>
                <w:kern w:val="0"/>
                <w:sz w:val="24"/>
                <w:szCs w:val="24"/>
                <w:lang w:val="en-US" w:eastAsia="zh-CN" w:bidi="ar"/>
              </w:rPr>
              <w:t>本</w:t>
            </w:r>
            <w:r>
              <w:rPr>
                <w:rFonts w:hint="default" w:ascii="Times New Roman" w:hAnsi="Times New Roman" w:eastAsia="宋体" w:cs="Times New Roman"/>
                <w:color w:val="auto"/>
                <w:kern w:val="0"/>
                <w:sz w:val="24"/>
                <w:szCs w:val="24"/>
                <w:lang w:val="en-US" w:eastAsia="zh-CN" w:bidi="ar"/>
              </w:rPr>
              <w:t>项目位置涉及鸡西市密山市；项目占地总面积0.0</w:t>
            </w:r>
            <w:r>
              <w:rPr>
                <w:rFonts w:hint="default" w:cs="Times New Roman"/>
                <w:color w:val="auto"/>
                <w:kern w:val="0"/>
                <w:sz w:val="24"/>
                <w:szCs w:val="24"/>
                <w:lang w:val="en-US" w:eastAsia="zh-CN" w:bidi="ar"/>
              </w:rPr>
              <w:t>9</w:t>
            </w:r>
            <w:r>
              <w:rPr>
                <w:rFonts w:hint="default" w:ascii="Times New Roman" w:hAnsi="Times New Roman" w:eastAsia="宋体" w:cs="Times New Roman"/>
                <w:color w:val="auto"/>
                <w:kern w:val="0"/>
                <w:sz w:val="24"/>
                <w:szCs w:val="24"/>
                <w:lang w:val="en-US" w:eastAsia="zh-CN" w:bidi="ar"/>
              </w:rPr>
              <w:t>平方公里。</w:t>
            </w:r>
          </w:p>
          <w:p w14:paraId="309819C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与生态保护红线交集面积为0.00 平方公里，占项目占地面积的0.00%。</w:t>
            </w:r>
          </w:p>
          <w:p w14:paraId="4FF2036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与自然保护地整合优化方案数据交集面积为0.00平方公里，占项目占地面积的0.00%。保护地涉及等类型。与自然保护地（现状管理数据）交集面积为0.00平方公里，占项目占地面积的0.00%。保护地涉及等类型。</w:t>
            </w:r>
          </w:p>
          <w:p w14:paraId="70A4DC2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与饮用水水源保护区交集面积为0.00平方公里，占项目占地面积的0.00%。与国家级水产种质资源保护区交集面积为0.00平方公里，占项目占地面积的0.00%。</w:t>
            </w:r>
          </w:p>
          <w:p w14:paraId="7AA1A16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与环境管控单元优先保护单元交集面积为0.0</w:t>
            </w:r>
            <w:r>
              <w:rPr>
                <w:rFonts w:hint="default" w:cs="Times New Roman"/>
                <w:color w:val="auto"/>
                <w:kern w:val="0"/>
                <w:sz w:val="24"/>
                <w:szCs w:val="24"/>
                <w:lang w:val="en-US" w:eastAsia="zh-CN" w:bidi="ar"/>
              </w:rPr>
              <w:t>3</w:t>
            </w:r>
            <w:r>
              <w:rPr>
                <w:rFonts w:hint="default" w:ascii="Times New Roman" w:hAnsi="Times New Roman" w:eastAsia="宋体" w:cs="Times New Roman"/>
                <w:color w:val="auto"/>
                <w:kern w:val="0"/>
                <w:sz w:val="24"/>
                <w:szCs w:val="24"/>
                <w:lang w:val="en-US" w:eastAsia="zh-CN" w:bidi="ar"/>
              </w:rPr>
              <w:t>平方公里，占项目占地面积的</w:t>
            </w:r>
            <w:r>
              <w:rPr>
                <w:rFonts w:hint="default" w:cs="Times New Roman"/>
                <w:color w:val="auto"/>
                <w:kern w:val="0"/>
                <w:sz w:val="24"/>
                <w:szCs w:val="24"/>
                <w:lang w:val="en-US" w:eastAsia="zh-CN" w:bidi="ar"/>
              </w:rPr>
              <w:t>34.19</w:t>
            </w:r>
            <w:r>
              <w:rPr>
                <w:rFonts w:hint="default" w:ascii="Times New Roman" w:hAnsi="Times New Roman" w:eastAsia="宋体" w:cs="Times New Roman"/>
                <w:color w:val="auto"/>
                <w:kern w:val="0"/>
                <w:sz w:val="24"/>
                <w:szCs w:val="24"/>
                <w:lang w:val="en-US" w:eastAsia="zh-CN" w:bidi="ar"/>
              </w:rPr>
              <w:t>%；与重点管控单元交集面积为0.0</w:t>
            </w:r>
            <w:r>
              <w:rPr>
                <w:rFonts w:hint="default" w:cs="Times New Roman"/>
                <w:color w:val="auto"/>
                <w:kern w:val="0"/>
                <w:sz w:val="24"/>
                <w:szCs w:val="24"/>
                <w:lang w:val="en-US" w:eastAsia="zh-CN" w:bidi="ar"/>
              </w:rPr>
              <w:t>6</w:t>
            </w:r>
            <w:r>
              <w:rPr>
                <w:rFonts w:hint="default" w:ascii="Times New Roman" w:hAnsi="Times New Roman" w:eastAsia="宋体" w:cs="Times New Roman"/>
                <w:color w:val="auto"/>
                <w:kern w:val="0"/>
                <w:sz w:val="24"/>
                <w:szCs w:val="24"/>
                <w:lang w:val="en-US" w:eastAsia="zh-CN" w:bidi="ar"/>
              </w:rPr>
              <w:t>平方公里，占项目占地面积的</w:t>
            </w:r>
            <w:r>
              <w:rPr>
                <w:rFonts w:hint="default" w:cs="Times New Roman"/>
                <w:color w:val="auto"/>
                <w:kern w:val="0"/>
                <w:sz w:val="24"/>
                <w:szCs w:val="24"/>
                <w:lang w:val="en-US" w:eastAsia="zh-CN" w:bidi="ar"/>
              </w:rPr>
              <w:t>65.81</w:t>
            </w:r>
            <w:r>
              <w:rPr>
                <w:rFonts w:hint="default" w:ascii="Times New Roman" w:hAnsi="Times New Roman" w:eastAsia="宋体" w:cs="Times New Roman"/>
                <w:color w:val="auto"/>
                <w:kern w:val="0"/>
                <w:sz w:val="24"/>
                <w:szCs w:val="24"/>
                <w:lang w:val="en-US" w:eastAsia="zh-CN" w:bidi="ar"/>
              </w:rPr>
              <w:t>%；一般管控单元交集面积为 0.00平方公里，占项目占地面积的0.00%。</w:t>
            </w:r>
          </w:p>
          <w:p w14:paraId="1F90593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highlight w:val="none"/>
                <w:lang w:val="en-US" w:eastAsia="zh-CN" w:bidi="ar"/>
              </w:rPr>
            </w:pPr>
            <w:r>
              <w:rPr>
                <w:rFonts w:hint="default" w:ascii="Times New Roman" w:hAnsi="Times New Roman" w:eastAsia="宋体" w:cs="Times New Roman"/>
                <w:color w:val="auto"/>
                <w:kern w:val="0"/>
                <w:sz w:val="24"/>
                <w:szCs w:val="24"/>
                <w:lang w:val="en-US" w:eastAsia="zh-CN" w:bidi="ar"/>
              </w:rPr>
              <w:t>与地下水环境优先保护区交集面积为0.00平方公里，占项目占地面积的0.00%；与地下水环境重点管控区交集面积为0.00平方公里，占项目占地面积的0.00%，与地下水环境一般管控区交集面积为0.0</w:t>
            </w:r>
            <w:r>
              <w:rPr>
                <w:rFonts w:hint="default" w:cs="Times New Roman"/>
                <w:color w:val="auto"/>
                <w:kern w:val="0"/>
                <w:sz w:val="24"/>
                <w:szCs w:val="24"/>
                <w:lang w:val="en-US" w:eastAsia="zh-CN" w:bidi="ar"/>
              </w:rPr>
              <w:t>9</w:t>
            </w:r>
            <w:r>
              <w:rPr>
                <w:rFonts w:hint="default" w:ascii="Times New Roman" w:hAnsi="Times New Roman" w:eastAsia="宋体" w:cs="Times New Roman"/>
                <w:color w:val="auto"/>
                <w:kern w:val="0"/>
                <w:sz w:val="24"/>
                <w:szCs w:val="24"/>
                <w:lang w:val="en-US" w:eastAsia="zh-CN" w:bidi="ar"/>
              </w:rPr>
              <w:t>平方公里，占项目占地面积的100.0</w:t>
            </w:r>
            <w:r>
              <w:rPr>
                <w:rFonts w:hint="default" w:ascii="Times New Roman" w:hAnsi="Times New Roman" w:eastAsia="宋体" w:cs="Times New Roman"/>
                <w:color w:val="auto"/>
                <w:kern w:val="0"/>
                <w:sz w:val="24"/>
                <w:szCs w:val="24"/>
                <w:highlight w:val="none"/>
                <w:lang w:val="en-US" w:eastAsia="zh-CN" w:bidi="ar"/>
              </w:rPr>
              <w:t>0%。</w:t>
            </w:r>
          </w:p>
          <w:p w14:paraId="6D578701">
            <w:pPr>
              <w:keepNext w:val="0"/>
              <w:keepLines w:val="0"/>
              <w:pageBreakBefore w:val="0"/>
              <w:kinsoku/>
              <w:wordWrap/>
              <w:overflowPunct/>
              <w:topLinePunct w:val="0"/>
              <w:bidi w:val="0"/>
              <w:snapToGrid/>
              <w:spacing w:line="360" w:lineRule="auto"/>
              <w:ind w:firstLine="420"/>
              <w:textAlignment w:val="auto"/>
              <w:rPr>
                <w:rFonts w:hint="eastAsia" w:eastAsia="宋体"/>
                <w:color w:val="auto"/>
                <w:highlight w:val="none"/>
                <w:lang w:val="en-US" w:eastAsia="zh-CN"/>
              </w:rPr>
            </w:pPr>
            <w:r>
              <w:rPr>
                <w:color w:val="auto"/>
                <w:kern w:val="0"/>
                <w:sz w:val="24"/>
                <w:szCs w:val="24"/>
                <w:highlight w:val="none"/>
              </w:rPr>
              <w:t>根据</w:t>
            </w:r>
            <w:r>
              <w:rPr>
                <w:rFonts w:hint="eastAsia"/>
                <w:color w:val="auto"/>
                <w:kern w:val="0"/>
                <w:sz w:val="24"/>
                <w:szCs w:val="24"/>
                <w:highlight w:val="none"/>
                <w:lang w:val="en-US" w:eastAsia="zh-CN"/>
              </w:rPr>
              <w:t>分析</w:t>
            </w:r>
            <w:r>
              <w:rPr>
                <w:color w:val="auto"/>
                <w:kern w:val="0"/>
                <w:sz w:val="24"/>
                <w:szCs w:val="24"/>
                <w:highlight w:val="none"/>
              </w:rPr>
              <w:t>，</w:t>
            </w:r>
            <w:r>
              <w:rPr>
                <w:rFonts w:hint="eastAsia"/>
                <w:color w:val="auto"/>
                <w:sz w:val="24"/>
                <w:szCs w:val="24"/>
                <w:highlight w:val="none"/>
              </w:rPr>
              <w:t>项目建设符合</w:t>
            </w:r>
            <w:r>
              <w:rPr>
                <w:rFonts w:hint="eastAsia"/>
                <w:color w:val="auto"/>
                <w:highlight w:val="none"/>
              </w:rPr>
              <w:t>《</w:t>
            </w:r>
            <w:r>
              <w:rPr>
                <w:rFonts w:hint="eastAsia"/>
                <w:color w:val="auto"/>
                <w:highlight w:val="none"/>
                <w:lang w:val="en-US" w:eastAsia="zh-CN"/>
              </w:rPr>
              <w:t>鸡西</w:t>
            </w:r>
            <w:r>
              <w:rPr>
                <w:rFonts w:hint="eastAsia"/>
                <w:color w:val="auto"/>
                <w:highlight w:val="none"/>
              </w:rPr>
              <w:t>市人民政府关于“三线一单”生态环境分区管控的实施意见》（</w:t>
            </w:r>
            <w:r>
              <w:rPr>
                <w:rFonts w:hint="eastAsia"/>
                <w:color w:val="auto"/>
                <w:highlight w:val="none"/>
                <w:lang w:val="en-US" w:eastAsia="zh-CN"/>
              </w:rPr>
              <w:t>鸡</w:t>
            </w:r>
            <w:r>
              <w:rPr>
                <w:rFonts w:hint="eastAsia"/>
                <w:color w:val="auto"/>
                <w:highlight w:val="none"/>
              </w:rPr>
              <w:t>政</w:t>
            </w:r>
            <w:r>
              <w:rPr>
                <w:rFonts w:hint="eastAsia"/>
                <w:color w:val="auto"/>
                <w:highlight w:val="none"/>
                <w:lang w:val="en-US" w:eastAsia="zh-CN"/>
              </w:rPr>
              <w:t>发</w:t>
            </w:r>
            <w:r>
              <w:rPr>
                <w:rFonts w:hint="eastAsia"/>
                <w:color w:val="auto"/>
                <w:highlight w:val="none"/>
              </w:rPr>
              <w:t>〔2021〕</w:t>
            </w:r>
            <w:r>
              <w:rPr>
                <w:rFonts w:hint="eastAsia"/>
                <w:color w:val="auto"/>
                <w:highlight w:val="none"/>
                <w:lang w:val="en-US" w:eastAsia="zh-CN"/>
              </w:rPr>
              <w:t>7</w:t>
            </w:r>
            <w:r>
              <w:rPr>
                <w:rFonts w:hint="eastAsia"/>
                <w:color w:val="auto"/>
                <w:highlight w:val="none"/>
              </w:rPr>
              <w:t>号）</w:t>
            </w:r>
            <w:r>
              <w:rPr>
                <w:rFonts w:hint="eastAsia"/>
                <w:color w:val="auto"/>
                <w:highlight w:val="none"/>
                <w:lang w:val="en-US" w:eastAsia="zh-CN"/>
              </w:rPr>
              <w:t>和</w:t>
            </w:r>
            <w:r>
              <w:rPr>
                <w:rFonts w:hint="eastAsia"/>
                <w:color w:val="auto"/>
                <w:highlight w:val="none"/>
              </w:rPr>
              <w:t>《</w:t>
            </w:r>
            <w:r>
              <w:rPr>
                <w:rFonts w:hint="eastAsia"/>
                <w:color w:val="auto"/>
                <w:highlight w:val="none"/>
                <w:lang w:val="en-US" w:eastAsia="zh-CN"/>
              </w:rPr>
              <w:t>鸡西</w:t>
            </w:r>
            <w:r>
              <w:rPr>
                <w:rFonts w:hint="eastAsia"/>
                <w:color w:val="auto"/>
                <w:highlight w:val="none"/>
              </w:rPr>
              <w:t>市生态环境准入清单》（2023年版）</w:t>
            </w:r>
            <w:r>
              <w:rPr>
                <w:rFonts w:hint="eastAsia"/>
                <w:color w:val="auto"/>
                <w:highlight w:val="none"/>
                <w:lang w:val="en-US" w:eastAsia="zh-CN"/>
              </w:rPr>
              <w:t>要求。</w:t>
            </w:r>
          </w:p>
          <w:p w14:paraId="317B9EBD">
            <w:pPr>
              <w:ind w:firstLine="420"/>
              <w:rPr>
                <w:color w:val="auto"/>
              </w:rPr>
            </w:pPr>
            <w:r>
              <w:rPr>
                <w:rFonts w:hint="eastAsia"/>
                <w:color w:val="auto"/>
                <w:lang w:val="en-US" w:eastAsia="zh-CN"/>
              </w:rPr>
              <w:t>3</w:t>
            </w:r>
            <w:r>
              <w:rPr>
                <w:rFonts w:hint="eastAsia"/>
                <w:color w:val="auto"/>
              </w:rPr>
              <w:t>.与《关于进一步加强公路规划建设和环评工作推动绿色低碳转型发展的通知》符合性分析</w:t>
            </w:r>
          </w:p>
          <w:p w14:paraId="4C6962E5">
            <w:pPr>
              <w:ind w:firstLine="420"/>
              <w:rPr>
                <w:color w:val="auto"/>
              </w:rPr>
            </w:pPr>
            <w:r>
              <w:rPr>
                <w:rFonts w:hint="eastAsia"/>
                <w:color w:val="auto"/>
              </w:rPr>
              <w:t xml:space="preserve">根据《关于进一步加强公路规划建设和环评工作推动绿色低碳转型发展的通知》中“（十一）强化生态环境保护。公路建设项目要参照《绿色公路建设技术指南》，落实资源节约、环境保护有关要求，尽量减少占用耕地、林地和草地，加强表土资源剥离和堆存管理，施工结束后用于复耕或生态修复。……（十二）加强水环境保护及风险防范。公路建设项目要重视对饮用水水源地的保护，依法绕避饮用水水源保护区。……（十三）强化大气污染防治。公路建设项目应当采取有效防尘降尘措施，减少施工、运输、贮存过程扬尘污染，加强取弃土场、拌合站和料场等区域扬尘污染防治工作。……（十四）加强噪声污染防治。公路建设项目要根据工程特点与环境特征，制定合理可行的噪声防治对策和措施，在可能造成噪声污染的重点路段，根据需要设置声屏障或者采取其他减少振动、降低噪声的措施，降低施工噪声和公路交通噪声影响。公路建设项目实施前，沿线声环境敏感目标现状声环境质量达标的，项目实施后要确保其满足声环境质量标准要求；……” </w:t>
            </w:r>
          </w:p>
          <w:p w14:paraId="632724EE">
            <w:pPr>
              <w:ind w:firstLine="420"/>
              <w:rPr>
                <w:color w:val="auto"/>
              </w:rPr>
            </w:pPr>
            <w:r>
              <w:rPr>
                <w:rFonts w:hint="eastAsia"/>
                <w:color w:val="auto"/>
              </w:rPr>
              <w:t>本项目为公路改建工程，</w:t>
            </w:r>
            <w:r>
              <w:rPr>
                <w:rFonts w:hint="eastAsia"/>
                <w:color w:val="auto"/>
                <w:lang w:val="en-US" w:eastAsia="zh-CN"/>
              </w:rPr>
              <w:t>不新增永久占地</w:t>
            </w:r>
            <w:r>
              <w:rPr>
                <w:rFonts w:hint="eastAsia"/>
                <w:color w:val="auto"/>
              </w:rPr>
              <w:t>，项目路线不涉及饮用水水源保护区。</w:t>
            </w:r>
            <w:r>
              <w:rPr>
                <w:rFonts w:hint="eastAsia"/>
                <w:color w:val="auto"/>
                <w:lang w:val="en-US" w:eastAsia="zh-CN"/>
              </w:rPr>
              <w:t>项目在施工过程中</w:t>
            </w:r>
            <w:r>
              <w:rPr>
                <w:rFonts w:hint="eastAsia"/>
                <w:color w:val="auto"/>
              </w:rPr>
              <w:t>采取修建临时防尘挡板，洒水、遮盖，</w:t>
            </w:r>
            <w:r>
              <w:rPr>
                <w:rFonts w:hint="eastAsia"/>
                <w:color w:val="auto"/>
                <w:lang w:val="en-US" w:eastAsia="zh-CN"/>
              </w:rPr>
              <w:t>沥青混凝土拌合站</w:t>
            </w:r>
            <w:r>
              <w:rPr>
                <w:rFonts w:hint="eastAsia"/>
                <w:color w:val="auto"/>
              </w:rPr>
              <w:t>布置在居民区</w:t>
            </w:r>
            <w:r>
              <w:rPr>
                <w:color w:val="auto"/>
              </w:rPr>
              <w:t>300m</w:t>
            </w:r>
            <w:r>
              <w:rPr>
                <w:rFonts w:hint="eastAsia"/>
                <w:color w:val="auto"/>
                <w:lang w:val="en-US" w:eastAsia="zh-CN"/>
              </w:rPr>
              <w:t>外等措施</w:t>
            </w:r>
            <w:r>
              <w:rPr>
                <w:rFonts w:hint="eastAsia"/>
                <w:color w:val="auto"/>
                <w:lang w:eastAsia="zh-CN"/>
              </w:rPr>
              <w:t>；</w:t>
            </w:r>
            <w:r>
              <w:rPr>
                <w:rFonts w:hint="eastAsia"/>
                <w:color w:val="auto"/>
              </w:rPr>
              <w:t>采用低噪声设备，施工机械安装减振、降噪设备，加强修保养，设置移动式隔声、防尘挡板，高度不低于</w:t>
            </w:r>
            <w:r>
              <w:rPr>
                <w:color w:val="auto"/>
              </w:rPr>
              <w:t>3m</w:t>
            </w:r>
            <w:r>
              <w:rPr>
                <w:rFonts w:hint="eastAsia"/>
                <w:color w:val="auto"/>
              </w:rPr>
              <w:t>；临时工程及大型施工设备远离声环境保护目标设置；合理制定施工计划，避免大量噪声设备同时使用；禁止夜间（</w:t>
            </w:r>
            <w:r>
              <w:rPr>
                <w:color w:val="auto"/>
              </w:rPr>
              <w:t>22</w:t>
            </w:r>
            <w:r>
              <w:rPr>
                <w:rFonts w:hint="eastAsia"/>
                <w:color w:val="auto"/>
              </w:rPr>
              <w:t>：</w:t>
            </w:r>
            <w:r>
              <w:rPr>
                <w:color w:val="auto"/>
              </w:rPr>
              <w:t>00</w:t>
            </w:r>
            <w:r>
              <w:rPr>
                <w:rFonts w:hint="eastAsia"/>
                <w:color w:val="auto"/>
              </w:rPr>
              <w:t>～次日</w:t>
            </w:r>
            <w:r>
              <w:rPr>
                <w:color w:val="auto"/>
              </w:rPr>
              <w:t>6</w:t>
            </w:r>
            <w:r>
              <w:rPr>
                <w:rFonts w:hint="eastAsia"/>
                <w:color w:val="auto"/>
              </w:rPr>
              <w:t>：</w:t>
            </w:r>
            <w:r>
              <w:rPr>
                <w:color w:val="auto"/>
              </w:rPr>
              <w:t>00</w:t>
            </w:r>
            <w:r>
              <w:rPr>
                <w:rFonts w:hint="eastAsia"/>
                <w:color w:val="auto"/>
              </w:rPr>
              <w:t>）施工作业，采取禁止鸣笛、减速慢行等噪声防治对策和措施，降低施工噪声和公路交通噪声影响，保证项目沿线敏感目标声环境达标。综上，本项目建设符合《关于进一步加强公路规划建设和环评工作推动绿色低碳转型发展的通知》要求。</w:t>
            </w:r>
          </w:p>
          <w:p w14:paraId="4E75ECE4">
            <w:pPr>
              <w:ind w:firstLine="420"/>
              <w:rPr>
                <w:color w:val="auto"/>
              </w:rPr>
            </w:pPr>
            <w:r>
              <w:rPr>
                <w:rFonts w:hint="eastAsia"/>
                <w:color w:val="auto"/>
                <w:lang w:val="en-US" w:eastAsia="zh-CN"/>
              </w:rPr>
              <w:t>4</w:t>
            </w:r>
            <w:r>
              <w:rPr>
                <w:rFonts w:hint="eastAsia"/>
                <w:color w:val="auto"/>
              </w:rPr>
              <w:t>.与《黑龙江省“十四五”公路水路交通运输发展规划》符合性分析</w:t>
            </w:r>
          </w:p>
          <w:p w14:paraId="516B6CA8">
            <w:pPr>
              <w:ind w:firstLine="420"/>
              <w:rPr>
                <w:color w:val="auto"/>
              </w:rPr>
            </w:pPr>
            <w:r>
              <w:rPr>
                <w:rFonts w:hint="eastAsia"/>
                <w:color w:val="auto"/>
              </w:rPr>
              <w:t>《黑龙江省“十四五”公路水路交通运输发展规划》中指出，坚持先行引领，适度超前。把交通运输作为经济社会发展的“先行官”，继续保持一定的发展速度，巩固交通运输基础性作用，突出交通运输先导性作用，提升交通运输服务性作用，努力实现交通基础设施和运输服务能力适度超前配置，在贯彻实施“一带一路”、维护国家“五大安全”、建设“六个强省”、服务乡村振兴和新型城镇化战略中发挥先行引领作用，为经济社会发展提供坚实基础和有力保障。</w:t>
            </w:r>
          </w:p>
          <w:p w14:paraId="1277F013">
            <w:pPr>
              <w:ind w:firstLine="420"/>
              <w:rPr>
                <w:color w:val="auto"/>
              </w:rPr>
            </w:pPr>
            <w:r>
              <w:rPr>
                <w:color w:val="auto"/>
              </w:rPr>
              <w:t>加快推进普通省道升级改造。按照</w:t>
            </w:r>
            <w:r>
              <w:rPr>
                <w:rFonts w:hint="eastAsia"/>
                <w:color w:val="auto"/>
              </w:rPr>
              <w:t>“</w:t>
            </w:r>
            <w:r>
              <w:rPr>
                <w:color w:val="auto"/>
              </w:rPr>
              <w:t>保贯通、畅瓶颈、连节点、强出省</w:t>
            </w:r>
            <w:r>
              <w:rPr>
                <w:rFonts w:hint="eastAsia"/>
                <w:color w:val="auto"/>
              </w:rPr>
              <w:t>”</w:t>
            </w:r>
            <w:r>
              <w:rPr>
                <w:color w:val="auto"/>
              </w:rPr>
              <w:t>的原则，以实现国土均衡覆盖，强化路网衔接，推进各运输方式协调发展为导向，进一步扩大路网规模，提升整体技术水平和服务能力。注重打通出省通道，改造省道砂石路，升级改造一批路况差、群众反响强烈的省道路段，注重加强对机场、火车站、港口、重要口岸、物流园区、产业园区等交通节点的连接，强化各运输方式协调衔接，推动交通运输一体化发展。</w:t>
            </w:r>
            <w:r>
              <w:rPr>
                <w:rFonts w:hint="eastAsia"/>
                <w:color w:val="auto"/>
              </w:rPr>
              <w:t>“</w:t>
            </w:r>
            <w:r>
              <w:rPr>
                <w:color w:val="auto"/>
              </w:rPr>
              <w:t>十四五</w:t>
            </w:r>
            <w:r>
              <w:rPr>
                <w:rFonts w:hint="eastAsia"/>
                <w:color w:val="auto"/>
              </w:rPr>
              <w:t>”</w:t>
            </w:r>
            <w:r>
              <w:rPr>
                <w:color w:val="auto"/>
              </w:rPr>
              <w:t>时期，规划建设普通省道5000</w:t>
            </w:r>
            <w:r>
              <w:rPr>
                <w:rFonts w:hint="eastAsia"/>
                <w:color w:val="auto"/>
              </w:rPr>
              <w:t>公里，其中，续建项目</w:t>
            </w:r>
            <w:r>
              <w:rPr>
                <w:color w:val="auto"/>
              </w:rPr>
              <w:t>90</w:t>
            </w:r>
            <w:r>
              <w:rPr>
                <w:rFonts w:hint="eastAsia"/>
                <w:color w:val="auto"/>
              </w:rPr>
              <w:t>公里，新开工项目</w:t>
            </w:r>
            <w:r>
              <w:rPr>
                <w:color w:val="auto"/>
              </w:rPr>
              <w:t>4910</w:t>
            </w:r>
            <w:r>
              <w:rPr>
                <w:rFonts w:hint="eastAsia"/>
                <w:color w:val="auto"/>
              </w:rPr>
              <w:t>公里。</w:t>
            </w:r>
          </w:p>
          <w:p w14:paraId="475AD914">
            <w:pPr>
              <w:ind w:firstLine="420"/>
              <w:rPr>
                <w:color w:val="auto"/>
              </w:rPr>
            </w:pPr>
            <w:r>
              <w:rPr>
                <w:rFonts w:hint="eastAsia"/>
                <w:color w:val="auto"/>
              </w:rPr>
              <w:t>本项目的建设属于</w:t>
            </w:r>
            <w:r>
              <w:rPr>
                <w:color w:val="auto"/>
              </w:rPr>
              <w:t>省道升级改造</w:t>
            </w:r>
            <w:r>
              <w:rPr>
                <w:rFonts w:hint="eastAsia"/>
                <w:color w:val="auto"/>
              </w:rPr>
              <w:t>，能够促进区域经济发展，本项目的建设与《黑龙江省“十四五”公路水路交通运输发展规划》相符合。</w:t>
            </w:r>
          </w:p>
          <w:p w14:paraId="5504E9ED">
            <w:pPr>
              <w:ind w:firstLine="420"/>
              <w:rPr>
                <w:color w:val="auto"/>
              </w:rPr>
            </w:pPr>
            <w:r>
              <w:rPr>
                <w:rFonts w:hint="eastAsia"/>
                <w:color w:val="auto"/>
                <w:lang w:val="en-US" w:eastAsia="zh-CN"/>
              </w:rPr>
              <w:t>5</w:t>
            </w:r>
            <w:r>
              <w:rPr>
                <w:rFonts w:hint="eastAsia"/>
                <w:color w:val="auto"/>
              </w:rPr>
              <w:t>.与《十四五”噪声污染防治行动计划》符合性分析</w:t>
            </w:r>
          </w:p>
          <w:p w14:paraId="6BC7E4AD">
            <w:pPr>
              <w:ind w:firstLine="420"/>
              <w:rPr>
                <w:color w:val="auto"/>
              </w:rPr>
            </w:pPr>
            <w:r>
              <w:rPr>
                <w:rFonts w:hint="eastAsia"/>
                <w:color w:val="auto"/>
              </w:rPr>
              <w:t>根据《十四五”噪声污染防治行动计划》，应细化交通基础设施选线选址要求，将噪声污染防治要求作为绿色公路、美丽公路和公路建设高质量发展的重要内容，科学选线布线，尽量避开噪声敏感建筑物集中区域。优化噪声敏感建筑物建设布局，在交通干线两侧、工业企业周边等地方建设噪声敏感建筑物，应间隔一定距离，提出相应规划设计要求。严格落实噪声污染防治要求，制定修改相关规划、建设对环境有影响的项目时，应依法开展环评，对可能产生噪声与振动的影响进行分析、预测和评估，积极采取噪声污染防治对策措施。建设项目的噪声污染防治设施应当与主体工程同时设计、同时施工、同时投产使用，督促建设单位依法开展竣工环境保护验收，加大事中事后监管力度，确保各项措施落地见效。落实管控责任，修订建设工程施工合同示范文本，明确建设单位、施工单位噪声污染防治责任和任务措施等要求，施工单位编制并落实噪声污染防治工作方案，采取有效隔声降噪设备、设施或施工工艺。加强公路和城市道路养护，加强公路和城市道路路面、桥梁的维护保养，以及公路和城市道路声屏障等既有噪声污染防治设施的检查、维护和保养，保障其经常处于良好技术状态。</w:t>
            </w:r>
          </w:p>
          <w:p w14:paraId="78F1A46F">
            <w:pPr>
              <w:ind w:firstLine="420"/>
              <w:rPr>
                <w:color w:val="auto"/>
              </w:rPr>
            </w:pPr>
            <w:r>
              <w:rPr>
                <w:rFonts w:hint="eastAsia"/>
                <w:color w:val="auto"/>
              </w:rPr>
              <w:t>本项目为改建项目，</w:t>
            </w:r>
            <w:r>
              <w:rPr>
                <w:rFonts w:hint="eastAsia"/>
                <w:color w:val="auto"/>
                <w:lang w:val="en-US" w:eastAsia="zh-CN"/>
              </w:rPr>
              <w:t>项目</w:t>
            </w:r>
            <w:r>
              <w:rPr>
                <w:rFonts w:hint="eastAsia"/>
                <w:color w:val="auto"/>
              </w:rPr>
              <w:t>路线</w:t>
            </w:r>
            <w:r>
              <w:rPr>
                <w:rFonts w:hint="eastAsia"/>
                <w:color w:val="auto"/>
                <w:lang w:val="en-US" w:eastAsia="zh-CN"/>
              </w:rPr>
              <w:t>不发生变化，不新增永久占地</w:t>
            </w:r>
            <w:r>
              <w:rPr>
                <w:rFonts w:hint="eastAsia"/>
                <w:color w:val="auto"/>
              </w:rPr>
              <w:t>。本项目为二级公路，属于交通干线。建设项目已依法开展环评，并对可能产生噪声影响进行分析、预测和评估，积极采取了噪声污染防治对策措施。已在环评中对</w:t>
            </w:r>
            <w:r>
              <w:rPr>
                <w:rFonts w:hint="eastAsia"/>
                <w:color w:val="auto"/>
                <w:lang w:val="en-US" w:eastAsia="zh-CN"/>
              </w:rPr>
              <w:t>项目</w:t>
            </w:r>
            <w:r>
              <w:rPr>
                <w:rFonts w:hint="eastAsia"/>
                <w:color w:val="auto"/>
              </w:rPr>
              <w:t>环保验收进行了要求，运营期提出了部分超标敏感点采用双层玻璃等措施，路政部门对道路尤其是超标路段采取的路面进行经常性维护，提高路面平整度，降低道路交通噪声；道路运营单位预留环保资金，定期跟踪监测道路通车后近期、中期、远期噪声情况，采取切实可行的措施减轻道路噪声对敏感目标的影响等措施。与《“十四五”噪声污染防治行动计划》的要求相符。</w:t>
            </w:r>
          </w:p>
          <w:p w14:paraId="5FD09718">
            <w:pPr>
              <w:ind w:firstLine="420"/>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6</w:t>
            </w:r>
            <w:r>
              <w:rPr>
                <w:rFonts w:hint="eastAsia" w:ascii="Times New Roman" w:hAnsi="Times New Roman" w:eastAsia="宋体" w:cs="Times New Roman"/>
                <w:color w:val="auto"/>
              </w:rPr>
              <w:t>.与《黑龙江兴凯湖国家地质公园规划》（2011—2030）的相符性分析</w:t>
            </w:r>
          </w:p>
          <w:p w14:paraId="07BA7F98">
            <w:pPr>
              <w:ind w:firstLine="420"/>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rPr>
              <w:t>根据《黑</w:t>
            </w:r>
            <w:r>
              <w:rPr>
                <w:color w:val="auto"/>
                <w:sz w:val="24"/>
              </w:rPr>
              <w:t>龙江兴凯湖国家地质公园规划</w:t>
            </w:r>
            <w:r>
              <w:rPr>
                <w:rFonts w:hint="eastAsia"/>
                <w:color w:val="auto"/>
                <w:sz w:val="24"/>
              </w:rPr>
              <w:t>》（2011—2030），</w:t>
            </w:r>
            <w:r>
              <w:rPr>
                <w:color w:val="auto"/>
                <w:sz w:val="24"/>
              </w:rPr>
              <w:t>黑龙江兴凯湖国家地质公园位于黑龙江省密山市境内</w:t>
            </w:r>
            <w:r>
              <w:rPr>
                <w:rFonts w:hint="eastAsia"/>
                <w:color w:val="auto"/>
                <w:sz w:val="24"/>
              </w:rPr>
              <w:t>，</w:t>
            </w:r>
            <w:r>
              <w:rPr>
                <w:color w:val="auto"/>
                <w:sz w:val="24"/>
              </w:rPr>
              <w:t>西起白棱河口，北邻穆棱河，东北与虎林市交界，东以松阿察河、南以大兴凯湖与俄罗斯相接。公园东西长约93km，南北宽57km，总面积</w:t>
            </w:r>
            <w:r>
              <w:rPr>
                <w:rFonts w:hint="eastAsia"/>
                <w:color w:val="auto"/>
                <w:sz w:val="24"/>
              </w:rPr>
              <w:t>2675.76</w:t>
            </w:r>
            <w:r>
              <w:rPr>
                <w:color w:val="auto"/>
                <w:sz w:val="24"/>
              </w:rPr>
              <w:t>km</w:t>
            </w:r>
            <w:r>
              <w:rPr>
                <w:color w:val="auto"/>
                <w:sz w:val="24"/>
                <w:vertAlign w:val="superscript"/>
              </w:rPr>
              <w:t>2</w:t>
            </w:r>
            <w:r>
              <w:rPr>
                <w:color w:val="auto"/>
                <w:sz w:val="24"/>
              </w:rPr>
              <w:t>，为特大型地质公园。根据黑龙江兴凯湖国家地质公园的</w:t>
            </w:r>
            <w:r>
              <w:rPr>
                <w:rFonts w:hint="eastAsia"/>
                <w:color w:val="auto"/>
                <w:sz w:val="24"/>
              </w:rPr>
              <w:t>功能分区划分，公园</w:t>
            </w:r>
            <w:r>
              <w:rPr>
                <w:color w:val="auto"/>
                <w:sz w:val="24"/>
              </w:rPr>
              <w:t>地质遗迹</w:t>
            </w:r>
            <w:r>
              <w:rPr>
                <w:rFonts w:hint="eastAsia"/>
                <w:color w:val="auto"/>
                <w:sz w:val="24"/>
              </w:rPr>
              <w:t>保护区</w:t>
            </w:r>
            <w:r>
              <w:rPr>
                <w:color w:val="auto"/>
                <w:sz w:val="24"/>
              </w:rPr>
              <w:t>划分为一级、二级和三级保护区。一级保护区</w:t>
            </w:r>
            <w:r>
              <w:rPr>
                <w:rFonts w:hint="eastAsia"/>
                <w:color w:val="auto"/>
                <w:sz w:val="24"/>
              </w:rPr>
              <w:t>包括大湖岗、太阳岗、部分二道岗、东林岗</w:t>
            </w:r>
            <w:r>
              <w:rPr>
                <w:rFonts w:hint="eastAsia" w:ascii="Times New Roman" w:hAnsi="Times New Roman" w:eastAsia="宋体" w:cs="Times New Roman"/>
                <w:color w:val="auto"/>
                <w:kern w:val="2"/>
                <w:sz w:val="24"/>
                <w:szCs w:val="24"/>
                <w:lang w:val="en-US" w:eastAsia="zh-CN" w:bidi="ar-SA"/>
              </w:rPr>
              <w:t>及零疙瘩、一疙瘩、二疙瘩、三疙瘩、四疙瘩湖岗残丘；二级保护区为二道岗兴凯湖段；三级保护区为二道岗及荒岗余段。</w:t>
            </w:r>
          </w:p>
          <w:p w14:paraId="28BA7E72">
            <w:pPr>
              <w:pStyle w:val="70"/>
              <w:spacing w:line="360" w:lineRule="auto"/>
              <w:ind w:firstLine="482"/>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总体发展目标：公园建设使珍贵地质遗迹得到切实保护，社会地球知识科学普及水平迅速提升，同时带动旅游及相关产业发展，促进当地经济、社会的发展和文化振兴。到本规划末期2030年，公园内保护设施建设全面完成；地质遗迹保护管理体系有效运转；地质遗迹破坏情况得到控制；所有的地质遗迹和原始的自然生态风光得到全面保护。把黑龙江兴凯湖国家地质公园建成一个集科考、旅游观光、休闲度假于一体，科学内涵丰富、地方特色鲜明，管理完善、功能齐全、效益明显的地质公园。</w:t>
            </w:r>
          </w:p>
          <w:p w14:paraId="0B75DBB0">
            <w:pPr>
              <w:adjustRightInd w:val="0"/>
              <w:snapToGrid w:val="0"/>
              <w:spacing w:line="360" w:lineRule="auto"/>
              <w:ind w:firstLine="480" w:firstLineChars="200"/>
              <w:rPr>
                <w:color w:val="auto"/>
                <w:sz w:val="24"/>
              </w:rPr>
            </w:pPr>
            <w:r>
              <w:rPr>
                <w:rFonts w:hint="eastAsia" w:ascii="Times New Roman" w:hAnsi="Times New Roman" w:eastAsia="宋体" w:cs="Times New Roman"/>
                <w:color w:val="auto"/>
                <w:kern w:val="2"/>
                <w:sz w:val="24"/>
                <w:szCs w:val="24"/>
                <w:lang w:val="en-US" w:eastAsia="zh-CN" w:bidi="ar-SA"/>
              </w:rPr>
              <w:t>本项目位于</w:t>
            </w:r>
            <w:r>
              <w:rPr>
                <w:rFonts w:hint="eastAsia"/>
                <w:color w:val="auto"/>
                <w:sz w:val="24"/>
              </w:rPr>
              <w:t>地质公园内，但不在地质公园的保护区范围</w:t>
            </w:r>
            <w:r>
              <w:rPr>
                <w:rFonts w:hint="eastAsia"/>
                <w:color w:val="auto"/>
                <w:sz w:val="24"/>
                <w:lang w:val="en-US" w:eastAsia="zh-CN"/>
              </w:rPr>
              <w:t>内</w:t>
            </w:r>
            <w:r>
              <w:rPr>
                <w:rFonts w:hint="eastAsia"/>
                <w:color w:val="auto"/>
                <w:sz w:val="24"/>
              </w:rPr>
              <w:t>。工程</w:t>
            </w:r>
            <w:r>
              <w:rPr>
                <w:rFonts w:hint="eastAsia"/>
                <w:color w:val="auto"/>
              </w:rPr>
              <w:t>为公路改建工程，</w:t>
            </w:r>
            <w:r>
              <w:rPr>
                <w:rFonts w:hint="eastAsia"/>
                <w:color w:val="auto"/>
                <w:lang w:val="en-US" w:eastAsia="zh-CN"/>
              </w:rPr>
              <w:t>不新增永久占地</w:t>
            </w:r>
            <w:r>
              <w:rPr>
                <w:rFonts w:hint="eastAsia"/>
                <w:color w:val="auto"/>
                <w:sz w:val="24"/>
              </w:rPr>
              <w:t>，不会</w:t>
            </w:r>
            <w:r>
              <w:rPr>
                <w:color w:val="auto"/>
                <w:sz w:val="24"/>
              </w:rPr>
              <w:t>破坏</w:t>
            </w:r>
            <w:r>
              <w:rPr>
                <w:rFonts w:hint="eastAsia"/>
                <w:color w:val="auto"/>
                <w:sz w:val="24"/>
                <w:lang w:val="en-US" w:eastAsia="zh-CN"/>
              </w:rPr>
              <w:t>地质公园保护区和</w:t>
            </w:r>
            <w:r>
              <w:rPr>
                <w:color w:val="auto"/>
                <w:sz w:val="24"/>
              </w:rPr>
              <w:t>地质遗迹</w:t>
            </w:r>
            <w:r>
              <w:rPr>
                <w:rFonts w:hint="eastAsia"/>
                <w:color w:val="auto"/>
                <w:sz w:val="24"/>
              </w:rPr>
              <w:t>，</w:t>
            </w:r>
            <w:r>
              <w:rPr>
                <w:rFonts w:hint="eastAsia"/>
                <w:color w:val="auto"/>
                <w:sz w:val="24"/>
                <w:lang w:val="en-US" w:eastAsia="zh-CN"/>
              </w:rPr>
              <w:t>项目建设有利于改善当地交通条件，有利于</w:t>
            </w:r>
            <w:r>
              <w:rPr>
                <w:rFonts w:hint="eastAsia" w:ascii="Times New Roman" w:hAnsi="Times New Roman" w:eastAsia="宋体" w:cs="Times New Roman"/>
                <w:color w:val="auto"/>
                <w:kern w:val="2"/>
                <w:sz w:val="24"/>
                <w:szCs w:val="24"/>
                <w:lang w:val="en-US" w:eastAsia="zh-CN" w:bidi="ar-SA"/>
              </w:rPr>
              <w:t>带动旅游及相关产业发展，促进经济、社会的发展</w:t>
            </w:r>
            <w:r>
              <w:rPr>
                <w:rFonts w:hint="eastAsia"/>
                <w:color w:val="auto"/>
                <w:sz w:val="24"/>
              </w:rPr>
              <w:t>，符合</w:t>
            </w:r>
            <w:r>
              <w:rPr>
                <w:color w:val="auto"/>
                <w:sz w:val="24"/>
              </w:rPr>
              <w:t>黑龙江兴凯湖国家地质公园</w:t>
            </w:r>
            <w:r>
              <w:rPr>
                <w:rFonts w:hint="eastAsia"/>
                <w:color w:val="auto"/>
                <w:sz w:val="24"/>
              </w:rPr>
              <w:t>规划的要求。</w:t>
            </w:r>
          </w:p>
          <w:p w14:paraId="5918F91E">
            <w:pPr>
              <w:spacing w:line="360" w:lineRule="auto"/>
              <w:ind w:firstLine="420"/>
              <w:rPr>
                <w:rFonts w:hint="default" w:ascii="Times New Roman" w:hAnsi="Times New Roman" w:cs="Times New Roman"/>
                <w:color w:val="auto"/>
              </w:rPr>
            </w:pPr>
            <w:r>
              <w:rPr>
                <w:rFonts w:hint="eastAsia" w:cs="Times New Roman"/>
                <w:color w:val="auto"/>
                <w:lang w:val="en-US" w:eastAsia="zh-CN"/>
              </w:rPr>
              <w:t>7</w:t>
            </w:r>
            <w:r>
              <w:rPr>
                <w:rFonts w:hint="default" w:ascii="Times New Roman" w:hAnsi="Times New Roman" w:cs="Times New Roman"/>
                <w:color w:val="auto"/>
              </w:rPr>
              <w:t>.与《黑龙江省水土保持规划》（2015-2030）的符合性分析</w:t>
            </w:r>
          </w:p>
          <w:p w14:paraId="4A58DF7E">
            <w:pPr>
              <w:autoSpaceDE w:val="0"/>
              <w:autoSpaceDN w:val="0"/>
              <w:adjustRightInd w:val="0"/>
              <w:ind w:firstLine="480"/>
              <w:rPr>
                <w:smallCaps w:val="0"/>
                <w:color w:val="auto"/>
                <w:kern w:val="0"/>
                <w:szCs w:val="24"/>
              </w:rPr>
            </w:pPr>
            <w:r>
              <w:rPr>
                <w:rFonts w:hint="default" w:ascii="Times New Roman" w:hAnsi="Times New Roman" w:cs="Times New Roman"/>
                <w:color w:val="auto"/>
              </w:rPr>
              <w:t>2016年7月18日黑龙江省人民政府印发了《关于黑龙江省水土保持规划(2015-2030年)的批复》（黑政函〔2016〕77号）</w:t>
            </w:r>
            <w:r>
              <w:rPr>
                <w:rFonts w:hint="default" w:ascii="Times New Roman" w:hAnsi="Times New Roman" w:cs="Times New Roman"/>
                <w:color w:val="auto"/>
                <w:lang w:eastAsia="zh-CN"/>
              </w:rPr>
              <w:t>。根据</w:t>
            </w:r>
            <w:r>
              <w:rPr>
                <w:rFonts w:hint="default" w:ascii="Times New Roman" w:hAnsi="Times New Roman" w:cs="Times New Roman"/>
                <w:color w:val="auto"/>
              </w:rPr>
              <w:t>《黑龙江省水土保持规划》（2015-2030年）</w:t>
            </w:r>
            <w:r>
              <w:rPr>
                <w:rFonts w:hint="default" w:ascii="Times New Roman" w:hAnsi="Times New Roman" w:cs="Times New Roman"/>
                <w:color w:val="auto"/>
                <w:lang w:eastAsia="zh-CN"/>
              </w:rPr>
              <w:t>，</w:t>
            </w:r>
            <w:r>
              <w:rPr>
                <w:smallCaps w:val="0"/>
                <w:color w:val="auto"/>
                <w:kern w:val="0"/>
                <w:szCs w:val="24"/>
              </w:rPr>
              <w:t>项目区属于以水力侵蚀为主东北黑土区，水土流失强度为轻度，容许土壤流失量为200 t/km</w:t>
            </w:r>
            <w:r>
              <w:rPr>
                <w:smallCaps w:val="0"/>
                <w:color w:val="auto"/>
                <w:kern w:val="0"/>
                <w:szCs w:val="24"/>
                <w:vertAlign w:val="superscript"/>
              </w:rPr>
              <w:t>2</w:t>
            </w:r>
            <w:r>
              <w:rPr>
                <w:smallCaps w:val="0"/>
                <w:color w:val="auto"/>
                <w:kern w:val="0"/>
                <w:szCs w:val="24"/>
              </w:rPr>
              <w:t>·a，项目所在区域属于</w:t>
            </w:r>
            <w:r>
              <w:rPr>
                <w:rFonts w:hint="eastAsia"/>
                <w:smallCaps w:val="0"/>
                <w:color w:val="auto"/>
                <w:kern w:val="0"/>
                <w:szCs w:val="24"/>
              </w:rPr>
              <w:t>省级水土流失重点治理区（东北漫川漫岗水土流失重点治理区）</w:t>
            </w:r>
            <w:r>
              <w:rPr>
                <w:smallCaps w:val="0"/>
                <w:color w:val="auto"/>
                <w:kern w:val="0"/>
                <w:szCs w:val="24"/>
              </w:rPr>
              <w:t>。</w:t>
            </w:r>
          </w:p>
          <w:p w14:paraId="63958E57">
            <w:pPr>
              <w:ind w:firstLine="420"/>
              <w:rPr>
                <w:rFonts w:hint="default" w:ascii="Times New Roman" w:hAnsi="Times New Roman" w:cs="Times New Roman"/>
                <w:color w:val="auto"/>
              </w:rPr>
            </w:pPr>
          </w:p>
          <w:p w14:paraId="7FF65FB0">
            <w:pPr>
              <w:ind w:firstLine="420"/>
              <w:rPr>
                <w:rFonts w:hint="default" w:ascii="Times New Roman" w:hAnsi="Times New Roman" w:cs="Times New Roman"/>
                <w:color w:val="auto"/>
              </w:rPr>
            </w:pPr>
          </w:p>
          <w:p w14:paraId="45F34BE3">
            <w:pPr>
              <w:ind w:firstLine="420"/>
              <w:rPr>
                <w:rFonts w:hint="default" w:ascii="Times New Roman" w:hAnsi="Times New Roman" w:cs="Times New Roman"/>
                <w:color w:val="auto"/>
              </w:rPr>
            </w:pPr>
          </w:p>
          <w:p w14:paraId="1D6B3336">
            <w:pPr>
              <w:spacing w:line="240" w:lineRule="auto"/>
              <w:ind w:firstLine="0" w:firstLineChars="0"/>
              <w:jc w:val="center"/>
              <w:rPr>
                <w:rFonts w:hint="default" w:ascii="Times New Roman" w:hAnsi="Times New Roman" w:cs="Times New Roman"/>
                <w:color w:val="auto"/>
              </w:rPr>
            </w:pPr>
            <w:r>
              <w:rPr>
                <w:rFonts w:hint="default" w:ascii="Times New Roman" w:hAnsi="Times New Roman" w:cs="Times New Roman"/>
                <w:color w:val="auto"/>
              </w:rPr>
              <mc:AlternateContent>
                <mc:Choice Requires="wps">
                  <w:drawing>
                    <wp:anchor distT="0" distB="0" distL="114300" distR="114300" simplePos="0" relativeHeight="251669504" behindDoc="0" locked="0" layoutInCell="1" allowOverlap="1">
                      <wp:simplePos x="0" y="0"/>
                      <wp:positionH relativeFrom="column">
                        <wp:posOffset>2740660</wp:posOffset>
                      </wp:positionH>
                      <wp:positionV relativeFrom="paragraph">
                        <wp:posOffset>3284855</wp:posOffset>
                      </wp:positionV>
                      <wp:extent cx="1091565" cy="1362710"/>
                      <wp:effectExtent l="5080" t="5080" r="8255" b="41910"/>
                      <wp:wrapNone/>
                      <wp:docPr id="370" name="任意多边形 370"/>
                      <wp:cNvGraphicFramePr/>
                      <a:graphic xmlns:a="http://schemas.openxmlformats.org/drawingml/2006/main">
                        <a:graphicData uri="http://schemas.microsoft.com/office/word/2010/wordprocessingShape">
                          <wps:wsp>
                            <wps:cNvSpPr/>
                            <wps:spPr>
                              <a:xfrm flipV="1">
                                <a:off x="0" y="0"/>
                                <a:ext cx="1091565" cy="1362710"/>
                              </a:xfrm>
                              <a:custGeom>
                                <a:avLst/>
                                <a:gdLst>
                                  <a:gd name="connsiteX0" fmla="*/ 0 w 1719"/>
                                  <a:gd name="connsiteY0" fmla="*/ 1858 h 2568"/>
                                  <a:gd name="connsiteX1" fmla="*/ 141 w 1719"/>
                                  <a:gd name="connsiteY1" fmla="*/ 1717 h 2568"/>
                                  <a:gd name="connsiteX2" fmla="*/ 579 w 1719"/>
                                  <a:gd name="connsiteY2" fmla="*/ 1728 h 2568"/>
                                  <a:gd name="connsiteX3" fmla="*/ 954 w 1719"/>
                                  <a:gd name="connsiteY3" fmla="*/ 0 h 2568"/>
                                  <a:gd name="connsiteX4" fmla="*/ 984 w 1719"/>
                                  <a:gd name="connsiteY4" fmla="*/ 1698 h 2568"/>
                                  <a:gd name="connsiteX5" fmla="*/ 1578 w 1719"/>
                                  <a:gd name="connsiteY5" fmla="*/ 1717 h 2568"/>
                                  <a:gd name="connsiteX6" fmla="*/ 1719 w 1719"/>
                                  <a:gd name="connsiteY6" fmla="*/ 1858 h 2568"/>
                                  <a:gd name="connsiteX7" fmla="*/ 1719 w 1719"/>
                                  <a:gd name="connsiteY7" fmla="*/ 1858 h 2568"/>
                                  <a:gd name="connsiteX8" fmla="*/ 1719 w 1719"/>
                                  <a:gd name="connsiteY8" fmla="*/ 1858 h 2568"/>
                                  <a:gd name="connsiteX9" fmla="*/ 1719 w 1719"/>
                                  <a:gd name="connsiteY9" fmla="*/ 2070 h 2568"/>
                                  <a:gd name="connsiteX10" fmla="*/ 1719 w 1719"/>
                                  <a:gd name="connsiteY10" fmla="*/ 2422 h 2568"/>
                                  <a:gd name="connsiteX11" fmla="*/ 1578 w 1719"/>
                                  <a:gd name="connsiteY11" fmla="*/ 2563 h 2568"/>
                                  <a:gd name="connsiteX12" fmla="*/ 1433 w 1719"/>
                                  <a:gd name="connsiteY12" fmla="*/ 2563 h 2568"/>
                                  <a:gd name="connsiteX13" fmla="*/ 1003 w 1719"/>
                                  <a:gd name="connsiteY13" fmla="*/ 2563 h 2568"/>
                                  <a:gd name="connsiteX14" fmla="*/ 1003 w 1719"/>
                                  <a:gd name="connsiteY14" fmla="*/ 2563 h 2568"/>
                                  <a:gd name="connsiteX15" fmla="*/ 834 w 1719"/>
                                  <a:gd name="connsiteY15" fmla="*/ 2568 h 2568"/>
                                  <a:gd name="connsiteX16" fmla="*/ 141 w 1719"/>
                                  <a:gd name="connsiteY16" fmla="*/ 2563 h 2568"/>
                                  <a:gd name="connsiteX17" fmla="*/ 0 w 1719"/>
                                  <a:gd name="connsiteY17" fmla="*/ 2422 h 2568"/>
                                  <a:gd name="connsiteX18" fmla="*/ 0 w 1719"/>
                                  <a:gd name="connsiteY18" fmla="*/ 2070 h 2568"/>
                                  <a:gd name="connsiteX19" fmla="*/ 0 w 1719"/>
                                  <a:gd name="connsiteY19" fmla="*/ 1858 h 2568"/>
                                  <a:gd name="connsiteX20" fmla="*/ 0 w 1719"/>
                                  <a:gd name="connsiteY20" fmla="*/ 1858 h 2568"/>
                                  <a:gd name="connsiteX21" fmla="*/ 0 w 1719"/>
                                  <a:gd name="connsiteY21" fmla="*/ 1858 h 25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719" h="2568">
                                    <a:moveTo>
                                      <a:pt x="0" y="1858"/>
                                    </a:moveTo>
                                    <a:cubicBezTo>
                                      <a:pt x="0" y="1780"/>
                                      <a:pt x="63" y="1717"/>
                                      <a:pt x="141" y="1717"/>
                                    </a:cubicBezTo>
                                    <a:lnTo>
                                      <a:pt x="579" y="1728"/>
                                    </a:lnTo>
                                    <a:lnTo>
                                      <a:pt x="954" y="0"/>
                                    </a:lnTo>
                                    <a:lnTo>
                                      <a:pt x="984" y="1698"/>
                                    </a:lnTo>
                                    <a:lnTo>
                                      <a:pt x="1578" y="1717"/>
                                    </a:lnTo>
                                    <a:cubicBezTo>
                                      <a:pt x="1656" y="1717"/>
                                      <a:pt x="1719" y="1780"/>
                                      <a:pt x="1719" y="1858"/>
                                    </a:cubicBezTo>
                                    <a:lnTo>
                                      <a:pt x="1719" y="1858"/>
                                    </a:lnTo>
                                    <a:lnTo>
                                      <a:pt x="1719" y="1858"/>
                                    </a:lnTo>
                                    <a:lnTo>
                                      <a:pt x="1719" y="2070"/>
                                    </a:lnTo>
                                    <a:lnTo>
                                      <a:pt x="1719" y="2422"/>
                                    </a:lnTo>
                                    <a:cubicBezTo>
                                      <a:pt x="1719" y="2500"/>
                                      <a:pt x="1656" y="2563"/>
                                      <a:pt x="1578" y="2563"/>
                                    </a:cubicBezTo>
                                    <a:lnTo>
                                      <a:pt x="1433" y="2563"/>
                                    </a:lnTo>
                                    <a:lnTo>
                                      <a:pt x="1003" y="2563"/>
                                    </a:lnTo>
                                    <a:lnTo>
                                      <a:pt x="1003" y="2563"/>
                                    </a:lnTo>
                                    <a:lnTo>
                                      <a:pt x="834" y="2568"/>
                                    </a:lnTo>
                                    <a:lnTo>
                                      <a:pt x="141" y="2563"/>
                                    </a:lnTo>
                                    <a:cubicBezTo>
                                      <a:pt x="63" y="2563"/>
                                      <a:pt x="0" y="2500"/>
                                      <a:pt x="0" y="2422"/>
                                    </a:cubicBezTo>
                                    <a:lnTo>
                                      <a:pt x="0" y="2070"/>
                                    </a:lnTo>
                                    <a:lnTo>
                                      <a:pt x="0" y="1858"/>
                                    </a:lnTo>
                                    <a:lnTo>
                                      <a:pt x="0" y="1858"/>
                                    </a:lnTo>
                                    <a:lnTo>
                                      <a:pt x="0" y="1858"/>
                                    </a:lnTo>
                                    <a:close/>
                                  </a:path>
                                </a:pathLst>
                              </a:custGeom>
                              <a:noFill/>
                              <a:ln w="9525" cap="flat" cmpd="sng">
                                <a:solidFill>
                                  <a:srgbClr val="FF0000"/>
                                </a:solidFill>
                                <a:prstDash val="solid"/>
                                <a:miter/>
                                <a:headEnd type="none" w="med" len="med"/>
                                <a:tailEnd type="none" w="med" len="med"/>
                              </a:ln>
                            </wps:spPr>
                            <wps:txbx>
                              <w:txbxContent>
                                <w:p w14:paraId="03C3AC4F">
                                  <w:pPr>
                                    <w:ind w:left="0" w:leftChars="0" w:firstLine="0" w:firstLineChars="0"/>
                                    <w:rPr>
                                      <w:b/>
                                      <w:bCs/>
                                      <w:color w:val="FF0000"/>
                                      <w:sz w:val="21"/>
                                      <w:szCs w:val="21"/>
                                    </w:rPr>
                                  </w:pPr>
                                  <w:r>
                                    <w:rPr>
                                      <w:rFonts w:hint="eastAsia"/>
                                      <w:b/>
                                      <w:bCs/>
                                      <w:color w:val="FF0000"/>
                                      <w:sz w:val="21"/>
                                      <w:szCs w:val="21"/>
                                    </w:rPr>
                                    <w:t>本项目所属区</w:t>
                                  </w:r>
                                </w:p>
                              </w:txbxContent>
                            </wps:txbx>
                            <wps:bodyPr upright="1"/>
                          </wps:wsp>
                        </a:graphicData>
                      </a:graphic>
                    </wp:anchor>
                  </w:drawing>
                </mc:Choice>
                <mc:Fallback>
                  <w:pict>
                    <v:shape id="_x0000_s1026" o:spid="_x0000_s1026" o:spt="100" style="position:absolute;left:0pt;flip:y;margin-left:215.8pt;margin-top:258.65pt;height:107.3pt;width:85.95pt;z-index:251669504;mso-width-relative:page;mso-height-relative:page;" filled="f" stroked="t" coordsize="1719,2568" o:gfxdata="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" path="m0,1858c0,1780,63,1717,141,1717l579,1728,954,0,984,1698,1578,1717c1656,1717,1719,1780,1719,1858l1719,1858,1719,1858,1719,2070,1719,2422c1719,2500,1656,2563,1578,2563l1433,2563,1003,2563,1003,2563,834,2568,141,2563c63,2563,0,2500,0,2422l0,2070,0,1858,0,1858,0,1858xe">
                      <v:path textboxrect="0,0,1719,2568" o:connectlocs="0,985948;89535,911126;367665,916963;605790,0;624840,901044;1002030,911126;1091565,985948;1091565,985948;1091565,985948;1091565,1098446;1091565,1285235;1002030,1360056;909955,1360056;636905,1360056;636905,1360056;529590,1362710;89535,1360056;0,1285235;0,1098446;0,985948;0,985948;0,985948" o:connectangles="0,0,0,0,0,0,0,0,0,0,0,0,0,0,0,0,0,0,0,0,0,0"/>
                      <v:fill on="f" focussize="0,0"/>
                      <v:stroke color="#FF0000" joinstyle="miter"/>
                      <v:imagedata o:title=""/>
                      <o:lock v:ext="edit" aspectratio="f"/>
                      <v:textbox>
                        <w:txbxContent>
                          <w:p w14:paraId="03C3AC4F">
                            <w:pPr>
                              <w:ind w:left="0" w:leftChars="0" w:firstLine="0" w:firstLineChars="0"/>
                              <w:rPr>
                                <w:b/>
                                <w:bCs/>
                                <w:color w:val="FF0000"/>
                                <w:sz w:val="21"/>
                                <w:szCs w:val="21"/>
                              </w:rPr>
                            </w:pPr>
                            <w:r>
                              <w:rPr>
                                <w:rFonts w:hint="eastAsia"/>
                                <w:b/>
                                <w:bCs/>
                                <w:color w:val="FF0000"/>
                                <w:sz w:val="21"/>
                                <w:szCs w:val="21"/>
                              </w:rPr>
                              <w:t>本项目所属区</w:t>
                            </w:r>
                          </w:p>
                        </w:txbxContent>
                      </v:textbox>
                    </v:shape>
                  </w:pict>
                </mc:Fallback>
              </mc:AlternateContent>
            </w:r>
            <w:r>
              <w:rPr>
                <w:rFonts w:hint="default" w:ascii="Times New Roman" w:hAnsi="Times New Roman" w:cs="Times New Roman"/>
                <w:color w:val="auto"/>
              </w:rPr>
              <w:drawing>
                <wp:inline distT="0" distB="0" distL="114300" distR="114300">
                  <wp:extent cx="4392295" cy="6468110"/>
                  <wp:effectExtent l="0" t="0" r="8255" b="889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13"/>
                          <a:stretch>
                            <a:fillRect/>
                          </a:stretch>
                        </pic:blipFill>
                        <pic:spPr>
                          <a:xfrm>
                            <a:off x="0" y="0"/>
                            <a:ext cx="4392295" cy="6468110"/>
                          </a:xfrm>
                          <a:prstGeom prst="rect">
                            <a:avLst/>
                          </a:prstGeom>
                          <a:noFill/>
                          <a:ln>
                            <a:noFill/>
                          </a:ln>
                        </pic:spPr>
                      </pic:pic>
                    </a:graphicData>
                  </a:graphic>
                </wp:inline>
              </w:drawing>
            </w:r>
          </w:p>
          <w:p w14:paraId="088A8CB4">
            <w:pPr>
              <w:ind w:firstLine="422"/>
              <w:jc w:val="center"/>
              <w:rPr>
                <w:rFonts w:hint="default" w:ascii="Times New Roman" w:hAnsi="Times New Roman" w:cs="Times New Roman"/>
                <w:b/>
                <w:bCs/>
                <w:color w:val="auto"/>
              </w:rPr>
            </w:pPr>
            <w:r>
              <w:rPr>
                <w:rFonts w:hint="default" w:ascii="Times New Roman" w:hAnsi="Times New Roman" w:cs="Times New Roman"/>
                <w:b/>
                <w:bCs/>
                <w:color w:val="auto"/>
              </w:rPr>
              <w:t xml:space="preserve">图1-5 </w:t>
            </w:r>
            <w:r>
              <w:rPr>
                <w:rFonts w:hint="eastAsia" w:cs="Times New Roman"/>
                <w:b/>
                <w:bCs/>
                <w:color w:val="auto"/>
                <w:lang w:val="en-US" w:eastAsia="zh-CN"/>
              </w:rPr>
              <w:t xml:space="preserve"> </w:t>
            </w:r>
            <w:r>
              <w:rPr>
                <w:rFonts w:hint="default" w:ascii="Times New Roman" w:hAnsi="Times New Roman" w:cs="Times New Roman"/>
                <w:b/>
                <w:bCs/>
                <w:color w:val="auto"/>
              </w:rPr>
              <w:t>黑龙江省水土保持重点预防区和重点治理区划分图</w:t>
            </w:r>
          </w:p>
          <w:p w14:paraId="290DF482">
            <w:pPr>
              <w:ind w:firstLine="420"/>
              <w:rPr>
                <w:color w:val="auto"/>
              </w:rPr>
            </w:pPr>
            <w:r>
              <w:rPr>
                <w:rFonts w:hint="eastAsia"/>
                <w:color w:val="auto"/>
              </w:rPr>
              <w:t>本项目</w:t>
            </w:r>
            <w:r>
              <w:rPr>
                <w:rFonts w:hint="eastAsia"/>
                <w:color w:val="auto"/>
                <w:lang w:val="en-US" w:eastAsia="zh-CN"/>
              </w:rPr>
              <w:t>不新增</w:t>
            </w:r>
            <w:r>
              <w:rPr>
                <w:rFonts w:hint="eastAsia"/>
                <w:color w:val="auto"/>
              </w:rPr>
              <w:t>永久占地</w:t>
            </w:r>
            <w:r>
              <w:rPr>
                <w:rFonts w:hint="eastAsia"/>
                <w:color w:val="auto"/>
                <w:lang w:eastAsia="zh-CN"/>
              </w:rPr>
              <w:t>，</w:t>
            </w:r>
            <w:r>
              <w:rPr>
                <w:rFonts w:hint="eastAsia"/>
                <w:color w:val="auto"/>
              </w:rPr>
              <w:t>临时占地不占用永久基本农田</w:t>
            </w:r>
            <w:r>
              <w:rPr>
                <w:rFonts w:hint="eastAsia"/>
                <w:color w:val="auto"/>
                <w:lang w:eastAsia="zh-CN"/>
              </w:rPr>
              <w:t>，</w:t>
            </w:r>
            <w:r>
              <w:rPr>
                <w:rFonts w:hint="eastAsia"/>
                <w:color w:val="auto"/>
                <w:lang w:val="en-US" w:eastAsia="zh-CN"/>
              </w:rPr>
              <w:t>均租赁现有工业场地</w:t>
            </w:r>
            <w:r>
              <w:rPr>
                <w:rFonts w:hint="eastAsia"/>
                <w:color w:val="auto"/>
              </w:rPr>
              <w:t>。</w:t>
            </w:r>
            <w:r>
              <w:rPr>
                <w:rFonts w:hint="eastAsia"/>
                <w:color w:val="auto"/>
                <w:lang w:val="en-US" w:eastAsia="zh-CN"/>
              </w:rPr>
              <w:t>项目建设不涉及挖方，施工过程避开雨季，项目建设有利于缓解现状水土流失情况</w:t>
            </w:r>
            <w:r>
              <w:rPr>
                <w:rFonts w:hint="eastAsia"/>
                <w:color w:val="auto"/>
              </w:rPr>
              <w:t>，本项目建设符合</w:t>
            </w:r>
            <w:r>
              <w:rPr>
                <w:color w:val="auto"/>
              </w:rPr>
              <w:t>《黑龙江省水土保持规划》（2015-2030）的规划要求。</w:t>
            </w:r>
          </w:p>
          <w:p w14:paraId="13CE2F80">
            <w:pPr>
              <w:pStyle w:val="76"/>
              <w:rPr>
                <w:rFonts w:hint="eastAsia" w:ascii="Times New Roman" w:hAnsi="Times New Roman" w:eastAsia="宋体" w:cs="Times New Roman"/>
                <w:color w:val="auto"/>
              </w:rPr>
            </w:pPr>
          </w:p>
          <w:p w14:paraId="4A347269">
            <w:pPr>
              <w:ind w:firstLine="482" w:firstLineChars="200"/>
              <w:rPr>
                <w:rFonts w:hint="eastAsia" w:cs="宋体"/>
                <w:b/>
                <w:bCs/>
                <w:color w:val="auto"/>
                <w:kern w:val="21"/>
                <w:szCs w:val="21"/>
              </w:rPr>
            </w:pPr>
          </w:p>
        </w:tc>
      </w:tr>
    </w:tbl>
    <w:p w14:paraId="608C8B7E">
      <w:pPr>
        <w:outlineLvl w:val="0"/>
        <w:rPr>
          <w:rFonts w:eastAsia="黑体"/>
          <w:color w:val="auto"/>
          <w:sz w:val="30"/>
        </w:rPr>
        <w:sectPr>
          <w:footerReference r:id="rId6" w:type="default"/>
          <w:pgSz w:w="11850" w:h="16783"/>
          <w:pgMar w:top="1440" w:right="1800" w:bottom="1440" w:left="1800" w:header="851" w:footer="1077" w:gutter="0"/>
          <w:pgBorders>
            <w:top w:val="none" w:sz="0" w:space="0"/>
            <w:left w:val="none" w:sz="0" w:space="0"/>
            <w:bottom w:val="none" w:sz="0" w:space="0"/>
            <w:right w:val="none" w:sz="0" w:space="0"/>
          </w:pgBorders>
          <w:pgNumType w:start="1"/>
          <w:cols w:space="720" w:num="1"/>
          <w:docGrid w:linePitch="312" w:charSpace="0"/>
        </w:sectPr>
      </w:pPr>
    </w:p>
    <w:p w14:paraId="48A8C3BC">
      <w:pPr>
        <w:pStyle w:val="26"/>
        <w:spacing w:before="0" w:beforeAutospacing="0" w:after="120" w:afterLines="50" w:afterAutospacing="0"/>
        <w:jc w:val="center"/>
        <w:outlineLvl w:val="0"/>
        <w:rPr>
          <w:rFonts w:ascii="黑体" w:hAnsi="黑体" w:eastAsia="黑体"/>
          <w:snapToGrid w:val="0"/>
          <w:color w:val="auto"/>
          <w:kern w:val="21"/>
          <w:sz w:val="30"/>
          <w:szCs w:val="30"/>
        </w:rPr>
      </w:pPr>
      <w:bookmarkStart w:id="4" w:name="_Toc7258"/>
      <w:r>
        <w:rPr>
          <w:rFonts w:hint="eastAsia" w:ascii="黑体" w:hAnsi="黑体" w:eastAsia="黑体"/>
          <w:snapToGrid w:val="0"/>
          <w:color w:val="auto"/>
          <w:kern w:val="21"/>
          <w:sz w:val="30"/>
          <w:szCs w:val="30"/>
        </w:rPr>
        <w:t>二、建设内容</w:t>
      </w:r>
      <w:bookmarkEnd w:id="4"/>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82"/>
        <w:gridCol w:w="8084"/>
      </w:tblGrid>
      <w:tr w14:paraId="39D871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2" w:type="dxa"/>
            <w:noWrap w:val="0"/>
            <w:vAlign w:val="center"/>
          </w:tcPr>
          <w:p w14:paraId="7D243CF1">
            <w:pPr>
              <w:adjustRightInd w:val="0"/>
              <w:snapToGrid w:val="0"/>
              <w:jc w:val="center"/>
              <w:rPr>
                <w:rFonts w:cs="宋体"/>
                <w:color w:val="auto"/>
                <w:kern w:val="21"/>
                <w:szCs w:val="21"/>
              </w:rPr>
            </w:pPr>
            <w:r>
              <w:rPr>
                <w:rFonts w:hint="eastAsia" w:cs="宋体"/>
                <w:color w:val="auto"/>
                <w:kern w:val="21"/>
                <w:szCs w:val="21"/>
              </w:rPr>
              <w:t>地理位置</w:t>
            </w:r>
          </w:p>
        </w:tc>
        <w:tc>
          <w:tcPr>
            <w:tcW w:w="8084" w:type="dxa"/>
            <w:noWrap w:val="0"/>
            <w:vAlign w:val="center"/>
          </w:tcPr>
          <w:p w14:paraId="385617BC">
            <w:pPr>
              <w:pStyle w:val="76"/>
              <w:rPr>
                <w:rFonts w:hint="eastAsia"/>
                <w:color w:val="auto"/>
                <w:kern w:val="21"/>
              </w:rPr>
            </w:pPr>
            <w:r>
              <w:rPr>
                <w:rFonts w:hint="eastAsia" w:ascii="Times New Roman" w:hAnsi="Times New Roman" w:eastAsia="宋体" w:cs="Times New Roman"/>
                <w:color w:val="auto"/>
                <w:lang w:val="en-US" w:eastAsia="zh-CN"/>
              </w:rPr>
              <w:t>本项目位于鸡西</w:t>
            </w:r>
            <w:r>
              <w:rPr>
                <w:rFonts w:hint="eastAsia" w:ascii="Times New Roman" w:hAnsi="Times New Roman" w:eastAsia="宋体" w:cs="Times New Roman"/>
                <w:color w:val="auto"/>
                <w:lang w:val="zh-CN" w:eastAsia="zh-CN"/>
              </w:rPr>
              <w:t>市</w:t>
            </w:r>
            <w:r>
              <w:rPr>
                <w:rFonts w:hint="eastAsia" w:ascii="Times New Roman" w:hAnsi="Times New Roman" w:eastAsia="宋体" w:cs="Times New Roman"/>
                <w:color w:val="auto"/>
                <w:lang w:val="en-US" w:eastAsia="zh-CN"/>
              </w:rPr>
              <w:t>密山</w:t>
            </w:r>
            <w:r>
              <w:rPr>
                <w:rFonts w:hint="eastAsia" w:ascii="Times New Roman" w:hAnsi="Times New Roman" w:eastAsia="宋体" w:cs="Times New Roman"/>
                <w:color w:val="auto"/>
                <w:lang w:val="zh-CN" w:eastAsia="zh-CN"/>
              </w:rPr>
              <w:t>市境内</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auto"/>
                <w:lang w:val="zh-CN" w:eastAsia="zh-CN"/>
              </w:rPr>
              <w:t>路线起于</w:t>
            </w:r>
            <w:r>
              <w:rPr>
                <w:rFonts w:hint="eastAsia" w:ascii="Times New Roman" w:hAnsi="Times New Roman" w:eastAsia="宋体" w:cs="Times New Roman"/>
                <w:color w:val="auto"/>
                <w:lang w:val="en-US" w:eastAsia="zh-CN"/>
              </w:rPr>
              <w:t>省道名兴公路与鸡虎高速兴光互通匝道交叉处</w:t>
            </w:r>
            <w:r>
              <w:rPr>
                <w:rFonts w:hint="eastAsia" w:ascii="Times New Roman" w:hAnsi="Times New Roman" w:eastAsia="宋体" w:cs="Times New Roman"/>
                <w:color w:val="auto"/>
                <w:lang w:val="zh-CN" w:eastAsia="zh-CN"/>
              </w:rPr>
              <w:t>，终点位于</w:t>
            </w:r>
            <w:r>
              <w:rPr>
                <w:rFonts w:hint="eastAsia" w:ascii="Times New Roman" w:hAnsi="Times New Roman" w:eastAsia="宋体" w:cs="Times New Roman"/>
                <w:color w:val="auto"/>
                <w:lang w:val="en-US" w:eastAsia="zh-CN"/>
              </w:rPr>
              <w:t>密兴高速环岛处</w:t>
            </w:r>
            <w:r>
              <w:rPr>
                <w:rFonts w:hint="eastAsia" w:ascii="Times New Roman" w:hAnsi="Times New Roman" w:eastAsia="宋体" w:cs="Times New Roman"/>
                <w:color w:val="auto"/>
                <w:lang w:val="zh-CN" w:eastAsia="zh-CN"/>
              </w:rPr>
              <w:t>，路线全长</w:t>
            </w:r>
            <w:r>
              <w:rPr>
                <w:rFonts w:hint="eastAsia" w:ascii="Times New Roman" w:hAnsi="Times New Roman" w:eastAsia="宋体" w:cs="Times New Roman"/>
                <w:color w:val="auto"/>
                <w:lang w:val="en-US" w:eastAsia="zh-CN"/>
              </w:rPr>
              <w:t>44.954</w:t>
            </w:r>
            <w:r>
              <w:rPr>
                <w:rFonts w:hint="eastAsia" w:ascii="Times New Roman" w:hAnsi="Times New Roman" w:eastAsia="宋体" w:cs="Times New Roman"/>
                <w:color w:val="auto"/>
                <w:lang w:val="zh-CN" w:eastAsia="zh-CN"/>
              </w:rPr>
              <w:t>公里，建设里程</w:t>
            </w:r>
            <w:r>
              <w:rPr>
                <w:rFonts w:hint="eastAsia" w:ascii="Times New Roman" w:hAnsi="Times New Roman" w:eastAsia="宋体" w:cs="Times New Roman"/>
                <w:color w:val="auto"/>
                <w:lang w:val="en-US" w:eastAsia="zh-CN"/>
              </w:rPr>
              <w:t>43.950</w:t>
            </w:r>
            <w:r>
              <w:rPr>
                <w:rFonts w:hint="eastAsia" w:ascii="Times New Roman" w:hAnsi="Times New Roman" w:eastAsia="宋体" w:cs="Times New Roman"/>
                <w:color w:val="auto"/>
                <w:lang w:val="zh-CN" w:eastAsia="zh-CN"/>
              </w:rPr>
              <w:t>公里，利用</w:t>
            </w:r>
            <w:r>
              <w:rPr>
                <w:rFonts w:hint="eastAsia" w:ascii="Times New Roman" w:hAnsi="Times New Roman" w:eastAsia="宋体" w:cs="Times New Roman"/>
                <w:color w:val="auto"/>
                <w:lang w:val="en-US" w:eastAsia="zh-CN"/>
              </w:rPr>
              <w:t>穆棱河河滩大桥及引道、上跨建鸡高速分离桥1.004km</w:t>
            </w:r>
            <w:r>
              <w:rPr>
                <w:rFonts w:hint="eastAsia" w:ascii="Times New Roman" w:hAnsi="Times New Roman" w:eastAsia="宋体" w:cs="Times New Roman"/>
                <w:color w:val="auto"/>
                <w:lang w:val="zh-CN" w:eastAsia="zh-CN"/>
              </w:rPr>
              <w:t>。</w:t>
            </w:r>
            <w:r>
              <w:rPr>
                <w:rFonts w:ascii="Times New Roman" w:hAnsi="Times New Roman" w:eastAsia="宋体" w:cs="Times New Roman"/>
                <w:color w:val="auto"/>
                <w:kern w:val="0"/>
                <w:sz w:val="24"/>
                <w:szCs w:val="24"/>
                <w:lang w:val="en-US" w:eastAsia="zh-CN" w:bidi="ar-SA"/>
              </w:rPr>
              <w:t>本项目</w:t>
            </w:r>
            <w:r>
              <w:rPr>
                <w:rFonts w:hint="eastAsia" w:ascii="Times New Roman" w:hAnsi="Times New Roman" w:eastAsia="宋体" w:cs="Times New Roman"/>
                <w:color w:val="auto"/>
                <w:kern w:val="0"/>
                <w:sz w:val="24"/>
                <w:szCs w:val="24"/>
                <w:lang w:val="en-US" w:eastAsia="zh-CN" w:bidi="ar-SA"/>
              </w:rPr>
              <w:t>不占用自然保护区、风景名胜区、地质公园等自然保护地，项目K387+580-K388+600、K413+360-K</w:t>
            </w:r>
            <w:r>
              <w:rPr>
                <w:rFonts w:ascii="Times New Roman" w:hAnsi="Times New Roman" w:eastAsia="宋体" w:cs="Times New Roman"/>
                <w:color w:val="auto"/>
                <w:kern w:val="0"/>
                <w:sz w:val="24"/>
                <w:szCs w:val="24"/>
                <w:lang w:val="zh-CN" w:eastAsia="zh-CN" w:bidi="ar-SA"/>
              </w:rPr>
              <w:t>414+953.7</w:t>
            </w:r>
            <w:r>
              <w:rPr>
                <w:rFonts w:hint="eastAsia" w:ascii="Times New Roman" w:hAnsi="Times New Roman" w:eastAsia="宋体" w:cs="Times New Roman"/>
                <w:color w:val="auto"/>
                <w:kern w:val="0"/>
                <w:sz w:val="24"/>
                <w:szCs w:val="24"/>
                <w:lang w:val="en-US" w:eastAsia="zh-CN" w:bidi="ar-SA"/>
              </w:rPr>
              <w:t>段占用黑龙江兴凯湖国家地质公园，为国家级自然公园，但项目不占用</w:t>
            </w:r>
            <w:r>
              <w:rPr>
                <w:rFonts w:ascii="Times New Roman" w:hAnsi="Times New Roman" w:eastAsia="宋体" w:cs="Times New Roman"/>
                <w:color w:val="auto"/>
                <w:kern w:val="0"/>
                <w:sz w:val="24"/>
                <w:szCs w:val="24"/>
                <w:lang w:val="en-US" w:eastAsia="zh-CN" w:bidi="ar-SA"/>
              </w:rPr>
              <w:t>黑龙江兴凯湖国家地质公园</w:t>
            </w:r>
            <w:r>
              <w:rPr>
                <w:rFonts w:hint="eastAsia" w:ascii="Times New Roman" w:hAnsi="Times New Roman" w:eastAsia="宋体" w:cs="Times New Roman"/>
                <w:color w:val="auto"/>
                <w:kern w:val="0"/>
                <w:sz w:val="24"/>
                <w:szCs w:val="24"/>
                <w:lang w:val="en-US" w:eastAsia="zh-CN" w:bidi="ar-SA"/>
              </w:rPr>
              <w:t>的</w:t>
            </w:r>
            <w:r>
              <w:rPr>
                <w:rFonts w:hint="eastAsia" w:ascii="Times New Roman" w:hAnsi="Times New Roman" w:eastAsia="宋体" w:cs="Times New Roman"/>
                <w:smallCaps w:val="0"/>
                <w:color w:val="auto"/>
                <w:lang w:val="en-US" w:eastAsia="zh-CN"/>
              </w:rPr>
              <w:t>地质遗迹保护区。</w:t>
            </w:r>
          </w:p>
        </w:tc>
      </w:tr>
      <w:tr w14:paraId="352E95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82" w:hRule="atLeast"/>
          <w:jc w:val="center"/>
        </w:trPr>
        <w:tc>
          <w:tcPr>
            <w:tcW w:w="382" w:type="dxa"/>
            <w:noWrap w:val="0"/>
            <w:vAlign w:val="center"/>
          </w:tcPr>
          <w:p w14:paraId="1725F4EC">
            <w:pPr>
              <w:adjustRightInd w:val="0"/>
              <w:snapToGrid w:val="0"/>
              <w:jc w:val="center"/>
              <w:rPr>
                <w:rFonts w:cs="宋体"/>
                <w:color w:val="auto"/>
                <w:kern w:val="21"/>
                <w:szCs w:val="21"/>
              </w:rPr>
            </w:pPr>
            <w:r>
              <w:rPr>
                <w:rFonts w:hint="eastAsia" w:cs="宋体"/>
                <w:color w:val="auto"/>
                <w:kern w:val="21"/>
                <w:szCs w:val="21"/>
              </w:rPr>
              <w:t>项目组成及规模</w:t>
            </w:r>
          </w:p>
        </w:tc>
        <w:tc>
          <w:tcPr>
            <w:tcW w:w="8084" w:type="dxa"/>
            <w:noWrap w:val="0"/>
            <w:vAlign w:val="center"/>
          </w:tcPr>
          <w:p w14:paraId="1FB62041">
            <w:pPr>
              <w:pStyle w:val="76"/>
              <w:rPr>
                <w:rFonts w:hint="eastAsia"/>
                <w:color w:val="auto"/>
              </w:rPr>
            </w:pPr>
            <w:r>
              <w:rPr>
                <w:rFonts w:hint="eastAsia"/>
                <w:color w:val="auto"/>
              </w:rPr>
              <w:t>1、项目基本情况</w:t>
            </w:r>
          </w:p>
          <w:p w14:paraId="558EE818">
            <w:pPr>
              <w:pStyle w:val="14"/>
              <w:spacing w:before="60" w:after="60" w:line="360" w:lineRule="auto"/>
              <w:ind w:firstLine="480" w:firstLineChars="200"/>
              <w:rPr>
                <w:rFonts w:ascii="Times New Roman" w:hAnsi="Times New Roman" w:eastAsia="宋体" w:cs="Times New Roman"/>
                <w:color w:val="auto"/>
                <w:sz w:val="28"/>
                <w:szCs w:val="28"/>
                <w:highlight w:val="none"/>
              </w:rPr>
            </w:pPr>
            <w:r>
              <w:rPr>
                <w:rFonts w:hint="eastAsia" w:ascii="Times New Roman" w:hAnsi="Times New Roman" w:eastAsia="宋体" w:cs="Times New Roman"/>
                <w:color w:val="auto"/>
                <w:kern w:val="0"/>
                <w:sz w:val="24"/>
                <w:szCs w:val="24"/>
                <w:lang w:val="zh-CN" w:eastAsia="zh-CN" w:bidi="ar-SA"/>
              </w:rPr>
              <w:t>省道名山至兴凯湖公路兴光至兴凯湖博物馆段路面改造工程为</w:t>
            </w:r>
            <w:r>
              <w:rPr>
                <w:rFonts w:hint="eastAsia" w:ascii="Times New Roman" w:hAnsi="Times New Roman" w:eastAsia="宋体" w:cs="Times New Roman"/>
                <w:color w:val="auto"/>
                <w:kern w:val="0"/>
                <w:sz w:val="24"/>
                <w:szCs w:val="24"/>
                <w:lang w:val="en-US" w:eastAsia="zh-CN" w:bidi="ar-SA"/>
              </w:rPr>
              <w:t>全省普通省道网中</w:t>
            </w:r>
            <w:r>
              <w:rPr>
                <w:rFonts w:hint="eastAsia" w:ascii="Times New Roman" w:hAnsi="Times New Roman" w:eastAsia="宋体" w:cs="Times New Roman"/>
                <w:color w:val="auto"/>
                <w:kern w:val="0"/>
                <w:sz w:val="24"/>
                <w:szCs w:val="24"/>
                <w:lang w:val="zh-CN" w:eastAsia="zh-CN" w:bidi="ar-SA"/>
              </w:rPr>
              <w:t>18条北南纵线的</w:t>
            </w:r>
            <w:r>
              <w:rPr>
                <w:rFonts w:hint="eastAsia" w:ascii="Times New Roman" w:hAnsi="Times New Roman" w:eastAsia="宋体" w:cs="Times New Roman"/>
                <w:color w:val="auto"/>
                <w:kern w:val="0"/>
                <w:sz w:val="24"/>
                <w:szCs w:val="24"/>
                <w:lang w:val="en-US" w:eastAsia="zh-CN" w:bidi="ar-SA"/>
              </w:rPr>
              <w:t>一段，</w:t>
            </w:r>
            <w:r>
              <w:rPr>
                <w:rFonts w:hint="eastAsia" w:ascii="Times New Roman" w:hAnsi="Times New Roman" w:eastAsia="宋体" w:cs="Times New Roman"/>
                <w:color w:val="auto"/>
                <w:kern w:val="0"/>
                <w:sz w:val="24"/>
                <w:szCs w:val="24"/>
                <w:lang w:val="zh-CN" w:eastAsia="zh-CN" w:bidi="ar-SA"/>
              </w:rPr>
              <w:t>项目所在地为</w:t>
            </w:r>
            <w:r>
              <w:rPr>
                <w:rFonts w:hint="eastAsia" w:ascii="Times New Roman" w:hAnsi="Times New Roman" w:eastAsia="宋体" w:cs="Times New Roman"/>
                <w:color w:val="auto"/>
                <w:kern w:val="0"/>
                <w:sz w:val="24"/>
                <w:szCs w:val="24"/>
                <w:lang w:val="en-US" w:eastAsia="zh-CN" w:bidi="ar-SA"/>
              </w:rPr>
              <w:t>鸡西</w:t>
            </w:r>
            <w:r>
              <w:rPr>
                <w:rFonts w:hint="eastAsia" w:ascii="Times New Roman" w:hAnsi="Times New Roman" w:eastAsia="宋体" w:cs="Times New Roman"/>
                <w:color w:val="auto"/>
                <w:kern w:val="0"/>
                <w:sz w:val="24"/>
                <w:szCs w:val="24"/>
                <w:lang w:val="zh-CN" w:eastAsia="zh-CN" w:bidi="ar-SA"/>
              </w:rPr>
              <w:t>市</w:t>
            </w:r>
            <w:r>
              <w:rPr>
                <w:rFonts w:hint="eastAsia" w:ascii="Times New Roman" w:hAnsi="Times New Roman" w:eastAsia="宋体" w:cs="Times New Roman"/>
                <w:color w:val="auto"/>
                <w:kern w:val="0"/>
                <w:sz w:val="24"/>
                <w:szCs w:val="24"/>
                <w:lang w:val="en-US" w:eastAsia="zh-CN" w:bidi="ar-SA"/>
              </w:rPr>
              <w:t>密山</w:t>
            </w:r>
            <w:r>
              <w:rPr>
                <w:rFonts w:hint="eastAsia" w:ascii="Times New Roman" w:hAnsi="Times New Roman" w:eastAsia="宋体" w:cs="Times New Roman"/>
                <w:color w:val="auto"/>
                <w:kern w:val="0"/>
                <w:sz w:val="24"/>
                <w:szCs w:val="24"/>
                <w:lang w:val="zh-CN" w:eastAsia="zh-CN" w:bidi="ar-SA"/>
              </w:rPr>
              <w:t>市境内，路线全长</w:t>
            </w:r>
            <w:r>
              <w:rPr>
                <w:rFonts w:hint="eastAsia" w:ascii="Times New Roman" w:hAnsi="Times New Roman" w:eastAsia="宋体" w:cs="Times New Roman"/>
                <w:color w:val="auto"/>
                <w:kern w:val="0"/>
                <w:sz w:val="24"/>
                <w:szCs w:val="24"/>
                <w:lang w:val="en-US" w:eastAsia="zh-CN" w:bidi="ar-SA"/>
              </w:rPr>
              <w:t>43.950</w:t>
            </w:r>
            <w:r>
              <w:rPr>
                <w:rFonts w:hint="eastAsia" w:ascii="Times New Roman" w:hAnsi="Times New Roman" w:eastAsia="宋体" w:cs="Times New Roman"/>
                <w:color w:val="auto"/>
                <w:kern w:val="0"/>
                <w:sz w:val="24"/>
                <w:szCs w:val="24"/>
                <w:lang w:val="zh-CN" w:eastAsia="zh-CN" w:bidi="ar-SA"/>
              </w:rPr>
              <w:t>公里，</w:t>
            </w:r>
            <w:r>
              <w:rPr>
                <w:rFonts w:hint="eastAsia" w:ascii="Times New Roman" w:hAnsi="Times New Roman" w:eastAsia="宋体" w:cs="Times New Roman"/>
                <w:color w:val="auto"/>
                <w:kern w:val="0"/>
                <w:sz w:val="24"/>
                <w:szCs w:val="24"/>
                <w:lang w:val="en-US" w:eastAsia="zh-CN" w:bidi="ar-SA"/>
              </w:rPr>
              <w:t>本项目原有旧路为水泥混凝土路面，路线起终点均与沥青路面相接，既有水泥路面已出现不同程度的破损，行车噪音大，舒适性差，严重影响了驾乘体验。本工程以路面改造为主，技术标准维持原二级公路技术标准不变。建设内容包括路面改造、路基排水工程局部维修、桥面改造、伸缩装置维修、搭板维修、标志、护栏等安全设施的维修等。</w:t>
            </w:r>
            <w:r>
              <w:rPr>
                <w:rFonts w:hint="eastAsia" w:cs="Times New Roman"/>
                <w:color w:val="auto"/>
                <w:kern w:val="0"/>
                <w:sz w:val="24"/>
                <w:szCs w:val="24"/>
                <w:lang w:val="en-US" w:eastAsia="zh-CN" w:bidi="ar-SA"/>
              </w:rPr>
              <w:t>具体</w:t>
            </w:r>
            <w:r>
              <w:rPr>
                <w:rFonts w:hint="eastAsia" w:ascii="Times New Roman" w:hAnsi="Times New Roman" w:eastAsia="宋体" w:cs="Times New Roman"/>
                <w:color w:val="auto"/>
                <w:kern w:val="0"/>
                <w:sz w:val="24"/>
                <w:szCs w:val="24"/>
                <w:lang w:val="en-US" w:eastAsia="zh-CN" w:bidi="ar-SA"/>
              </w:rPr>
              <w:t>工程</w:t>
            </w:r>
            <w:r>
              <w:rPr>
                <w:rFonts w:hint="eastAsia" w:cs="Times New Roman"/>
                <w:color w:val="auto"/>
                <w:kern w:val="0"/>
                <w:sz w:val="24"/>
                <w:szCs w:val="24"/>
                <w:lang w:val="en-US" w:eastAsia="zh-CN" w:bidi="ar-SA"/>
              </w:rPr>
              <w:t>包括：</w:t>
            </w:r>
            <w:r>
              <w:rPr>
                <w:rFonts w:hint="eastAsia" w:ascii="Times New Roman" w:hAnsi="Times New Roman" w:eastAsia="宋体" w:cs="Times New Roman"/>
                <w:color w:val="auto"/>
                <w:kern w:val="0"/>
                <w:sz w:val="24"/>
                <w:szCs w:val="24"/>
                <w:lang w:val="en-US" w:eastAsia="zh-CN" w:bidi="ar-SA"/>
              </w:rPr>
              <w:t>沥青混凝土路面457407平方米，维修桥梁11座，拆除重建涵洞4道、维修涵洞16道，维修平面交叉58处，改造道班场区路面2处，设置标志370架、标线23434平方米、路侧护栏13520米、道口标柱584根，维修更换停靠站雨棚10座。</w:t>
            </w:r>
          </w:p>
          <w:p w14:paraId="17D4FAF0">
            <w:pPr>
              <w:pStyle w:val="76"/>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color w:val="auto"/>
              </w:rPr>
            </w:pPr>
            <w:r>
              <w:rPr>
                <w:rFonts w:hint="eastAsia" w:cs="宋体"/>
                <w:color w:val="auto"/>
              </w:rPr>
              <w:t>主要建设内容及规模详见表2-1。</w:t>
            </w:r>
          </w:p>
          <w:p w14:paraId="245BA169">
            <w:pPr>
              <w:pStyle w:val="72"/>
              <w:rPr>
                <w:rFonts w:hint="eastAsia" w:ascii="宋体" w:hAnsi="宋体" w:eastAsia="宋体" w:cs="宋体"/>
                <w:color w:val="auto"/>
              </w:rPr>
            </w:pPr>
            <w:r>
              <w:rPr>
                <w:rFonts w:hint="eastAsia" w:ascii="宋体" w:hAnsi="宋体" w:eastAsia="宋体" w:cs="宋体"/>
                <w:color w:val="auto"/>
              </w:rPr>
              <w:t>表2-1  主要工程内容表</w:t>
            </w:r>
          </w:p>
          <w:tbl>
            <w:tblPr>
              <w:tblStyle w:val="31"/>
              <w:tblW w:w="4998"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4"/>
              <w:gridCol w:w="716"/>
              <w:gridCol w:w="909"/>
              <w:gridCol w:w="1067"/>
              <w:gridCol w:w="1116"/>
              <w:gridCol w:w="1087"/>
              <w:gridCol w:w="1306"/>
              <w:gridCol w:w="1240"/>
            </w:tblGrid>
            <w:tr w14:paraId="35077C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25" w:type="pct"/>
                  <w:gridSpan w:val="2"/>
                  <w:vMerge w:val="restart"/>
                  <w:tcBorders>
                    <w:tl2br w:val="nil"/>
                    <w:tr2bl w:val="nil"/>
                  </w:tcBorders>
                  <w:noWrap w:val="0"/>
                  <w:vAlign w:val="center"/>
                </w:tcPr>
                <w:p w14:paraId="28F5E3EB">
                  <w:pPr>
                    <w:pStyle w:val="80"/>
                    <w:rPr>
                      <w:color w:val="auto"/>
                    </w:rPr>
                  </w:pPr>
                  <w:r>
                    <w:rPr>
                      <w:color w:val="auto"/>
                    </w:rPr>
                    <w:t>项目</w:t>
                  </w:r>
                </w:p>
              </w:tc>
              <w:tc>
                <w:tcPr>
                  <w:tcW w:w="577" w:type="pct"/>
                  <w:vMerge w:val="restart"/>
                  <w:tcBorders>
                    <w:tl2br w:val="nil"/>
                    <w:tr2bl w:val="nil"/>
                  </w:tcBorders>
                  <w:noWrap w:val="0"/>
                  <w:vAlign w:val="center"/>
                </w:tcPr>
                <w:p w14:paraId="362418D2">
                  <w:pPr>
                    <w:pStyle w:val="80"/>
                    <w:rPr>
                      <w:color w:val="auto"/>
                    </w:rPr>
                  </w:pPr>
                  <w:r>
                    <w:rPr>
                      <w:color w:val="auto"/>
                    </w:rPr>
                    <w:t>工程</w:t>
                  </w:r>
                </w:p>
                <w:p w14:paraId="7A28D515">
                  <w:pPr>
                    <w:pStyle w:val="80"/>
                    <w:rPr>
                      <w:color w:val="auto"/>
                    </w:rPr>
                  </w:pPr>
                  <w:r>
                    <w:rPr>
                      <w:color w:val="auto"/>
                    </w:rPr>
                    <w:t>内容</w:t>
                  </w:r>
                </w:p>
              </w:tc>
              <w:tc>
                <w:tcPr>
                  <w:tcW w:w="2908" w:type="pct"/>
                  <w:gridSpan w:val="4"/>
                  <w:tcBorders>
                    <w:tl2br w:val="nil"/>
                    <w:tr2bl w:val="nil"/>
                  </w:tcBorders>
                  <w:noWrap w:val="0"/>
                  <w:vAlign w:val="center"/>
                </w:tcPr>
                <w:p w14:paraId="7E0BB2BF">
                  <w:pPr>
                    <w:pStyle w:val="80"/>
                    <w:rPr>
                      <w:rFonts w:hint="eastAsia"/>
                      <w:color w:val="auto"/>
                    </w:rPr>
                  </w:pPr>
                  <w:r>
                    <w:rPr>
                      <w:color w:val="auto"/>
                    </w:rPr>
                    <w:t>建设规模</w:t>
                  </w:r>
                </w:p>
              </w:tc>
              <w:tc>
                <w:tcPr>
                  <w:tcW w:w="788" w:type="pct"/>
                  <w:vMerge w:val="restart"/>
                  <w:tcBorders>
                    <w:tl2br w:val="nil"/>
                    <w:tr2bl w:val="nil"/>
                  </w:tcBorders>
                  <w:noWrap w:val="0"/>
                  <w:vAlign w:val="center"/>
                </w:tcPr>
                <w:p w14:paraId="5C76CBE2">
                  <w:pPr>
                    <w:pStyle w:val="80"/>
                    <w:rPr>
                      <w:rFonts w:hint="eastAsia"/>
                      <w:color w:val="auto"/>
                    </w:rPr>
                  </w:pPr>
                  <w:r>
                    <w:rPr>
                      <w:rFonts w:hint="eastAsia"/>
                      <w:color w:val="auto"/>
                    </w:rPr>
                    <w:t>备注</w:t>
                  </w:r>
                </w:p>
              </w:tc>
            </w:tr>
            <w:tr w14:paraId="6404EA5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8" w:hRule="atLeast"/>
              </w:trPr>
              <w:tc>
                <w:tcPr>
                  <w:tcW w:w="725" w:type="pct"/>
                  <w:gridSpan w:val="2"/>
                  <w:vMerge w:val="continue"/>
                  <w:tcBorders>
                    <w:tl2br w:val="nil"/>
                    <w:tr2bl w:val="nil"/>
                  </w:tcBorders>
                  <w:noWrap w:val="0"/>
                  <w:vAlign w:val="center"/>
                </w:tcPr>
                <w:p w14:paraId="0629C6D0">
                  <w:pPr>
                    <w:pStyle w:val="80"/>
                    <w:rPr>
                      <w:color w:val="auto"/>
                    </w:rPr>
                  </w:pPr>
                </w:p>
              </w:tc>
              <w:tc>
                <w:tcPr>
                  <w:tcW w:w="577" w:type="pct"/>
                  <w:vMerge w:val="continue"/>
                  <w:tcBorders>
                    <w:tl2br w:val="nil"/>
                    <w:tr2bl w:val="nil"/>
                  </w:tcBorders>
                  <w:noWrap w:val="0"/>
                  <w:vAlign w:val="center"/>
                </w:tcPr>
                <w:p w14:paraId="180EE8A5">
                  <w:pPr>
                    <w:pStyle w:val="80"/>
                    <w:rPr>
                      <w:color w:val="auto"/>
                    </w:rPr>
                  </w:pPr>
                </w:p>
              </w:tc>
              <w:tc>
                <w:tcPr>
                  <w:tcW w:w="1387" w:type="pct"/>
                  <w:gridSpan w:val="2"/>
                  <w:tcBorders>
                    <w:tl2br w:val="nil"/>
                    <w:tr2bl w:val="nil"/>
                  </w:tcBorders>
                  <w:noWrap w:val="0"/>
                  <w:vAlign w:val="center"/>
                </w:tcPr>
                <w:p w14:paraId="5D288B0D">
                  <w:pPr>
                    <w:pStyle w:val="80"/>
                    <w:rPr>
                      <w:color w:val="auto"/>
                    </w:rPr>
                  </w:pPr>
                  <w:r>
                    <w:rPr>
                      <w:rFonts w:hint="eastAsia"/>
                      <w:color w:val="auto"/>
                    </w:rPr>
                    <w:t>改建前</w:t>
                  </w:r>
                </w:p>
              </w:tc>
              <w:tc>
                <w:tcPr>
                  <w:tcW w:w="1521" w:type="pct"/>
                  <w:gridSpan w:val="2"/>
                  <w:tcBorders>
                    <w:tl2br w:val="nil"/>
                    <w:tr2bl w:val="nil"/>
                  </w:tcBorders>
                  <w:noWrap w:val="0"/>
                  <w:vAlign w:val="center"/>
                </w:tcPr>
                <w:p w14:paraId="7E969C3C">
                  <w:pPr>
                    <w:pStyle w:val="80"/>
                    <w:rPr>
                      <w:color w:val="auto"/>
                    </w:rPr>
                  </w:pPr>
                  <w:r>
                    <w:rPr>
                      <w:rFonts w:hint="eastAsia"/>
                      <w:color w:val="auto"/>
                    </w:rPr>
                    <w:t>改建后</w:t>
                  </w:r>
                </w:p>
              </w:tc>
              <w:tc>
                <w:tcPr>
                  <w:tcW w:w="788" w:type="pct"/>
                  <w:vMerge w:val="continue"/>
                  <w:tcBorders>
                    <w:tl2br w:val="nil"/>
                    <w:tr2bl w:val="nil"/>
                  </w:tcBorders>
                  <w:noWrap w:val="0"/>
                  <w:vAlign w:val="center"/>
                </w:tcPr>
                <w:p w14:paraId="297E68DA">
                  <w:pPr>
                    <w:pStyle w:val="80"/>
                    <w:rPr>
                      <w:rFonts w:hint="eastAsia"/>
                      <w:color w:val="auto"/>
                    </w:rPr>
                  </w:pPr>
                </w:p>
              </w:tc>
            </w:tr>
            <w:tr w14:paraId="3BA66AF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tcBorders>
                    <w:tl2br w:val="nil"/>
                    <w:tr2bl w:val="nil"/>
                  </w:tcBorders>
                  <w:noWrap w:val="0"/>
                  <w:vAlign w:val="center"/>
                </w:tcPr>
                <w:p w14:paraId="2F6CC276">
                  <w:pPr>
                    <w:pStyle w:val="80"/>
                    <w:rPr>
                      <w:color w:val="auto"/>
                    </w:rPr>
                  </w:pPr>
                  <w:r>
                    <w:rPr>
                      <w:color w:val="auto"/>
                    </w:rPr>
                    <w:t>主体工程</w:t>
                  </w:r>
                </w:p>
              </w:tc>
              <w:tc>
                <w:tcPr>
                  <w:tcW w:w="454" w:type="pct"/>
                  <w:vMerge w:val="restart"/>
                  <w:tcBorders>
                    <w:tl2br w:val="nil"/>
                    <w:tr2bl w:val="nil"/>
                  </w:tcBorders>
                  <w:noWrap w:val="0"/>
                  <w:vAlign w:val="center"/>
                </w:tcPr>
                <w:p w14:paraId="1310BBA1">
                  <w:pPr>
                    <w:pStyle w:val="80"/>
                    <w:rPr>
                      <w:color w:val="auto"/>
                    </w:rPr>
                  </w:pPr>
                  <w:r>
                    <w:rPr>
                      <w:color w:val="auto"/>
                    </w:rPr>
                    <w:t>路基</w:t>
                  </w:r>
                </w:p>
                <w:p w14:paraId="065D9BFD">
                  <w:pPr>
                    <w:pStyle w:val="80"/>
                    <w:rPr>
                      <w:color w:val="auto"/>
                    </w:rPr>
                  </w:pPr>
                  <w:r>
                    <w:rPr>
                      <w:rFonts w:hint="eastAsia"/>
                      <w:color w:val="auto"/>
                    </w:rPr>
                    <w:t>工程</w:t>
                  </w:r>
                </w:p>
              </w:tc>
              <w:tc>
                <w:tcPr>
                  <w:tcW w:w="577" w:type="pct"/>
                  <w:tcBorders>
                    <w:tl2br w:val="nil"/>
                    <w:tr2bl w:val="nil"/>
                  </w:tcBorders>
                  <w:noWrap w:val="0"/>
                  <w:vAlign w:val="center"/>
                </w:tcPr>
                <w:p w14:paraId="67165C87">
                  <w:pPr>
                    <w:pStyle w:val="80"/>
                    <w:rPr>
                      <w:color w:val="auto"/>
                    </w:rPr>
                  </w:pPr>
                  <w:r>
                    <w:rPr>
                      <w:rFonts w:hint="eastAsia"/>
                      <w:color w:val="auto"/>
                    </w:rPr>
                    <w:t>建设</w:t>
                  </w:r>
                  <w:r>
                    <w:rPr>
                      <w:color w:val="auto"/>
                    </w:rPr>
                    <w:t>长度</w:t>
                  </w:r>
                </w:p>
              </w:tc>
              <w:tc>
                <w:tcPr>
                  <w:tcW w:w="1387" w:type="pct"/>
                  <w:gridSpan w:val="2"/>
                  <w:tcBorders>
                    <w:tl2br w:val="nil"/>
                    <w:tr2bl w:val="nil"/>
                  </w:tcBorders>
                  <w:noWrap w:val="0"/>
                  <w:vAlign w:val="center"/>
                </w:tcPr>
                <w:p w14:paraId="0CAB8831">
                  <w:pPr>
                    <w:pStyle w:val="80"/>
                    <w:rPr>
                      <w:rFonts w:hint="default" w:eastAsia="宋体"/>
                      <w:color w:val="auto"/>
                      <w:lang w:val="en-US" w:eastAsia="zh-CN"/>
                    </w:rPr>
                  </w:pPr>
                  <w:r>
                    <w:rPr>
                      <w:rFonts w:hint="eastAsia"/>
                      <w:color w:val="auto"/>
                      <w:lang w:val="en-US" w:eastAsia="zh-CN"/>
                    </w:rPr>
                    <w:t>43.950</w:t>
                  </w:r>
                  <w:r>
                    <w:rPr>
                      <w:color w:val="auto"/>
                    </w:rPr>
                    <w:t>km</w:t>
                  </w:r>
                </w:p>
              </w:tc>
              <w:tc>
                <w:tcPr>
                  <w:tcW w:w="1521" w:type="pct"/>
                  <w:gridSpan w:val="2"/>
                  <w:tcBorders>
                    <w:tl2br w:val="nil"/>
                    <w:tr2bl w:val="nil"/>
                  </w:tcBorders>
                  <w:noWrap w:val="0"/>
                  <w:vAlign w:val="center"/>
                </w:tcPr>
                <w:p w14:paraId="5C88FB2C">
                  <w:pPr>
                    <w:pStyle w:val="80"/>
                    <w:rPr>
                      <w:rFonts w:hint="default"/>
                      <w:color w:val="auto"/>
                      <w:lang w:val="en-US"/>
                    </w:rPr>
                  </w:pPr>
                  <w:r>
                    <w:rPr>
                      <w:rFonts w:hint="eastAsia"/>
                      <w:color w:val="auto"/>
                      <w:lang w:val="en-US" w:eastAsia="zh-CN"/>
                    </w:rPr>
                    <w:t>43.950</w:t>
                  </w:r>
                  <w:r>
                    <w:rPr>
                      <w:color w:val="auto"/>
                    </w:rPr>
                    <w:t>km</w:t>
                  </w:r>
                </w:p>
              </w:tc>
              <w:tc>
                <w:tcPr>
                  <w:tcW w:w="788" w:type="pct"/>
                  <w:vMerge w:val="restart"/>
                  <w:tcBorders>
                    <w:tl2br w:val="nil"/>
                    <w:tr2bl w:val="nil"/>
                  </w:tcBorders>
                  <w:noWrap w:val="0"/>
                  <w:vAlign w:val="center"/>
                </w:tcPr>
                <w:p w14:paraId="025C0167">
                  <w:pPr>
                    <w:pStyle w:val="80"/>
                    <w:rPr>
                      <w:rFonts w:hint="eastAsia" w:eastAsia="宋体"/>
                      <w:color w:val="auto"/>
                      <w:lang w:eastAsia="zh-CN"/>
                    </w:rPr>
                  </w:pPr>
                  <w:r>
                    <w:rPr>
                      <w:rFonts w:hint="eastAsia"/>
                      <w:color w:val="auto"/>
                      <w:lang w:val="en-US" w:eastAsia="zh-CN"/>
                    </w:rPr>
                    <w:t>不变</w:t>
                  </w:r>
                </w:p>
              </w:tc>
            </w:tr>
            <w:tr w14:paraId="10FB017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51B04271">
                  <w:pPr>
                    <w:pStyle w:val="80"/>
                    <w:rPr>
                      <w:color w:val="auto"/>
                    </w:rPr>
                  </w:pPr>
                </w:p>
              </w:tc>
              <w:tc>
                <w:tcPr>
                  <w:tcW w:w="454" w:type="pct"/>
                  <w:vMerge w:val="continue"/>
                  <w:tcBorders>
                    <w:tl2br w:val="nil"/>
                    <w:tr2bl w:val="nil"/>
                  </w:tcBorders>
                  <w:noWrap w:val="0"/>
                  <w:vAlign w:val="center"/>
                </w:tcPr>
                <w:p w14:paraId="1E711178">
                  <w:pPr>
                    <w:pStyle w:val="80"/>
                    <w:rPr>
                      <w:color w:val="auto"/>
                    </w:rPr>
                  </w:pPr>
                </w:p>
              </w:tc>
              <w:tc>
                <w:tcPr>
                  <w:tcW w:w="577" w:type="pct"/>
                  <w:tcBorders>
                    <w:tl2br w:val="nil"/>
                    <w:tr2bl w:val="nil"/>
                  </w:tcBorders>
                  <w:noWrap w:val="0"/>
                  <w:vAlign w:val="center"/>
                </w:tcPr>
                <w:p w14:paraId="19F22E4F">
                  <w:pPr>
                    <w:pStyle w:val="80"/>
                    <w:rPr>
                      <w:color w:val="auto"/>
                    </w:rPr>
                  </w:pPr>
                  <w:r>
                    <w:rPr>
                      <w:rFonts w:hint="eastAsia"/>
                      <w:color w:val="auto"/>
                    </w:rPr>
                    <w:t>起讫桩号</w:t>
                  </w:r>
                </w:p>
              </w:tc>
              <w:tc>
                <w:tcPr>
                  <w:tcW w:w="678" w:type="pct"/>
                  <w:tcBorders>
                    <w:tl2br w:val="nil"/>
                    <w:tr2bl w:val="nil"/>
                  </w:tcBorders>
                  <w:noWrap w:val="0"/>
                  <w:vAlign w:val="center"/>
                </w:tcPr>
                <w:p w14:paraId="614ECE42">
                  <w:pPr>
                    <w:pStyle w:val="80"/>
                    <w:outlineLvl w:val="9"/>
                    <w:rPr>
                      <w:rFonts w:hint="eastAsia"/>
                      <w:color w:val="auto"/>
                    </w:rPr>
                  </w:pPr>
                  <w:r>
                    <w:rPr>
                      <w:rFonts w:eastAsia="宋体"/>
                      <w:b w:val="0"/>
                      <w:bCs/>
                      <w:color w:val="auto"/>
                      <w:lang w:val="zh-CN"/>
                    </w:rPr>
                    <w:t>K370+000～K370+630</w:t>
                  </w:r>
                </w:p>
              </w:tc>
              <w:tc>
                <w:tcPr>
                  <w:tcW w:w="708" w:type="pct"/>
                  <w:tcBorders>
                    <w:tl2br w:val="nil"/>
                    <w:tr2bl w:val="nil"/>
                  </w:tcBorders>
                  <w:noWrap w:val="0"/>
                  <w:vAlign w:val="center"/>
                </w:tcPr>
                <w:p w14:paraId="2CB42673">
                  <w:pPr>
                    <w:pStyle w:val="80"/>
                    <w:outlineLvl w:val="9"/>
                    <w:rPr>
                      <w:rFonts w:hint="eastAsia"/>
                      <w:color w:val="auto"/>
                    </w:rPr>
                  </w:pPr>
                  <w:r>
                    <w:rPr>
                      <w:rFonts w:eastAsia="宋体"/>
                      <w:b w:val="0"/>
                      <w:bCs/>
                      <w:color w:val="auto"/>
                      <w:lang w:val="zh-CN"/>
                    </w:rPr>
                    <w:t>K370+630～K414+953.7</w:t>
                  </w:r>
                </w:p>
              </w:tc>
              <w:tc>
                <w:tcPr>
                  <w:tcW w:w="691" w:type="pct"/>
                  <w:tcBorders>
                    <w:tl2br w:val="nil"/>
                    <w:tr2bl w:val="nil"/>
                  </w:tcBorders>
                  <w:noWrap w:val="0"/>
                  <w:vAlign w:val="center"/>
                </w:tcPr>
                <w:p w14:paraId="442E0584">
                  <w:pPr>
                    <w:pStyle w:val="80"/>
                    <w:outlineLvl w:val="9"/>
                    <w:rPr>
                      <w:rFonts w:hint="eastAsia" w:eastAsia="宋体"/>
                      <w:b w:val="0"/>
                      <w:bCs/>
                      <w:color w:val="auto"/>
                      <w:lang w:val="zh-CN"/>
                    </w:rPr>
                  </w:pPr>
                  <w:r>
                    <w:rPr>
                      <w:rFonts w:eastAsia="宋体"/>
                      <w:b w:val="0"/>
                      <w:bCs/>
                      <w:color w:val="auto"/>
                      <w:lang w:val="zh-CN"/>
                    </w:rPr>
                    <w:t>K370+000～K370+630</w:t>
                  </w:r>
                </w:p>
              </w:tc>
              <w:tc>
                <w:tcPr>
                  <w:tcW w:w="830" w:type="pct"/>
                  <w:tcBorders>
                    <w:tl2br w:val="nil"/>
                    <w:tr2bl w:val="nil"/>
                  </w:tcBorders>
                  <w:noWrap w:val="0"/>
                  <w:vAlign w:val="center"/>
                </w:tcPr>
                <w:p w14:paraId="1175F578">
                  <w:pPr>
                    <w:pStyle w:val="80"/>
                    <w:outlineLvl w:val="9"/>
                    <w:rPr>
                      <w:rFonts w:hint="eastAsia" w:eastAsia="宋体"/>
                      <w:b w:val="0"/>
                      <w:bCs/>
                      <w:color w:val="auto"/>
                      <w:lang w:val="zh-CN"/>
                    </w:rPr>
                  </w:pPr>
                  <w:r>
                    <w:rPr>
                      <w:rFonts w:eastAsia="宋体"/>
                      <w:b w:val="0"/>
                      <w:bCs/>
                      <w:color w:val="auto"/>
                      <w:lang w:val="zh-CN"/>
                    </w:rPr>
                    <w:t>K370+630～K414+953.7</w:t>
                  </w:r>
                </w:p>
              </w:tc>
              <w:tc>
                <w:tcPr>
                  <w:tcW w:w="788" w:type="pct"/>
                  <w:vMerge w:val="continue"/>
                  <w:tcBorders>
                    <w:tl2br w:val="nil"/>
                    <w:tr2bl w:val="nil"/>
                  </w:tcBorders>
                  <w:noWrap w:val="0"/>
                  <w:vAlign w:val="center"/>
                </w:tcPr>
                <w:p w14:paraId="50802E12">
                  <w:pPr>
                    <w:pStyle w:val="80"/>
                    <w:rPr>
                      <w:rFonts w:hint="eastAsia"/>
                      <w:color w:val="auto"/>
                    </w:rPr>
                  </w:pPr>
                </w:p>
              </w:tc>
            </w:tr>
            <w:tr w14:paraId="4E87C36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BF47437">
                  <w:pPr>
                    <w:pStyle w:val="80"/>
                    <w:rPr>
                      <w:color w:val="auto"/>
                    </w:rPr>
                  </w:pPr>
                </w:p>
              </w:tc>
              <w:tc>
                <w:tcPr>
                  <w:tcW w:w="454" w:type="pct"/>
                  <w:vMerge w:val="continue"/>
                  <w:tcBorders>
                    <w:tl2br w:val="nil"/>
                    <w:tr2bl w:val="nil"/>
                  </w:tcBorders>
                  <w:noWrap w:val="0"/>
                  <w:vAlign w:val="center"/>
                </w:tcPr>
                <w:p w14:paraId="63041644">
                  <w:pPr>
                    <w:pStyle w:val="80"/>
                    <w:rPr>
                      <w:color w:val="auto"/>
                    </w:rPr>
                  </w:pPr>
                </w:p>
              </w:tc>
              <w:tc>
                <w:tcPr>
                  <w:tcW w:w="577" w:type="pct"/>
                  <w:tcBorders>
                    <w:tl2br w:val="nil"/>
                    <w:tr2bl w:val="nil"/>
                  </w:tcBorders>
                  <w:noWrap w:val="0"/>
                  <w:vAlign w:val="center"/>
                </w:tcPr>
                <w:p w14:paraId="21A28CDC">
                  <w:pPr>
                    <w:pStyle w:val="80"/>
                    <w:rPr>
                      <w:color w:val="auto"/>
                    </w:rPr>
                  </w:pPr>
                  <w:r>
                    <w:rPr>
                      <w:color w:val="auto"/>
                    </w:rPr>
                    <w:t>路面宽度</w:t>
                  </w:r>
                </w:p>
              </w:tc>
              <w:tc>
                <w:tcPr>
                  <w:tcW w:w="678" w:type="pct"/>
                  <w:tcBorders>
                    <w:tl2br w:val="nil"/>
                    <w:tr2bl w:val="nil"/>
                  </w:tcBorders>
                  <w:noWrap w:val="0"/>
                  <w:vAlign w:val="center"/>
                </w:tcPr>
                <w:p w14:paraId="031E5A5E">
                  <w:pPr>
                    <w:pStyle w:val="80"/>
                    <w:rPr>
                      <w:rFonts w:hint="default" w:eastAsia="宋体"/>
                      <w:color w:val="auto"/>
                      <w:lang w:val="en-US" w:eastAsia="zh-CN"/>
                    </w:rPr>
                  </w:pPr>
                  <w:r>
                    <w:rPr>
                      <w:rFonts w:hint="eastAsia"/>
                      <w:color w:val="auto"/>
                      <w:lang w:val="en-US" w:eastAsia="zh-CN"/>
                    </w:rPr>
                    <w:t>15</w:t>
                  </w:r>
                  <w:r>
                    <w:rPr>
                      <w:color w:val="auto"/>
                    </w:rPr>
                    <w:t>m</w:t>
                  </w:r>
                </w:p>
              </w:tc>
              <w:tc>
                <w:tcPr>
                  <w:tcW w:w="708" w:type="pct"/>
                  <w:tcBorders>
                    <w:tl2br w:val="nil"/>
                    <w:tr2bl w:val="nil"/>
                  </w:tcBorders>
                  <w:noWrap w:val="0"/>
                  <w:vAlign w:val="center"/>
                </w:tcPr>
                <w:p w14:paraId="6EA768A6">
                  <w:pPr>
                    <w:pStyle w:val="80"/>
                    <w:rPr>
                      <w:rFonts w:hint="eastAsia"/>
                      <w:color w:val="auto"/>
                      <w:lang w:val="en-US" w:eastAsia="zh-CN"/>
                    </w:rPr>
                  </w:pPr>
                  <w:r>
                    <w:rPr>
                      <w:color w:val="auto"/>
                    </w:rPr>
                    <w:t>1</w:t>
                  </w:r>
                  <w:r>
                    <w:rPr>
                      <w:rFonts w:hint="eastAsia"/>
                      <w:color w:val="auto"/>
                      <w:lang w:val="en-US" w:eastAsia="zh-CN"/>
                    </w:rPr>
                    <w:t>0.5</w:t>
                  </w:r>
                  <w:r>
                    <w:rPr>
                      <w:color w:val="auto"/>
                    </w:rPr>
                    <w:t>m</w:t>
                  </w:r>
                </w:p>
              </w:tc>
              <w:tc>
                <w:tcPr>
                  <w:tcW w:w="691" w:type="pct"/>
                  <w:tcBorders>
                    <w:tl2br w:val="nil"/>
                    <w:tr2bl w:val="nil"/>
                  </w:tcBorders>
                  <w:noWrap w:val="0"/>
                  <w:vAlign w:val="center"/>
                </w:tcPr>
                <w:p w14:paraId="43CA05A9">
                  <w:pPr>
                    <w:pStyle w:val="80"/>
                    <w:rPr>
                      <w:rFonts w:hint="default" w:eastAsia="宋体"/>
                      <w:color w:val="auto"/>
                      <w:lang w:val="en-US" w:eastAsia="zh-CN"/>
                    </w:rPr>
                  </w:pPr>
                  <w:r>
                    <w:rPr>
                      <w:rFonts w:hint="eastAsia"/>
                      <w:color w:val="auto"/>
                      <w:lang w:val="en-US" w:eastAsia="zh-CN"/>
                    </w:rPr>
                    <w:t>15</w:t>
                  </w:r>
                  <w:r>
                    <w:rPr>
                      <w:color w:val="auto"/>
                    </w:rPr>
                    <w:t>m</w:t>
                  </w:r>
                </w:p>
              </w:tc>
              <w:tc>
                <w:tcPr>
                  <w:tcW w:w="830" w:type="pct"/>
                  <w:tcBorders>
                    <w:tl2br w:val="nil"/>
                    <w:tr2bl w:val="nil"/>
                  </w:tcBorders>
                  <w:noWrap w:val="0"/>
                  <w:vAlign w:val="center"/>
                </w:tcPr>
                <w:p w14:paraId="4D82FC56">
                  <w:pPr>
                    <w:pStyle w:val="80"/>
                    <w:rPr>
                      <w:color w:val="auto"/>
                    </w:rPr>
                  </w:pPr>
                  <w:r>
                    <w:rPr>
                      <w:color w:val="auto"/>
                    </w:rPr>
                    <w:t>1</w:t>
                  </w:r>
                  <w:r>
                    <w:rPr>
                      <w:rFonts w:hint="eastAsia"/>
                      <w:color w:val="auto"/>
                      <w:lang w:val="en-US" w:eastAsia="zh-CN"/>
                    </w:rPr>
                    <w:t>0.5</w:t>
                  </w:r>
                  <w:r>
                    <w:rPr>
                      <w:color w:val="auto"/>
                    </w:rPr>
                    <w:t>m</w:t>
                  </w:r>
                </w:p>
              </w:tc>
              <w:tc>
                <w:tcPr>
                  <w:tcW w:w="788" w:type="pct"/>
                  <w:tcBorders>
                    <w:tl2br w:val="nil"/>
                    <w:tr2bl w:val="nil"/>
                  </w:tcBorders>
                  <w:noWrap w:val="0"/>
                  <w:vAlign w:val="center"/>
                </w:tcPr>
                <w:p w14:paraId="34C50210">
                  <w:pPr>
                    <w:pStyle w:val="80"/>
                    <w:rPr>
                      <w:color w:val="auto"/>
                    </w:rPr>
                  </w:pPr>
                  <w:r>
                    <w:rPr>
                      <w:rFonts w:hint="eastAsia"/>
                      <w:color w:val="auto"/>
                      <w:lang w:val="en-US" w:eastAsia="zh-CN"/>
                    </w:rPr>
                    <w:t>不变</w:t>
                  </w:r>
                </w:p>
              </w:tc>
            </w:tr>
            <w:tr w14:paraId="2089AFD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70" w:type="pct"/>
                  <w:vMerge w:val="continue"/>
                  <w:tcBorders>
                    <w:tl2br w:val="nil"/>
                    <w:tr2bl w:val="nil"/>
                  </w:tcBorders>
                  <w:noWrap w:val="0"/>
                  <w:vAlign w:val="center"/>
                </w:tcPr>
                <w:p w14:paraId="4B64B4CC">
                  <w:pPr>
                    <w:pStyle w:val="80"/>
                    <w:rPr>
                      <w:color w:val="auto"/>
                    </w:rPr>
                  </w:pPr>
                </w:p>
              </w:tc>
              <w:tc>
                <w:tcPr>
                  <w:tcW w:w="454" w:type="pct"/>
                  <w:vMerge w:val="continue"/>
                  <w:tcBorders>
                    <w:tl2br w:val="nil"/>
                    <w:tr2bl w:val="nil"/>
                  </w:tcBorders>
                  <w:noWrap w:val="0"/>
                  <w:vAlign w:val="center"/>
                </w:tcPr>
                <w:p w14:paraId="3B2A6D19">
                  <w:pPr>
                    <w:pStyle w:val="80"/>
                    <w:rPr>
                      <w:color w:val="auto"/>
                    </w:rPr>
                  </w:pPr>
                </w:p>
              </w:tc>
              <w:tc>
                <w:tcPr>
                  <w:tcW w:w="577" w:type="pct"/>
                  <w:tcBorders>
                    <w:tl2br w:val="nil"/>
                    <w:tr2bl w:val="nil"/>
                  </w:tcBorders>
                  <w:noWrap w:val="0"/>
                  <w:vAlign w:val="center"/>
                </w:tcPr>
                <w:p w14:paraId="5FED218B">
                  <w:pPr>
                    <w:pStyle w:val="80"/>
                    <w:rPr>
                      <w:color w:val="auto"/>
                    </w:rPr>
                  </w:pPr>
                  <w:r>
                    <w:rPr>
                      <w:color w:val="auto"/>
                    </w:rPr>
                    <w:t>路基宽度</w:t>
                  </w:r>
                </w:p>
              </w:tc>
              <w:tc>
                <w:tcPr>
                  <w:tcW w:w="678" w:type="pct"/>
                  <w:tcBorders>
                    <w:tl2br w:val="nil"/>
                    <w:tr2bl w:val="nil"/>
                  </w:tcBorders>
                  <w:noWrap w:val="0"/>
                  <w:vAlign w:val="center"/>
                </w:tcPr>
                <w:p w14:paraId="31659831">
                  <w:pPr>
                    <w:pStyle w:val="80"/>
                    <w:rPr>
                      <w:rFonts w:hint="default" w:eastAsia="宋体"/>
                      <w:color w:val="auto"/>
                      <w:lang w:val="en-US" w:eastAsia="zh-CN"/>
                    </w:rPr>
                  </w:pPr>
                  <w:r>
                    <w:rPr>
                      <w:rFonts w:hint="eastAsia"/>
                      <w:color w:val="auto"/>
                    </w:rPr>
                    <w:t>1</w:t>
                  </w:r>
                  <w:r>
                    <w:rPr>
                      <w:rFonts w:hint="eastAsia"/>
                      <w:color w:val="auto"/>
                      <w:lang w:val="en-US" w:eastAsia="zh-CN"/>
                    </w:rPr>
                    <w:t>6.5</w:t>
                  </w:r>
                  <w:r>
                    <w:rPr>
                      <w:color w:val="auto"/>
                    </w:rPr>
                    <w:t>m</w:t>
                  </w:r>
                </w:p>
              </w:tc>
              <w:tc>
                <w:tcPr>
                  <w:tcW w:w="708" w:type="pct"/>
                  <w:tcBorders>
                    <w:tl2br w:val="nil"/>
                    <w:tr2bl w:val="nil"/>
                  </w:tcBorders>
                  <w:noWrap w:val="0"/>
                  <w:vAlign w:val="center"/>
                </w:tcPr>
                <w:p w14:paraId="28BB0C21">
                  <w:pPr>
                    <w:pStyle w:val="80"/>
                    <w:rPr>
                      <w:rFonts w:hint="eastAsia"/>
                      <w:color w:val="auto"/>
                      <w:lang w:val="en-US" w:eastAsia="zh-CN"/>
                    </w:rPr>
                  </w:pPr>
                  <w:r>
                    <w:rPr>
                      <w:rFonts w:hint="eastAsia"/>
                      <w:color w:val="auto"/>
                    </w:rPr>
                    <w:t>1</w:t>
                  </w:r>
                  <w:r>
                    <w:rPr>
                      <w:rFonts w:hint="eastAsia"/>
                      <w:color w:val="auto"/>
                      <w:lang w:val="en-US" w:eastAsia="zh-CN"/>
                    </w:rPr>
                    <w:t>2</w:t>
                  </w:r>
                  <w:r>
                    <w:rPr>
                      <w:color w:val="auto"/>
                    </w:rPr>
                    <w:t>m</w:t>
                  </w:r>
                </w:p>
              </w:tc>
              <w:tc>
                <w:tcPr>
                  <w:tcW w:w="691" w:type="pct"/>
                  <w:tcBorders>
                    <w:tl2br w:val="nil"/>
                    <w:tr2bl w:val="nil"/>
                  </w:tcBorders>
                  <w:noWrap w:val="0"/>
                  <w:vAlign w:val="center"/>
                </w:tcPr>
                <w:p w14:paraId="63D7F62D">
                  <w:pPr>
                    <w:pStyle w:val="80"/>
                    <w:rPr>
                      <w:rFonts w:hint="default" w:eastAsia="宋体"/>
                      <w:color w:val="auto"/>
                      <w:lang w:val="en-US" w:eastAsia="zh-CN"/>
                    </w:rPr>
                  </w:pPr>
                  <w:r>
                    <w:rPr>
                      <w:rFonts w:hint="eastAsia"/>
                      <w:color w:val="auto"/>
                    </w:rPr>
                    <w:t>1</w:t>
                  </w:r>
                  <w:r>
                    <w:rPr>
                      <w:rFonts w:hint="eastAsia"/>
                      <w:color w:val="auto"/>
                      <w:lang w:val="en-US" w:eastAsia="zh-CN"/>
                    </w:rPr>
                    <w:t>6.5</w:t>
                  </w:r>
                  <w:r>
                    <w:rPr>
                      <w:color w:val="auto"/>
                    </w:rPr>
                    <w:t>m</w:t>
                  </w:r>
                </w:p>
              </w:tc>
              <w:tc>
                <w:tcPr>
                  <w:tcW w:w="830" w:type="pct"/>
                  <w:tcBorders>
                    <w:tl2br w:val="nil"/>
                    <w:tr2bl w:val="nil"/>
                  </w:tcBorders>
                  <w:noWrap w:val="0"/>
                  <w:vAlign w:val="center"/>
                </w:tcPr>
                <w:p w14:paraId="241E6A0C">
                  <w:pPr>
                    <w:pStyle w:val="80"/>
                    <w:rPr>
                      <w:color w:val="auto"/>
                    </w:rPr>
                  </w:pPr>
                  <w:r>
                    <w:rPr>
                      <w:rFonts w:hint="eastAsia"/>
                      <w:color w:val="auto"/>
                    </w:rPr>
                    <w:t>1</w:t>
                  </w:r>
                  <w:r>
                    <w:rPr>
                      <w:rFonts w:hint="eastAsia"/>
                      <w:color w:val="auto"/>
                      <w:lang w:val="en-US" w:eastAsia="zh-CN"/>
                    </w:rPr>
                    <w:t>2</w:t>
                  </w:r>
                  <w:r>
                    <w:rPr>
                      <w:color w:val="auto"/>
                    </w:rPr>
                    <w:t>m</w:t>
                  </w:r>
                </w:p>
              </w:tc>
              <w:tc>
                <w:tcPr>
                  <w:tcW w:w="788" w:type="pct"/>
                  <w:tcBorders>
                    <w:tl2br w:val="nil"/>
                    <w:tr2bl w:val="nil"/>
                  </w:tcBorders>
                  <w:noWrap w:val="0"/>
                  <w:vAlign w:val="center"/>
                </w:tcPr>
                <w:p w14:paraId="22DDD825">
                  <w:pPr>
                    <w:pStyle w:val="80"/>
                    <w:rPr>
                      <w:color w:val="auto"/>
                    </w:rPr>
                  </w:pPr>
                  <w:r>
                    <w:rPr>
                      <w:rFonts w:hint="eastAsia"/>
                      <w:color w:val="auto"/>
                      <w:lang w:val="en-US" w:eastAsia="zh-CN"/>
                    </w:rPr>
                    <w:t>不变</w:t>
                  </w:r>
                </w:p>
              </w:tc>
            </w:tr>
            <w:tr w14:paraId="3AE876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41BF13B">
                  <w:pPr>
                    <w:pStyle w:val="80"/>
                    <w:rPr>
                      <w:color w:val="auto"/>
                    </w:rPr>
                  </w:pPr>
                </w:p>
              </w:tc>
              <w:tc>
                <w:tcPr>
                  <w:tcW w:w="454" w:type="pct"/>
                  <w:vMerge w:val="continue"/>
                  <w:tcBorders>
                    <w:tl2br w:val="nil"/>
                    <w:tr2bl w:val="nil"/>
                  </w:tcBorders>
                  <w:noWrap w:val="0"/>
                  <w:vAlign w:val="center"/>
                </w:tcPr>
                <w:p w14:paraId="18DB5F22">
                  <w:pPr>
                    <w:pStyle w:val="80"/>
                    <w:rPr>
                      <w:color w:val="auto"/>
                    </w:rPr>
                  </w:pPr>
                </w:p>
              </w:tc>
              <w:tc>
                <w:tcPr>
                  <w:tcW w:w="577" w:type="pct"/>
                  <w:tcBorders>
                    <w:tl2br w:val="nil"/>
                    <w:tr2bl w:val="nil"/>
                  </w:tcBorders>
                  <w:noWrap w:val="0"/>
                  <w:vAlign w:val="center"/>
                </w:tcPr>
                <w:p w14:paraId="743E565D">
                  <w:pPr>
                    <w:pStyle w:val="80"/>
                    <w:rPr>
                      <w:rFonts w:hint="default" w:eastAsia="宋体"/>
                      <w:color w:val="auto"/>
                      <w:lang w:val="en-US" w:eastAsia="zh-CN"/>
                    </w:rPr>
                  </w:pPr>
                  <w:r>
                    <w:rPr>
                      <w:rFonts w:hint="eastAsia"/>
                      <w:color w:val="auto"/>
                      <w:lang w:val="en-US" w:eastAsia="zh-CN"/>
                    </w:rPr>
                    <w:t>道路红线宽度</w:t>
                  </w:r>
                </w:p>
              </w:tc>
              <w:tc>
                <w:tcPr>
                  <w:tcW w:w="678" w:type="pct"/>
                  <w:tcBorders>
                    <w:tl2br w:val="nil"/>
                    <w:tr2bl w:val="nil"/>
                  </w:tcBorders>
                  <w:noWrap w:val="0"/>
                  <w:vAlign w:val="center"/>
                </w:tcPr>
                <w:p w14:paraId="7977A0F8">
                  <w:pPr>
                    <w:pStyle w:val="80"/>
                    <w:rPr>
                      <w:rFonts w:hint="default" w:eastAsia="宋体"/>
                      <w:color w:val="auto"/>
                      <w:lang w:val="en-US" w:eastAsia="zh-CN"/>
                    </w:rPr>
                  </w:pPr>
                  <w:r>
                    <w:rPr>
                      <w:rFonts w:hint="eastAsia"/>
                      <w:color w:val="auto"/>
                      <w:lang w:val="en-US" w:eastAsia="zh-CN"/>
                    </w:rPr>
                    <w:t>21.5m</w:t>
                  </w:r>
                </w:p>
              </w:tc>
              <w:tc>
                <w:tcPr>
                  <w:tcW w:w="708" w:type="pct"/>
                  <w:tcBorders>
                    <w:tl2br w:val="nil"/>
                    <w:tr2bl w:val="nil"/>
                  </w:tcBorders>
                  <w:noWrap w:val="0"/>
                  <w:vAlign w:val="center"/>
                </w:tcPr>
                <w:p w14:paraId="31D6D03F">
                  <w:pPr>
                    <w:pStyle w:val="80"/>
                    <w:rPr>
                      <w:rFonts w:hint="default" w:eastAsia="宋体"/>
                      <w:color w:val="auto"/>
                      <w:lang w:val="en-US" w:eastAsia="zh-CN"/>
                    </w:rPr>
                  </w:pPr>
                  <w:r>
                    <w:rPr>
                      <w:rFonts w:hint="eastAsia"/>
                      <w:color w:val="auto"/>
                      <w:lang w:val="en-US" w:eastAsia="zh-CN"/>
                    </w:rPr>
                    <w:t>17m</w:t>
                  </w:r>
                </w:p>
              </w:tc>
              <w:tc>
                <w:tcPr>
                  <w:tcW w:w="691" w:type="pct"/>
                  <w:tcBorders>
                    <w:tl2br w:val="nil"/>
                    <w:tr2bl w:val="nil"/>
                  </w:tcBorders>
                  <w:shd w:val="clear" w:color="auto" w:fill="auto"/>
                  <w:noWrap w:val="0"/>
                  <w:vAlign w:val="center"/>
                </w:tcPr>
                <w:p w14:paraId="489B6A9F">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21.5m</w:t>
                  </w:r>
                </w:p>
              </w:tc>
              <w:tc>
                <w:tcPr>
                  <w:tcW w:w="830" w:type="pct"/>
                  <w:tcBorders>
                    <w:tl2br w:val="nil"/>
                    <w:tr2bl w:val="nil"/>
                  </w:tcBorders>
                  <w:shd w:val="clear" w:color="auto" w:fill="auto"/>
                  <w:noWrap w:val="0"/>
                  <w:vAlign w:val="center"/>
                </w:tcPr>
                <w:p w14:paraId="3B7E3CC8">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17m</w:t>
                  </w:r>
                </w:p>
              </w:tc>
              <w:tc>
                <w:tcPr>
                  <w:tcW w:w="788" w:type="pct"/>
                  <w:tcBorders>
                    <w:tl2br w:val="nil"/>
                    <w:tr2bl w:val="nil"/>
                  </w:tcBorders>
                  <w:noWrap w:val="0"/>
                  <w:vAlign w:val="center"/>
                </w:tcPr>
                <w:p w14:paraId="0C6251DE">
                  <w:pPr>
                    <w:pStyle w:val="80"/>
                    <w:rPr>
                      <w:rFonts w:hint="eastAsia"/>
                      <w:color w:val="auto"/>
                      <w:lang w:val="en-US" w:eastAsia="zh-CN"/>
                    </w:rPr>
                  </w:pPr>
                  <w:r>
                    <w:rPr>
                      <w:rFonts w:hint="eastAsia"/>
                      <w:color w:val="auto"/>
                      <w:lang w:val="en-US" w:eastAsia="zh-CN"/>
                    </w:rPr>
                    <w:t>不变</w:t>
                  </w:r>
                </w:p>
              </w:tc>
            </w:tr>
            <w:tr w14:paraId="3CD8C1C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0E33A053">
                  <w:pPr>
                    <w:pStyle w:val="80"/>
                    <w:rPr>
                      <w:color w:val="auto"/>
                    </w:rPr>
                  </w:pPr>
                </w:p>
              </w:tc>
              <w:tc>
                <w:tcPr>
                  <w:tcW w:w="454" w:type="pct"/>
                  <w:vMerge w:val="continue"/>
                  <w:tcBorders>
                    <w:tl2br w:val="nil"/>
                    <w:tr2bl w:val="nil"/>
                  </w:tcBorders>
                  <w:noWrap w:val="0"/>
                  <w:vAlign w:val="center"/>
                </w:tcPr>
                <w:p w14:paraId="25733655">
                  <w:pPr>
                    <w:pStyle w:val="80"/>
                    <w:rPr>
                      <w:color w:val="auto"/>
                    </w:rPr>
                  </w:pPr>
                </w:p>
              </w:tc>
              <w:tc>
                <w:tcPr>
                  <w:tcW w:w="577" w:type="pct"/>
                  <w:tcBorders>
                    <w:tl2br w:val="nil"/>
                    <w:tr2bl w:val="nil"/>
                  </w:tcBorders>
                  <w:noWrap w:val="0"/>
                  <w:vAlign w:val="center"/>
                </w:tcPr>
                <w:p w14:paraId="5EFE674E">
                  <w:pPr>
                    <w:pStyle w:val="80"/>
                    <w:rPr>
                      <w:rFonts w:hint="default" w:eastAsia="宋体"/>
                      <w:color w:val="auto"/>
                      <w:lang w:val="en-US" w:eastAsia="zh-CN"/>
                    </w:rPr>
                  </w:pPr>
                  <w:r>
                    <w:rPr>
                      <w:rFonts w:hint="eastAsia"/>
                      <w:color w:val="auto"/>
                      <w:lang w:val="en-US" w:eastAsia="zh-CN"/>
                    </w:rPr>
                    <w:t>车道数量</w:t>
                  </w:r>
                </w:p>
              </w:tc>
              <w:tc>
                <w:tcPr>
                  <w:tcW w:w="678" w:type="pct"/>
                  <w:tcBorders>
                    <w:tl2br w:val="nil"/>
                    <w:tr2bl w:val="nil"/>
                  </w:tcBorders>
                  <w:noWrap w:val="0"/>
                  <w:vAlign w:val="center"/>
                </w:tcPr>
                <w:p w14:paraId="2672FE2E">
                  <w:pPr>
                    <w:pStyle w:val="80"/>
                    <w:rPr>
                      <w:rFonts w:hint="default" w:eastAsia="宋体"/>
                      <w:color w:val="auto"/>
                      <w:lang w:val="en-US" w:eastAsia="zh-CN"/>
                    </w:rPr>
                  </w:pPr>
                  <w:r>
                    <w:rPr>
                      <w:rFonts w:hint="eastAsia"/>
                      <w:color w:val="auto"/>
                      <w:lang w:val="en-US" w:eastAsia="zh-CN"/>
                    </w:rPr>
                    <w:t>双向四车道</w:t>
                  </w:r>
                </w:p>
              </w:tc>
              <w:tc>
                <w:tcPr>
                  <w:tcW w:w="708" w:type="pct"/>
                  <w:tcBorders>
                    <w:tl2br w:val="nil"/>
                    <w:tr2bl w:val="nil"/>
                  </w:tcBorders>
                  <w:noWrap w:val="0"/>
                  <w:vAlign w:val="center"/>
                </w:tcPr>
                <w:p w14:paraId="3AF5751F">
                  <w:pPr>
                    <w:pStyle w:val="80"/>
                    <w:rPr>
                      <w:rFonts w:hint="default" w:eastAsia="宋体"/>
                      <w:color w:val="auto"/>
                      <w:lang w:val="en-US" w:eastAsia="zh-CN"/>
                    </w:rPr>
                  </w:pPr>
                  <w:r>
                    <w:rPr>
                      <w:rFonts w:hint="eastAsia"/>
                      <w:color w:val="auto"/>
                      <w:lang w:val="en-US" w:eastAsia="zh-CN"/>
                    </w:rPr>
                    <w:t>双向两车道</w:t>
                  </w:r>
                </w:p>
              </w:tc>
              <w:tc>
                <w:tcPr>
                  <w:tcW w:w="691" w:type="pct"/>
                  <w:tcBorders>
                    <w:tl2br w:val="nil"/>
                    <w:tr2bl w:val="nil"/>
                  </w:tcBorders>
                  <w:shd w:val="clear" w:color="auto" w:fill="auto"/>
                  <w:noWrap w:val="0"/>
                  <w:vAlign w:val="center"/>
                </w:tcPr>
                <w:p w14:paraId="31701D98">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双向四车道</w:t>
                  </w:r>
                </w:p>
              </w:tc>
              <w:tc>
                <w:tcPr>
                  <w:tcW w:w="830" w:type="pct"/>
                  <w:tcBorders>
                    <w:tl2br w:val="nil"/>
                    <w:tr2bl w:val="nil"/>
                  </w:tcBorders>
                  <w:shd w:val="clear" w:color="auto" w:fill="auto"/>
                  <w:noWrap w:val="0"/>
                  <w:vAlign w:val="center"/>
                </w:tcPr>
                <w:p w14:paraId="788C16FA">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双向两车道</w:t>
                  </w:r>
                </w:p>
              </w:tc>
              <w:tc>
                <w:tcPr>
                  <w:tcW w:w="788" w:type="pct"/>
                  <w:tcBorders>
                    <w:tl2br w:val="nil"/>
                    <w:tr2bl w:val="nil"/>
                  </w:tcBorders>
                  <w:noWrap w:val="0"/>
                  <w:vAlign w:val="center"/>
                </w:tcPr>
                <w:p w14:paraId="4A19F7D6">
                  <w:pPr>
                    <w:pStyle w:val="80"/>
                    <w:rPr>
                      <w:rFonts w:hint="eastAsia"/>
                      <w:color w:val="auto"/>
                      <w:lang w:val="en-US" w:eastAsia="zh-CN"/>
                    </w:rPr>
                  </w:pPr>
                  <w:r>
                    <w:rPr>
                      <w:rFonts w:hint="eastAsia"/>
                      <w:color w:val="auto"/>
                      <w:lang w:val="en-US" w:eastAsia="zh-CN"/>
                    </w:rPr>
                    <w:t>不变</w:t>
                  </w:r>
                </w:p>
              </w:tc>
            </w:tr>
            <w:tr w14:paraId="76DEC78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85CA361">
                  <w:pPr>
                    <w:pStyle w:val="80"/>
                    <w:rPr>
                      <w:color w:val="auto"/>
                    </w:rPr>
                  </w:pPr>
                </w:p>
              </w:tc>
              <w:tc>
                <w:tcPr>
                  <w:tcW w:w="454" w:type="pct"/>
                  <w:vMerge w:val="continue"/>
                  <w:tcBorders>
                    <w:tl2br w:val="nil"/>
                    <w:tr2bl w:val="nil"/>
                  </w:tcBorders>
                  <w:noWrap w:val="0"/>
                  <w:vAlign w:val="center"/>
                </w:tcPr>
                <w:p w14:paraId="64216268">
                  <w:pPr>
                    <w:pStyle w:val="80"/>
                    <w:rPr>
                      <w:color w:val="auto"/>
                    </w:rPr>
                  </w:pPr>
                </w:p>
              </w:tc>
              <w:tc>
                <w:tcPr>
                  <w:tcW w:w="577" w:type="pct"/>
                  <w:tcBorders>
                    <w:tl2br w:val="nil"/>
                    <w:tr2bl w:val="nil"/>
                  </w:tcBorders>
                  <w:noWrap w:val="0"/>
                  <w:vAlign w:val="center"/>
                </w:tcPr>
                <w:p w14:paraId="2D735FB5">
                  <w:pPr>
                    <w:pStyle w:val="80"/>
                    <w:rPr>
                      <w:color w:val="auto"/>
                    </w:rPr>
                  </w:pPr>
                  <w:r>
                    <w:rPr>
                      <w:color w:val="auto"/>
                    </w:rPr>
                    <w:t>公路等级</w:t>
                  </w:r>
                </w:p>
              </w:tc>
              <w:tc>
                <w:tcPr>
                  <w:tcW w:w="1387" w:type="pct"/>
                  <w:gridSpan w:val="2"/>
                  <w:tcBorders>
                    <w:tl2br w:val="nil"/>
                    <w:tr2bl w:val="nil"/>
                  </w:tcBorders>
                  <w:noWrap w:val="0"/>
                  <w:vAlign w:val="center"/>
                </w:tcPr>
                <w:p w14:paraId="14689978">
                  <w:pPr>
                    <w:pStyle w:val="80"/>
                    <w:rPr>
                      <w:rFonts w:hint="eastAsia"/>
                      <w:color w:val="auto"/>
                    </w:rPr>
                  </w:pPr>
                  <w:r>
                    <w:rPr>
                      <w:rFonts w:hint="eastAsia"/>
                      <w:color w:val="auto"/>
                      <w:lang w:val="en-US" w:eastAsia="zh-CN"/>
                    </w:rPr>
                    <w:t>二</w:t>
                  </w:r>
                  <w:r>
                    <w:rPr>
                      <w:rFonts w:hint="eastAsia"/>
                      <w:color w:val="auto"/>
                    </w:rPr>
                    <w:t>级</w:t>
                  </w:r>
                </w:p>
              </w:tc>
              <w:tc>
                <w:tcPr>
                  <w:tcW w:w="691" w:type="pct"/>
                  <w:tcBorders>
                    <w:tl2br w:val="nil"/>
                    <w:tr2bl w:val="nil"/>
                  </w:tcBorders>
                  <w:noWrap w:val="0"/>
                  <w:vAlign w:val="center"/>
                </w:tcPr>
                <w:p w14:paraId="4F3DE845">
                  <w:pPr>
                    <w:pStyle w:val="80"/>
                    <w:rPr>
                      <w:rFonts w:hint="eastAsia"/>
                      <w:color w:val="auto"/>
                    </w:rPr>
                  </w:pPr>
                  <w:r>
                    <w:rPr>
                      <w:rFonts w:hint="eastAsia"/>
                      <w:color w:val="auto"/>
                    </w:rPr>
                    <w:t>二级</w:t>
                  </w:r>
                </w:p>
              </w:tc>
              <w:tc>
                <w:tcPr>
                  <w:tcW w:w="830" w:type="pct"/>
                  <w:tcBorders>
                    <w:tl2br w:val="nil"/>
                    <w:tr2bl w:val="nil"/>
                  </w:tcBorders>
                  <w:noWrap w:val="0"/>
                  <w:vAlign w:val="center"/>
                </w:tcPr>
                <w:p w14:paraId="69440324">
                  <w:pPr>
                    <w:pStyle w:val="80"/>
                    <w:rPr>
                      <w:rFonts w:hint="eastAsia"/>
                      <w:color w:val="auto"/>
                    </w:rPr>
                  </w:pPr>
                  <w:r>
                    <w:rPr>
                      <w:rFonts w:hint="eastAsia"/>
                      <w:color w:val="auto"/>
                    </w:rPr>
                    <w:t>二级</w:t>
                  </w:r>
                </w:p>
              </w:tc>
              <w:tc>
                <w:tcPr>
                  <w:tcW w:w="788" w:type="pct"/>
                  <w:tcBorders>
                    <w:tl2br w:val="nil"/>
                    <w:tr2bl w:val="nil"/>
                  </w:tcBorders>
                  <w:noWrap w:val="0"/>
                  <w:vAlign w:val="center"/>
                </w:tcPr>
                <w:p w14:paraId="50F55C64">
                  <w:pPr>
                    <w:pStyle w:val="80"/>
                    <w:rPr>
                      <w:rFonts w:hint="eastAsia" w:eastAsia="宋体"/>
                      <w:color w:val="auto"/>
                      <w:lang w:eastAsia="zh-CN"/>
                    </w:rPr>
                  </w:pPr>
                  <w:r>
                    <w:rPr>
                      <w:rFonts w:hint="eastAsia"/>
                      <w:color w:val="auto"/>
                      <w:lang w:val="en-US" w:eastAsia="zh-CN"/>
                    </w:rPr>
                    <w:t>不变</w:t>
                  </w:r>
                </w:p>
              </w:tc>
            </w:tr>
            <w:tr w14:paraId="05C11C4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3949808C">
                  <w:pPr>
                    <w:pStyle w:val="80"/>
                    <w:rPr>
                      <w:color w:val="auto"/>
                    </w:rPr>
                  </w:pPr>
                </w:p>
              </w:tc>
              <w:tc>
                <w:tcPr>
                  <w:tcW w:w="454" w:type="pct"/>
                  <w:vMerge w:val="continue"/>
                  <w:tcBorders>
                    <w:tl2br w:val="nil"/>
                    <w:tr2bl w:val="nil"/>
                  </w:tcBorders>
                  <w:noWrap w:val="0"/>
                  <w:vAlign w:val="center"/>
                </w:tcPr>
                <w:p w14:paraId="711FC556">
                  <w:pPr>
                    <w:pStyle w:val="80"/>
                    <w:rPr>
                      <w:color w:val="auto"/>
                    </w:rPr>
                  </w:pPr>
                </w:p>
              </w:tc>
              <w:tc>
                <w:tcPr>
                  <w:tcW w:w="577" w:type="pct"/>
                  <w:tcBorders>
                    <w:tl2br w:val="nil"/>
                    <w:tr2bl w:val="nil"/>
                  </w:tcBorders>
                  <w:noWrap w:val="0"/>
                  <w:vAlign w:val="center"/>
                </w:tcPr>
                <w:p w14:paraId="51A8E707">
                  <w:pPr>
                    <w:pStyle w:val="80"/>
                    <w:rPr>
                      <w:color w:val="auto"/>
                    </w:rPr>
                  </w:pPr>
                  <w:r>
                    <w:rPr>
                      <w:rFonts w:hint="eastAsia"/>
                      <w:color w:val="auto"/>
                      <w:lang w:val="en-US" w:eastAsia="zh-CN"/>
                    </w:rPr>
                    <w:t>非过境段</w:t>
                  </w:r>
                  <w:r>
                    <w:rPr>
                      <w:color w:val="auto"/>
                    </w:rPr>
                    <w:t>设计车速</w:t>
                  </w:r>
                </w:p>
              </w:tc>
              <w:tc>
                <w:tcPr>
                  <w:tcW w:w="1387" w:type="pct"/>
                  <w:gridSpan w:val="2"/>
                  <w:tcBorders>
                    <w:tl2br w:val="nil"/>
                    <w:tr2bl w:val="nil"/>
                  </w:tcBorders>
                  <w:noWrap w:val="0"/>
                  <w:vAlign w:val="center"/>
                </w:tcPr>
                <w:p w14:paraId="6BFB4C80">
                  <w:pPr>
                    <w:pStyle w:val="80"/>
                    <w:rPr>
                      <w:rFonts w:hint="eastAsia" w:eastAsia="宋体"/>
                      <w:color w:val="auto"/>
                      <w:lang w:eastAsia="zh-CN"/>
                    </w:rPr>
                  </w:pPr>
                  <w:r>
                    <w:rPr>
                      <w:rFonts w:hint="eastAsia"/>
                      <w:color w:val="auto"/>
                      <w:lang w:val="en-US" w:eastAsia="zh-CN"/>
                    </w:rPr>
                    <w:t>6</w:t>
                  </w:r>
                  <w:r>
                    <w:rPr>
                      <w:color w:val="auto"/>
                    </w:rPr>
                    <w:t>0km/h</w:t>
                  </w:r>
                </w:p>
              </w:tc>
              <w:tc>
                <w:tcPr>
                  <w:tcW w:w="691" w:type="pct"/>
                  <w:tcBorders>
                    <w:tl2br w:val="nil"/>
                    <w:tr2bl w:val="nil"/>
                  </w:tcBorders>
                  <w:noWrap w:val="0"/>
                  <w:vAlign w:val="center"/>
                </w:tcPr>
                <w:p w14:paraId="03BE78C6">
                  <w:pPr>
                    <w:pStyle w:val="80"/>
                    <w:rPr>
                      <w:color w:val="auto"/>
                    </w:rPr>
                  </w:pPr>
                  <w:r>
                    <w:rPr>
                      <w:rFonts w:hint="eastAsia"/>
                      <w:color w:val="auto"/>
                    </w:rPr>
                    <w:t>6</w:t>
                  </w:r>
                  <w:r>
                    <w:rPr>
                      <w:color w:val="auto"/>
                    </w:rPr>
                    <w:t>0km/h</w:t>
                  </w:r>
                </w:p>
              </w:tc>
              <w:tc>
                <w:tcPr>
                  <w:tcW w:w="830" w:type="pct"/>
                  <w:tcBorders>
                    <w:tl2br w:val="nil"/>
                    <w:tr2bl w:val="nil"/>
                  </w:tcBorders>
                  <w:noWrap w:val="0"/>
                  <w:vAlign w:val="center"/>
                </w:tcPr>
                <w:p w14:paraId="7E5517AA">
                  <w:pPr>
                    <w:pStyle w:val="80"/>
                    <w:rPr>
                      <w:color w:val="auto"/>
                    </w:rPr>
                  </w:pPr>
                  <w:r>
                    <w:rPr>
                      <w:rFonts w:hint="eastAsia"/>
                      <w:color w:val="auto"/>
                      <w:lang w:val="en-US" w:eastAsia="zh-CN"/>
                    </w:rPr>
                    <w:t>6</w:t>
                  </w:r>
                  <w:r>
                    <w:rPr>
                      <w:color w:val="auto"/>
                    </w:rPr>
                    <w:t>0km/h</w:t>
                  </w:r>
                </w:p>
              </w:tc>
              <w:tc>
                <w:tcPr>
                  <w:tcW w:w="788" w:type="pct"/>
                  <w:tcBorders>
                    <w:tl2br w:val="nil"/>
                    <w:tr2bl w:val="nil"/>
                  </w:tcBorders>
                  <w:noWrap w:val="0"/>
                  <w:vAlign w:val="center"/>
                </w:tcPr>
                <w:p w14:paraId="459DA89A">
                  <w:pPr>
                    <w:pStyle w:val="80"/>
                    <w:rPr>
                      <w:rFonts w:hint="eastAsia"/>
                      <w:color w:val="auto"/>
                    </w:rPr>
                  </w:pPr>
                  <w:r>
                    <w:rPr>
                      <w:rFonts w:hint="eastAsia"/>
                      <w:color w:val="auto"/>
                      <w:lang w:val="en-US" w:eastAsia="zh-CN"/>
                    </w:rPr>
                    <w:t>不变</w:t>
                  </w:r>
                </w:p>
              </w:tc>
            </w:tr>
            <w:tr w14:paraId="51F414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6AA010F4">
                  <w:pPr>
                    <w:pStyle w:val="80"/>
                    <w:rPr>
                      <w:color w:val="auto"/>
                    </w:rPr>
                  </w:pPr>
                </w:p>
              </w:tc>
              <w:tc>
                <w:tcPr>
                  <w:tcW w:w="454" w:type="pct"/>
                  <w:vMerge w:val="continue"/>
                  <w:tcBorders>
                    <w:tl2br w:val="nil"/>
                    <w:tr2bl w:val="nil"/>
                  </w:tcBorders>
                  <w:noWrap w:val="0"/>
                  <w:vAlign w:val="center"/>
                </w:tcPr>
                <w:p w14:paraId="5035BCDE">
                  <w:pPr>
                    <w:pStyle w:val="80"/>
                    <w:rPr>
                      <w:color w:val="auto"/>
                    </w:rPr>
                  </w:pPr>
                </w:p>
              </w:tc>
              <w:tc>
                <w:tcPr>
                  <w:tcW w:w="577" w:type="pct"/>
                  <w:tcBorders>
                    <w:tl2br w:val="nil"/>
                    <w:tr2bl w:val="nil"/>
                  </w:tcBorders>
                  <w:noWrap w:val="0"/>
                  <w:vAlign w:val="center"/>
                </w:tcPr>
                <w:p w14:paraId="04A82233">
                  <w:pPr>
                    <w:pStyle w:val="80"/>
                    <w:rPr>
                      <w:rFonts w:hint="eastAsia"/>
                      <w:color w:val="auto"/>
                      <w:lang w:val="en-US" w:eastAsia="zh-CN"/>
                    </w:rPr>
                  </w:pPr>
                  <w:r>
                    <w:rPr>
                      <w:rFonts w:hint="eastAsia"/>
                      <w:color w:val="auto"/>
                      <w:lang w:val="en-US" w:eastAsia="zh-CN"/>
                    </w:rPr>
                    <w:t>非过境段</w:t>
                  </w:r>
                  <w:r>
                    <w:rPr>
                      <w:color w:val="auto"/>
                    </w:rPr>
                    <w:t>设计车速</w:t>
                  </w:r>
                </w:p>
              </w:tc>
              <w:tc>
                <w:tcPr>
                  <w:tcW w:w="1387" w:type="pct"/>
                  <w:gridSpan w:val="2"/>
                  <w:tcBorders>
                    <w:tl2br w:val="nil"/>
                    <w:tr2bl w:val="nil"/>
                  </w:tcBorders>
                  <w:shd w:val="clear" w:color="auto" w:fill="auto"/>
                  <w:noWrap w:val="0"/>
                  <w:vAlign w:val="center"/>
                </w:tcPr>
                <w:p w14:paraId="6C5BB02F">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4</w:t>
                  </w:r>
                  <w:r>
                    <w:rPr>
                      <w:color w:val="auto"/>
                    </w:rPr>
                    <w:t>0km/h</w:t>
                  </w:r>
                </w:p>
              </w:tc>
              <w:tc>
                <w:tcPr>
                  <w:tcW w:w="691" w:type="pct"/>
                  <w:tcBorders>
                    <w:tl2br w:val="nil"/>
                    <w:tr2bl w:val="nil"/>
                  </w:tcBorders>
                  <w:shd w:val="clear" w:color="auto" w:fill="auto"/>
                  <w:noWrap w:val="0"/>
                  <w:vAlign w:val="center"/>
                </w:tcPr>
                <w:p w14:paraId="47C05AF4">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4</w:t>
                  </w:r>
                  <w:r>
                    <w:rPr>
                      <w:color w:val="auto"/>
                    </w:rPr>
                    <w:t>0km/h</w:t>
                  </w:r>
                </w:p>
              </w:tc>
              <w:tc>
                <w:tcPr>
                  <w:tcW w:w="830" w:type="pct"/>
                  <w:tcBorders>
                    <w:tl2br w:val="nil"/>
                    <w:tr2bl w:val="nil"/>
                  </w:tcBorders>
                  <w:shd w:val="clear" w:color="auto" w:fill="auto"/>
                  <w:noWrap w:val="0"/>
                  <w:vAlign w:val="center"/>
                </w:tcPr>
                <w:p w14:paraId="0F0D3A02">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4</w:t>
                  </w:r>
                  <w:r>
                    <w:rPr>
                      <w:color w:val="auto"/>
                    </w:rPr>
                    <w:t>0km/h</w:t>
                  </w:r>
                </w:p>
              </w:tc>
              <w:tc>
                <w:tcPr>
                  <w:tcW w:w="788" w:type="pct"/>
                  <w:tcBorders>
                    <w:tl2br w:val="nil"/>
                    <w:tr2bl w:val="nil"/>
                  </w:tcBorders>
                  <w:shd w:val="clear" w:color="auto" w:fill="auto"/>
                  <w:noWrap w:val="0"/>
                  <w:vAlign w:val="center"/>
                </w:tcPr>
                <w:p w14:paraId="2CFE65DD">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不变</w:t>
                  </w:r>
                </w:p>
              </w:tc>
            </w:tr>
            <w:tr w14:paraId="41DAF02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B509D6E">
                  <w:pPr>
                    <w:pStyle w:val="80"/>
                    <w:rPr>
                      <w:color w:val="auto"/>
                    </w:rPr>
                  </w:pPr>
                </w:p>
              </w:tc>
              <w:tc>
                <w:tcPr>
                  <w:tcW w:w="454" w:type="pct"/>
                  <w:vMerge w:val="continue"/>
                  <w:tcBorders>
                    <w:tl2br w:val="nil"/>
                    <w:tr2bl w:val="nil"/>
                  </w:tcBorders>
                  <w:noWrap w:val="0"/>
                  <w:vAlign w:val="center"/>
                </w:tcPr>
                <w:p w14:paraId="1FED0E7E">
                  <w:pPr>
                    <w:pStyle w:val="80"/>
                    <w:rPr>
                      <w:color w:val="auto"/>
                    </w:rPr>
                  </w:pPr>
                </w:p>
              </w:tc>
              <w:tc>
                <w:tcPr>
                  <w:tcW w:w="577" w:type="pct"/>
                  <w:tcBorders>
                    <w:tl2br w:val="nil"/>
                    <w:tr2bl w:val="nil"/>
                  </w:tcBorders>
                  <w:noWrap w:val="0"/>
                  <w:vAlign w:val="center"/>
                </w:tcPr>
                <w:p w14:paraId="24531BBF">
                  <w:pPr>
                    <w:pStyle w:val="80"/>
                    <w:rPr>
                      <w:rFonts w:hint="default"/>
                      <w:color w:val="auto"/>
                      <w:lang w:val="en-US" w:eastAsia="zh-CN"/>
                    </w:rPr>
                  </w:pPr>
                  <w:r>
                    <w:rPr>
                      <w:rFonts w:hint="eastAsia"/>
                      <w:color w:val="auto"/>
                      <w:lang w:val="en-US" w:eastAsia="zh-CN"/>
                    </w:rPr>
                    <w:t>知一镇设计车速</w:t>
                  </w:r>
                </w:p>
              </w:tc>
              <w:tc>
                <w:tcPr>
                  <w:tcW w:w="1387" w:type="pct"/>
                  <w:gridSpan w:val="2"/>
                  <w:tcBorders>
                    <w:tl2br w:val="nil"/>
                    <w:tr2bl w:val="nil"/>
                  </w:tcBorders>
                  <w:shd w:val="clear" w:color="auto" w:fill="auto"/>
                  <w:noWrap w:val="0"/>
                  <w:vAlign w:val="center"/>
                </w:tcPr>
                <w:p w14:paraId="53CEDA7D">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3</w:t>
                  </w:r>
                  <w:r>
                    <w:rPr>
                      <w:color w:val="auto"/>
                    </w:rPr>
                    <w:t>0km/h</w:t>
                  </w:r>
                </w:p>
              </w:tc>
              <w:tc>
                <w:tcPr>
                  <w:tcW w:w="691" w:type="pct"/>
                  <w:tcBorders>
                    <w:tl2br w:val="nil"/>
                    <w:tr2bl w:val="nil"/>
                  </w:tcBorders>
                  <w:shd w:val="clear" w:color="auto" w:fill="auto"/>
                  <w:noWrap w:val="0"/>
                  <w:vAlign w:val="center"/>
                </w:tcPr>
                <w:p w14:paraId="1D62243B">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3</w:t>
                  </w:r>
                  <w:r>
                    <w:rPr>
                      <w:color w:val="auto"/>
                    </w:rPr>
                    <w:t>0km/h</w:t>
                  </w:r>
                </w:p>
              </w:tc>
              <w:tc>
                <w:tcPr>
                  <w:tcW w:w="830" w:type="pct"/>
                  <w:tcBorders>
                    <w:tl2br w:val="nil"/>
                    <w:tr2bl w:val="nil"/>
                  </w:tcBorders>
                  <w:shd w:val="clear" w:color="auto" w:fill="auto"/>
                  <w:noWrap w:val="0"/>
                  <w:vAlign w:val="center"/>
                </w:tcPr>
                <w:p w14:paraId="008552F0">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3</w:t>
                  </w:r>
                  <w:r>
                    <w:rPr>
                      <w:color w:val="auto"/>
                    </w:rPr>
                    <w:t>0km/h</w:t>
                  </w:r>
                </w:p>
              </w:tc>
              <w:tc>
                <w:tcPr>
                  <w:tcW w:w="788" w:type="pct"/>
                  <w:tcBorders>
                    <w:tl2br w:val="nil"/>
                    <w:tr2bl w:val="nil"/>
                  </w:tcBorders>
                  <w:shd w:val="clear" w:color="auto" w:fill="auto"/>
                  <w:noWrap w:val="0"/>
                  <w:vAlign w:val="center"/>
                </w:tcPr>
                <w:p w14:paraId="462B8C3A">
                  <w:pPr>
                    <w:pStyle w:val="80"/>
                    <w:rPr>
                      <w:rFonts w:hint="eastAsia" w:ascii="Times New Roman" w:hAnsi="Times New Roman" w:eastAsia="宋体" w:cs="Times New Roman"/>
                      <w:b w:val="0"/>
                      <w:bCs/>
                      <w:snapToGrid w:val="0"/>
                      <w:color w:val="auto"/>
                      <w:kern w:val="2"/>
                      <w:sz w:val="21"/>
                      <w:szCs w:val="21"/>
                      <w:lang w:val="en-US" w:eastAsia="zh-CN" w:bidi="ar-SA"/>
                    </w:rPr>
                  </w:pPr>
                  <w:r>
                    <w:rPr>
                      <w:rFonts w:hint="eastAsia"/>
                      <w:color w:val="auto"/>
                      <w:lang w:val="en-US" w:eastAsia="zh-CN"/>
                    </w:rPr>
                    <w:t>不变</w:t>
                  </w:r>
                </w:p>
              </w:tc>
            </w:tr>
            <w:tr w14:paraId="5E3BBDC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2B622A07">
                  <w:pPr>
                    <w:pStyle w:val="80"/>
                    <w:rPr>
                      <w:color w:val="auto"/>
                    </w:rPr>
                  </w:pPr>
                </w:p>
              </w:tc>
              <w:tc>
                <w:tcPr>
                  <w:tcW w:w="454" w:type="pct"/>
                  <w:vMerge w:val="continue"/>
                  <w:tcBorders>
                    <w:tl2br w:val="nil"/>
                    <w:tr2bl w:val="nil"/>
                  </w:tcBorders>
                  <w:noWrap w:val="0"/>
                  <w:vAlign w:val="center"/>
                </w:tcPr>
                <w:p w14:paraId="297F15C1">
                  <w:pPr>
                    <w:pStyle w:val="80"/>
                    <w:rPr>
                      <w:color w:val="auto"/>
                    </w:rPr>
                  </w:pPr>
                </w:p>
              </w:tc>
              <w:tc>
                <w:tcPr>
                  <w:tcW w:w="577" w:type="pct"/>
                  <w:tcBorders>
                    <w:tl2br w:val="nil"/>
                    <w:tr2bl w:val="nil"/>
                  </w:tcBorders>
                  <w:noWrap w:val="0"/>
                  <w:vAlign w:val="center"/>
                </w:tcPr>
                <w:p w14:paraId="642C9192">
                  <w:pPr>
                    <w:pStyle w:val="80"/>
                    <w:rPr>
                      <w:rFonts w:hint="eastAsia"/>
                      <w:color w:val="auto"/>
                    </w:rPr>
                  </w:pPr>
                  <w:r>
                    <w:rPr>
                      <w:color w:val="auto"/>
                    </w:rPr>
                    <w:t>路面结构</w:t>
                  </w:r>
                </w:p>
              </w:tc>
              <w:tc>
                <w:tcPr>
                  <w:tcW w:w="1387" w:type="pct"/>
                  <w:gridSpan w:val="2"/>
                  <w:tcBorders>
                    <w:tl2br w:val="nil"/>
                    <w:tr2bl w:val="nil"/>
                  </w:tcBorders>
                  <w:noWrap w:val="0"/>
                  <w:vAlign w:val="center"/>
                </w:tcPr>
                <w:p w14:paraId="07F31B41">
                  <w:pPr>
                    <w:pStyle w:val="80"/>
                    <w:rPr>
                      <w:rFonts w:hint="eastAsia"/>
                      <w:color w:val="auto"/>
                    </w:rPr>
                  </w:pPr>
                  <w:r>
                    <w:rPr>
                      <w:rFonts w:hint="eastAsia"/>
                      <w:color w:val="auto"/>
                    </w:rPr>
                    <w:t>水泥混凝土路面</w:t>
                  </w:r>
                </w:p>
              </w:tc>
              <w:tc>
                <w:tcPr>
                  <w:tcW w:w="1521" w:type="pct"/>
                  <w:gridSpan w:val="2"/>
                  <w:tcBorders>
                    <w:tl2br w:val="nil"/>
                    <w:tr2bl w:val="nil"/>
                  </w:tcBorders>
                  <w:noWrap w:val="0"/>
                  <w:vAlign w:val="center"/>
                </w:tcPr>
                <w:p w14:paraId="26348BD5">
                  <w:pPr>
                    <w:pStyle w:val="80"/>
                    <w:rPr>
                      <w:color w:val="auto"/>
                    </w:rPr>
                  </w:pPr>
                  <w:r>
                    <w:rPr>
                      <w:rFonts w:hint="eastAsia"/>
                      <w:color w:val="auto"/>
                    </w:rPr>
                    <w:t>沥青混凝土路面</w:t>
                  </w:r>
                </w:p>
              </w:tc>
              <w:tc>
                <w:tcPr>
                  <w:tcW w:w="788" w:type="pct"/>
                  <w:tcBorders>
                    <w:tl2br w:val="nil"/>
                    <w:tr2bl w:val="nil"/>
                  </w:tcBorders>
                  <w:noWrap w:val="0"/>
                  <w:vAlign w:val="center"/>
                </w:tcPr>
                <w:p w14:paraId="1085F0F3">
                  <w:pPr>
                    <w:pStyle w:val="80"/>
                    <w:rPr>
                      <w:rFonts w:hint="default" w:eastAsia="宋体"/>
                      <w:color w:val="auto"/>
                      <w:lang w:val="en-US" w:eastAsia="zh-CN"/>
                    </w:rPr>
                  </w:pPr>
                  <w:r>
                    <w:rPr>
                      <w:rFonts w:hint="eastAsia"/>
                      <w:color w:val="auto"/>
                      <w:lang w:val="en-US" w:eastAsia="zh-CN"/>
                    </w:rPr>
                    <w:t>改造路面</w:t>
                  </w:r>
                </w:p>
              </w:tc>
            </w:tr>
            <w:tr w14:paraId="0F37676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540CF0C3">
                  <w:pPr>
                    <w:pStyle w:val="80"/>
                    <w:rPr>
                      <w:color w:val="auto"/>
                    </w:rPr>
                  </w:pPr>
                </w:p>
              </w:tc>
              <w:tc>
                <w:tcPr>
                  <w:tcW w:w="454" w:type="pct"/>
                  <w:vMerge w:val="restart"/>
                  <w:tcBorders>
                    <w:tl2br w:val="nil"/>
                    <w:tr2bl w:val="nil"/>
                  </w:tcBorders>
                  <w:noWrap w:val="0"/>
                  <w:vAlign w:val="center"/>
                </w:tcPr>
                <w:p w14:paraId="5CAC787C">
                  <w:pPr>
                    <w:pStyle w:val="80"/>
                    <w:rPr>
                      <w:rFonts w:hint="eastAsia"/>
                      <w:color w:val="auto"/>
                    </w:rPr>
                  </w:pPr>
                  <w:r>
                    <w:rPr>
                      <w:rFonts w:hint="eastAsia"/>
                      <w:color w:val="auto"/>
                    </w:rPr>
                    <w:t>桥</w:t>
                  </w:r>
                  <w:r>
                    <w:rPr>
                      <w:color w:val="auto"/>
                    </w:rPr>
                    <w:t>涵</w:t>
                  </w:r>
                  <w:r>
                    <w:rPr>
                      <w:rFonts w:hint="eastAsia"/>
                      <w:color w:val="auto"/>
                    </w:rPr>
                    <w:t>工程</w:t>
                  </w:r>
                </w:p>
              </w:tc>
              <w:tc>
                <w:tcPr>
                  <w:tcW w:w="577" w:type="pct"/>
                  <w:tcBorders>
                    <w:tl2br w:val="nil"/>
                    <w:tr2bl w:val="nil"/>
                  </w:tcBorders>
                  <w:noWrap w:val="0"/>
                  <w:vAlign w:val="center"/>
                </w:tcPr>
                <w:p w14:paraId="023E5E7B">
                  <w:pPr>
                    <w:pStyle w:val="80"/>
                    <w:rPr>
                      <w:color w:val="auto"/>
                    </w:rPr>
                  </w:pPr>
                  <w:r>
                    <w:rPr>
                      <w:rFonts w:hint="eastAsia"/>
                      <w:color w:val="auto"/>
                    </w:rPr>
                    <w:t>桥梁</w:t>
                  </w:r>
                </w:p>
              </w:tc>
              <w:tc>
                <w:tcPr>
                  <w:tcW w:w="2908" w:type="pct"/>
                  <w:gridSpan w:val="4"/>
                  <w:tcBorders>
                    <w:tl2br w:val="nil"/>
                    <w:tr2bl w:val="nil"/>
                  </w:tcBorders>
                  <w:noWrap w:val="0"/>
                  <w:vAlign w:val="center"/>
                </w:tcPr>
                <w:p w14:paraId="78D38840">
                  <w:pPr>
                    <w:pStyle w:val="80"/>
                    <w:outlineLvl w:val="9"/>
                    <w:rPr>
                      <w:rFonts w:hint="eastAsia" w:eastAsia="宋体"/>
                      <w:b w:val="0"/>
                      <w:bCs/>
                      <w:color w:val="auto"/>
                    </w:rPr>
                  </w:pPr>
                  <w:r>
                    <w:rPr>
                      <w:rFonts w:hint="eastAsia" w:eastAsia="宋体"/>
                      <w:b w:val="0"/>
                      <w:bCs/>
                      <w:color w:val="auto"/>
                    </w:rPr>
                    <w:t>维修桥梁945m/11座，其中维修利用大桥607.5m/1座，维修利用中桥137.8m/2座，维修利用小桥199.7m/8座，完全利用大桥1座。</w:t>
                  </w:r>
                </w:p>
              </w:tc>
              <w:tc>
                <w:tcPr>
                  <w:tcW w:w="788" w:type="pct"/>
                  <w:tcBorders>
                    <w:tl2br w:val="nil"/>
                    <w:tr2bl w:val="nil"/>
                  </w:tcBorders>
                  <w:noWrap w:val="0"/>
                  <w:vAlign w:val="center"/>
                </w:tcPr>
                <w:p w14:paraId="250B6B8B">
                  <w:pPr>
                    <w:pStyle w:val="80"/>
                    <w:outlineLvl w:val="9"/>
                    <w:rPr>
                      <w:rFonts w:hint="default" w:eastAsia="宋体"/>
                      <w:b w:val="0"/>
                      <w:bCs/>
                      <w:color w:val="auto"/>
                      <w:lang w:val="en-US" w:eastAsia="zh-CN"/>
                    </w:rPr>
                  </w:pPr>
                  <w:r>
                    <w:rPr>
                      <w:rFonts w:hint="eastAsia" w:eastAsia="宋体"/>
                      <w:b w:val="0"/>
                      <w:bCs/>
                      <w:color w:val="auto"/>
                      <w:lang w:val="en-US" w:eastAsia="zh-CN"/>
                    </w:rPr>
                    <w:t>维修桥梁</w:t>
                  </w:r>
                </w:p>
              </w:tc>
            </w:tr>
            <w:tr w14:paraId="4D1C9F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19B3F406">
                  <w:pPr>
                    <w:pStyle w:val="80"/>
                    <w:rPr>
                      <w:color w:val="auto"/>
                    </w:rPr>
                  </w:pPr>
                </w:p>
              </w:tc>
              <w:tc>
                <w:tcPr>
                  <w:tcW w:w="454" w:type="pct"/>
                  <w:vMerge w:val="continue"/>
                  <w:tcBorders>
                    <w:tl2br w:val="nil"/>
                    <w:tr2bl w:val="nil"/>
                  </w:tcBorders>
                  <w:noWrap w:val="0"/>
                  <w:vAlign w:val="center"/>
                </w:tcPr>
                <w:p w14:paraId="41F51636">
                  <w:pPr>
                    <w:pStyle w:val="80"/>
                    <w:rPr>
                      <w:rFonts w:hint="eastAsia"/>
                      <w:color w:val="auto"/>
                    </w:rPr>
                  </w:pPr>
                </w:p>
              </w:tc>
              <w:tc>
                <w:tcPr>
                  <w:tcW w:w="577" w:type="pct"/>
                  <w:tcBorders>
                    <w:tl2br w:val="nil"/>
                    <w:tr2bl w:val="nil"/>
                  </w:tcBorders>
                  <w:noWrap w:val="0"/>
                  <w:vAlign w:val="center"/>
                </w:tcPr>
                <w:p w14:paraId="1B8B4784">
                  <w:pPr>
                    <w:pStyle w:val="80"/>
                    <w:rPr>
                      <w:color w:val="auto"/>
                    </w:rPr>
                  </w:pPr>
                  <w:r>
                    <w:rPr>
                      <w:color w:val="auto"/>
                    </w:rPr>
                    <w:t>涵洞</w:t>
                  </w:r>
                </w:p>
              </w:tc>
              <w:tc>
                <w:tcPr>
                  <w:tcW w:w="2908" w:type="pct"/>
                  <w:gridSpan w:val="4"/>
                  <w:tcBorders>
                    <w:tl2br w:val="nil"/>
                    <w:tr2bl w:val="nil"/>
                  </w:tcBorders>
                  <w:noWrap w:val="0"/>
                  <w:vAlign w:val="center"/>
                </w:tcPr>
                <w:p w14:paraId="38E96584">
                  <w:pPr>
                    <w:pStyle w:val="80"/>
                    <w:outlineLvl w:val="9"/>
                    <w:rPr>
                      <w:rFonts w:hint="eastAsia" w:eastAsia="宋体"/>
                      <w:b w:val="0"/>
                      <w:bCs/>
                      <w:color w:val="auto"/>
                      <w:lang w:val="en-US" w:eastAsia="zh-CN"/>
                    </w:rPr>
                  </w:pPr>
                  <w:r>
                    <w:rPr>
                      <w:rFonts w:hint="eastAsia" w:eastAsia="宋体"/>
                      <w:b w:val="0"/>
                      <w:bCs/>
                      <w:color w:val="auto"/>
                    </w:rPr>
                    <w:t>涵洞共计48道（拆除新建4道，维修利用16道，完全利用28道）</w:t>
                  </w:r>
                  <w:r>
                    <w:rPr>
                      <w:rFonts w:hint="eastAsia" w:eastAsia="宋体"/>
                      <w:b w:val="0"/>
                      <w:bCs/>
                      <w:color w:val="auto"/>
                      <w:lang w:eastAsia="zh-CN"/>
                    </w:rPr>
                    <w:t>。</w:t>
                  </w:r>
                </w:p>
              </w:tc>
              <w:tc>
                <w:tcPr>
                  <w:tcW w:w="788" w:type="pct"/>
                  <w:tcBorders>
                    <w:tl2br w:val="nil"/>
                    <w:tr2bl w:val="nil"/>
                  </w:tcBorders>
                  <w:noWrap w:val="0"/>
                  <w:vAlign w:val="center"/>
                </w:tcPr>
                <w:p w14:paraId="77914E47">
                  <w:pPr>
                    <w:pStyle w:val="80"/>
                    <w:outlineLvl w:val="9"/>
                    <w:rPr>
                      <w:rFonts w:hint="default" w:eastAsia="宋体"/>
                      <w:b w:val="0"/>
                      <w:bCs/>
                      <w:color w:val="auto"/>
                      <w:lang w:val="en-US" w:eastAsia="zh-CN"/>
                    </w:rPr>
                  </w:pPr>
                  <w:r>
                    <w:rPr>
                      <w:rFonts w:hint="eastAsia" w:eastAsia="宋体"/>
                      <w:b w:val="0"/>
                      <w:bCs/>
                      <w:color w:val="auto"/>
                      <w:lang w:val="en-US" w:eastAsia="zh-CN"/>
                    </w:rPr>
                    <w:t>拆除新建/维修涵洞</w:t>
                  </w:r>
                </w:p>
              </w:tc>
            </w:tr>
            <w:tr w14:paraId="31A70DA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5F84ADA6">
                  <w:pPr>
                    <w:pStyle w:val="80"/>
                    <w:rPr>
                      <w:color w:val="auto"/>
                    </w:rPr>
                  </w:pPr>
                </w:p>
              </w:tc>
              <w:tc>
                <w:tcPr>
                  <w:tcW w:w="454" w:type="pct"/>
                  <w:tcBorders>
                    <w:tl2br w:val="nil"/>
                    <w:tr2bl w:val="nil"/>
                  </w:tcBorders>
                  <w:noWrap w:val="0"/>
                  <w:vAlign w:val="center"/>
                </w:tcPr>
                <w:p w14:paraId="55126F68">
                  <w:pPr>
                    <w:pStyle w:val="80"/>
                    <w:rPr>
                      <w:rFonts w:hint="eastAsia"/>
                      <w:color w:val="auto"/>
                    </w:rPr>
                  </w:pPr>
                  <w:r>
                    <w:rPr>
                      <w:color w:val="auto"/>
                    </w:rPr>
                    <w:t>交叉</w:t>
                  </w:r>
                  <w:r>
                    <w:rPr>
                      <w:rFonts w:hint="eastAsia"/>
                      <w:color w:val="auto"/>
                    </w:rPr>
                    <w:t>工程</w:t>
                  </w:r>
                </w:p>
              </w:tc>
              <w:tc>
                <w:tcPr>
                  <w:tcW w:w="577" w:type="pct"/>
                  <w:tcBorders>
                    <w:tl2br w:val="nil"/>
                    <w:tr2bl w:val="nil"/>
                  </w:tcBorders>
                  <w:noWrap w:val="0"/>
                  <w:vAlign w:val="center"/>
                </w:tcPr>
                <w:p w14:paraId="1465CCF2">
                  <w:pPr>
                    <w:pStyle w:val="80"/>
                    <w:rPr>
                      <w:color w:val="auto"/>
                    </w:rPr>
                  </w:pPr>
                  <w:r>
                    <w:rPr>
                      <w:rFonts w:hint="eastAsia"/>
                      <w:color w:val="auto"/>
                    </w:rPr>
                    <w:t>平面交叉</w:t>
                  </w:r>
                </w:p>
              </w:tc>
              <w:tc>
                <w:tcPr>
                  <w:tcW w:w="2908" w:type="pct"/>
                  <w:gridSpan w:val="4"/>
                  <w:tcBorders>
                    <w:tl2br w:val="nil"/>
                    <w:tr2bl w:val="nil"/>
                  </w:tcBorders>
                  <w:noWrap w:val="0"/>
                  <w:vAlign w:val="center"/>
                </w:tcPr>
                <w:p w14:paraId="108581D0">
                  <w:pPr>
                    <w:pStyle w:val="80"/>
                    <w:outlineLvl w:val="9"/>
                    <w:rPr>
                      <w:rFonts w:hint="eastAsia" w:eastAsia="宋体"/>
                      <w:b w:val="0"/>
                      <w:bCs/>
                      <w:color w:val="auto"/>
                    </w:rPr>
                  </w:pPr>
                  <w:r>
                    <w:rPr>
                      <w:rFonts w:hint="eastAsia" w:eastAsia="宋体"/>
                      <w:b w:val="0"/>
                      <w:bCs/>
                      <w:color w:val="auto"/>
                    </w:rPr>
                    <w:t>平面交叉58处，其中：与三级路交叉1处，与四级公路交叉10处，与等外道路交叉47处。</w:t>
                  </w:r>
                </w:p>
              </w:tc>
              <w:tc>
                <w:tcPr>
                  <w:tcW w:w="788" w:type="pct"/>
                  <w:tcBorders>
                    <w:tl2br w:val="nil"/>
                    <w:tr2bl w:val="nil"/>
                  </w:tcBorders>
                  <w:noWrap w:val="0"/>
                  <w:vAlign w:val="center"/>
                </w:tcPr>
                <w:p w14:paraId="427EAE8A">
                  <w:pPr>
                    <w:pStyle w:val="80"/>
                    <w:outlineLvl w:val="9"/>
                    <w:rPr>
                      <w:rFonts w:hint="eastAsia" w:eastAsia="宋体"/>
                      <w:b w:val="0"/>
                      <w:bCs/>
                      <w:color w:val="auto"/>
                      <w:lang w:eastAsia="zh-CN"/>
                    </w:rPr>
                  </w:pPr>
                  <w:r>
                    <w:rPr>
                      <w:rFonts w:hint="eastAsia" w:eastAsia="宋体"/>
                      <w:b w:val="0"/>
                      <w:bCs/>
                      <w:color w:val="auto"/>
                      <w:lang w:val="en-US" w:eastAsia="zh-CN"/>
                    </w:rPr>
                    <w:t>不变</w:t>
                  </w:r>
                </w:p>
              </w:tc>
            </w:tr>
            <w:tr w14:paraId="54C31A3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tcBorders>
                    <w:tl2br w:val="nil"/>
                    <w:tr2bl w:val="nil"/>
                  </w:tcBorders>
                  <w:noWrap w:val="0"/>
                  <w:vAlign w:val="center"/>
                </w:tcPr>
                <w:p w14:paraId="073CD7B7">
                  <w:pPr>
                    <w:pStyle w:val="80"/>
                    <w:rPr>
                      <w:color w:val="auto"/>
                    </w:rPr>
                  </w:pPr>
                  <w:r>
                    <w:rPr>
                      <w:rFonts w:hint="eastAsia"/>
                      <w:color w:val="auto"/>
                    </w:rPr>
                    <w:t>附属工程</w:t>
                  </w:r>
                </w:p>
              </w:tc>
              <w:tc>
                <w:tcPr>
                  <w:tcW w:w="1032" w:type="pct"/>
                  <w:gridSpan w:val="2"/>
                  <w:tcBorders>
                    <w:tl2br w:val="nil"/>
                    <w:tr2bl w:val="nil"/>
                  </w:tcBorders>
                  <w:noWrap w:val="0"/>
                  <w:vAlign w:val="center"/>
                </w:tcPr>
                <w:p w14:paraId="700EDA8D">
                  <w:pPr>
                    <w:pStyle w:val="80"/>
                    <w:rPr>
                      <w:color w:val="auto"/>
                    </w:rPr>
                  </w:pPr>
                  <w:r>
                    <w:rPr>
                      <w:rFonts w:hint="eastAsia"/>
                      <w:color w:val="auto"/>
                    </w:rPr>
                    <w:t>养护道班</w:t>
                  </w:r>
                </w:p>
              </w:tc>
              <w:tc>
                <w:tcPr>
                  <w:tcW w:w="3696" w:type="pct"/>
                  <w:gridSpan w:val="5"/>
                  <w:tcBorders>
                    <w:tl2br w:val="nil"/>
                    <w:tr2bl w:val="nil"/>
                  </w:tcBorders>
                  <w:noWrap w:val="0"/>
                  <w:vAlign w:val="center"/>
                </w:tcPr>
                <w:p w14:paraId="007511BA">
                  <w:pPr>
                    <w:pStyle w:val="80"/>
                    <w:outlineLvl w:val="9"/>
                    <w:rPr>
                      <w:rFonts w:hint="default" w:eastAsia="宋体"/>
                      <w:b w:val="0"/>
                      <w:bCs/>
                      <w:color w:val="auto"/>
                      <w:lang w:val="en-US" w:eastAsia="zh-CN"/>
                    </w:rPr>
                  </w:pPr>
                  <w:r>
                    <w:rPr>
                      <w:rFonts w:hint="eastAsia" w:eastAsia="宋体"/>
                      <w:b w:val="0"/>
                      <w:bCs/>
                      <w:color w:val="auto"/>
                    </w:rPr>
                    <w:t>维修道班场区路面2处</w:t>
                  </w:r>
                  <w:r>
                    <w:rPr>
                      <w:rFonts w:hint="eastAsia"/>
                      <w:b w:val="0"/>
                      <w:bCs/>
                      <w:color w:val="auto"/>
                      <w:lang w:eastAsia="zh-CN"/>
                    </w:rPr>
                    <w:t>。</w:t>
                  </w:r>
                  <w:r>
                    <w:rPr>
                      <w:rFonts w:hint="eastAsia"/>
                      <w:b w:val="0"/>
                      <w:bCs/>
                      <w:color w:val="auto"/>
                      <w:lang w:val="en-US" w:eastAsia="zh-CN"/>
                    </w:rPr>
                    <w:t>养护道班采用电采暖。生活污水进入化粪池，定期清掏堆肥。</w:t>
                  </w:r>
                </w:p>
              </w:tc>
            </w:tr>
            <w:tr w14:paraId="39A5DA3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7" w:hRule="atLeast"/>
              </w:trPr>
              <w:tc>
                <w:tcPr>
                  <w:tcW w:w="270" w:type="pct"/>
                  <w:vMerge w:val="continue"/>
                  <w:tcBorders>
                    <w:tl2br w:val="nil"/>
                    <w:tr2bl w:val="nil"/>
                  </w:tcBorders>
                  <w:noWrap w:val="0"/>
                  <w:vAlign w:val="center"/>
                </w:tcPr>
                <w:p w14:paraId="680E8CC5">
                  <w:pPr>
                    <w:pStyle w:val="80"/>
                    <w:rPr>
                      <w:rFonts w:hint="eastAsia"/>
                      <w:color w:val="auto"/>
                    </w:rPr>
                  </w:pPr>
                </w:p>
              </w:tc>
              <w:tc>
                <w:tcPr>
                  <w:tcW w:w="1032" w:type="pct"/>
                  <w:gridSpan w:val="2"/>
                  <w:tcBorders>
                    <w:tl2br w:val="nil"/>
                    <w:tr2bl w:val="nil"/>
                  </w:tcBorders>
                  <w:noWrap w:val="0"/>
                  <w:vAlign w:val="center"/>
                </w:tcPr>
                <w:p w14:paraId="481050AB">
                  <w:pPr>
                    <w:pStyle w:val="80"/>
                    <w:rPr>
                      <w:rFonts w:hint="eastAsia"/>
                      <w:color w:val="auto"/>
                    </w:rPr>
                  </w:pPr>
                  <w:r>
                    <w:rPr>
                      <w:rFonts w:hint="eastAsia"/>
                      <w:color w:val="auto"/>
                    </w:rPr>
                    <w:t>港湾式公共汽车停靠站</w:t>
                  </w:r>
                </w:p>
              </w:tc>
              <w:tc>
                <w:tcPr>
                  <w:tcW w:w="3696" w:type="pct"/>
                  <w:gridSpan w:val="5"/>
                  <w:tcBorders>
                    <w:tl2br w:val="nil"/>
                    <w:tr2bl w:val="nil"/>
                  </w:tcBorders>
                  <w:noWrap w:val="0"/>
                  <w:vAlign w:val="center"/>
                </w:tcPr>
                <w:p w14:paraId="27E23A1C">
                  <w:pPr>
                    <w:pStyle w:val="80"/>
                    <w:outlineLvl w:val="9"/>
                    <w:rPr>
                      <w:rFonts w:hint="eastAsia" w:eastAsia="宋体"/>
                      <w:b w:val="0"/>
                      <w:bCs/>
                      <w:color w:val="auto"/>
                    </w:rPr>
                  </w:pPr>
                  <w:r>
                    <w:rPr>
                      <w:rFonts w:hint="eastAsia" w:eastAsia="宋体"/>
                      <w:b w:val="0"/>
                      <w:bCs/>
                      <w:color w:val="auto"/>
                    </w:rPr>
                    <w:t>更换停靠站雨棚10个。</w:t>
                  </w:r>
                </w:p>
              </w:tc>
            </w:tr>
            <w:tr w14:paraId="0CC8E82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4524B5CA">
                  <w:pPr>
                    <w:pStyle w:val="80"/>
                    <w:rPr>
                      <w:rFonts w:hint="eastAsia"/>
                      <w:color w:val="auto"/>
                    </w:rPr>
                  </w:pPr>
                </w:p>
              </w:tc>
              <w:tc>
                <w:tcPr>
                  <w:tcW w:w="1032" w:type="pct"/>
                  <w:gridSpan w:val="2"/>
                  <w:tcBorders>
                    <w:tl2br w:val="nil"/>
                    <w:tr2bl w:val="nil"/>
                  </w:tcBorders>
                  <w:noWrap w:val="0"/>
                  <w:vAlign w:val="center"/>
                </w:tcPr>
                <w:p w14:paraId="1C0BB4B3">
                  <w:pPr>
                    <w:pStyle w:val="80"/>
                    <w:rPr>
                      <w:rFonts w:hint="eastAsia"/>
                      <w:color w:val="auto"/>
                    </w:rPr>
                  </w:pPr>
                  <w:r>
                    <w:rPr>
                      <w:color w:val="auto"/>
                    </w:rPr>
                    <w:t>限速工程</w:t>
                  </w:r>
                </w:p>
              </w:tc>
              <w:tc>
                <w:tcPr>
                  <w:tcW w:w="3696" w:type="pct"/>
                  <w:gridSpan w:val="5"/>
                  <w:tcBorders>
                    <w:tl2br w:val="nil"/>
                    <w:tr2bl w:val="nil"/>
                  </w:tcBorders>
                  <w:noWrap w:val="0"/>
                  <w:vAlign w:val="center"/>
                </w:tcPr>
                <w:p w14:paraId="1D778A5B">
                  <w:pPr>
                    <w:pStyle w:val="80"/>
                    <w:rPr>
                      <w:rFonts w:hint="eastAsia"/>
                      <w:color w:val="auto"/>
                    </w:rPr>
                  </w:pPr>
                  <w:r>
                    <w:rPr>
                      <w:rFonts w:hint="eastAsia" w:eastAsia="宋体"/>
                      <w:b w:val="0"/>
                      <w:bCs/>
                      <w:color w:val="auto"/>
                    </w:rPr>
                    <w:t>K377+450～K380+800知一镇段</w:t>
                  </w:r>
                  <w:r>
                    <w:rPr>
                      <w:rFonts w:hint="eastAsia" w:eastAsia="宋体"/>
                      <w:b w:val="0"/>
                      <w:bCs/>
                      <w:color w:val="auto"/>
                      <w:lang w:val="en-US" w:eastAsia="zh-CN"/>
                    </w:rPr>
                    <w:t>限速</w:t>
                  </w:r>
                  <w:r>
                    <w:rPr>
                      <w:rFonts w:hint="eastAsia" w:eastAsia="宋体"/>
                      <w:b w:val="0"/>
                      <w:bCs/>
                      <w:color w:val="auto"/>
                    </w:rPr>
                    <w:t>30km/h段、</w:t>
                  </w:r>
                  <w:r>
                    <w:rPr>
                      <w:rFonts w:hint="eastAsia"/>
                      <w:color w:val="auto"/>
                      <w:lang w:val="en-US" w:eastAsia="zh-CN"/>
                    </w:rPr>
                    <w:t>其余过境路段</w:t>
                  </w:r>
                  <w:r>
                    <w:rPr>
                      <w:rFonts w:hint="eastAsia"/>
                      <w:color w:val="auto"/>
                    </w:rPr>
                    <w:t>限速40km/h。</w:t>
                  </w:r>
                </w:p>
              </w:tc>
            </w:tr>
            <w:tr w14:paraId="67DDC69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16174DFE">
                  <w:pPr>
                    <w:pStyle w:val="80"/>
                    <w:rPr>
                      <w:color w:val="auto"/>
                    </w:rPr>
                  </w:pPr>
                </w:p>
              </w:tc>
              <w:tc>
                <w:tcPr>
                  <w:tcW w:w="1032" w:type="pct"/>
                  <w:gridSpan w:val="2"/>
                  <w:tcBorders>
                    <w:tl2br w:val="nil"/>
                    <w:tr2bl w:val="nil"/>
                  </w:tcBorders>
                  <w:noWrap w:val="0"/>
                  <w:vAlign w:val="center"/>
                </w:tcPr>
                <w:p w14:paraId="28C63C9B">
                  <w:pPr>
                    <w:pStyle w:val="80"/>
                    <w:rPr>
                      <w:rFonts w:hint="eastAsia"/>
                      <w:color w:val="auto"/>
                    </w:rPr>
                  </w:pPr>
                  <w:r>
                    <w:rPr>
                      <w:rFonts w:hint="eastAsia"/>
                      <w:color w:val="auto"/>
                    </w:rPr>
                    <w:t>绿化工程</w:t>
                  </w:r>
                </w:p>
              </w:tc>
              <w:tc>
                <w:tcPr>
                  <w:tcW w:w="3696" w:type="pct"/>
                  <w:gridSpan w:val="5"/>
                  <w:tcBorders>
                    <w:tl2br w:val="nil"/>
                    <w:tr2bl w:val="nil"/>
                  </w:tcBorders>
                  <w:noWrap w:val="0"/>
                  <w:vAlign w:val="center"/>
                </w:tcPr>
                <w:p w14:paraId="6F10EE6B">
                  <w:pPr>
                    <w:pStyle w:val="80"/>
                    <w:rPr>
                      <w:rFonts w:hint="eastAsia"/>
                      <w:color w:val="auto"/>
                    </w:rPr>
                  </w:pPr>
                  <w:r>
                    <w:rPr>
                      <w:color w:val="auto"/>
                    </w:rPr>
                    <w:t>养护道班空闲地进行绿化</w:t>
                  </w:r>
                </w:p>
              </w:tc>
            </w:tr>
            <w:tr w14:paraId="6A8A95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tcBorders>
                    <w:tl2br w:val="nil"/>
                    <w:tr2bl w:val="nil"/>
                  </w:tcBorders>
                  <w:noWrap w:val="0"/>
                  <w:vAlign w:val="center"/>
                </w:tcPr>
                <w:p w14:paraId="555AA625">
                  <w:pPr>
                    <w:pStyle w:val="80"/>
                    <w:rPr>
                      <w:color w:val="auto"/>
                    </w:rPr>
                  </w:pPr>
                  <w:r>
                    <w:rPr>
                      <w:color w:val="auto"/>
                    </w:rPr>
                    <w:t>辅助工程</w:t>
                  </w:r>
                </w:p>
              </w:tc>
              <w:tc>
                <w:tcPr>
                  <w:tcW w:w="1032" w:type="pct"/>
                  <w:gridSpan w:val="2"/>
                  <w:tcBorders>
                    <w:tl2br w:val="nil"/>
                    <w:tr2bl w:val="nil"/>
                  </w:tcBorders>
                  <w:noWrap w:val="0"/>
                  <w:vAlign w:val="center"/>
                </w:tcPr>
                <w:p w14:paraId="2A4BEA90">
                  <w:pPr>
                    <w:pStyle w:val="80"/>
                    <w:rPr>
                      <w:color w:val="auto"/>
                    </w:rPr>
                  </w:pPr>
                  <w:r>
                    <w:rPr>
                      <w:color w:val="auto"/>
                    </w:rPr>
                    <w:t>永久占地</w:t>
                  </w:r>
                </w:p>
              </w:tc>
              <w:tc>
                <w:tcPr>
                  <w:tcW w:w="3696" w:type="pct"/>
                  <w:gridSpan w:val="5"/>
                  <w:tcBorders>
                    <w:tl2br w:val="nil"/>
                    <w:tr2bl w:val="nil"/>
                  </w:tcBorders>
                  <w:noWrap w:val="0"/>
                  <w:vAlign w:val="center"/>
                </w:tcPr>
                <w:p w14:paraId="573DFCC4">
                  <w:pPr>
                    <w:pStyle w:val="80"/>
                    <w:rPr>
                      <w:color w:val="auto"/>
                    </w:rPr>
                  </w:pPr>
                  <w:r>
                    <w:rPr>
                      <w:rFonts w:hint="eastAsia"/>
                      <w:color w:val="auto"/>
                    </w:rPr>
                    <w:t>本项目</w:t>
                  </w:r>
                  <w:r>
                    <w:rPr>
                      <w:rFonts w:hint="eastAsia"/>
                      <w:color w:val="auto"/>
                      <w:lang w:val="en-US" w:eastAsia="zh-CN"/>
                    </w:rPr>
                    <w:t>无新增永久</w:t>
                  </w:r>
                  <w:r>
                    <w:rPr>
                      <w:rFonts w:hint="eastAsia"/>
                      <w:color w:val="auto"/>
                    </w:rPr>
                    <w:t>占地</w:t>
                  </w:r>
                  <w:r>
                    <w:rPr>
                      <w:rFonts w:hint="eastAsia"/>
                      <w:color w:val="auto"/>
                      <w:lang w:eastAsia="zh-CN"/>
                    </w:rPr>
                    <w:t>，</w:t>
                  </w:r>
                  <w:r>
                    <w:rPr>
                      <w:rFonts w:hint="eastAsia"/>
                      <w:color w:val="auto"/>
                      <w:lang w:val="en-US" w:eastAsia="zh-CN"/>
                    </w:rPr>
                    <w:t>主要对现有道路改造，现有道路永久占地面积为534753.5m</w:t>
                  </w:r>
                  <w:r>
                    <w:rPr>
                      <w:rFonts w:hint="eastAsia"/>
                      <w:color w:val="auto"/>
                      <w:vertAlign w:val="superscript"/>
                      <w:lang w:val="en-US" w:eastAsia="zh-CN"/>
                    </w:rPr>
                    <w:t>2</w:t>
                  </w:r>
                  <w:r>
                    <w:rPr>
                      <w:rFonts w:hint="eastAsia"/>
                      <w:color w:val="auto"/>
                    </w:rPr>
                    <w:t>。</w:t>
                  </w:r>
                </w:p>
              </w:tc>
            </w:tr>
            <w:tr w14:paraId="1216F35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0BD2D982">
                  <w:pPr>
                    <w:pStyle w:val="80"/>
                    <w:rPr>
                      <w:color w:val="auto"/>
                    </w:rPr>
                  </w:pPr>
                </w:p>
              </w:tc>
              <w:tc>
                <w:tcPr>
                  <w:tcW w:w="454" w:type="pct"/>
                  <w:vMerge w:val="restart"/>
                  <w:tcBorders>
                    <w:tl2br w:val="nil"/>
                    <w:tr2bl w:val="nil"/>
                  </w:tcBorders>
                  <w:noWrap w:val="0"/>
                  <w:vAlign w:val="center"/>
                </w:tcPr>
                <w:p w14:paraId="5D92BCAD">
                  <w:pPr>
                    <w:pStyle w:val="80"/>
                    <w:rPr>
                      <w:color w:val="auto"/>
                      <w:highlight w:val="yellow"/>
                    </w:rPr>
                  </w:pPr>
                  <w:r>
                    <w:rPr>
                      <w:color w:val="auto"/>
                    </w:rPr>
                    <w:t>临时工程</w:t>
                  </w:r>
                </w:p>
              </w:tc>
              <w:tc>
                <w:tcPr>
                  <w:tcW w:w="577" w:type="pct"/>
                  <w:tcBorders>
                    <w:tl2br w:val="nil"/>
                    <w:tr2bl w:val="nil"/>
                  </w:tcBorders>
                  <w:noWrap w:val="0"/>
                  <w:vAlign w:val="center"/>
                </w:tcPr>
                <w:p w14:paraId="2EB6E480">
                  <w:pPr>
                    <w:pStyle w:val="80"/>
                    <w:rPr>
                      <w:rFonts w:hint="eastAsia"/>
                      <w:color w:val="auto"/>
                    </w:rPr>
                  </w:pPr>
                  <w:r>
                    <w:rPr>
                      <w:color w:val="auto"/>
                    </w:rPr>
                    <w:t>施工驻地</w:t>
                  </w:r>
                </w:p>
              </w:tc>
              <w:tc>
                <w:tcPr>
                  <w:tcW w:w="3696" w:type="pct"/>
                  <w:gridSpan w:val="5"/>
                  <w:tcBorders>
                    <w:tl2br w:val="nil"/>
                    <w:tr2bl w:val="nil"/>
                  </w:tcBorders>
                  <w:noWrap w:val="0"/>
                  <w:vAlign w:val="center"/>
                </w:tcPr>
                <w:p w14:paraId="6FF33D7B">
                  <w:pPr>
                    <w:pStyle w:val="80"/>
                    <w:rPr>
                      <w:rFonts w:hint="default" w:eastAsia="宋体"/>
                      <w:color w:val="auto"/>
                      <w:lang w:val="en-US" w:eastAsia="zh-CN"/>
                    </w:rPr>
                  </w:pPr>
                  <w:r>
                    <w:rPr>
                      <w:rFonts w:hint="eastAsia"/>
                      <w:color w:val="auto"/>
                    </w:rPr>
                    <w:t>1处，位于</w:t>
                  </w:r>
                  <w:r>
                    <w:rPr>
                      <w:rFonts w:hint="eastAsia"/>
                      <w:color w:val="auto"/>
                      <w:lang w:val="en-US" w:eastAsia="zh-CN"/>
                    </w:rPr>
                    <w:t>项目起点西南侧约7.2km处</w:t>
                  </w:r>
                  <w:r>
                    <w:rPr>
                      <w:rFonts w:hint="eastAsia"/>
                      <w:color w:val="auto"/>
                    </w:rPr>
                    <w:t>，占地面积</w:t>
                  </w:r>
                  <w:r>
                    <w:rPr>
                      <w:rFonts w:hint="eastAsia"/>
                      <w:color w:val="auto"/>
                      <w:lang w:val="en-US" w:eastAsia="zh-CN"/>
                    </w:rPr>
                    <w:t>约2600</w:t>
                  </w:r>
                  <w:r>
                    <w:rPr>
                      <w:rFonts w:hint="eastAsia"/>
                      <w:color w:val="auto"/>
                    </w:rPr>
                    <w:t>m</w:t>
                  </w:r>
                  <w:r>
                    <w:rPr>
                      <w:rFonts w:hint="eastAsia"/>
                      <w:color w:val="auto"/>
                      <w:vertAlign w:val="superscript"/>
                    </w:rPr>
                    <w:t>2</w:t>
                  </w:r>
                  <w:r>
                    <w:rPr>
                      <w:rFonts w:hint="eastAsia" w:cs="宋体"/>
                      <w:color w:val="auto"/>
                      <w:kern w:val="0"/>
                      <w:lang w:bidi="ar"/>
                    </w:rPr>
                    <w:t>，</w:t>
                  </w:r>
                  <w:r>
                    <w:rPr>
                      <w:rFonts w:hint="eastAsia"/>
                      <w:color w:val="auto"/>
                    </w:rPr>
                    <w:t>租赁现有闲置场地，</w:t>
                  </w:r>
                  <w:r>
                    <w:rPr>
                      <w:rFonts w:hint="eastAsia" w:cs="宋体"/>
                      <w:color w:val="auto"/>
                      <w:kern w:val="0"/>
                      <w:lang w:bidi="ar"/>
                    </w:rPr>
                    <w:t>地类</w:t>
                  </w:r>
                  <w:r>
                    <w:rPr>
                      <w:rFonts w:hint="eastAsia"/>
                      <w:color w:val="auto"/>
                    </w:rPr>
                    <w:t>为工业用地。</w:t>
                  </w:r>
                  <w:r>
                    <w:rPr>
                      <w:rFonts w:hint="eastAsia"/>
                      <w:color w:val="auto"/>
                      <w:lang w:val="en-US" w:eastAsia="zh-CN"/>
                    </w:rPr>
                    <w:t>施工生活区人数为40人，不设食堂，有住宿。</w:t>
                  </w:r>
                </w:p>
              </w:tc>
            </w:tr>
            <w:tr w14:paraId="028EC70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3FE12E0">
                  <w:pPr>
                    <w:pStyle w:val="80"/>
                    <w:rPr>
                      <w:color w:val="auto"/>
                    </w:rPr>
                  </w:pPr>
                </w:p>
              </w:tc>
              <w:tc>
                <w:tcPr>
                  <w:tcW w:w="454" w:type="pct"/>
                  <w:vMerge w:val="continue"/>
                  <w:tcBorders>
                    <w:tl2br w:val="nil"/>
                    <w:tr2bl w:val="nil"/>
                  </w:tcBorders>
                  <w:noWrap w:val="0"/>
                  <w:vAlign w:val="center"/>
                </w:tcPr>
                <w:p w14:paraId="468EAD8A">
                  <w:pPr>
                    <w:pStyle w:val="80"/>
                    <w:rPr>
                      <w:color w:val="auto"/>
                    </w:rPr>
                  </w:pPr>
                </w:p>
              </w:tc>
              <w:tc>
                <w:tcPr>
                  <w:tcW w:w="577" w:type="pct"/>
                  <w:tcBorders>
                    <w:tl2br w:val="nil"/>
                    <w:tr2bl w:val="nil"/>
                  </w:tcBorders>
                  <w:noWrap w:val="0"/>
                  <w:vAlign w:val="center"/>
                </w:tcPr>
                <w:p w14:paraId="35B159A5">
                  <w:pPr>
                    <w:pStyle w:val="80"/>
                    <w:rPr>
                      <w:color w:val="auto"/>
                    </w:rPr>
                  </w:pPr>
                  <w:r>
                    <w:rPr>
                      <w:rFonts w:hint="eastAsia"/>
                      <w:color w:val="auto"/>
                      <w:lang w:val="en-US" w:eastAsia="zh-CN"/>
                    </w:rPr>
                    <w:t>沥青混凝土拌合站</w:t>
                  </w:r>
                </w:p>
              </w:tc>
              <w:tc>
                <w:tcPr>
                  <w:tcW w:w="3696" w:type="pct"/>
                  <w:gridSpan w:val="5"/>
                  <w:tcBorders>
                    <w:tl2br w:val="nil"/>
                    <w:tr2bl w:val="nil"/>
                  </w:tcBorders>
                  <w:noWrap w:val="0"/>
                  <w:vAlign w:val="center"/>
                </w:tcPr>
                <w:p w14:paraId="22669E1E">
                  <w:pPr>
                    <w:pStyle w:val="80"/>
                    <w:rPr>
                      <w:rFonts w:hint="eastAsia"/>
                      <w:color w:val="auto"/>
                    </w:rPr>
                  </w:pPr>
                  <w:r>
                    <w:rPr>
                      <w:rFonts w:hint="eastAsia"/>
                      <w:color w:val="auto"/>
                    </w:rPr>
                    <w:t>1处，位于K</w:t>
                  </w:r>
                  <w:r>
                    <w:rPr>
                      <w:rFonts w:hint="eastAsia"/>
                      <w:color w:val="auto"/>
                      <w:lang w:val="en-US" w:eastAsia="zh-CN"/>
                    </w:rPr>
                    <w:t>381</w:t>
                  </w:r>
                  <w:r>
                    <w:rPr>
                      <w:color w:val="auto"/>
                    </w:rPr>
                    <w:t>+</w:t>
                  </w:r>
                  <w:r>
                    <w:rPr>
                      <w:rFonts w:hint="eastAsia"/>
                      <w:color w:val="auto"/>
                      <w:lang w:val="en-US" w:eastAsia="zh-CN"/>
                    </w:rPr>
                    <w:t>540</w:t>
                  </w:r>
                  <w:r>
                    <w:rPr>
                      <w:rFonts w:hint="eastAsia"/>
                      <w:color w:val="auto"/>
                    </w:rPr>
                    <w:t>左</w:t>
                  </w:r>
                  <w:r>
                    <w:rPr>
                      <w:rFonts w:hint="eastAsia"/>
                      <w:color w:val="auto"/>
                      <w:lang w:val="en-US" w:eastAsia="zh-CN"/>
                    </w:rPr>
                    <w:t>0.38</w:t>
                  </w:r>
                  <w:r>
                    <w:rPr>
                      <w:rFonts w:hint="eastAsia"/>
                      <w:color w:val="auto"/>
                    </w:rPr>
                    <w:t>km，占地面积</w:t>
                  </w:r>
                  <w:r>
                    <w:rPr>
                      <w:rFonts w:hint="eastAsia"/>
                      <w:color w:val="auto"/>
                      <w:lang w:val="en-US" w:eastAsia="zh-CN"/>
                    </w:rPr>
                    <w:t>约36</w:t>
                  </w:r>
                  <w:r>
                    <w:rPr>
                      <w:color w:val="auto"/>
                    </w:rPr>
                    <w:t>000</w:t>
                  </w:r>
                  <w:r>
                    <w:rPr>
                      <w:rFonts w:hint="eastAsia"/>
                      <w:color w:val="auto"/>
                    </w:rPr>
                    <w:t>m</w:t>
                  </w:r>
                  <w:r>
                    <w:rPr>
                      <w:rFonts w:hint="eastAsia"/>
                      <w:color w:val="auto"/>
                      <w:vertAlign w:val="superscript"/>
                    </w:rPr>
                    <w:t>2</w:t>
                  </w:r>
                  <w:r>
                    <w:rPr>
                      <w:rFonts w:hint="eastAsia" w:cs="宋体"/>
                      <w:color w:val="auto"/>
                      <w:kern w:val="0"/>
                      <w:lang w:bidi="ar"/>
                    </w:rPr>
                    <w:t>，</w:t>
                  </w:r>
                  <w:r>
                    <w:rPr>
                      <w:rFonts w:hint="eastAsia" w:cs="宋体"/>
                      <w:color w:val="auto"/>
                      <w:kern w:val="0"/>
                      <w:lang w:val="en-US" w:eastAsia="zh-CN" w:bidi="ar"/>
                    </w:rPr>
                    <w:t>规模为</w:t>
                  </w:r>
                  <w:r>
                    <w:rPr>
                      <w:rFonts w:hint="eastAsia" w:cs="宋体"/>
                      <w:color w:val="auto"/>
                      <w:kern w:val="0"/>
                      <w:lang w:bidi="ar"/>
                    </w:rPr>
                    <w:t>日产量</w:t>
                  </w:r>
                  <w:r>
                    <w:rPr>
                      <w:rFonts w:hint="eastAsia" w:cs="宋体"/>
                      <w:color w:val="auto"/>
                      <w:kern w:val="0"/>
                      <w:lang w:val="en-US" w:eastAsia="zh-CN" w:bidi="ar"/>
                    </w:rPr>
                    <w:t>沥青混凝土</w:t>
                  </w:r>
                  <w:r>
                    <w:rPr>
                      <w:rFonts w:hint="eastAsia" w:cs="宋体"/>
                      <w:color w:val="auto"/>
                      <w:kern w:val="0"/>
                      <w:lang w:bidi="ar"/>
                    </w:rPr>
                    <w:t>2500t</w:t>
                  </w:r>
                  <w:r>
                    <w:rPr>
                      <w:rFonts w:hint="eastAsia" w:cs="宋体"/>
                      <w:color w:val="auto"/>
                      <w:kern w:val="0"/>
                      <w:lang w:eastAsia="zh-CN" w:bidi="ar"/>
                    </w:rPr>
                    <w:t>，</w:t>
                  </w:r>
                  <w:r>
                    <w:rPr>
                      <w:rFonts w:hint="eastAsia" w:cs="宋体"/>
                      <w:color w:val="auto"/>
                      <w:kern w:val="0"/>
                      <w:lang w:bidi="ar"/>
                    </w:rPr>
                    <w:t>地类为</w:t>
                  </w:r>
                  <w:r>
                    <w:rPr>
                      <w:rFonts w:hint="eastAsia" w:cs="宋体"/>
                      <w:color w:val="auto"/>
                      <w:kern w:val="0"/>
                      <w:lang w:val="en-US" w:eastAsia="zh-CN" w:bidi="ar"/>
                    </w:rPr>
                    <w:t>工业用地</w:t>
                  </w:r>
                  <w:r>
                    <w:rPr>
                      <w:rFonts w:hint="eastAsia" w:cs="宋体"/>
                      <w:color w:val="auto"/>
                      <w:kern w:val="0"/>
                      <w:lang w:bidi="ar"/>
                    </w:rPr>
                    <w:t>，</w:t>
                  </w:r>
                  <w:r>
                    <w:rPr>
                      <w:rFonts w:cs="宋体"/>
                      <w:color w:val="auto"/>
                      <w:kern w:val="0"/>
                      <w:lang w:bidi="ar"/>
                    </w:rPr>
                    <w:t>300</w:t>
                  </w:r>
                  <w:r>
                    <w:rPr>
                      <w:rFonts w:hint="eastAsia" w:cs="宋体"/>
                      <w:color w:val="auto"/>
                      <w:kern w:val="0"/>
                      <w:lang w:bidi="ar"/>
                    </w:rPr>
                    <w:t>m范围内无居民居住区。</w:t>
                  </w:r>
                </w:p>
              </w:tc>
            </w:tr>
            <w:tr w14:paraId="6A05C22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4292E8D7">
                  <w:pPr>
                    <w:pStyle w:val="80"/>
                    <w:rPr>
                      <w:color w:val="auto"/>
                    </w:rPr>
                  </w:pPr>
                </w:p>
              </w:tc>
              <w:tc>
                <w:tcPr>
                  <w:tcW w:w="454" w:type="pct"/>
                  <w:vMerge w:val="continue"/>
                  <w:tcBorders>
                    <w:tl2br w:val="nil"/>
                    <w:tr2bl w:val="nil"/>
                  </w:tcBorders>
                  <w:noWrap w:val="0"/>
                  <w:vAlign w:val="center"/>
                </w:tcPr>
                <w:p w14:paraId="1A738164">
                  <w:pPr>
                    <w:pStyle w:val="80"/>
                    <w:rPr>
                      <w:color w:val="auto"/>
                    </w:rPr>
                  </w:pPr>
                </w:p>
              </w:tc>
              <w:tc>
                <w:tcPr>
                  <w:tcW w:w="577" w:type="pct"/>
                  <w:tcBorders>
                    <w:tl2br w:val="nil"/>
                    <w:tr2bl w:val="nil"/>
                  </w:tcBorders>
                  <w:noWrap w:val="0"/>
                  <w:vAlign w:val="center"/>
                </w:tcPr>
                <w:p w14:paraId="343E3A9F">
                  <w:pPr>
                    <w:pStyle w:val="80"/>
                    <w:rPr>
                      <w:rFonts w:hint="eastAsia"/>
                      <w:color w:val="auto"/>
                    </w:rPr>
                  </w:pPr>
                  <w:r>
                    <w:rPr>
                      <w:rFonts w:hint="eastAsia"/>
                      <w:color w:val="auto"/>
                    </w:rPr>
                    <w:t>基层拌合站</w:t>
                  </w:r>
                </w:p>
              </w:tc>
              <w:tc>
                <w:tcPr>
                  <w:tcW w:w="3696" w:type="pct"/>
                  <w:gridSpan w:val="5"/>
                  <w:tcBorders>
                    <w:tl2br w:val="nil"/>
                    <w:tr2bl w:val="nil"/>
                  </w:tcBorders>
                  <w:noWrap w:val="0"/>
                  <w:vAlign w:val="center"/>
                </w:tcPr>
                <w:p w14:paraId="6FB1D2C2">
                  <w:pPr>
                    <w:pStyle w:val="80"/>
                    <w:rPr>
                      <w:color w:val="auto"/>
                    </w:rPr>
                  </w:pPr>
                  <w:r>
                    <w:rPr>
                      <w:rFonts w:hint="eastAsia"/>
                      <w:color w:val="auto"/>
                      <w:lang w:val="en-US" w:eastAsia="zh-CN"/>
                    </w:rPr>
                    <w:t>外购商品混凝土，本项目不设基层拌合站</w:t>
                  </w:r>
                  <w:r>
                    <w:rPr>
                      <w:rFonts w:hint="eastAsia" w:cs="宋体"/>
                      <w:color w:val="auto"/>
                      <w:kern w:val="0"/>
                      <w:lang w:bidi="ar"/>
                    </w:rPr>
                    <w:t>。</w:t>
                  </w:r>
                </w:p>
              </w:tc>
            </w:tr>
            <w:tr w14:paraId="2143DA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2BADFBC0">
                  <w:pPr>
                    <w:pStyle w:val="80"/>
                    <w:rPr>
                      <w:color w:val="auto"/>
                    </w:rPr>
                  </w:pPr>
                </w:p>
              </w:tc>
              <w:tc>
                <w:tcPr>
                  <w:tcW w:w="454" w:type="pct"/>
                  <w:vMerge w:val="continue"/>
                  <w:tcBorders>
                    <w:tl2br w:val="nil"/>
                    <w:tr2bl w:val="nil"/>
                  </w:tcBorders>
                  <w:noWrap w:val="0"/>
                  <w:vAlign w:val="center"/>
                </w:tcPr>
                <w:p w14:paraId="08C7AD98">
                  <w:pPr>
                    <w:pStyle w:val="80"/>
                    <w:rPr>
                      <w:color w:val="auto"/>
                    </w:rPr>
                  </w:pPr>
                </w:p>
              </w:tc>
              <w:tc>
                <w:tcPr>
                  <w:tcW w:w="577" w:type="pct"/>
                  <w:tcBorders>
                    <w:tl2br w:val="nil"/>
                    <w:tr2bl w:val="nil"/>
                  </w:tcBorders>
                  <w:noWrap w:val="0"/>
                  <w:vAlign w:val="center"/>
                </w:tcPr>
                <w:p w14:paraId="63FEB057">
                  <w:pPr>
                    <w:pStyle w:val="80"/>
                    <w:rPr>
                      <w:color w:val="auto"/>
                    </w:rPr>
                  </w:pPr>
                  <w:r>
                    <w:rPr>
                      <w:color w:val="auto"/>
                    </w:rPr>
                    <w:t>取土场</w:t>
                  </w:r>
                </w:p>
              </w:tc>
              <w:tc>
                <w:tcPr>
                  <w:tcW w:w="3696" w:type="pct"/>
                  <w:gridSpan w:val="5"/>
                  <w:tcBorders>
                    <w:tl2br w:val="nil"/>
                    <w:tr2bl w:val="nil"/>
                  </w:tcBorders>
                  <w:noWrap w:val="0"/>
                  <w:vAlign w:val="center"/>
                </w:tcPr>
                <w:p w14:paraId="242573E6">
                  <w:pPr>
                    <w:pStyle w:val="80"/>
                    <w:rPr>
                      <w:rFonts w:hint="eastAsia"/>
                      <w:color w:val="auto"/>
                    </w:rPr>
                  </w:pPr>
                  <w:r>
                    <w:rPr>
                      <w:rFonts w:hint="eastAsia"/>
                      <w:color w:val="auto"/>
                    </w:rPr>
                    <w:t>本项目</w:t>
                  </w:r>
                  <w:r>
                    <w:rPr>
                      <w:rFonts w:hint="eastAsia"/>
                      <w:color w:val="auto"/>
                      <w:lang w:val="en-US" w:eastAsia="zh-CN"/>
                    </w:rPr>
                    <w:t>主要为路面改造，不涉及</w:t>
                  </w:r>
                  <w:r>
                    <w:rPr>
                      <w:rFonts w:hint="eastAsia"/>
                      <w:color w:val="auto"/>
                    </w:rPr>
                    <w:t>挖方，不设置取土场。</w:t>
                  </w:r>
                </w:p>
              </w:tc>
            </w:tr>
            <w:tr w14:paraId="33FC385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27A0C0BC">
                  <w:pPr>
                    <w:pStyle w:val="80"/>
                    <w:rPr>
                      <w:color w:val="auto"/>
                    </w:rPr>
                  </w:pPr>
                </w:p>
              </w:tc>
              <w:tc>
                <w:tcPr>
                  <w:tcW w:w="454" w:type="pct"/>
                  <w:vMerge w:val="continue"/>
                  <w:tcBorders>
                    <w:tl2br w:val="nil"/>
                    <w:tr2bl w:val="nil"/>
                  </w:tcBorders>
                  <w:noWrap w:val="0"/>
                  <w:vAlign w:val="center"/>
                </w:tcPr>
                <w:p w14:paraId="5FA8AFAB">
                  <w:pPr>
                    <w:pStyle w:val="80"/>
                    <w:rPr>
                      <w:color w:val="auto"/>
                    </w:rPr>
                  </w:pPr>
                </w:p>
              </w:tc>
              <w:tc>
                <w:tcPr>
                  <w:tcW w:w="577" w:type="pct"/>
                  <w:tcBorders>
                    <w:tl2br w:val="nil"/>
                    <w:tr2bl w:val="nil"/>
                  </w:tcBorders>
                  <w:noWrap w:val="0"/>
                  <w:vAlign w:val="center"/>
                </w:tcPr>
                <w:p w14:paraId="27B10934">
                  <w:pPr>
                    <w:pStyle w:val="80"/>
                    <w:rPr>
                      <w:color w:val="auto"/>
                    </w:rPr>
                  </w:pPr>
                  <w:r>
                    <w:rPr>
                      <w:rFonts w:hint="eastAsia"/>
                      <w:color w:val="auto"/>
                    </w:rPr>
                    <w:t>弃土场</w:t>
                  </w:r>
                </w:p>
              </w:tc>
              <w:tc>
                <w:tcPr>
                  <w:tcW w:w="3696" w:type="pct"/>
                  <w:gridSpan w:val="5"/>
                  <w:tcBorders>
                    <w:tl2br w:val="nil"/>
                    <w:tr2bl w:val="nil"/>
                  </w:tcBorders>
                  <w:noWrap w:val="0"/>
                  <w:vAlign w:val="center"/>
                </w:tcPr>
                <w:p w14:paraId="2A7ECC07">
                  <w:pPr>
                    <w:pStyle w:val="68"/>
                    <w:spacing w:line="240" w:lineRule="auto"/>
                    <w:rPr>
                      <w:rFonts w:hint="eastAsia"/>
                      <w:color w:val="auto"/>
                    </w:rPr>
                  </w:pPr>
                  <w:r>
                    <w:rPr>
                      <w:rFonts w:hint="eastAsia"/>
                      <w:color w:val="auto"/>
                      <w:sz w:val="21"/>
                      <w:szCs w:val="21"/>
                      <w:lang w:val="en-US" w:eastAsia="zh-CN"/>
                    </w:rPr>
                    <w:t>本项目无弃土产生</w:t>
                  </w:r>
                  <w:r>
                    <w:rPr>
                      <w:rFonts w:hint="eastAsia"/>
                      <w:color w:val="auto"/>
                      <w:sz w:val="21"/>
                      <w:szCs w:val="21"/>
                    </w:rPr>
                    <w:t>。</w:t>
                  </w:r>
                </w:p>
              </w:tc>
            </w:tr>
            <w:tr w14:paraId="13F6D5A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D3A0C75">
                  <w:pPr>
                    <w:pStyle w:val="80"/>
                    <w:rPr>
                      <w:color w:val="auto"/>
                    </w:rPr>
                  </w:pPr>
                </w:p>
              </w:tc>
              <w:tc>
                <w:tcPr>
                  <w:tcW w:w="454" w:type="pct"/>
                  <w:vMerge w:val="continue"/>
                  <w:tcBorders>
                    <w:tl2br w:val="nil"/>
                    <w:tr2bl w:val="nil"/>
                  </w:tcBorders>
                  <w:noWrap w:val="0"/>
                  <w:vAlign w:val="center"/>
                </w:tcPr>
                <w:p w14:paraId="2E6D7B74">
                  <w:pPr>
                    <w:pStyle w:val="80"/>
                    <w:rPr>
                      <w:color w:val="auto"/>
                    </w:rPr>
                  </w:pPr>
                </w:p>
              </w:tc>
              <w:tc>
                <w:tcPr>
                  <w:tcW w:w="577" w:type="pct"/>
                  <w:tcBorders>
                    <w:tl2br w:val="nil"/>
                    <w:tr2bl w:val="nil"/>
                  </w:tcBorders>
                  <w:noWrap w:val="0"/>
                  <w:vAlign w:val="center"/>
                </w:tcPr>
                <w:p w14:paraId="1C5E3700">
                  <w:pPr>
                    <w:pStyle w:val="80"/>
                    <w:rPr>
                      <w:color w:val="auto"/>
                    </w:rPr>
                  </w:pPr>
                  <w:r>
                    <w:rPr>
                      <w:color w:val="auto"/>
                    </w:rPr>
                    <w:t>土石方工程</w:t>
                  </w:r>
                </w:p>
              </w:tc>
              <w:tc>
                <w:tcPr>
                  <w:tcW w:w="3696" w:type="pct"/>
                  <w:gridSpan w:val="5"/>
                  <w:tcBorders>
                    <w:tl2br w:val="nil"/>
                    <w:tr2bl w:val="nil"/>
                  </w:tcBorders>
                  <w:noWrap w:val="0"/>
                  <w:vAlign w:val="center"/>
                </w:tcPr>
                <w:p w14:paraId="22B2ED99">
                  <w:pPr>
                    <w:pStyle w:val="80"/>
                    <w:rPr>
                      <w:color w:val="auto"/>
                    </w:rPr>
                  </w:pPr>
                  <w:r>
                    <w:rPr>
                      <w:rFonts w:hint="eastAsia"/>
                      <w:color w:val="auto"/>
                      <w:lang w:val="en-US" w:eastAsia="zh-CN"/>
                    </w:rPr>
                    <w:t>本项目主要为路面改造工程，不涉及土石方工程</w:t>
                  </w:r>
                  <w:r>
                    <w:rPr>
                      <w:rFonts w:hint="eastAsia"/>
                      <w:color w:val="auto"/>
                    </w:rPr>
                    <w:t>。</w:t>
                  </w:r>
                </w:p>
              </w:tc>
            </w:tr>
            <w:tr w14:paraId="40B1C98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26E4E890">
                  <w:pPr>
                    <w:pStyle w:val="80"/>
                    <w:rPr>
                      <w:color w:val="auto"/>
                    </w:rPr>
                  </w:pPr>
                </w:p>
              </w:tc>
              <w:tc>
                <w:tcPr>
                  <w:tcW w:w="454" w:type="pct"/>
                  <w:vMerge w:val="continue"/>
                  <w:tcBorders>
                    <w:tl2br w:val="nil"/>
                    <w:tr2bl w:val="nil"/>
                  </w:tcBorders>
                  <w:noWrap w:val="0"/>
                  <w:vAlign w:val="center"/>
                </w:tcPr>
                <w:p w14:paraId="70F6154D">
                  <w:pPr>
                    <w:pStyle w:val="80"/>
                    <w:rPr>
                      <w:color w:val="auto"/>
                    </w:rPr>
                  </w:pPr>
                </w:p>
              </w:tc>
              <w:tc>
                <w:tcPr>
                  <w:tcW w:w="577" w:type="pct"/>
                  <w:tcBorders>
                    <w:tl2br w:val="nil"/>
                    <w:tr2bl w:val="nil"/>
                  </w:tcBorders>
                  <w:noWrap w:val="0"/>
                  <w:vAlign w:val="center"/>
                </w:tcPr>
                <w:p w14:paraId="588D4B52">
                  <w:pPr>
                    <w:pStyle w:val="80"/>
                    <w:rPr>
                      <w:rFonts w:hint="eastAsia"/>
                      <w:color w:val="auto"/>
                    </w:rPr>
                  </w:pPr>
                  <w:r>
                    <w:rPr>
                      <w:color w:val="auto"/>
                    </w:rPr>
                    <w:t>施工便道</w:t>
                  </w:r>
                </w:p>
              </w:tc>
              <w:tc>
                <w:tcPr>
                  <w:tcW w:w="3696" w:type="pct"/>
                  <w:gridSpan w:val="5"/>
                  <w:tcBorders>
                    <w:tl2br w:val="nil"/>
                    <w:tr2bl w:val="nil"/>
                  </w:tcBorders>
                  <w:noWrap w:val="0"/>
                  <w:vAlign w:val="center"/>
                </w:tcPr>
                <w:p w14:paraId="03E135B3">
                  <w:pPr>
                    <w:pStyle w:val="80"/>
                    <w:rPr>
                      <w:color w:val="auto"/>
                    </w:rPr>
                  </w:pPr>
                  <w:r>
                    <w:rPr>
                      <w:color w:val="auto"/>
                    </w:rPr>
                    <w:t>本项目</w:t>
                  </w:r>
                  <w:r>
                    <w:rPr>
                      <w:rFonts w:hint="eastAsia"/>
                      <w:color w:val="auto"/>
                      <w:lang w:val="en-US" w:eastAsia="zh-CN"/>
                    </w:rPr>
                    <w:t>未设置施工便道</w:t>
                  </w:r>
                  <w:r>
                    <w:rPr>
                      <w:color w:val="auto"/>
                    </w:rPr>
                    <w:t>。</w:t>
                  </w:r>
                </w:p>
              </w:tc>
            </w:tr>
            <w:tr w14:paraId="6927572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0E3CA548">
                  <w:pPr>
                    <w:pStyle w:val="80"/>
                    <w:rPr>
                      <w:color w:val="auto"/>
                    </w:rPr>
                  </w:pPr>
                </w:p>
              </w:tc>
              <w:tc>
                <w:tcPr>
                  <w:tcW w:w="454" w:type="pct"/>
                  <w:vMerge w:val="continue"/>
                  <w:tcBorders>
                    <w:tl2br w:val="nil"/>
                    <w:tr2bl w:val="nil"/>
                  </w:tcBorders>
                  <w:noWrap w:val="0"/>
                  <w:vAlign w:val="center"/>
                </w:tcPr>
                <w:p w14:paraId="3280C8FC">
                  <w:pPr>
                    <w:pStyle w:val="80"/>
                    <w:rPr>
                      <w:color w:val="auto"/>
                    </w:rPr>
                  </w:pPr>
                </w:p>
              </w:tc>
              <w:tc>
                <w:tcPr>
                  <w:tcW w:w="577" w:type="pct"/>
                  <w:tcBorders>
                    <w:tl2br w:val="nil"/>
                    <w:tr2bl w:val="nil"/>
                  </w:tcBorders>
                  <w:noWrap w:val="0"/>
                  <w:vAlign w:val="center"/>
                </w:tcPr>
                <w:p w14:paraId="592BE278">
                  <w:pPr>
                    <w:pStyle w:val="80"/>
                    <w:rPr>
                      <w:rFonts w:hint="eastAsia"/>
                      <w:color w:val="auto"/>
                    </w:rPr>
                  </w:pPr>
                  <w:r>
                    <w:rPr>
                      <w:rFonts w:hint="eastAsia"/>
                      <w:color w:val="auto"/>
                    </w:rPr>
                    <w:t>保通方案</w:t>
                  </w:r>
                </w:p>
              </w:tc>
              <w:tc>
                <w:tcPr>
                  <w:tcW w:w="3696" w:type="pct"/>
                  <w:gridSpan w:val="5"/>
                  <w:tcBorders>
                    <w:tl2br w:val="nil"/>
                    <w:tr2bl w:val="nil"/>
                  </w:tcBorders>
                  <w:noWrap w:val="0"/>
                  <w:vAlign w:val="center"/>
                </w:tcPr>
                <w:p w14:paraId="1ACAC532">
                  <w:pPr>
                    <w:spacing w:line="240" w:lineRule="auto"/>
                    <w:ind w:firstLine="420" w:firstLineChars="200"/>
                    <w:rPr>
                      <w:color w:val="auto"/>
                    </w:rPr>
                  </w:pPr>
                  <w:r>
                    <w:rPr>
                      <w:rFonts w:hint="eastAsia" w:ascii="Times New Roman" w:hAnsi="Times New Roman" w:eastAsia="宋体" w:cs="Times New Roman"/>
                      <w:b w:val="0"/>
                      <w:bCs/>
                      <w:snapToGrid w:val="0"/>
                      <w:color w:val="auto"/>
                      <w:kern w:val="2"/>
                      <w:sz w:val="21"/>
                      <w:szCs w:val="21"/>
                      <w:lang w:val="en-US" w:eastAsia="zh-CN" w:bidi="ar-SA"/>
                    </w:rPr>
                    <w:t>采用分段封闭施工方案，</w:t>
                  </w:r>
                  <w:r>
                    <w:rPr>
                      <w:rFonts w:ascii="Times New Roman" w:hAnsi="Times New Roman" w:eastAsia="宋体" w:cs="Times New Roman"/>
                      <w:b w:val="0"/>
                      <w:bCs/>
                      <w:snapToGrid w:val="0"/>
                      <w:color w:val="auto"/>
                      <w:kern w:val="2"/>
                      <w:sz w:val="21"/>
                      <w:szCs w:val="21"/>
                      <w:lang w:val="en-US" w:eastAsia="zh-CN" w:bidi="ar-SA"/>
                    </w:rPr>
                    <w:t>社会车辆可通过密兴高速（S16）绕行的方案，以保证过境车辆的通行</w:t>
                  </w:r>
                  <w:r>
                    <w:rPr>
                      <w:rFonts w:hint="eastAsia" w:ascii="Times New Roman" w:hAnsi="Times New Roman" w:eastAsia="宋体" w:cs="Times New Roman"/>
                      <w:b w:val="0"/>
                      <w:bCs/>
                      <w:snapToGrid w:val="0"/>
                      <w:color w:val="auto"/>
                      <w:kern w:val="2"/>
                      <w:sz w:val="21"/>
                      <w:szCs w:val="21"/>
                      <w:lang w:val="en-US" w:eastAsia="zh-CN" w:bidi="ar-SA"/>
                    </w:rPr>
                    <w:t>；</w:t>
                  </w:r>
                  <w:r>
                    <w:rPr>
                      <w:rFonts w:ascii="Times New Roman" w:hAnsi="Times New Roman" w:eastAsia="宋体" w:cs="Times New Roman"/>
                      <w:b w:val="0"/>
                      <w:bCs/>
                      <w:snapToGrid w:val="0"/>
                      <w:color w:val="auto"/>
                      <w:kern w:val="2"/>
                      <w:sz w:val="21"/>
                      <w:szCs w:val="21"/>
                      <w:lang w:val="en-US" w:eastAsia="zh-CN" w:bidi="ar-SA"/>
                    </w:rPr>
                    <w:t>沿线居民可利用当地村道、乡道绕行。对居民难以完全绕行路段，采用临时半幅交通导行的施工方案。</w:t>
                  </w:r>
                </w:p>
              </w:tc>
            </w:tr>
            <w:tr w14:paraId="3E1C9C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03" w:type="pct"/>
                  <w:gridSpan w:val="3"/>
                  <w:tcBorders>
                    <w:tl2br w:val="nil"/>
                    <w:tr2bl w:val="nil"/>
                  </w:tcBorders>
                  <w:noWrap w:val="0"/>
                  <w:vAlign w:val="center"/>
                </w:tcPr>
                <w:p w14:paraId="394998F0">
                  <w:pPr>
                    <w:pStyle w:val="80"/>
                    <w:rPr>
                      <w:color w:val="auto"/>
                    </w:rPr>
                  </w:pPr>
                  <w:r>
                    <w:rPr>
                      <w:color w:val="auto"/>
                    </w:rPr>
                    <w:t>施工方式及时序</w:t>
                  </w:r>
                </w:p>
              </w:tc>
              <w:tc>
                <w:tcPr>
                  <w:tcW w:w="3696" w:type="pct"/>
                  <w:gridSpan w:val="5"/>
                  <w:tcBorders>
                    <w:tl2br w:val="nil"/>
                    <w:tr2bl w:val="nil"/>
                  </w:tcBorders>
                  <w:noWrap w:val="0"/>
                  <w:vAlign w:val="center"/>
                </w:tcPr>
                <w:p w14:paraId="0058ABDD">
                  <w:pPr>
                    <w:pStyle w:val="80"/>
                    <w:rPr>
                      <w:color w:val="auto"/>
                    </w:rPr>
                  </w:pPr>
                  <w:r>
                    <w:rPr>
                      <w:color w:val="auto"/>
                    </w:rPr>
                    <w:t>施工方式：施工期间采用</w:t>
                  </w:r>
                  <w:r>
                    <w:rPr>
                      <w:rFonts w:hint="eastAsia"/>
                      <w:color w:val="auto"/>
                    </w:rPr>
                    <w:t>分段</w:t>
                  </w:r>
                  <w:r>
                    <w:rPr>
                      <w:color w:val="auto"/>
                    </w:rPr>
                    <w:t>封闭施工。施工时序：202</w:t>
                  </w:r>
                  <w:r>
                    <w:rPr>
                      <w:rFonts w:hint="eastAsia"/>
                      <w:color w:val="auto"/>
                      <w:lang w:val="en-US" w:eastAsia="zh-CN"/>
                    </w:rPr>
                    <w:t>6</w:t>
                  </w:r>
                  <w:r>
                    <w:rPr>
                      <w:color w:val="auto"/>
                    </w:rPr>
                    <w:t>年</w:t>
                  </w:r>
                  <w:r>
                    <w:rPr>
                      <w:rFonts w:hint="eastAsia"/>
                      <w:color w:val="auto"/>
                      <w:lang w:val="en-US" w:eastAsia="zh-CN"/>
                    </w:rPr>
                    <w:t>4</w:t>
                  </w:r>
                  <w:r>
                    <w:rPr>
                      <w:color w:val="auto"/>
                    </w:rPr>
                    <w:t>月开工，202</w:t>
                  </w:r>
                  <w:r>
                    <w:rPr>
                      <w:rFonts w:hint="eastAsia"/>
                      <w:color w:val="auto"/>
                      <w:lang w:val="en-US" w:eastAsia="zh-CN"/>
                    </w:rPr>
                    <w:t>6</w:t>
                  </w:r>
                  <w:r>
                    <w:rPr>
                      <w:color w:val="auto"/>
                    </w:rPr>
                    <w:t>年</w:t>
                  </w:r>
                  <w:r>
                    <w:rPr>
                      <w:rFonts w:hint="eastAsia"/>
                      <w:color w:val="auto"/>
                      <w:lang w:val="en-US" w:eastAsia="zh-CN"/>
                    </w:rPr>
                    <w:t>6</w:t>
                  </w:r>
                  <w:r>
                    <w:rPr>
                      <w:color w:val="auto"/>
                    </w:rPr>
                    <w:t>月竣工，路面先基层、后面层施工。</w:t>
                  </w:r>
                </w:p>
              </w:tc>
            </w:tr>
            <w:tr w14:paraId="33760E0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restart"/>
                  <w:tcBorders>
                    <w:tl2br w:val="nil"/>
                    <w:tr2bl w:val="nil"/>
                  </w:tcBorders>
                  <w:noWrap w:val="0"/>
                  <w:vAlign w:val="center"/>
                </w:tcPr>
                <w:p w14:paraId="52D90664">
                  <w:pPr>
                    <w:pStyle w:val="80"/>
                    <w:rPr>
                      <w:color w:val="auto"/>
                    </w:rPr>
                  </w:pPr>
                  <w:r>
                    <w:rPr>
                      <w:color w:val="auto"/>
                    </w:rPr>
                    <w:t>环保工程</w:t>
                  </w:r>
                </w:p>
              </w:tc>
              <w:tc>
                <w:tcPr>
                  <w:tcW w:w="454" w:type="pct"/>
                  <w:vMerge w:val="restart"/>
                  <w:tcBorders>
                    <w:tl2br w:val="nil"/>
                    <w:tr2bl w:val="nil"/>
                  </w:tcBorders>
                  <w:noWrap w:val="0"/>
                  <w:vAlign w:val="center"/>
                </w:tcPr>
                <w:p w14:paraId="0EE9B883">
                  <w:pPr>
                    <w:pStyle w:val="80"/>
                    <w:rPr>
                      <w:color w:val="auto"/>
                    </w:rPr>
                  </w:pPr>
                  <w:r>
                    <w:rPr>
                      <w:color w:val="auto"/>
                    </w:rPr>
                    <w:t>废气</w:t>
                  </w:r>
                </w:p>
              </w:tc>
              <w:tc>
                <w:tcPr>
                  <w:tcW w:w="577" w:type="pct"/>
                  <w:tcBorders>
                    <w:tl2br w:val="nil"/>
                    <w:tr2bl w:val="nil"/>
                  </w:tcBorders>
                  <w:noWrap w:val="0"/>
                  <w:vAlign w:val="center"/>
                </w:tcPr>
                <w:p w14:paraId="75382BA6">
                  <w:pPr>
                    <w:pStyle w:val="80"/>
                    <w:rPr>
                      <w:color w:val="auto"/>
                    </w:rPr>
                  </w:pPr>
                  <w:r>
                    <w:rPr>
                      <w:color w:val="auto"/>
                    </w:rPr>
                    <w:t>施工期</w:t>
                  </w:r>
                </w:p>
              </w:tc>
              <w:tc>
                <w:tcPr>
                  <w:tcW w:w="3696" w:type="pct"/>
                  <w:gridSpan w:val="5"/>
                  <w:tcBorders>
                    <w:tl2br w:val="nil"/>
                    <w:tr2bl w:val="nil"/>
                  </w:tcBorders>
                  <w:noWrap w:val="0"/>
                  <w:vAlign w:val="center"/>
                </w:tcPr>
                <w:p w14:paraId="32F99053">
                  <w:pPr>
                    <w:spacing w:line="240" w:lineRule="auto"/>
                    <w:rPr>
                      <w:color w:val="auto"/>
                    </w:rPr>
                  </w:pPr>
                  <w:r>
                    <w:rPr>
                      <w:color w:val="auto"/>
                      <w:sz w:val="21"/>
                      <w:szCs w:val="21"/>
                    </w:rPr>
                    <w:t>拌合站满足《公路环境保护设计规范》（JTGB 04-2010）中距离要求。</w:t>
                  </w:r>
                  <w:r>
                    <w:rPr>
                      <w:bCs/>
                      <w:color w:val="auto"/>
                      <w:sz w:val="21"/>
                      <w:szCs w:val="21"/>
                    </w:rPr>
                    <w:t>施工拌合站沥青烟通过采用先进沥青混凝土搅和设备、密闭设备等措施，并配备沥青烟净化器。</w:t>
                  </w:r>
                  <w:r>
                    <w:rPr>
                      <w:rFonts w:hint="eastAsia"/>
                      <w:bCs/>
                      <w:color w:val="auto"/>
                      <w:sz w:val="21"/>
                      <w:szCs w:val="21"/>
                      <w:lang w:val="en-US" w:eastAsia="zh-CN"/>
                    </w:rPr>
                    <w:t>导热油炉产生的烟气采用布袋除尘器处理，经18m排气筒排放。</w:t>
                  </w:r>
                  <w:r>
                    <w:rPr>
                      <w:bCs/>
                      <w:color w:val="auto"/>
                      <w:sz w:val="21"/>
                      <w:szCs w:val="21"/>
                    </w:rPr>
                    <w:t>途经敏感点路段设置隔声、隔尘挡板，高度3m</w:t>
                  </w:r>
                  <w:r>
                    <w:rPr>
                      <w:rFonts w:hint="eastAsia"/>
                      <w:bCs/>
                      <w:color w:val="auto"/>
                      <w:sz w:val="21"/>
                      <w:szCs w:val="21"/>
                    </w:rPr>
                    <w:t>，</w:t>
                  </w:r>
                  <w:r>
                    <w:rPr>
                      <w:bCs/>
                      <w:color w:val="auto"/>
                      <w:sz w:val="21"/>
                      <w:szCs w:val="21"/>
                    </w:rPr>
                    <w:t>并严禁在挡墙外堆放施工材料、建筑垃圾和渣土。施工避开大风季节，施工中产生的物料堆应当采取遮盖、洒水等措施防止扬尘产生。对施工场地、运输道路表面采取硬化措施，或采取洒水等方法处理。施工产生的建筑垃圾、渣土应当及时清运或采取其他有效防尘措施。运输建筑垃圾、渣土等易产生扬尘的施工车辆，应加盖斗篷，密封运送；材料运输严禁超载，并盖篷布。</w:t>
                  </w:r>
                  <w:r>
                    <w:rPr>
                      <w:color w:val="auto"/>
                      <w:sz w:val="21"/>
                      <w:szCs w:val="21"/>
                    </w:rPr>
                    <w:t>加强施工期环境管理，强化施工人员的环保意识。</w:t>
                  </w:r>
                </w:p>
              </w:tc>
            </w:tr>
            <w:tr w14:paraId="7AE08C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31CED398">
                  <w:pPr>
                    <w:pStyle w:val="80"/>
                    <w:rPr>
                      <w:color w:val="auto"/>
                    </w:rPr>
                  </w:pPr>
                </w:p>
              </w:tc>
              <w:tc>
                <w:tcPr>
                  <w:tcW w:w="454" w:type="pct"/>
                  <w:vMerge w:val="continue"/>
                  <w:tcBorders>
                    <w:tl2br w:val="nil"/>
                    <w:tr2bl w:val="nil"/>
                  </w:tcBorders>
                  <w:noWrap w:val="0"/>
                  <w:vAlign w:val="center"/>
                </w:tcPr>
                <w:p w14:paraId="12593116">
                  <w:pPr>
                    <w:pStyle w:val="80"/>
                    <w:rPr>
                      <w:color w:val="auto"/>
                    </w:rPr>
                  </w:pPr>
                </w:p>
              </w:tc>
              <w:tc>
                <w:tcPr>
                  <w:tcW w:w="577" w:type="pct"/>
                  <w:tcBorders>
                    <w:tl2br w:val="nil"/>
                    <w:tr2bl w:val="nil"/>
                  </w:tcBorders>
                  <w:noWrap w:val="0"/>
                  <w:vAlign w:val="center"/>
                </w:tcPr>
                <w:p w14:paraId="6D30FF70">
                  <w:pPr>
                    <w:pStyle w:val="80"/>
                    <w:rPr>
                      <w:color w:val="auto"/>
                    </w:rPr>
                  </w:pPr>
                  <w:r>
                    <w:rPr>
                      <w:color w:val="auto"/>
                    </w:rPr>
                    <w:t>运营期</w:t>
                  </w:r>
                </w:p>
              </w:tc>
              <w:tc>
                <w:tcPr>
                  <w:tcW w:w="3696" w:type="pct"/>
                  <w:gridSpan w:val="5"/>
                  <w:tcBorders>
                    <w:tl2br w:val="nil"/>
                    <w:tr2bl w:val="nil"/>
                  </w:tcBorders>
                  <w:noWrap w:val="0"/>
                  <w:vAlign w:val="center"/>
                </w:tcPr>
                <w:p w14:paraId="6A8C286F">
                  <w:pPr>
                    <w:pStyle w:val="76"/>
                    <w:spacing w:line="240" w:lineRule="auto"/>
                    <w:rPr>
                      <w:rFonts w:hint="eastAsia" w:eastAsia="宋体"/>
                      <w:color w:val="auto"/>
                      <w:lang w:val="en-US" w:eastAsia="zh-CN"/>
                    </w:rPr>
                  </w:pPr>
                  <w:r>
                    <w:rPr>
                      <w:rFonts w:ascii="Times New Roman" w:hAnsi="Times New Roman" w:eastAsia="宋体" w:cs="Times New Roman"/>
                      <w:bCs/>
                      <w:color w:val="auto"/>
                      <w:kern w:val="2"/>
                      <w:sz w:val="21"/>
                      <w:szCs w:val="21"/>
                      <w:lang w:val="en-US" w:eastAsia="zh-CN" w:bidi="ar-SA"/>
                    </w:rPr>
                    <w:t>加强公路管理及路面养护，保持公路良好运营状态。</w:t>
                  </w:r>
                </w:p>
              </w:tc>
            </w:tr>
            <w:tr w14:paraId="69F713A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88E6FA6">
                  <w:pPr>
                    <w:pStyle w:val="80"/>
                    <w:rPr>
                      <w:color w:val="auto"/>
                    </w:rPr>
                  </w:pPr>
                </w:p>
              </w:tc>
              <w:tc>
                <w:tcPr>
                  <w:tcW w:w="454" w:type="pct"/>
                  <w:vMerge w:val="restart"/>
                  <w:tcBorders>
                    <w:tl2br w:val="nil"/>
                    <w:tr2bl w:val="nil"/>
                  </w:tcBorders>
                  <w:noWrap w:val="0"/>
                  <w:vAlign w:val="center"/>
                </w:tcPr>
                <w:p w14:paraId="5D070A5A">
                  <w:pPr>
                    <w:pStyle w:val="80"/>
                    <w:rPr>
                      <w:color w:val="auto"/>
                    </w:rPr>
                  </w:pPr>
                  <w:r>
                    <w:rPr>
                      <w:color w:val="auto"/>
                    </w:rPr>
                    <w:t>废水</w:t>
                  </w:r>
                </w:p>
              </w:tc>
              <w:tc>
                <w:tcPr>
                  <w:tcW w:w="577" w:type="pct"/>
                  <w:tcBorders>
                    <w:tl2br w:val="nil"/>
                    <w:tr2bl w:val="nil"/>
                  </w:tcBorders>
                  <w:noWrap w:val="0"/>
                  <w:vAlign w:val="center"/>
                </w:tcPr>
                <w:p w14:paraId="2BF678DC">
                  <w:pPr>
                    <w:pStyle w:val="80"/>
                    <w:rPr>
                      <w:color w:val="auto"/>
                    </w:rPr>
                  </w:pPr>
                  <w:r>
                    <w:rPr>
                      <w:color w:val="auto"/>
                    </w:rPr>
                    <w:t>施工期</w:t>
                  </w:r>
                </w:p>
              </w:tc>
              <w:tc>
                <w:tcPr>
                  <w:tcW w:w="3696" w:type="pct"/>
                  <w:gridSpan w:val="5"/>
                  <w:tcBorders>
                    <w:tl2br w:val="nil"/>
                    <w:tr2bl w:val="nil"/>
                  </w:tcBorders>
                  <w:noWrap w:val="0"/>
                  <w:vAlign w:val="center"/>
                </w:tcPr>
                <w:p w14:paraId="2790C2C2">
                  <w:pPr>
                    <w:pStyle w:val="80"/>
                    <w:rPr>
                      <w:color w:val="auto"/>
                    </w:rPr>
                  </w:pPr>
                  <w:r>
                    <w:rPr>
                      <w:color w:val="auto"/>
                    </w:rPr>
                    <w:t>生活污水排入临时防渗旱厕，定期清掏，用于堆肥</w:t>
                  </w:r>
                  <w:r>
                    <w:rPr>
                      <w:rFonts w:hint="eastAsia"/>
                      <w:color w:val="auto"/>
                    </w:rPr>
                    <w:t>；生产废水设置临时防渗沉淀池处理后，回用于场地降尘。</w:t>
                  </w:r>
                </w:p>
              </w:tc>
            </w:tr>
            <w:tr w14:paraId="34F1217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37F15F10">
                  <w:pPr>
                    <w:pStyle w:val="80"/>
                    <w:rPr>
                      <w:color w:val="auto"/>
                    </w:rPr>
                  </w:pPr>
                </w:p>
              </w:tc>
              <w:tc>
                <w:tcPr>
                  <w:tcW w:w="454" w:type="pct"/>
                  <w:vMerge w:val="continue"/>
                  <w:tcBorders>
                    <w:tl2br w:val="nil"/>
                    <w:tr2bl w:val="nil"/>
                  </w:tcBorders>
                  <w:noWrap w:val="0"/>
                  <w:vAlign w:val="center"/>
                </w:tcPr>
                <w:p w14:paraId="5E171674">
                  <w:pPr>
                    <w:pStyle w:val="80"/>
                    <w:rPr>
                      <w:color w:val="auto"/>
                    </w:rPr>
                  </w:pPr>
                </w:p>
              </w:tc>
              <w:tc>
                <w:tcPr>
                  <w:tcW w:w="577" w:type="pct"/>
                  <w:tcBorders>
                    <w:tl2br w:val="nil"/>
                    <w:tr2bl w:val="nil"/>
                  </w:tcBorders>
                  <w:noWrap w:val="0"/>
                  <w:vAlign w:val="center"/>
                </w:tcPr>
                <w:p w14:paraId="0E15DE9B">
                  <w:pPr>
                    <w:pStyle w:val="80"/>
                    <w:rPr>
                      <w:color w:val="auto"/>
                    </w:rPr>
                  </w:pPr>
                  <w:r>
                    <w:rPr>
                      <w:color w:val="auto"/>
                    </w:rPr>
                    <w:t>运营期</w:t>
                  </w:r>
                </w:p>
              </w:tc>
              <w:tc>
                <w:tcPr>
                  <w:tcW w:w="3696" w:type="pct"/>
                  <w:gridSpan w:val="5"/>
                  <w:tcBorders>
                    <w:tl2br w:val="nil"/>
                    <w:tr2bl w:val="nil"/>
                  </w:tcBorders>
                  <w:noWrap w:val="0"/>
                  <w:vAlign w:val="center"/>
                </w:tcPr>
                <w:p w14:paraId="0EDFEE1E">
                  <w:pPr>
                    <w:pStyle w:val="80"/>
                    <w:rPr>
                      <w:color w:val="auto"/>
                    </w:rPr>
                  </w:pPr>
                  <w:r>
                    <w:rPr>
                      <w:rFonts w:hint="eastAsia"/>
                      <w:color w:val="auto"/>
                    </w:rPr>
                    <w:t>养护道班生活污水排入防渗化粪池，定期</w:t>
                  </w:r>
                  <w:r>
                    <w:rPr>
                      <w:rFonts w:hint="eastAsia"/>
                      <w:color w:val="auto"/>
                      <w:lang w:val="en-US" w:eastAsia="zh-CN"/>
                    </w:rPr>
                    <w:t>清掏堆肥</w:t>
                  </w:r>
                  <w:r>
                    <w:rPr>
                      <w:rFonts w:hint="eastAsia"/>
                      <w:color w:val="auto"/>
                    </w:rPr>
                    <w:t>。</w:t>
                  </w:r>
                </w:p>
              </w:tc>
            </w:tr>
            <w:tr w14:paraId="50F5F14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73BDF211">
                  <w:pPr>
                    <w:pStyle w:val="80"/>
                    <w:rPr>
                      <w:color w:val="auto"/>
                    </w:rPr>
                  </w:pPr>
                </w:p>
              </w:tc>
              <w:tc>
                <w:tcPr>
                  <w:tcW w:w="454" w:type="pct"/>
                  <w:vMerge w:val="restart"/>
                  <w:tcBorders>
                    <w:tl2br w:val="nil"/>
                    <w:tr2bl w:val="nil"/>
                  </w:tcBorders>
                  <w:noWrap w:val="0"/>
                  <w:vAlign w:val="center"/>
                </w:tcPr>
                <w:p w14:paraId="61085306">
                  <w:pPr>
                    <w:pStyle w:val="80"/>
                    <w:rPr>
                      <w:color w:val="auto"/>
                    </w:rPr>
                  </w:pPr>
                  <w:r>
                    <w:rPr>
                      <w:color w:val="auto"/>
                    </w:rPr>
                    <w:t>固废</w:t>
                  </w:r>
                </w:p>
              </w:tc>
              <w:tc>
                <w:tcPr>
                  <w:tcW w:w="577" w:type="pct"/>
                  <w:tcBorders>
                    <w:tl2br w:val="nil"/>
                    <w:tr2bl w:val="nil"/>
                  </w:tcBorders>
                  <w:noWrap w:val="0"/>
                  <w:vAlign w:val="center"/>
                </w:tcPr>
                <w:p w14:paraId="3AE7A361">
                  <w:pPr>
                    <w:pStyle w:val="80"/>
                    <w:rPr>
                      <w:rFonts w:hint="eastAsia"/>
                      <w:color w:val="auto"/>
                    </w:rPr>
                  </w:pPr>
                  <w:r>
                    <w:rPr>
                      <w:color w:val="auto"/>
                    </w:rPr>
                    <w:t>施工期</w:t>
                  </w:r>
                </w:p>
              </w:tc>
              <w:tc>
                <w:tcPr>
                  <w:tcW w:w="3696" w:type="pct"/>
                  <w:gridSpan w:val="5"/>
                  <w:tcBorders>
                    <w:tl2br w:val="nil"/>
                    <w:tr2bl w:val="nil"/>
                  </w:tcBorders>
                  <w:noWrap w:val="0"/>
                  <w:vAlign w:val="center"/>
                </w:tcPr>
                <w:p w14:paraId="0AA32A20">
                  <w:pPr>
                    <w:pStyle w:val="80"/>
                    <w:rPr>
                      <w:color w:val="auto"/>
                    </w:rPr>
                  </w:pPr>
                  <w:r>
                    <w:rPr>
                      <w:color w:val="auto"/>
                    </w:rPr>
                    <w:t>生活垃圾集中收集，运送至环卫部门指定地点；施工期拆除</w:t>
                  </w:r>
                  <w:r>
                    <w:rPr>
                      <w:rFonts w:hint="eastAsia"/>
                      <w:color w:val="auto"/>
                      <w:lang w:val="en-US" w:eastAsia="zh-CN"/>
                    </w:rPr>
                    <w:t>路面产生废弃</w:t>
                  </w:r>
                  <w:r>
                    <w:rPr>
                      <w:color w:val="auto"/>
                    </w:rPr>
                    <w:t>路面</w:t>
                  </w:r>
                  <w:r>
                    <w:rPr>
                      <w:rFonts w:hint="eastAsia"/>
                      <w:color w:val="auto"/>
                      <w:lang w:val="en-US" w:eastAsia="zh-CN"/>
                    </w:rPr>
                    <w:t>约43285.6t，废弃路面</w:t>
                  </w:r>
                  <w:r>
                    <w:rPr>
                      <w:color w:val="auto"/>
                    </w:rPr>
                    <w:t>破碎后</w:t>
                  </w:r>
                  <w:r>
                    <w:rPr>
                      <w:rFonts w:hint="eastAsia"/>
                      <w:color w:val="auto"/>
                      <w:lang w:val="en-US" w:eastAsia="zh-CN"/>
                    </w:rPr>
                    <w:t>部分</w:t>
                  </w:r>
                  <w:r>
                    <w:rPr>
                      <w:color w:val="auto"/>
                    </w:rPr>
                    <w:t>用于路基的垫层，</w:t>
                  </w:r>
                  <w:r>
                    <w:rPr>
                      <w:rFonts w:hint="eastAsia"/>
                      <w:color w:val="auto"/>
                      <w:lang w:val="en-US" w:eastAsia="zh-CN"/>
                    </w:rPr>
                    <w:t>部分运输至柳毛乡混凝土拌合站进行利用</w:t>
                  </w:r>
                  <w:r>
                    <w:rPr>
                      <w:color w:val="auto"/>
                    </w:rPr>
                    <w:t>。</w:t>
                  </w:r>
                </w:p>
              </w:tc>
            </w:tr>
            <w:tr w14:paraId="2CD9BF4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6D9660EE">
                  <w:pPr>
                    <w:pStyle w:val="80"/>
                    <w:rPr>
                      <w:color w:val="auto"/>
                    </w:rPr>
                  </w:pPr>
                </w:p>
              </w:tc>
              <w:tc>
                <w:tcPr>
                  <w:tcW w:w="454" w:type="pct"/>
                  <w:vMerge w:val="continue"/>
                  <w:tcBorders>
                    <w:tl2br w:val="nil"/>
                    <w:tr2bl w:val="nil"/>
                  </w:tcBorders>
                  <w:noWrap w:val="0"/>
                  <w:vAlign w:val="center"/>
                </w:tcPr>
                <w:p w14:paraId="4C1CD37A">
                  <w:pPr>
                    <w:pStyle w:val="80"/>
                    <w:rPr>
                      <w:color w:val="auto"/>
                    </w:rPr>
                  </w:pPr>
                </w:p>
              </w:tc>
              <w:tc>
                <w:tcPr>
                  <w:tcW w:w="577" w:type="pct"/>
                  <w:tcBorders>
                    <w:tl2br w:val="nil"/>
                    <w:tr2bl w:val="nil"/>
                  </w:tcBorders>
                  <w:noWrap w:val="0"/>
                  <w:vAlign w:val="center"/>
                </w:tcPr>
                <w:p w14:paraId="6AF40D0A">
                  <w:pPr>
                    <w:pStyle w:val="80"/>
                    <w:rPr>
                      <w:color w:val="auto"/>
                    </w:rPr>
                  </w:pPr>
                  <w:r>
                    <w:rPr>
                      <w:color w:val="auto"/>
                    </w:rPr>
                    <w:t>运营期</w:t>
                  </w:r>
                </w:p>
              </w:tc>
              <w:tc>
                <w:tcPr>
                  <w:tcW w:w="3696" w:type="pct"/>
                  <w:gridSpan w:val="5"/>
                  <w:tcBorders>
                    <w:tl2br w:val="nil"/>
                    <w:tr2bl w:val="nil"/>
                  </w:tcBorders>
                  <w:noWrap w:val="0"/>
                  <w:vAlign w:val="center"/>
                </w:tcPr>
                <w:p w14:paraId="6D7DEC97">
                  <w:pPr>
                    <w:pStyle w:val="80"/>
                    <w:rPr>
                      <w:color w:val="auto"/>
                    </w:rPr>
                  </w:pPr>
                  <w:r>
                    <w:rPr>
                      <w:color w:val="auto"/>
                    </w:rPr>
                    <w:t>生活垃圾收集桶若干，集中收集，交由市政环卫部门处理；养护道班一般固废收集箱若干，集中收集由物资回收公司综合利用</w:t>
                  </w:r>
                  <w:r>
                    <w:rPr>
                      <w:rFonts w:hint="eastAsia"/>
                      <w:color w:val="auto"/>
                    </w:rPr>
                    <w:t>。</w:t>
                  </w:r>
                </w:p>
              </w:tc>
            </w:tr>
            <w:tr w14:paraId="5756F1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5D9EC8A9">
                  <w:pPr>
                    <w:pStyle w:val="80"/>
                    <w:rPr>
                      <w:color w:val="auto"/>
                    </w:rPr>
                  </w:pPr>
                </w:p>
              </w:tc>
              <w:tc>
                <w:tcPr>
                  <w:tcW w:w="454" w:type="pct"/>
                  <w:vMerge w:val="restart"/>
                  <w:tcBorders>
                    <w:tl2br w:val="nil"/>
                    <w:tr2bl w:val="nil"/>
                  </w:tcBorders>
                  <w:noWrap w:val="0"/>
                  <w:vAlign w:val="center"/>
                </w:tcPr>
                <w:p w14:paraId="6E32775D">
                  <w:pPr>
                    <w:pStyle w:val="80"/>
                    <w:rPr>
                      <w:color w:val="auto"/>
                    </w:rPr>
                  </w:pPr>
                  <w:r>
                    <w:rPr>
                      <w:color w:val="auto"/>
                    </w:rPr>
                    <w:t>噪声</w:t>
                  </w:r>
                </w:p>
              </w:tc>
              <w:tc>
                <w:tcPr>
                  <w:tcW w:w="577" w:type="pct"/>
                  <w:tcBorders>
                    <w:tl2br w:val="nil"/>
                    <w:tr2bl w:val="nil"/>
                  </w:tcBorders>
                  <w:noWrap w:val="0"/>
                  <w:vAlign w:val="center"/>
                </w:tcPr>
                <w:p w14:paraId="7A698B4F">
                  <w:pPr>
                    <w:pStyle w:val="80"/>
                    <w:rPr>
                      <w:color w:val="auto"/>
                    </w:rPr>
                  </w:pPr>
                  <w:r>
                    <w:rPr>
                      <w:color w:val="auto"/>
                    </w:rPr>
                    <w:t>施工期</w:t>
                  </w:r>
                </w:p>
              </w:tc>
              <w:tc>
                <w:tcPr>
                  <w:tcW w:w="3696" w:type="pct"/>
                  <w:gridSpan w:val="5"/>
                  <w:tcBorders>
                    <w:tl2br w:val="nil"/>
                    <w:tr2bl w:val="nil"/>
                  </w:tcBorders>
                  <w:noWrap w:val="0"/>
                  <w:vAlign w:val="center"/>
                </w:tcPr>
                <w:p w14:paraId="0C2A6277">
                  <w:pPr>
                    <w:pStyle w:val="80"/>
                    <w:rPr>
                      <w:color w:val="auto"/>
                    </w:rPr>
                  </w:pPr>
                  <w:r>
                    <w:rPr>
                      <w:color w:val="auto"/>
                    </w:rPr>
                    <w:t>超标敏感点所在路段设置高3m移动式隔声屏障；设备隔声、减振措施</w:t>
                  </w:r>
                  <w:r>
                    <w:rPr>
                      <w:rFonts w:hint="eastAsia"/>
                      <w:color w:val="auto"/>
                    </w:rPr>
                    <w:t>。</w:t>
                  </w:r>
                </w:p>
              </w:tc>
            </w:tr>
            <w:tr w14:paraId="2208315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5F6A4184">
                  <w:pPr>
                    <w:pStyle w:val="80"/>
                    <w:rPr>
                      <w:color w:val="auto"/>
                    </w:rPr>
                  </w:pPr>
                </w:p>
              </w:tc>
              <w:tc>
                <w:tcPr>
                  <w:tcW w:w="454" w:type="pct"/>
                  <w:vMerge w:val="continue"/>
                  <w:tcBorders>
                    <w:tl2br w:val="nil"/>
                    <w:tr2bl w:val="nil"/>
                  </w:tcBorders>
                  <w:noWrap w:val="0"/>
                  <w:vAlign w:val="center"/>
                </w:tcPr>
                <w:p w14:paraId="6C16207A">
                  <w:pPr>
                    <w:pStyle w:val="80"/>
                    <w:rPr>
                      <w:color w:val="auto"/>
                    </w:rPr>
                  </w:pPr>
                </w:p>
              </w:tc>
              <w:tc>
                <w:tcPr>
                  <w:tcW w:w="577" w:type="pct"/>
                  <w:tcBorders>
                    <w:tl2br w:val="nil"/>
                    <w:tr2bl w:val="nil"/>
                  </w:tcBorders>
                  <w:noWrap w:val="0"/>
                  <w:vAlign w:val="center"/>
                </w:tcPr>
                <w:p w14:paraId="4486963E">
                  <w:pPr>
                    <w:pStyle w:val="80"/>
                    <w:rPr>
                      <w:color w:val="auto"/>
                    </w:rPr>
                  </w:pPr>
                  <w:r>
                    <w:rPr>
                      <w:color w:val="auto"/>
                    </w:rPr>
                    <w:t>运营期</w:t>
                  </w:r>
                </w:p>
              </w:tc>
              <w:tc>
                <w:tcPr>
                  <w:tcW w:w="3696" w:type="pct"/>
                  <w:gridSpan w:val="5"/>
                  <w:tcBorders>
                    <w:tl2br w:val="nil"/>
                    <w:tr2bl w:val="nil"/>
                  </w:tcBorders>
                  <w:noWrap w:val="0"/>
                  <w:vAlign w:val="center"/>
                </w:tcPr>
                <w:p w14:paraId="05592401">
                  <w:pPr>
                    <w:pStyle w:val="80"/>
                    <w:rPr>
                      <w:rFonts w:hint="eastAsia"/>
                      <w:color w:val="auto"/>
                    </w:rPr>
                  </w:pPr>
                  <w:r>
                    <w:rPr>
                      <w:rFonts w:hint="eastAsia"/>
                      <w:color w:val="auto"/>
                      <w:lang w:val="en-US" w:eastAsia="zh-CN"/>
                    </w:rPr>
                    <w:t>目前临近道路居民区未安装隔声窗，拟对临路134户超标居民和兴凯湖明德小学安装</w:t>
                  </w:r>
                  <w:r>
                    <w:rPr>
                      <w:rFonts w:hint="default"/>
                      <w:color w:val="auto"/>
                      <w:lang w:val="en-US" w:eastAsia="zh-CN"/>
                    </w:rPr>
                    <w:t>双层中空玻璃窗</w:t>
                  </w:r>
                  <w:r>
                    <w:rPr>
                      <w:rFonts w:hint="eastAsia"/>
                      <w:color w:val="auto"/>
                      <w:lang w:val="en-US" w:eastAsia="zh-CN"/>
                    </w:rPr>
                    <w:t>；</w:t>
                  </w:r>
                  <w:r>
                    <w:rPr>
                      <w:rFonts w:hint="eastAsia"/>
                      <w:color w:val="auto"/>
                    </w:rPr>
                    <w:t>运营期加强管理和跟踪监测，对路面</w:t>
                  </w:r>
                  <w:r>
                    <w:rPr>
                      <w:color w:val="auto"/>
                    </w:rPr>
                    <w:t>及时进行养护与维修</w:t>
                  </w:r>
                  <w:r>
                    <w:rPr>
                      <w:rFonts w:hint="eastAsia"/>
                      <w:color w:val="auto"/>
                    </w:rPr>
                    <w:t>。养护道班</w:t>
                  </w:r>
                  <w:r>
                    <w:rPr>
                      <w:rFonts w:hint="eastAsia"/>
                      <w:color w:val="auto"/>
                      <w:lang w:val="en-US" w:eastAsia="zh-CN"/>
                    </w:rPr>
                    <w:t>水泵</w:t>
                  </w:r>
                  <w:r>
                    <w:rPr>
                      <w:rFonts w:hint="eastAsia"/>
                      <w:color w:val="auto"/>
                    </w:rPr>
                    <w:t>运转产生噪声，采取基础减振</w:t>
                  </w:r>
                  <w:r>
                    <w:rPr>
                      <w:rFonts w:hint="eastAsia"/>
                      <w:color w:val="auto"/>
                      <w:lang w:val="en-US" w:eastAsia="zh-CN"/>
                    </w:rPr>
                    <w:t>措施</w:t>
                  </w:r>
                  <w:r>
                    <w:rPr>
                      <w:rFonts w:hint="eastAsia"/>
                      <w:color w:val="auto"/>
                    </w:rPr>
                    <w:t>。</w:t>
                  </w:r>
                </w:p>
              </w:tc>
            </w:tr>
            <w:tr w14:paraId="7E8B3EC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3C681E6B">
                  <w:pPr>
                    <w:pStyle w:val="80"/>
                    <w:rPr>
                      <w:color w:val="auto"/>
                    </w:rPr>
                  </w:pPr>
                </w:p>
              </w:tc>
              <w:tc>
                <w:tcPr>
                  <w:tcW w:w="454" w:type="pct"/>
                  <w:tcBorders>
                    <w:tl2br w:val="nil"/>
                    <w:tr2bl w:val="nil"/>
                  </w:tcBorders>
                  <w:noWrap w:val="0"/>
                  <w:vAlign w:val="center"/>
                </w:tcPr>
                <w:p w14:paraId="18C5E6C6">
                  <w:pPr>
                    <w:pStyle w:val="80"/>
                    <w:rPr>
                      <w:color w:val="auto"/>
                    </w:rPr>
                  </w:pPr>
                  <w:r>
                    <w:rPr>
                      <w:rFonts w:hint="eastAsia"/>
                      <w:color w:val="auto"/>
                    </w:rPr>
                    <w:t>风险</w:t>
                  </w:r>
                </w:p>
              </w:tc>
              <w:tc>
                <w:tcPr>
                  <w:tcW w:w="577" w:type="pct"/>
                  <w:tcBorders>
                    <w:tl2br w:val="nil"/>
                    <w:tr2bl w:val="nil"/>
                  </w:tcBorders>
                  <w:noWrap w:val="0"/>
                  <w:vAlign w:val="center"/>
                </w:tcPr>
                <w:p w14:paraId="72F6BE65">
                  <w:pPr>
                    <w:pStyle w:val="80"/>
                    <w:rPr>
                      <w:color w:val="auto"/>
                    </w:rPr>
                  </w:pPr>
                  <w:r>
                    <w:rPr>
                      <w:color w:val="auto"/>
                    </w:rPr>
                    <w:t>防撞护栏</w:t>
                  </w:r>
                </w:p>
              </w:tc>
              <w:tc>
                <w:tcPr>
                  <w:tcW w:w="3696" w:type="pct"/>
                  <w:gridSpan w:val="5"/>
                  <w:tcBorders>
                    <w:tl2br w:val="nil"/>
                    <w:tr2bl w:val="nil"/>
                  </w:tcBorders>
                  <w:noWrap w:val="0"/>
                  <w:vAlign w:val="center"/>
                </w:tcPr>
                <w:p w14:paraId="2DF861E7">
                  <w:pPr>
                    <w:pStyle w:val="80"/>
                    <w:rPr>
                      <w:color w:val="auto"/>
                    </w:rPr>
                  </w:pPr>
                  <w:r>
                    <w:rPr>
                      <w:rFonts w:hint="eastAsia"/>
                      <w:color w:val="auto"/>
                    </w:rPr>
                    <w:t>桥梁</w:t>
                  </w:r>
                  <w:r>
                    <w:rPr>
                      <w:rFonts w:hint="eastAsia"/>
                      <w:color w:val="auto"/>
                      <w:lang w:val="en-US" w:eastAsia="zh-CN"/>
                    </w:rPr>
                    <w:t>路面倾斜，</w:t>
                  </w:r>
                  <w:r>
                    <w:rPr>
                      <w:rFonts w:hint="eastAsia"/>
                      <w:color w:val="auto"/>
                    </w:rPr>
                    <w:t>两侧设置</w:t>
                  </w:r>
                  <w:r>
                    <w:rPr>
                      <w:rFonts w:hint="eastAsia"/>
                      <w:color w:val="auto"/>
                      <w:lang w:val="en-US" w:eastAsia="zh-CN"/>
                    </w:rPr>
                    <w:t>加强型</w:t>
                  </w:r>
                  <w:r>
                    <w:rPr>
                      <w:rFonts w:hint="eastAsia"/>
                      <w:color w:val="auto"/>
                    </w:rPr>
                    <w:t>防撞护栏。</w:t>
                  </w:r>
                </w:p>
              </w:tc>
            </w:tr>
            <w:tr w14:paraId="4940FA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458ACC24">
                  <w:pPr>
                    <w:pStyle w:val="80"/>
                    <w:rPr>
                      <w:color w:val="auto"/>
                    </w:rPr>
                  </w:pPr>
                </w:p>
              </w:tc>
              <w:tc>
                <w:tcPr>
                  <w:tcW w:w="454" w:type="pct"/>
                  <w:vMerge w:val="restart"/>
                  <w:tcBorders>
                    <w:tl2br w:val="nil"/>
                    <w:tr2bl w:val="nil"/>
                  </w:tcBorders>
                  <w:noWrap w:val="0"/>
                  <w:vAlign w:val="center"/>
                </w:tcPr>
                <w:p w14:paraId="5F186A36">
                  <w:pPr>
                    <w:pStyle w:val="80"/>
                    <w:rPr>
                      <w:color w:val="auto"/>
                    </w:rPr>
                  </w:pPr>
                  <w:r>
                    <w:rPr>
                      <w:color w:val="auto"/>
                    </w:rPr>
                    <w:t>生态</w:t>
                  </w:r>
                </w:p>
              </w:tc>
              <w:tc>
                <w:tcPr>
                  <w:tcW w:w="577" w:type="pct"/>
                  <w:tcBorders>
                    <w:tl2br w:val="nil"/>
                    <w:tr2bl w:val="nil"/>
                  </w:tcBorders>
                  <w:noWrap w:val="0"/>
                  <w:vAlign w:val="center"/>
                </w:tcPr>
                <w:p w14:paraId="5B017CA0">
                  <w:pPr>
                    <w:pStyle w:val="80"/>
                    <w:rPr>
                      <w:color w:val="auto"/>
                    </w:rPr>
                  </w:pPr>
                  <w:r>
                    <w:rPr>
                      <w:color w:val="auto"/>
                    </w:rPr>
                    <w:t>工程绿化</w:t>
                  </w:r>
                </w:p>
              </w:tc>
              <w:tc>
                <w:tcPr>
                  <w:tcW w:w="3696" w:type="pct"/>
                  <w:gridSpan w:val="5"/>
                  <w:tcBorders>
                    <w:tl2br w:val="nil"/>
                    <w:tr2bl w:val="nil"/>
                  </w:tcBorders>
                  <w:noWrap w:val="0"/>
                  <w:vAlign w:val="center"/>
                </w:tcPr>
                <w:p w14:paraId="621C4D31">
                  <w:pPr>
                    <w:pStyle w:val="80"/>
                    <w:rPr>
                      <w:rFonts w:hint="eastAsia"/>
                      <w:color w:val="auto"/>
                    </w:rPr>
                  </w:pPr>
                  <w:r>
                    <w:rPr>
                      <w:color w:val="auto"/>
                    </w:rPr>
                    <w:t>养护道班空闲地绿化，绿化布置采用草坪为主，辅以花卉，常绿乔灌木等</w:t>
                  </w:r>
                  <w:r>
                    <w:rPr>
                      <w:rFonts w:hint="eastAsia"/>
                      <w:color w:val="auto"/>
                    </w:rPr>
                    <w:t>。</w:t>
                  </w:r>
                </w:p>
              </w:tc>
            </w:tr>
            <w:tr w14:paraId="6BDE8F5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09FE0031">
                  <w:pPr>
                    <w:pStyle w:val="80"/>
                    <w:rPr>
                      <w:color w:val="auto"/>
                    </w:rPr>
                  </w:pPr>
                </w:p>
              </w:tc>
              <w:tc>
                <w:tcPr>
                  <w:tcW w:w="454" w:type="pct"/>
                  <w:vMerge w:val="continue"/>
                  <w:tcBorders>
                    <w:tl2br w:val="nil"/>
                    <w:tr2bl w:val="nil"/>
                  </w:tcBorders>
                  <w:noWrap w:val="0"/>
                  <w:vAlign w:val="center"/>
                </w:tcPr>
                <w:p w14:paraId="3CE8B53A">
                  <w:pPr>
                    <w:pStyle w:val="80"/>
                    <w:rPr>
                      <w:color w:val="auto"/>
                    </w:rPr>
                  </w:pPr>
                </w:p>
              </w:tc>
              <w:tc>
                <w:tcPr>
                  <w:tcW w:w="577" w:type="pct"/>
                  <w:tcBorders>
                    <w:tl2br w:val="nil"/>
                    <w:tr2bl w:val="nil"/>
                  </w:tcBorders>
                  <w:noWrap w:val="0"/>
                  <w:vAlign w:val="center"/>
                </w:tcPr>
                <w:p w14:paraId="4093DF99">
                  <w:pPr>
                    <w:pStyle w:val="80"/>
                    <w:rPr>
                      <w:color w:val="auto"/>
                    </w:rPr>
                  </w:pPr>
                  <w:r>
                    <w:rPr>
                      <w:color w:val="auto"/>
                    </w:rPr>
                    <w:t>临时占地平整及恢复</w:t>
                  </w:r>
                </w:p>
              </w:tc>
              <w:tc>
                <w:tcPr>
                  <w:tcW w:w="3696" w:type="pct"/>
                  <w:gridSpan w:val="5"/>
                  <w:tcBorders>
                    <w:tl2br w:val="nil"/>
                    <w:tr2bl w:val="nil"/>
                  </w:tcBorders>
                  <w:noWrap w:val="0"/>
                  <w:vAlign w:val="center"/>
                </w:tcPr>
                <w:p w14:paraId="187A55CF">
                  <w:pPr>
                    <w:pStyle w:val="80"/>
                    <w:rPr>
                      <w:color w:val="auto"/>
                    </w:rPr>
                  </w:pPr>
                  <w:r>
                    <w:rPr>
                      <w:rFonts w:hint="eastAsia"/>
                      <w:color w:val="auto"/>
                      <w:lang w:val="en-US" w:eastAsia="zh-CN"/>
                    </w:rPr>
                    <w:t>施工生产生活区和沥青混凝土拌合站均为租赁现有工业用地，不涉及拆除恢复</w:t>
                  </w:r>
                  <w:r>
                    <w:rPr>
                      <w:rFonts w:hint="eastAsia"/>
                      <w:color w:val="auto"/>
                    </w:rPr>
                    <w:t>。</w:t>
                  </w:r>
                </w:p>
              </w:tc>
            </w:tr>
            <w:tr w14:paraId="398FB0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70" w:type="pct"/>
                  <w:vMerge w:val="continue"/>
                  <w:tcBorders>
                    <w:tl2br w:val="nil"/>
                    <w:tr2bl w:val="nil"/>
                  </w:tcBorders>
                  <w:noWrap w:val="0"/>
                  <w:vAlign w:val="center"/>
                </w:tcPr>
                <w:p w14:paraId="3597EB5C">
                  <w:pPr>
                    <w:pStyle w:val="80"/>
                    <w:rPr>
                      <w:color w:val="auto"/>
                    </w:rPr>
                  </w:pPr>
                </w:p>
              </w:tc>
              <w:tc>
                <w:tcPr>
                  <w:tcW w:w="454" w:type="pct"/>
                  <w:vMerge w:val="continue"/>
                  <w:tcBorders>
                    <w:tl2br w:val="nil"/>
                    <w:tr2bl w:val="nil"/>
                  </w:tcBorders>
                  <w:noWrap w:val="0"/>
                  <w:vAlign w:val="center"/>
                </w:tcPr>
                <w:p w14:paraId="07C2B43D">
                  <w:pPr>
                    <w:pStyle w:val="80"/>
                    <w:rPr>
                      <w:color w:val="auto"/>
                    </w:rPr>
                  </w:pPr>
                </w:p>
              </w:tc>
              <w:tc>
                <w:tcPr>
                  <w:tcW w:w="577" w:type="pct"/>
                  <w:tcBorders>
                    <w:tl2br w:val="nil"/>
                    <w:tr2bl w:val="nil"/>
                  </w:tcBorders>
                  <w:noWrap w:val="0"/>
                  <w:vAlign w:val="center"/>
                </w:tcPr>
                <w:p w14:paraId="08116566">
                  <w:pPr>
                    <w:pStyle w:val="80"/>
                    <w:rPr>
                      <w:color w:val="auto"/>
                    </w:rPr>
                  </w:pPr>
                  <w:r>
                    <w:rPr>
                      <w:color w:val="auto"/>
                    </w:rPr>
                    <w:t>生态保护红线区</w:t>
                  </w:r>
                </w:p>
              </w:tc>
              <w:tc>
                <w:tcPr>
                  <w:tcW w:w="3696" w:type="pct"/>
                  <w:gridSpan w:val="5"/>
                  <w:tcBorders>
                    <w:tl2br w:val="nil"/>
                    <w:tr2bl w:val="nil"/>
                  </w:tcBorders>
                  <w:noWrap w:val="0"/>
                  <w:vAlign w:val="center"/>
                </w:tcPr>
                <w:p w14:paraId="30A87B46">
                  <w:pPr>
                    <w:pStyle w:val="80"/>
                    <w:rPr>
                      <w:color w:val="auto"/>
                    </w:rPr>
                  </w:pPr>
                  <w:r>
                    <w:rPr>
                      <w:color w:val="auto"/>
                    </w:rPr>
                    <w:t>加强施工期管理，生态保护红线内不设置取（弃）土场、拌合站</w:t>
                  </w:r>
                  <w:r>
                    <w:rPr>
                      <w:rFonts w:hint="eastAsia"/>
                      <w:color w:val="auto"/>
                      <w:lang w:val="en-US" w:eastAsia="zh-CN"/>
                    </w:rPr>
                    <w:t>、生产生活区、施工便道</w:t>
                  </w:r>
                  <w:r>
                    <w:rPr>
                      <w:color w:val="auto"/>
                    </w:rPr>
                    <w:t>等</w:t>
                  </w:r>
                  <w:r>
                    <w:rPr>
                      <w:rFonts w:hint="eastAsia"/>
                      <w:color w:val="auto"/>
                    </w:rPr>
                    <w:t>临时工程</w:t>
                  </w:r>
                  <w:r>
                    <w:rPr>
                      <w:color w:val="auto"/>
                    </w:rPr>
                    <w:t>，控制施工作业带宽度</w:t>
                  </w:r>
                  <w:r>
                    <w:rPr>
                      <w:rFonts w:hint="eastAsia"/>
                      <w:color w:val="auto"/>
                    </w:rPr>
                    <w:t>。</w:t>
                  </w:r>
                </w:p>
              </w:tc>
            </w:tr>
          </w:tbl>
          <w:p w14:paraId="2E51CFD5">
            <w:pPr>
              <w:pStyle w:val="76"/>
              <w:rPr>
                <w:rFonts w:hint="eastAsia"/>
                <w:color w:val="auto"/>
              </w:rPr>
            </w:pPr>
            <w:r>
              <w:rPr>
                <w:rFonts w:hint="eastAsia"/>
                <w:color w:val="auto"/>
              </w:rPr>
              <w:t>2、</w:t>
            </w:r>
            <w:r>
              <w:rPr>
                <w:color w:val="auto"/>
              </w:rPr>
              <w:t>主要技术标准</w:t>
            </w:r>
          </w:p>
          <w:p w14:paraId="11B05071">
            <w:pPr>
              <w:pStyle w:val="76"/>
              <w:rPr>
                <w:color w:val="auto"/>
              </w:rPr>
            </w:pPr>
            <w:r>
              <w:rPr>
                <w:color w:val="auto"/>
              </w:rPr>
              <w:t>本</w:t>
            </w:r>
            <w:r>
              <w:rPr>
                <w:rFonts w:hint="eastAsia"/>
                <w:color w:val="auto"/>
                <w:lang w:val="en-US" w:eastAsia="zh-CN"/>
              </w:rPr>
              <w:t>项目</w:t>
            </w:r>
            <w:r>
              <w:rPr>
                <w:rFonts w:hint="eastAsia"/>
                <w:color w:val="auto"/>
              </w:rPr>
              <w:t>改建段</w:t>
            </w:r>
            <w:r>
              <w:rPr>
                <w:color w:val="auto"/>
              </w:rPr>
              <w:t>主要技术标准</w:t>
            </w:r>
            <w:r>
              <w:rPr>
                <w:rFonts w:hint="eastAsia"/>
                <w:color w:val="auto"/>
              </w:rPr>
              <w:t>一览表详</w:t>
            </w:r>
            <w:r>
              <w:rPr>
                <w:color w:val="auto"/>
              </w:rPr>
              <w:t>见表</w:t>
            </w:r>
            <w:r>
              <w:rPr>
                <w:rFonts w:hint="eastAsia"/>
                <w:color w:val="auto"/>
              </w:rPr>
              <w:t>2-2。</w:t>
            </w:r>
          </w:p>
          <w:p w14:paraId="07807896">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表2-2  主要技术标准一览表</w:t>
            </w:r>
          </w:p>
          <w:tbl>
            <w:tblPr>
              <w:tblStyle w:val="31"/>
              <w:tblW w:w="0" w:type="auto"/>
              <w:tblInd w:w="0" w:type="dxa"/>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396"/>
              <w:gridCol w:w="3094"/>
              <w:gridCol w:w="586"/>
              <w:gridCol w:w="1823"/>
              <w:gridCol w:w="1958"/>
            </w:tblGrid>
            <w:tr w14:paraId="30B35934">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96" w:type="dxa"/>
                  <w:vMerge w:val="restart"/>
                  <w:tcBorders>
                    <w:tl2br w:val="nil"/>
                    <w:tr2bl w:val="nil"/>
                  </w:tcBorders>
                  <w:noWrap w:val="0"/>
                  <w:vAlign w:val="center"/>
                </w:tcPr>
                <w:p w14:paraId="404DCA93">
                  <w:pPr>
                    <w:adjustRightInd w:val="0"/>
                    <w:snapToGrid w:val="0"/>
                    <w:spacing w:line="240" w:lineRule="auto"/>
                    <w:jc w:val="center"/>
                    <w:rPr>
                      <w:color w:val="auto"/>
                      <w:kern w:val="21"/>
                      <w:sz w:val="21"/>
                      <w:szCs w:val="21"/>
                    </w:rPr>
                  </w:pPr>
                  <w:r>
                    <w:rPr>
                      <w:color w:val="auto"/>
                      <w:kern w:val="21"/>
                      <w:sz w:val="21"/>
                      <w:szCs w:val="21"/>
                    </w:rPr>
                    <w:t>序号</w:t>
                  </w:r>
                </w:p>
              </w:tc>
              <w:tc>
                <w:tcPr>
                  <w:tcW w:w="3094" w:type="dxa"/>
                  <w:vMerge w:val="restart"/>
                  <w:tcBorders>
                    <w:tl2br w:val="nil"/>
                    <w:tr2bl w:val="nil"/>
                  </w:tcBorders>
                  <w:noWrap w:val="0"/>
                  <w:vAlign w:val="center"/>
                </w:tcPr>
                <w:p w14:paraId="5B51F60A">
                  <w:pPr>
                    <w:adjustRightInd w:val="0"/>
                    <w:snapToGrid w:val="0"/>
                    <w:spacing w:line="240" w:lineRule="auto"/>
                    <w:jc w:val="center"/>
                    <w:rPr>
                      <w:color w:val="auto"/>
                      <w:kern w:val="21"/>
                      <w:sz w:val="21"/>
                      <w:szCs w:val="21"/>
                    </w:rPr>
                  </w:pPr>
                  <w:r>
                    <w:rPr>
                      <w:color w:val="auto"/>
                      <w:kern w:val="21"/>
                      <w:sz w:val="21"/>
                      <w:szCs w:val="21"/>
                    </w:rPr>
                    <w:t>指标</w:t>
                  </w:r>
                </w:p>
              </w:tc>
              <w:tc>
                <w:tcPr>
                  <w:tcW w:w="586" w:type="dxa"/>
                  <w:vMerge w:val="restart"/>
                  <w:tcBorders>
                    <w:tl2br w:val="nil"/>
                    <w:tr2bl w:val="nil"/>
                  </w:tcBorders>
                  <w:noWrap w:val="0"/>
                  <w:vAlign w:val="center"/>
                </w:tcPr>
                <w:p w14:paraId="605F1B0C">
                  <w:pPr>
                    <w:adjustRightInd w:val="0"/>
                    <w:snapToGrid w:val="0"/>
                    <w:spacing w:line="240" w:lineRule="auto"/>
                    <w:jc w:val="center"/>
                    <w:rPr>
                      <w:color w:val="auto"/>
                      <w:kern w:val="21"/>
                      <w:sz w:val="21"/>
                      <w:szCs w:val="21"/>
                    </w:rPr>
                  </w:pPr>
                  <w:r>
                    <w:rPr>
                      <w:color w:val="auto"/>
                      <w:kern w:val="21"/>
                      <w:sz w:val="21"/>
                      <w:szCs w:val="21"/>
                    </w:rPr>
                    <w:t>单位</w:t>
                  </w:r>
                </w:p>
              </w:tc>
              <w:tc>
                <w:tcPr>
                  <w:tcW w:w="3781" w:type="dxa"/>
                  <w:gridSpan w:val="2"/>
                  <w:tcBorders>
                    <w:tl2br w:val="nil"/>
                    <w:tr2bl w:val="nil"/>
                  </w:tcBorders>
                  <w:noWrap w:val="0"/>
                  <w:vAlign w:val="center"/>
                </w:tcPr>
                <w:p w14:paraId="4776F3EA">
                  <w:pPr>
                    <w:adjustRightInd w:val="0"/>
                    <w:snapToGrid w:val="0"/>
                    <w:spacing w:line="240" w:lineRule="auto"/>
                    <w:jc w:val="center"/>
                    <w:rPr>
                      <w:color w:val="auto"/>
                      <w:kern w:val="21"/>
                      <w:sz w:val="21"/>
                      <w:szCs w:val="21"/>
                    </w:rPr>
                  </w:pPr>
                  <w:r>
                    <w:rPr>
                      <w:color w:val="auto"/>
                      <w:kern w:val="21"/>
                      <w:sz w:val="21"/>
                      <w:szCs w:val="21"/>
                    </w:rPr>
                    <w:t>技术标准</w:t>
                  </w:r>
                </w:p>
              </w:tc>
            </w:tr>
            <w:tr w14:paraId="441E9B66">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vMerge w:val="continue"/>
                  <w:tcBorders>
                    <w:tl2br w:val="nil"/>
                    <w:tr2bl w:val="nil"/>
                  </w:tcBorders>
                  <w:noWrap w:val="0"/>
                  <w:vAlign w:val="center"/>
                </w:tcPr>
                <w:p w14:paraId="056E53CD">
                  <w:pPr>
                    <w:adjustRightInd w:val="0"/>
                    <w:snapToGrid w:val="0"/>
                    <w:spacing w:line="240" w:lineRule="auto"/>
                    <w:jc w:val="center"/>
                    <w:rPr>
                      <w:color w:val="auto"/>
                      <w:kern w:val="21"/>
                      <w:sz w:val="21"/>
                      <w:szCs w:val="21"/>
                    </w:rPr>
                  </w:pPr>
                </w:p>
              </w:tc>
              <w:tc>
                <w:tcPr>
                  <w:tcW w:w="3094" w:type="dxa"/>
                  <w:vMerge w:val="continue"/>
                  <w:tcBorders>
                    <w:tl2br w:val="nil"/>
                    <w:tr2bl w:val="nil"/>
                  </w:tcBorders>
                  <w:noWrap w:val="0"/>
                  <w:vAlign w:val="center"/>
                </w:tcPr>
                <w:p w14:paraId="4AE72E7B">
                  <w:pPr>
                    <w:adjustRightInd w:val="0"/>
                    <w:snapToGrid w:val="0"/>
                    <w:spacing w:line="240" w:lineRule="auto"/>
                    <w:jc w:val="center"/>
                    <w:rPr>
                      <w:rFonts w:hint="eastAsia"/>
                      <w:color w:val="auto"/>
                      <w:kern w:val="21"/>
                      <w:sz w:val="21"/>
                      <w:szCs w:val="21"/>
                    </w:rPr>
                  </w:pPr>
                </w:p>
              </w:tc>
              <w:tc>
                <w:tcPr>
                  <w:tcW w:w="586" w:type="dxa"/>
                  <w:vMerge w:val="continue"/>
                  <w:tcBorders>
                    <w:tl2br w:val="nil"/>
                    <w:tr2bl w:val="nil"/>
                  </w:tcBorders>
                  <w:noWrap w:val="0"/>
                  <w:vAlign w:val="center"/>
                </w:tcPr>
                <w:p w14:paraId="7030C88E">
                  <w:pPr>
                    <w:adjustRightInd w:val="0"/>
                    <w:snapToGrid w:val="0"/>
                    <w:spacing w:line="240" w:lineRule="auto"/>
                    <w:jc w:val="center"/>
                    <w:rPr>
                      <w:color w:val="auto"/>
                      <w:kern w:val="21"/>
                      <w:sz w:val="21"/>
                      <w:szCs w:val="21"/>
                    </w:rPr>
                  </w:pPr>
                </w:p>
              </w:tc>
              <w:tc>
                <w:tcPr>
                  <w:tcW w:w="1823" w:type="dxa"/>
                  <w:tcBorders>
                    <w:tl2br w:val="nil"/>
                    <w:tr2bl w:val="nil"/>
                  </w:tcBorders>
                  <w:noWrap w:val="0"/>
                  <w:vAlign w:val="center"/>
                </w:tcPr>
                <w:p w14:paraId="7E1CE1A7">
                  <w:pPr>
                    <w:pStyle w:val="80"/>
                    <w:outlineLvl w:val="9"/>
                    <w:rPr>
                      <w:rFonts w:hint="eastAsia" w:eastAsia="宋体"/>
                      <w:b w:val="0"/>
                      <w:bCs/>
                      <w:color w:val="auto"/>
                      <w:lang w:val="en-US" w:eastAsia="zh-CN"/>
                    </w:rPr>
                  </w:pPr>
                  <w:r>
                    <w:rPr>
                      <w:rFonts w:hint="eastAsia" w:eastAsia="宋体"/>
                      <w:b w:val="0"/>
                      <w:bCs/>
                      <w:color w:val="auto"/>
                      <w:lang w:val="en-US" w:eastAsia="zh-CN"/>
                    </w:rPr>
                    <w:t>K370+000～K370+630</w:t>
                  </w:r>
                </w:p>
              </w:tc>
              <w:tc>
                <w:tcPr>
                  <w:tcW w:w="1958" w:type="dxa"/>
                  <w:tcBorders>
                    <w:tl2br w:val="nil"/>
                    <w:tr2bl w:val="nil"/>
                  </w:tcBorders>
                  <w:noWrap w:val="0"/>
                  <w:vAlign w:val="center"/>
                </w:tcPr>
                <w:p w14:paraId="1B057905">
                  <w:pPr>
                    <w:pStyle w:val="80"/>
                    <w:outlineLvl w:val="9"/>
                    <w:rPr>
                      <w:rFonts w:hint="eastAsia" w:eastAsia="宋体"/>
                      <w:b w:val="0"/>
                      <w:bCs/>
                      <w:color w:val="auto"/>
                      <w:lang w:val="en-US" w:eastAsia="zh-CN"/>
                    </w:rPr>
                  </w:pPr>
                  <w:r>
                    <w:rPr>
                      <w:rFonts w:hint="eastAsia" w:eastAsia="宋体"/>
                      <w:b w:val="0"/>
                      <w:bCs/>
                      <w:color w:val="auto"/>
                      <w:lang w:val="en-US" w:eastAsia="zh-CN"/>
                    </w:rPr>
                    <w:t>K370+630～K414+953.7</w:t>
                  </w:r>
                </w:p>
              </w:tc>
            </w:tr>
            <w:tr w14:paraId="5D585A2D">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2EB970A6">
                  <w:pPr>
                    <w:adjustRightInd w:val="0"/>
                    <w:snapToGrid w:val="0"/>
                    <w:spacing w:line="240" w:lineRule="auto"/>
                    <w:jc w:val="center"/>
                    <w:rPr>
                      <w:color w:val="auto"/>
                      <w:kern w:val="21"/>
                      <w:sz w:val="21"/>
                      <w:szCs w:val="21"/>
                    </w:rPr>
                  </w:pPr>
                  <w:r>
                    <w:rPr>
                      <w:color w:val="auto"/>
                      <w:kern w:val="21"/>
                      <w:sz w:val="21"/>
                      <w:szCs w:val="21"/>
                    </w:rPr>
                    <w:t>1</w:t>
                  </w:r>
                </w:p>
              </w:tc>
              <w:tc>
                <w:tcPr>
                  <w:tcW w:w="3094" w:type="dxa"/>
                  <w:tcBorders>
                    <w:tl2br w:val="nil"/>
                    <w:tr2bl w:val="nil"/>
                  </w:tcBorders>
                  <w:noWrap w:val="0"/>
                  <w:vAlign w:val="center"/>
                </w:tcPr>
                <w:p w14:paraId="3179265A">
                  <w:pPr>
                    <w:adjustRightInd w:val="0"/>
                    <w:snapToGrid w:val="0"/>
                    <w:spacing w:line="240" w:lineRule="auto"/>
                    <w:jc w:val="center"/>
                    <w:rPr>
                      <w:rFonts w:hint="eastAsia"/>
                      <w:color w:val="auto"/>
                      <w:kern w:val="21"/>
                      <w:sz w:val="21"/>
                      <w:szCs w:val="21"/>
                    </w:rPr>
                  </w:pPr>
                  <w:r>
                    <w:rPr>
                      <w:rFonts w:hint="eastAsia"/>
                      <w:color w:val="auto"/>
                      <w:kern w:val="21"/>
                      <w:sz w:val="21"/>
                      <w:szCs w:val="21"/>
                    </w:rPr>
                    <w:t>公路等级</w:t>
                  </w:r>
                </w:p>
              </w:tc>
              <w:tc>
                <w:tcPr>
                  <w:tcW w:w="586" w:type="dxa"/>
                  <w:tcBorders>
                    <w:tl2br w:val="nil"/>
                    <w:tr2bl w:val="nil"/>
                  </w:tcBorders>
                  <w:noWrap w:val="0"/>
                  <w:vAlign w:val="center"/>
                </w:tcPr>
                <w:p w14:paraId="56864665">
                  <w:pPr>
                    <w:adjustRightInd w:val="0"/>
                    <w:snapToGrid w:val="0"/>
                    <w:spacing w:line="240" w:lineRule="auto"/>
                    <w:jc w:val="center"/>
                    <w:rPr>
                      <w:color w:val="auto"/>
                      <w:kern w:val="21"/>
                      <w:sz w:val="21"/>
                      <w:szCs w:val="21"/>
                    </w:rPr>
                  </w:pPr>
                </w:p>
              </w:tc>
              <w:tc>
                <w:tcPr>
                  <w:tcW w:w="1823" w:type="dxa"/>
                  <w:tcBorders>
                    <w:tl2br w:val="nil"/>
                    <w:tr2bl w:val="nil"/>
                  </w:tcBorders>
                  <w:noWrap w:val="0"/>
                  <w:vAlign w:val="center"/>
                </w:tcPr>
                <w:p w14:paraId="7EB92FB8">
                  <w:pPr>
                    <w:pStyle w:val="80"/>
                    <w:rPr>
                      <w:rFonts w:hint="eastAsia"/>
                      <w:color w:val="auto"/>
                    </w:rPr>
                  </w:pPr>
                  <w:r>
                    <w:rPr>
                      <w:rFonts w:hint="eastAsia"/>
                      <w:color w:val="auto"/>
                    </w:rPr>
                    <w:t>二级</w:t>
                  </w:r>
                </w:p>
              </w:tc>
              <w:tc>
                <w:tcPr>
                  <w:tcW w:w="1958" w:type="dxa"/>
                  <w:tcBorders>
                    <w:tl2br w:val="nil"/>
                    <w:tr2bl w:val="nil"/>
                  </w:tcBorders>
                  <w:noWrap w:val="0"/>
                  <w:vAlign w:val="center"/>
                </w:tcPr>
                <w:p w14:paraId="3319C0C7">
                  <w:pPr>
                    <w:pStyle w:val="80"/>
                    <w:rPr>
                      <w:rFonts w:hint="eastAsia"/>
                      <w:color w:val="auto"/>
                    </w:rPr>
                  </w:pPr>
                  <w:r>
                    <w:rPr>
                      <w:rFonts w:hint="eastAsia"/>
                      <w:color w:val="auto"/>
                    </w:rPr>
                    <w:t>二级</w:t>
                  </w:r>
                </w:p>
              </w:tc>
            </w:tr>
            <w:tr w14:paraId="384B377B">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4F5A93F9">
                  <w:pPr>
                    <w:adjustRightInd w:val="0"/>
                    <w:snapToGrid w:val="0"/>
                    <w:spacing w:line="240" w:lineRule="auto"/>
                    <w:jc w:val="center"/>
                    <w:rPr>
                      <w:color w:val="auto"/>
                      <w:kern w:val="21"/>
                      <w:sz w:val="21"/>
                      <w:szCs w:val="21"/>
                    </w:rPr>
                  </w:pPr>
                  <w:r>
                    <w:rPr>
                      <w:color w:val="auto"/>
                      <w:kern w:val="21"/>
                      <w:sz w:val="21"/>
                      <w:szCs w:val="21"/>
                    </w:rPr>
                    <w:t>2</w:t>
                  </w:r>
                </w:p>
              </w:tc>
              <w:tc>
                <w:tcPr>
                  <w:tcW w:w="3094" w:type="dxa"/>
                  <w:tcBorders>
                    <w:tl2br w:val="nil"/>
                    <w:tr2bl w:val="nil"/>
                  </w:tcBorders>
                  <w:noWrap w:val="0"/>
                  <w:vAlign w:val="center"/>
                </w:tcPr>
                <w:p w14:paraId="56DC95CA">
                  <w:pPr>
                    <w:adjustRightInd w:val="0"/>
                    <w:snapToGrid w:val="0"/>
                    <w:spacing w:line="240" w:lineRule="auto"/>
                    <w:jc w:val="center"/>
                    <w:rPr>
                      <w:rFonts w:hint="eastAsia"/>
                      <w:color w:val="auto"/>
                      <w:kern w:val="21"/>
                      <w:sz w:val="21"/>
                      <w:szCs w:val="21"/>
                    </w:rPr>
                  </w:pPr>
                  <w:r>
                    <w:rPr>
                      <w:rFonts w:hint="eastAsia"/>
                      <w:color w:val="auto"/>
                      <w:kern w:val="21"/>
                      <w:sz w:val="21"/>
                      <w:szCs w:val="21"/>
                    </w:rPr>
                    <w:t>路线长度</w:t>
                  </w:r>
                </w:p>
              </w:tc>
              <w:tc>
                <w:tcPr>
                  <w:tcW w:w="586" w:type="dxa"/>
                  <w:tcBorders>
                    <w:tl2br w:val="nil"/>
                    <w:tr2bl w:val="nil"/>
                  </w:tcBorders>
                  <w:noWrap w:val="0"/>
                  <w:vAlign w:val="center"/>
                </w:tcPr>
                <w:p w14:paraId="42C3D722">
                  <w:pPr>
                    <w:adjustRightInd w:val="0"/>
                    <w:snapToGrid w:val="0"/>
                    <w:spacing w:line="240" w:lineRule="auto"/>
                    <w:jc w:val="center"/>
                    <w:rPr>
                      <w:color w:val="auto"/>
                      <w:kern w:val="21"/>
                      <w:sz w:val="21"/>
                      <w:szCs w:val="21"/>
                    </w:rPr>
                  </w:pPr>
                  <w:r>
                    <w:rPr>
                      <w:rFonts w:hint="eastAsia"/>
                      <w:color w:val="auto"/>
                      <w:kern w:val="21"/>
                      <w:sz w:val="21"/>
                      <w:szCs w:val="21"/>
                    </w:rPr>
                    <w:t>km</w:t>
                  </w:r>
                </w:p>
              </w:tc>
              <w:tc>
                <w:tcPr>
                  <w:tcW w:w="1823" w:type="dxa"/>
                  <w:tcBorders>
                    <w:tl2br w:val="nil"/>
                    <w:tr2bl w:val="nil"/>
                  </w:tcBorders>
                  <w:noWrap w:val="0"/>
                  <w:vAlign w:val="center"/>
                </w:tcPr>
                <w:p w14:paraId="70DB90BB">
                  <w:pPr>
                    <w:pStyle w:val="80"/>
                    <w:rPr>
                      <w:rFonts w:hint="default" w:eastAsia="宋体"/>
                      <w:color w:val="auto"/>
                      <w:lang w:val="en-US" w:eastAsia="zh-CN"/>
                    </w:rPr>
                  </w:pPr>
                  <w:r>
                    <w:rPr>
                      <w:rFonts w:hint="eastAsia"/>
                      <w:color w:val="auto"/>
                      <w:lang w:val="en-US" w:eastAsia="zh-CN"/>
                    </w:rPr>
                    <w:t>0.630</w:t>
                  </w:r>
                </w:p>
              </w:tc>
              <w:tc>
                <w:tcPr>
                  <w:tcW w:w="1958" w:type="dxa"/>
                  <w:tcBorders>
                    <w:tl2br w:val="nil"/>
                    <w:tr2bl w:val="nil"/>
                  </w:tcBorders>
                  <w:noWrap w:val="0"/>
                  <w:vAlign w:val="center"/>
                </w:tcPr>
                <w:p w14:paraId="7383075A">
                  <w:pPr>
                    <w:pStyle w:val="80"/>
                    <w:rPr>
                      <w:rFonts w:hint="default" w:eastAsia="宋体"/>
                      <w:color w:val="auto"/>
                      <w:lang w:val="en-US" w:eastAsia="zh-CN"/>
                    </w:rPr>
                  </w:pPr>
                  <w:r>
                    <w:rPr>
                      <w:rFonts w:hint="eastAsia"/>
                      <w:color w:val="auto"/>
                      <w:lang w:val="en-US" w:eastAsia="zh-CN"/>
                    </w:rPr>
                    <w:t>44.3237</w:t>
                  </w:r>
                </w:p>
              </w:tc>
            </w:tr>
            <w:tr w14:paraId="1B8DF130">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70D9361D">
                  <w:pPr>
                    <w:adjustRightInd w:val="0"/>
                    <w:snapToGrid w:val="0"/>
                    <w:spacing w:line="240" w:lineRule="auto"/>
                    <w:jc w:val="center"/>
                    <w:rPr>
                      <w:color w:val="auto"/>
                      <w:kern w:val="21"/>
                      <w:sz w:val="21"/>
                      <w:szCs w:val="21"/>
                    </w:rPr>
                  </w:pPr>
                  <w:r>
                    <w:rPr>
                      <w:color w:val="auto"/>
                      <w:kern w:val="21"/>
                      <w:sz w:val="21"/>
                      <w:szCs w:val="21"/>
                    </w:rPr>
                    <w:t>3</w:t>
                  </w:r>
                </w:p>
              </w:tc>
              <w:tc>
                <w:tcPr>
                  <w:tcW w:w="3094" w:type="dxa"/>
                  <w:tcBorders>
                    <w:tl2br w:val="nil"/>
                    <w:tr2bl w:val="nil"/>
                  </w:tcBorders>
                  <w:noWrap w:val="0"/>
                  <w:vAlign w:val="center"/>
                </w:tcPr>
                <w:p w14:paraId="2A5AA229">
                  <w:pPr>
                    <w:adjustRightInd w:val="0"/>
                    <w:snapToGrid w:val="0"/>
                    <w:spacing w:line="240" w:lineRule="auto"/>
                    <w:jc w:val="center"/>
                    <w:rPr>
                      <w:color w:val="auto"/>
                      <w:kern w:val="21"/>
                      <w:sz w:val="21"/>
                      <w:szCs w:val="21"/>
                    </w:rPr>
                  </w:pPr>
                  <w:r>
                    <w:rPr>
                      <w:color w:val="auto"/>
                      <w:kern w:val="21"/>
                      <w:sz w:val="21"/>
                      <w:szCs w:val="21"/>
                    </w:rPr>
                    <w:t>设计速度</w:t>
                  </w:r>
                </w:p>
              </w:tc>
              <w:tc>
                <w:tcPr>
                  <w:tcW w:w="586" w:type="dxa"/>
                  <w:tcBorders>
                    <w:tl2br w:val="nil"/>
                    <w:tr2bl w:val="nil"/>
                  </w:tcBorders>
                  <w:noWrap w:val="0"/>
                  <w:vAlign w:val="center"/>
                </w:tcPr>
                <w:p w14:paraId="171690F2">
                  <w:pPr>
                    <w:adjustRightInd w:val="0"/>
                    <w:snapToGrid w:val="0"/>
                    <w:spacing w:line="240" w:lineRule="auto"/>
                    <w:jc w:val="center"/>
                    <w:rPr>
                      <w:color w:val="auto"/>
                      <w:kern w:val="21"/>
                      <w:sz w:val="21"/>
                      <w:szCs w:val="21"/>
                    </w:rPr>
                  </w:pPr>
                  <w:r>
                    <w:rPr>
                      <w:color w:val="auto"/>
                      <w:kern w:val="21"/>
                      <w:sz w:val="21"/>
                      <w:szCs w:val="21"/>
                    </w:rPr>
                    <w:t>km/h</w:t>
                  </w:r>
                </w:p>
              </w:tc>
              <w:tc>
                <w:tcPr>
                  <w:tcW w:w="1823" w:type="dxa"/>
                  <w:tcBorders>
                    <w:tl2br w:val="nil"/>
                    <w:tr2bl w:val="nil"/>
                  </w:tcBorders>
                  <w:noWrap w:val="0"/>
                  <w:vAlign w:val="center"/>
                </w:tcPr>
                <w:p w14:paraId="3E89A4F4">
                  <w:pPr>
                    <w:adjustRightInd w:val="0"/>
                    <w:snapToGrid w:val="0"/>
                    <w:spacing w:line="240" w:lineRule="auto"/>
                    <w:jc w:val="center"/>
                    <w:rPr>
                      <w:color w:val="auto"/>
                      <w:kern w:val="21"/>
                      <w:sz w:val="21"/>
                      <w:szCs w:val="21"/>
                    </w:rPr>
                  </w:pPr>
                  <w:r>
                    <w:rPr>
                      <w:rFonts w:hint="eastAsia"/>
                      <w:color w:val="auto"/>
                      <w:kern w:val="21"/>
                      <w:sz w:val="21"/>
                      <w:szCs w:val="21"/>
                    </w:rPr>
                    <w:t>6</w:t>
                  </w:r>
                  <w:r>
                    <w:rPr>
                      <w:color w:val="auto"/>
                      <w:kern w:val="21"/>
                      <w:sz w:val="21"/>
                      <w:szCs w:val="21"/>
                    </w:rPr>
                    <w:t>0</w:t>
                  </w:r>
                </w:p>
              </w:tc>
              <w:tc>
                <w:tcPr>
                  <w:tcW w:w="1958" w:type="dxa"/>
                  <w:tcBorders>
                    <w:tl2br w:val="nil"/>
                    <w:tr2bl w:val="nil"/>
                  </w:tcBorders>
                  <w:noWrap w:val="0"/>
                  <w:vAlign w:val="center"/>
                </w:tcPr>
                <w:p w14:paraId="3E2D4A19">
                  <w:pPr>
                    <w:adjustRightInd w:val="0"/>
                    <w:snapToGrid w:val="0"/>
                    <w:spacing w:line="240" w:lineRule="auto"/>
                    <w:jc w:val="center"/>
                    <w:rPr>
                      <w:color w:val="auto"/>
                      <w:kern w:val="21"/>
                      <w:sz w:val="21"/>
                      <w:szCs w:val="21"/>
                    </w:rPr>
                  </w:pPr>
                  <w:r>
                    <w:rPr>
                      <w:rFonts w:hint="eastAsia"/>
                      <w:color w:val="auto"/>
                      <w:kern w:val="21"/>
                      <w:sz w:val="21"/>
                      <w:szCs w:val="21"/>
                      <w:lang w:val="en-US" w:eastAsia="zh-CN"/>
                    </w:rPr>
                    <w:t>6</w:t>
                  </w:r>
                  <w:r>
                    <w:rPr>
                      <w:color w:val="auto"/>
                      <w:kern w:val="21"/>
                      <w:sz w:val="21"/>
                      <w:szCs w:val="21"/>
                    </w:rPr>
                    <w:t>0</w:t>
                  </w:r>
                </w:p>
              </w:tc>
            </w:tr>
            <w:tr w14:paraId="38CC70E6">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1A69D52B">
                  <w:pPr>
                    <w:adjustRightInd w:val="0"/>
                    <w:snapToGrid w:val="0"/>
                    <w:spacing w:line="240" w:lineRule="auto"/>
                    <w:jc w:val="center"/>
                    <w:rPr>
                      <w:color w:val="auto"/>
                      <w:kern w:val="21"/>
                      <w:sz w:val="21"/>
                      <w:szCs w:val="21"/>
                    </w:rPr>
                  </w:pPr>
                  <w:r>
                    <w:rPr>
                      <w:color w:val="auto"/>
                      <w:kern w:val="21"/>
                      <w:sz w:val="21"/>
                      <w:szCs w:val="21"/>
                    </w:rPr>
                    <w:t>4</w:t>
                  </w:r>
                </w:p>
              </w:tc>
              <w:tc>
                <w:tcPr>
                  <w:tcW w:w="3094" w:type="dxa"/>
                  <w:tcBorders>
                    <w:tl2br w:val="nil"/>
                    <w:tr2bl w:val="nil"/>
                  </w:tcBorders>
                  <w:noWrap w:val="0"/>
                  <w:vAlign w:val="center"/>
                </w:tcPr>
                <w:p w14:paraId="5245DEC8">
                  <w:pPr>
                    <w:adjustRightInd w:val="0"/>
                    <w:snapToGrid w:val="0"/>
                    <w:spacing w:line="240" w:lineRule="auto"/>
                    <w:jc w:val="center"/>
                    <w:rPr>
                      <w:color w:val="auto"/>
                      <w:kern w:val="21"/>
                      <w:sz w:val="21"/>
                      <w:szCs w:val="21"/>
                    </w:rPr>
                  </w:pPr>
                  <w:r>
                    <w:rPr>
                      <w:color w:val="auto"/>
                      <w:kern w:val="21"/>
                      <w:sz w:val="21"/>
                      <w:szCs w:val="21"/>
                    </w:rPr>
                    <w:t>路基宽度</w:t>
                  </w:r>
                </w:p>
              </w:tc>
              <w:tc>
                <w:tcPr>
                  <w:tcW w:w="586" w:type="dxa"/>
                  <w:tcBorders>
                    <w:tl2br w:val="nil"/>
                    <w:tr2bl w:val="nil"/>
                  </w:tcBorders>
                  <w:noWrap w:val="0"/>
                  <w:vAlign w:val="center"/>
                </w:tcPr>
                <w:p w14:paraId="7E47106C">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4D5D8561">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rPr>
                    <w:t>1</w:t>
                  </w:r>
                  <w:r>
                    <w:rPr>
                      <w:rFonts w:hint="eastAsia"/>
                      <w:color w:val="auto"/>
                      <w:kern w:val="21"/>
                      <w:sz w:val="21"/>
                      <w:szCs w:val="21"/>
                      <w:lang w:val="en-US" w:eastAsia="zh-CN"/>
                    </w:rPr>
                    <w:t>6.5</w:t>
                  </w:r>
                </w:p>
              </w:tc>
              <w:tc>
                <w:tcPr>
                  <w:tcW w:w="1958" w:type="dxa"/>
                  <w:tcBorders>
                    <w:tl2br w:val="nil"/>
                    <w:tr2bl w:val="nil"/>
                  </w:tcBorders>
                  <w:noWrap w:val="0"/>
                  <w:vAlign w:val="center"/>
                </w:tcPr>
                <w:p w14:paraId="55C82A8D">
                  <w:pPr>
                    <w:adjustRightInd w:val="0"/>
                    <w:snapToGrid w:val="0"/>
                    <w:spacing w:line="240" w:lineRule="auto"/>
                    <w:jc w:val="center"/>
                    <w:rPr>
                      <w:color w:val="auto"/>
                      <w:kern w:val="21"/>
                      <w:sz w:val="21"/>
                      <w:szCs w:val="21"/>
                    </w:rPr>
                  </w:pPr>
                  <w:r>
                    <w:rPr>
                      <w:rFonts w:hint="eastAsia"/>
                      <w:color w:val="auto"/>
                      <w:kern w:val="21"/>
                      <w:sz w:val="21"/>
                      <w:szCs w:val="21"/>
                    </w:rPr>
                    <w:t>1</w:t>
                  </w:r>
                  <w:r>
                    <w:rPr>
                      <w:color w:val="auto"/>
                      <w:kern w:val="21"/>
                      <w:sz w:val="21"/>
                      <w:szCs w:val="21"/>
                    </w:rPr>
                    <w:t>2</w:t>
                  </w:r>
                </w:p>
              </w:tc>
            </w:tr>
            <w:tr w14:paraId="5509A339">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77594094">
                  <w:pPr>
                    <w:adjustRightInd w:val="0"/>
                    <w:snapToGrid w:val="0"/>
                    <w:spacing w:line="240" w:lineRule="auto"/>
                    <w:jc w:val="center"/>
                    <w:rPr>
                      <w:color w:val="auto"/>
                      <w:kern w:val="21"/>
                      <w:sz w:val="21"/>
                      <w:szCs w:val="21"/>
                    </w:rPr>
                  </w:pPr>
                  <w:r>
                    <w:rPr>
                      <w:color w:val="auto"/>
                      <w:kern w:val="21"/>
                      <w:sz w:val="21"/>
                      <w:szCs w:val="21"/>
                    </w:rPr>
                    <w:t>5</w:t>
                  </w:r>
                </w:p>
              </w:tc>
              <w:tc>
                <w:tcPr>
                  <w:tcW w:w="3094" w:type="dxa"/>
                  <w:tcBorders>
                    <w:tl2br w:val="nil"/>
                    <w:tr2bl w:val="nil"/>
                  </w:tcBorders>
                  <w:noWrap w:val="0"/>
                  <w:vAlign w:val="center"/>
                </w:tcPr>
                <w:p w14:paraId="13F1C95A">
                  <w:pPr>
                    <w:adjustRightInd w:val="0"/>
                    <w:snapToGrid w:val="0"/>
                    <w:spacing w:line="240" w:lineRule="auto"/>
                    <w:jc w:val="center"/>
                    <w:rPr>
                      <w:color w:val="auto"/>
                      <w:kern w:val="21"/>
                      <w:sz w:val="21"/>
                      <w:szCs w:val="21"/>
                    </w:rPr>
                  </w:pPr>
                  <w:r>
                    <w:rPr>
                      <w:color w:val="auto"/>
                      <w:kern w:val="21"/>
                      <w:sz w:val="21"/>
                      <w:szCs w:val="21"/>
                    </w:rPr>
                    <w:t>车道宽度</w:t>
                  </w:r>
                </w:p>
              </w:tc>
              <w:tc>
                <w:tcPr>
                  <w:tcW w:w="586" w:type="dxa"/>
                  <w:tcBorders>
                    <w:tl2br w:val="nil"/>
                    <w:tr2bl w:val="nil"/>
                  </w:tcBorders>
                  <w:noWrap w:val="0"/>
                  <w:vAlign w:val="center"/>
                </w:tcPr>
                <w:p w14:paraId="22E3CF87">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37748031">
                  <w:pPr>
                    <w:adjustRightInd w:val="0"/>
                    <w:snapToGrid w:val="0"/>
                    <w:spacing w:line="240" w:lineRule="auto"/>
                    <w:jc w:val="center"/>
                    <w:rPr>
                      <w:rFonts w:hint="eastAsia" w:eastAsia="宋体"/>
                      <w:color w:val="auto"/>
                      <w:kern w:val="21"/>
                      <w:sz w:val="21"/>
                      <w:szCs w:val="21"/>
                      <w:lang w:eastAsia="zh-CN"/>
                    </w:rPr>
                  </w:pPr>
                  <w:r>
                    <w:rPr>
                      <w:color w:val="auto"/>
                      <w:kern w:val="21"/>
                      <w:sz w:val="21"/>
                      <w:szCs w:val="21"/>
                    </w:rPr>
                    <w:t>2×3.</w:t>
                  </w:r>
                  <w:r>
                    <w:rPr>
                      <w:rFonts w:hint="eastAsia"/>
                      <w:color w:val="auto"/>
                      <w:kern w:val="21"/>
                      <w:sz w:val="21"/>
                      <w:szCs w:val="21"/>
                      <w:lang w:val="en-US" w:eastAsia="zh-CN"/>
                    </w:rPr>
                    <w:t>5</w:t>
                  </w:r>
                </w:p>
              </w:tc>
              <w:tc>
                <w:tcPr>
                  <w:tcW w:w="1958" w:type="dxa"/>
                  <w:tcBorders>
                    <w:tl2br w:val="nil"/>
                    <w:tr2bl w:val="nil"/>
                  </w:tcBorders>
                  <w:noWrap w:val="0"/>
                  <w:vAlign w:val="center"/>
                </w:tcPr>
                <w:p w14:paraId="19AE6608">
                  <w:pPr>
                    <w:adjustRightInd w:val="0"/>
                    <w:snapToGrid w:val="0"/>
                    <w:spacing w:line="240" w:lineRule="auto"/>
                    <w:jc w:val="center"/>
                    <w:rPr>
                      <w:color w:val="auto"/>
                      <w:kern w:val="21"/>
                      <w:sz w:val="21"/>
                      <w:szCs w:val="21"/>
                    </w:rPr>
                  </w:pPr>
                  <w:r>
                    <w:rPr>
                      <w:color w:val="auto"/>
                      <w:kern w:val="21"/>
                      <w:sz w:val="21"/>
                      <w:szCs w:val="21"/>
                    </w:rPr>
                    <w:t>2×3.</w:t>
                  </w:r>
                  <w:r>
                    <w:rPr>
                      <w:rFonts w:hint="eastAsia"/>
                      <w:color w:val="auto"/>
                      <w:kern w:val="21"/>
                      <w:sz w:val="21"/>
                      <w:szCs w:val="21"/>
                    </w:rPr>
                    <w:t>75</w:t>
                  </w:r>
                </w:p>
              </w:tc>
            </w:tr>
            <w:tr w14:paraId="6D496059">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6CE4225A">
                  <w:pPr>
                    <w:adjustRightInd w:val="0"/>
                    <w:snapToGrid w:val="0"/>
                    <w:spacing w:line="240" w:lineRule="auto"/>
                    <w:jc w:val="center"/>
                    <w:rPr>
                      <w:color w:val="auto"/>
                      <w:kern w:val="21"/>
                      <w:sz w:val="21"/>
                      <w:szCs w:val="21"/>
                    </w:rPr>
                  </w:pPr>
                  <w:r>
                    <w:rPr>
                      <w:color w:val="auto"/>
                      <w:kern w:val="21"/>
                      <w:sz w:val="21"/>
                      <w:szCs w:val="21"/>
                    </w:rPr>
                    <w:t>6</w:t>
                  </w:r>
                </w:p>
              </w:tc>
              <w:tc>
                <w:tcPr>
                  <w:tcW w:w="3094" w:type="dxa"/>
                  <w:tcBorders>
                    <w:tl2br w:val="nil"/>
                    <w:tr2bl w:val="nil"/>
                  </w:tcBorders>
                  <w:noWrap w:val="0"/>
                  <w:vAlign w:val="center"/>
                </w:tcPr>
                <w:p w14:paraId="0A9BB402">
                  <w:pPr>
                    <w:adjustRightInd w:val="0"/>
                    <w:snapToGrid w:val="0"/>
                    <w:spacing w:line="240" w:lineRule="auto"/>
                    <w:jc w:val="center"/>
                    <w:rPr>
                      <w:color w:val="auto"/>
                      <w:kern w:val="21"/>
                      <w:sz w:val="21"/>
                      <w:szCs w:val="21"/>
                    </w:rPr>
                  </w:pPr>
                  <w:r>
                    <w:rPr>
                      <w:color w:val="auto"/>
                      <w:kern w:val="21"/>
                      <w:sz w:val="21"/>
                      <w:szCs w:val="21"/>
                    </w:rPr>
                    <w:t>土路肩宽度</w:t>
                  </w:r>
                </w:p>
              </w:tc>
              <w:tc>
                <w:tcPr>
                  <w:tcW w:w="586" w:type="dxa"/>
                  <w:tcBorders>
                    <w:tl2br w:val="nil"/>
                    <w:tr2bl w:val="nil"/>
                  </w:tcBorders>
                  <w:noWrap w:val="0"/>
                  <w:vAlign w:val="center"/>
                </w:tcPr>
                <w:p w14:paraId="1C1D7F5E">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246F2BE6">
                  <w:pPr>
                    <w:adjustRightInd w:val="0"/>
                    <w:snapToGrid w:val="0"/>
                    <w:spacing w:line="240" w:lineRule="auto"/>
                    <w:jc w:val="center"/>
                    <w:rPr>
                      <w:color w:val="auto"/>
                      <w:kern w:val="21"/>
                      <w:sz w:val="21"/>
                      <w:szCs w:val="21"/>
                    </w:rPr>
                  </w:pPr>
                  <w:r>
                    <w:rPr>
                      <w:color w:val="auto"/>
                      <w:kern w:val="21"/>
                      <w:sz w:val="21"/>
                      <w:szCs w:val="21"/>
                    </w:rPr>
                    <w:t>2×0.</w:t>
                  </w:r>
                  <w:r>
                    <w:rPr>
                      <w:rFonts w:hint="eastAsia"/>
                      <w:color w:val="auto"/>
                      <w:kern w:val="21"/>
                      <w:sz w:val="21"/>
                      <w:szCs w:val="21"/>
                    </w:rPr>
                    <w:t>75</w:t>
                  </w:r>
                </w:p>
              </w:tc>
              <w:tc>
                <w:tcPr>
                  <w:tcW w:w="1958" w:type="dxa"/>
                  <w:tcBorders>
                    <w:tl2br w:val="nil"/>
                    <w:tr2bl w:val="nil"/>
                  </w:tcBorders>
                  <w:noWrap w:val="0"/>
                  <w:vAlign w:val="center"/>
                </w:tcPr>
                <w:p w14:paraId="64268A04">
                  <w:pPr>
                    <w:adjustRightInd w:val="0"/>
                    <w:snapToGrid w:val="0"/>
                    <w:spacing w:line="240" w:lineRule="auto"/>
                    <w:jc w:val="center"/>
                    <w:rPr>
                      <w:color w:val="auto"/>
                      <w:kern w:val="21"/>
                      <w:sz w:val="21"/>
                      <w:szCs w:val="21"/>
                    </w:rPr>
                  </w:pPr>
                  <w:r>
                    <w:rPr>
                      <w:color w:val="auto"/>
                      <w:kern w:val="21"/>
                      <w:sz w:val="21"/>
                      <w:szCs w:val="21"/>
                    </w:rPr>
                    <w:t>2×0.</w:t>
                  </w:r>
                  <w:r>
                    <w:rPr>
                      <w:rFonts w:hint="eastAsia"/>
                      <w:color w:val="auto"/>
                      <w:kern w:val="21"/>
                      <w:sz w:val="21"/>
                      <w:szCs w:val="21"/>
                    </w:rPr>
                    <w:t>75</w:t>
                  </w:r>
                </w:p>
              </w:tc>
            </w:tr>
            <w:tr w14:paraId="0D0F2364">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1BF16A44">
                  <w:pPr>
                    <w:adjustRightInd w:val="0"/>
                    <w:snapToGrid w:val="0"/>
                    <w:spacing w:line="240" w:lineRule="auto"/>
                    <w:jc w:val="center"/>
                    <w:rPr>
                      <w:color w:val="auto"/>
                      <w:kern w:val="21"/>
                      <w:sz w:val="21"/>
                      <w:szCs w:val="21"/>
                    </w:rPr>
                  </w:pPr>
                  <w:r>
                    <w:rPr>
                      <w:color w:val="auto"/>
                      <w:kern w:val="21"/>
                      <w:sz w:val="21"/>
                      <w:szCs w:val="21"/>
                    </w:rPr>
                    <w:t>7</w:t>
                  </w:r>
                </w:p>
              </w:tc>
              <w:tc>
                <w:tcPr>
                  <w:tcW w:w="3094" w:type="dxa"/>
                  <w:tcBorders>
                    <w:tl2br w:val="nil"/>
                    <w:tr2bl w:val="nil"/>
                  </w:tcBorders>
                  <w:noWrap w:val="0"/>
                  <w:vAlign w:val="center"/>
                </w:tcPr>
                <w:p w14:paraId="7147B94B">
                  <w:pPr>
                    <w:adjustRightInd w:val="0"/>
                    <w:snapToGrid w:val="0"/>
                    <w:spacing w:line="240" w:lineRule="auto"/>
                    <w:jc w:val="center"/>
                    <w:rPr>
                      <w:color w:val="auto"/>
                      <w:kern w:val="21"/>
                      <w:sz w:val="21"/>
                      <w:szCs w:val="21"/>
                    </w:rPr>
                  </w:pPr>
                  <w:r>
                    <w:rPr>
                      <w:rFonts w:hint="eastAsia"/>
                      <w:color w:val="auto"/>
                      <w:kern w:val="21"/>
                      <w:sz w:val="21"/>
                      <w:szCs w:val="21"/>
                    </w:rPr>
                    <w:t>硬路肩宽度</w:t>
                  </w:r>
                </w:p>
              </w:tc>
              <w:tc>
                <w:tcPr>
                  <w:tcW w:w="586" w:type="dxa"/>
                  <w:tcBorders>
                    <w:tl2br w:val="nil"/>
                    <w:tr2bl w:val="nil"/>
                  </w:tcBorders>
                  <w:noWrap w:val="0"/>
                  <w:vAlign w:val="center"/>
                </w:tcPr>
                <w:p w14:paraId="7E8AECD4">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702F8CF2">
                  <w:pPr>
                    <w:adjustRightInd w:val="0"/>
                    <w:snapToGrid w:val="0"/>
                    <w:spacing w:line="240" w:lineRule="auto"/>
                    <w:jc w:val="center"/>
                    <w:rPr>
                      <w:rFonts w:hint="default" w:eastAsia="宋体"/>
                      <w:color w:val="auto"/>
                      <w:kern w:val="21"/>
                      <w:sz w:val="21"/>
                      <w:szCs w:val="21"/>
                      <w:lang w:val="en-US" w:eastAsia="zh-CN"/>
                    </w:rPr>
                  </w:pPr>
                  <w:r>
                    <w:rPr>
                      <w:color w:val="auto"/>
                      <w:kern w:val="21"/>
                      <w:sz w:val="21"/>
                      <w:szCs w:val="21"/>
                    </w:rPr>
                    <w:t>2×</w:t>
                  </w:r>
                  <w:r>
                    <w:rPr>
                      <w:rFonts w:hint="eastAsia"/>
                      <w:color w:val="auto"/>
                      <w:kern w:val="21"/>
                      <w:sz w:val="21"/>
                      <w:szCs w:val="21"/>
                      <w:lang w:val="en-US" w:eastAsia="zh-CN"/>
                    </w:rPr>
                    <w:t>0.25</w:t>
                  </w:r>
                </w:p>
              </w:tc>
              <w:tc>
                <w:tcPr>
                  <w:tcW w:w="1958" w:type="dxa"/>
                  <w:tcBorders>
                    <w:tl2br w:val="nil"/>
                    <w:tr2bl w:val="nil"/>
                  </w:tcBorders>
                  <w:noWrap w:val="0"/>
                  <w:vAlign w:val="center"/>
                </w:tcPr>
                <w:p w14:paraId="766CC2BA">
                  <w:pPr>
                    <w:adjustRightInd w:val="0"/>
                    <w:snapToGrid w:val="0"/>
                    <w:spacing w:line="240" w:lineRule="auto"/>
                    <w:jc w:val="center"/>
                    <w:rPr>
                      <w:color w:val="auto"/>
                      <w:kern w:val="21"/>
                      <w:sz w:val="21"/>
                      <w:szCs w:val="21"/>
                    </w:rPr>
                  </w:pPr>
                  <w:r>
                    <w:rPr>
                      <w:color w:val="auto"/>
                      <w:kern w:val="21"/>
                      <w:sz w:val="21"/>
                      <w:szCs w:val="21"/>
                    </w:rPr>
                    <w:t>2×1.</w:t>
                  </w:r>
                  <w:r>
                    <w:rPr>
                      <w:rFonts w:hint="eastAsia"/>
                      <w:color w:val="auto"/>
                      <w:kern w:val="21"/>
                      <w:sz w:val="21"/>
                      <w:szCs w:val="21"/>
                    </w:rPr>
                    <w:t>5</w:t>
                  </w:r>
                </w:p>
              </w:tc>
            </w:tr>
            <w:tr w14:paraId="1B306E1F">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23B7C2FB">
                  <w:pPr>
                    <w:adjustRightInd w:val="0"/>
                    <w:snapToGrid w:val="0"/>
                    <w:spacing w:line="240" w:lineRule="auto"/>
                    <w:jc w:val="center"/>
                    <w:rPr>
                      <w:color w:val="auto"/>
                      <w:kern w:val="21"/>
                      <w:sz w:val="21"/>
                      <w:szCs w:val="21"/>
                    </w:rPr>
                  </w:pPr>
                  <w:r>
                    <w:rPr>
                      <w:color w:val="auto"/>
                      <w:kern w:val="21"/>
                      <w:sz w:val="21"/>
                      <w:szCs w:val="21"/>
                    </w:rPr>
                    <w:t>8</w:t>
                  </w:r>
                </w:p>
              </w:tc>
              <w:tc>
                <w:tcPr>
                  <w:tcW w:w="3094" w:type="dxa"/>
                  <w:tcBorders>
                    <w:tl2br w:val="nil"/>
                    <w:tr2bl w:val="nil"/>
                  </w:tcBorders>
                  <w:noWrap w:val="0"/>
                  <w:vAlign w:val="center"/>
                </w:tcPr>
                <w:p w14:paraId="4CD3DB3A">
                  <w:pPr>
                    <w:adjustRightInd w:val="0"/>
                    <w:snapToGrid w:val="0"/>
                    <w:spacing w:line="240" w:lineRule="auto"/>
                    <w:jc w:val="center"/>
                    <w:rPr>
                      <w:rFonts w:hint="eastAsia"/>
                      <w:color w:val="auto"/>
                      <w:kern w:val="21"/>
                      <w:sz w:val="21"/>
                      <w:szCs w:val="21"/>
                    </w:rPr>
                  </w:pPr>
                  <w:r>
                    <w:rPr>
                      <w:rFonts w:hint="eastAsia"/>
                      <w:color w:val="auto"/>
                      <w:kern w:val="21"/>
                      <w:sz w:val="21"/>
                      <w:szCs w:val="21"/>
                    </w:rPr>
                    <w:t>圆曲线（最大超高6%）最小半径一般值</w:t>
                  </w:r>
                </w:p>
              </w:tc>
              <w:tc>
                <w:tcPr>
                  <w:tcW w:w="586" w:type="dxa"/>
                  <w:tcBorders>
                    <w:tl2br w:val="nil"/>
                    <w:tr2bl w:val="nil"/>
                  </w:tcBorders>
                  <w:noWrap w:val="0"/>
                  <w:vAlign w:val="center"/>
                </w:tcPr>
                <w:p w14:paraId="127F51B3">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71BAE998">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90</w:t>
                  </w:r>
                </w:p>
              </w:tc>
              <w:tc>
                <w:tcPr>
                  <w:tcW w:w="1958" w:type="dxa"/>
                  <w:tcBorders>
                    <w:tl2br w:val="nil"/>
                    <w:tr2bl w:val="nil"/>
                  </w:tcBorders>
                  <w:noWrap w:val="0"/>
                  <w:vAlign w:val="center"/>
                </w:tcPr>
                <w:p w14:paraId="105C1DAF">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90</w:t>
                  </w:r>
                </w:p>
              </w:tc>
            </w:tr>
            <w:tr w14:paraId="50116BFB">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7FE03780">
                  <w:pPr>
                    <w:adjustRightInd w:val="0"/>
                    <w:snapToGrid w:val="0"/>
                    <w:spacing w:line="240" w:lineRule="auto"/>
                    <w:jc w:val="center"/>
                    <w:rPr>
                      <w:rFonts w:hint="eastAsia" w:eastAsia="宋体"/>
                      <w:color w:val="auto"/>
                      <w:kern w:val="21"/>
                      <w:sz w:val="21"/>
                      <w:szCs w:val="21"/>
                      <w:lang w:eastAsia="zh-CN"/>
                    </w:rPr>
                  </w:pPr>
                  <w:r>
                    <w:rPr>
                      <w:rFonts w:hint="eastAsia"/>
                      <w:color w:val="auto"/>
                      <w:kern w:val="21"/>
                      <w:sz w:val="21"/>
                      <w:szCs w:val="21"/>
                      <w:lang w:val="en-US" w:eastAsia="zh-CN"/>
                    </w:rPr>
                    <w:t>9</w:t>
                  </w:r>
                </w:p>
              </w:tc>
              <w:tc>
                <w:tcPr>
                  <w:tcW w:w="3094" w:type="dxa"/>
                  <w:tcBorders>
                    <w:tl2br w:val="nil"/>
                    <w:tr2bl w:val="nil"/>
                  </w:tcBorders>
                  <w:noWrap w:val="0"/>
                  <w:vAlign w:val="center"/>
                </w:tcPr>
                <w:p w14:paraId="361CEFA9">
                  <w:pPr>
                    <w:adjustRightInd w:val="0"/>
                    <w:snapToGrid w:val="0"/>
                    <w:spacing w:line="240" w:lineRule="auto"/>
                    <w:jc w:val="center"/>
                    <w:rPr>
                      <w:rFonts w:hint="eastAsia"/>
                      <w:color w:val="auto"/>
                      <w:kern w:val="21"/>
                      <w:sz w:val="21"/>
                      <w:szCs w:val="21"/>
                    </w:rPr>
                  </w:pPr>
                  <w:r>
                    <w:rPr>
                      <w:rFonts w:hint="eastAsia"/>
                      <w:color w:val="auto"/>
                      <w:kern w:val="21"/>
                      <w:sz w:val="21"/>
                      <w:szCs w:val="21"/>
                    </w:rPr>
                    <w:t>不设超高的圆曲线最小半径</w:t>
                  </w:r>
                </w:p>
              </w:tc>
              <w:tc>
                <w:tcPr>
                  <w:tcW w:w="586" w:type="dxa"/>
                  <w:tcBorders>
                    <w:tl2br w:val="nil"/>
                    <w:tr2bl w:val="nil"/>
                  </w:tcBorders>
                  <w:noWrap w:val="0"/>
                  <w:vAlign w:val="center"/>
                </w:tcPr>
                <w:p w14:paraId="0DF3AD98">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6229FEEE">
                  <w:pPr>
                    <w:adjustRightInd w:val="0"/>
                    <w:snapToGrid w:val="0"/>
                    <w:spacing w:line="240" w:lineRule="auto"/>
                    <w:jc w:val="center"/>
                    <w:rPr>
                      <w:color w:val="auto"/>
                      <w:kern w:val="21"/>
                      <w:sz w:val="21"/>
                      <w:szCs w:val="21"/>
                    </w:rPr>
                  </w:pPr>
                  <w:r>
                    <w:rPr>
                      <w:rFonts w:hint="eastAsia"/>
                      <w:color w:val="auto"/>
                      <w:kern w:val="21"/>
                      <w:sz w:val="21"/>
                      <w:szCs w:val="21"/>
                      <w:lang w:val="en-US" w:eastAsia="zh-CN"/>
                    </w:rPr>
                    <w:t>1</w:t>
                  </w:r>
                  <w:r>
                    <w:rPr>
                      <w:color w:val="auto"/>
                      <w:kern w:val="21"/>
                      <w:sz w:val="21"/>
                      <w:szCs w:val="21"/>
                    </w:rPr>
                    <w:t>500</w:t>
                  </w:r>
                </w:p>
              </w:tc>
              <w:tc>
                <w:tcPr>
                  <w:tcW w:w="1958" w:type="dxa"/>
                  <w:tcBorders>
                    <w:tl2br w:val="nil"/>
                    <w:tr2bl w:val="nil"/>
                  </w:tcBorders>
                  <w:noWrap w:val="0"/>
                  <w:vAlign w:val="center"/>
                </w:tcPr>
                <w:p w14:paraId="00B8529E">
                  <w:pPr>
                    <w:adjustRightInd w:val="0"/>
                    <w:snapToGrid w:val="0"/>
                    <w:spacing w:line="240" w:lineRule="auto"/>
                    <w:jc w:val="center"/>
                    <w:rPr>
                      <w:color w:val="auto"/>
                      <w:kern w:val="21"/>
                      <w:sz w:val="21"/>
                      <w:szCs w:val="21"/>
                    </w:rPr>
                  </w:pPr>
                  <w:r>
                    <w:rPr>
                      <w:rFonts w:hint="eastAsia"/>
                      <w:color w:val="auto"/>
                      <w:kern w:val="21"/>
                      <w:sz w:val="21"/>
                      <w:szCs w:val="21"/>
                      <w:lang w:val="en-US" w:eastAsia="zh-CN"/>
                    </w:rPr>
                    <w:t>1</w:t>
                  </w:r>
                  <w:r>
                    <w:rPr>
                      <w:color w:val="auto"/>
                      <w:kern w:val="21"/>
                      <w:sz w:val="21"/>
                      <w:szCs w:val="21"/>
                    </w:rPr>
                    <w:t>500</w:t>
                  </w:r>
                </w:p>
              </w:tc>
            </w:tr>
            <w:tr w14:paraId="746203FE">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PrEx>
              <w:trPr>
                <w:trHeight w:val="340" w:hRule="atLeast"/>
              </w:trPr>
              <w:tc>
                <w:tcPr>
                  <w:tcW w:w="396" w:type="dxa"/>
                  <w:tcBorders>
                    <w:tl2br w:val="nil"/>
                    <w:tr2bl w:val="nil"/>
                  </w:tcBorders>
                  <w:noWrap w:val="0"/>
                  <w:vAlign w:val="center"/>
                </w:tcPr>
                <w:p w14:paraId="244A7662">
                  <w:pPr>
                    <w:adjustRightInd w:val="0"/>
                    <w:snapToGrid w:val="0"/>
                    <w:spacing w:line="240" w:lineRule="auto"/>
                    <w:jc w:val="center"/>
                    <w:rPr>
                      <w:rFonts w:hint="eastAsia" w:eastAsia="宋体"/>
                      <w:color w:val="auto"/>
                      <w:kern w:val="21"/>
                      <w:sz w:val="21"/>
                      <w:szCs w:val="21"/>
                      <w:lang w:eastAsia="zh-CN"/>
                    </w:rPr>
                  </w:pPr>
                  <w:r>
                    <w:rPr>
                      <w:color w:val="auto"/>
                      <w:kern w:val="21"/>
                      <w:sz w:val="21"/>
                      <w:szCs w:val="21"/>
                    </w:rPr>
                    <w:t>1</w:t>
                  </w:r>
                  <w:r>
                    <w:rPr>
                      <w:rFonts w:hint="eastAsia"/>
                      <w:color w:val="auto"/>
                      <w:kern w:val="21"/>
                      <w:sz w:val="21"/>
                      <w:szCs w:val="21"/>
                      <w:lang w:val="en-US" w:eastAsia="zh-CN"/>
                    </w:rPr>
                    <w:t>0</w:t>
                  </w:r>
                </w:p>
              </w:tc>
              <w:tc>
                <w:tcPr>
                  <w:tcW w:w="3094" w:type="dxa"/>
                  <w:tcBorders>
                    <w:tl2br w:val="nil"/>
                    <w:tr2bl w:val="nil"/>
                  </w:tcBorders>
                  <w:noWrap w:val="0"/>
                  <w:vAlign w:val="center"/>
                </w:tcPr>
                <w:p w14:paraId="1192B6A9">
                  <w:pPr>
                    <w:adjustRightInd w:val="0"/>
                    <w:snapToGrid w:val="0"/>
                    <w:spacing w:line="240" w:lineRule="auto"/>
                    <w:jc w:val="center"/>
                    <w:rPr>
                      <w:rFonts w:hint="eastAsia"/>
                      <w:color w:val="auto"/>
                      <w:kern w:val="21"/>
                      <w:sz w:val="21"/>
                      <w:szCs w:val="21"/>
                    </w:rPr>
                  </w:pPr>
                  <w:r>
                    <w:rPr>
                      <w:rFonts w:hint="eastAsia"/>
                      <w:color w:val="auto"/>
                      <w:kern w:val="21"/>
                      <w:sz w:val="21"/>
                      <w:szCs w:val="21"/>
                    </w:rPr>
                    <w:t>停车视距</w:t>
                  </w:r>
                </w:p>
              </w:tc>
              <w:tc>
                <w:tcPr>
                  <w:tcW w:w="586" w:type="dxa"/>
                  <w:tcBorders>
                    <w:tl2br w:val="nil"/>
                    <w:tr2bl w:val="nil"/>
                  </w:tcBorders>
                  <w:noWrap w:val="0"/>
                  <w:vAlign w:val="center"/>
                </w:tcPr>
                <w:p w14:paraId="75197293">
                  <w:pPr>
                    <w:adjustRightInd w:val="0"/>
                    <w:snapToGrid w:val="0"/>
                    <w:spacing w:line="240" w:lineRule="auto"/>
                    <w:jc w:val="center"/>
                    <w:rPr>
                      <w:color w:val="auto"/>
                      <w:kern w:val="21"/>
                      <w:sz w:val="21"/>
                      <w:szCs w:val="21"/>
                    </w:rPr>
                  </w:pPr>
                  <w:r>
                    <w:rPr>
                      <w:rFonts w:hint="eastAsia"/>
                      <w:color w:val="auto"/>
                      <w:kern w:val="21"/>
                      <w:sz w:val="21"/>
                      <w:szCs w:val="21"/>
                    </w:rPr>
                    <w:t>m</w:t>
                  </w:r>
                </w:p>
              </w:tc>
              <w:tc>
                <w:tcPr>
                  <w:tcW w:w="1823" w:type="dxa"/>
                  <w:tcBorders>
                    <w:tl2br w:val="nil"/>
                    <w:tr2bl w:val="nil"/>
                  </w:tcBorders>
                  <w:noWrap w:val="0"/>
                  <w:vAlign w:val="center"/>
                </w:tcPr>
                <w:p w14:paraId="3B4DABE4">
                  <w:pPr>
                    <w:adjustRightInd w:val="0"/>
                    <w:snapToGrid w:val="0"/>
                    <w:spacing w:line="240" w:lineRule="auto"/>
                    <w:jc w:val="center"/>
                    <w:rPr>
                      <w:color w:val="auto"/>
                      <w:kern w:val="21"/>
                      <w:sz w:val="21"/>
                      <w:szCs w:val="21"/>
                    </w:rPr>
                  </w:pPr>
                  <w:r>
                    <w:rPr>
                      <w:rFonts w:hint="eastAsia"/>
                      <w:color w:val="auto"/>
                      <w:kern w:val="21"/>
                      <w:sz w:val="21"/>
                      <w:szCs w:val="21"/>
                      <w:lang w:val="en-US" w:eastAsia="zh-CN"/>
                    </w:rPr>
                    <w:t>7</w:t>
                  </w:r>
                  <w:r>
                    <w:rPr>
                      <w:color w:val="auto"/>
                      <w:kern w:val="21"/>
                      <w:sz w:val="21"/>
                      <w:szCs w:val="21"/>
                    </w:rPr>
                    <w:t>5</w:t>
                  </w:r>
                </w:p>
              </w:tc>
              <w:tc>
                <w:tcPr>
                  <w:tcW w:w="1958" w:type="dxa"/>
                  <w:tcBorders>
                    <w:tl2br w:val="nil"/>
                    <w:tr2bl w:val="nil"/>
                  </w:tcBorders>
                  <w:noWrap w:val="0"/>
                  <w:vAlign w:val="center"/>
                </w:tcPr>
                <w:p w14:paraId="3C18711E">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75</w:t>
                  </w:r>
                </w:p>
              </w:tc>
            </w:tr>
            <w:tr w14:paraId="4E59E390">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130E1F31">
                  <w:pPr>
                    <w:adjustRightInd w:val="0"/>
                    <w:snapToGrid w:val="0"/>
                    <w:spacing w:line="240" w:lineRule="auto"/>
                    <w:jc w:val="center"/>
                    <w:rPr>
                      <w:rFonts w:hint="eastAsia" w:eastAsia="宋体"/>
                      <w:color w:val="auto"/>
                      <w:kern w:val="21"/>
                      <w:sz w:val="21"/>
                      <w:szCs w:val="21"/>
                      <w:lang w:eastAsia="zh-CN"/>
                    </w:rPr>
                  </w:pPr>
                  <w:r>
                    <w:rPr>
                      <w:rFonts w:hint="eastAsia"/>
                      <w:color w:val="auto"/>
                      <w:kern w:val="21"/>
                      <w:sz w:val="21"/>
                      <w:szCs w:val="21"/>
                    </w:rPr>
                    <w:t>1</w:t>
                  </w:r>
                  <w:r>
                    <w:rPr>
                      <w:rFonts w:hint="eastAsia"/>
                      <w:color w:val="auto"/>
                      <w:kern w:val="21"/>
                      <w:sz w:val="21"/>
                      <w:szCs w:val="21"/>
                      <w:lang w:val="en-US" w:eastAsia="zh-CN"/>
                    </w:rPr>
                    <w:t>1</w:t>
                  </w:r>
                </w:p>
              </w:tc>
              <w:tc>
                <w:tcPr>
                  <w:tcW w:w="3094" w:type="dxa"/>
                  <w:tcBorders>
                    <w:tl2br w:val="nil"/>
                    <w:tr2bl w:val="nil"/>
                  </w:tcBorders>
                  <w:noWrap w:val="0"/>
                  <w:vAlign w:val="center"/>
                </w:tcPr>
                <w:p w14:paraId="1CC0CDE0">
                  <w:pPr>
                    <w:adjustRightInd w:val="0"/>
                    <w:snapToGrid w:val="0"/>
                    <w:spacing w:line="240" w:lineRule="auto"/>
                    <w:jc w:val="center"/>
                    <w:rPr>
                      <w:color w:val="auto"/>
                      <w:kern w:val="21"/>
                      <w:sz w:val="21"/>
                      <w:szCs w:val="21"/>
                    </w:rPr>
                  </w:pPr>
                  <w:r>
                    <w:rPr>
                      <w:color w:val="auto"/>
                      <w:kern w:val="21"/>
                      <w:sz w:val="21"/>
                      <w:szCs w:val="21"/>
                    </w:rPr>
                    <w:t>最大纵坡</w:t>
                  </w:r>
                </w:p>
              </w:tc>
              <w:tc>
                <w:tcPr>
                  <w:tcW w:w="586" w:type="dxa"/>
                  <w:tcBorders>
                    <w:tl2br w:val="nil"/>
                    <w:tr2bl w:val="nil"/>
                  </w:tcBorders>
                  <w:noWrap w:val="0"/>
                  <w:vAlign w:val="center"/>
                </w:tcPr>
                <w:p w14:paraId="3E27BE91">
                  <w:pPr>
                    <w:adjustRightInd w:val="0"/>
                    <w:snapToGrid w:val="0"/>
                    <w:spacing w:line="240" w:lineRule="auto"/>
                    <w:jc w:val="center"/>
                    <w:rPr>
                      <w:color w:val="auto"/>
                      <w:kern w:val="21"/>
                      <w:sz w:val="21"/>
                      <w:szCs w:val="21"/>
                    </w:rPr>
                  </w:pPr>
                  <w:r>
                    <w:rPr>
                      <w:color w:val="auto"/>
                      <w:kern w:val="21"/>
                      <w:sz w:val="21"/>
                      <w:szCs w:val="21"/>
                    </w:rPr>
                    <w:t>%</w:t>
                  </w:r>
                </w:p>
              </w:tc>
              <w:tc>
                <w:tcPr>
                  <w:tcW w:w="1823" w:type="dxa"/>
                  <w:tcBorders>
                    <w:tl2br w:val="nil"/>
                    <w:tr2bl w:val="nil"/>
                  </w:tcBorders>
                  <w:noWrap w:val="0"/>
                  <w:vAlign w:val="center"/>
                </w:tcPr>
                <w:p w14:paraId="7056DC27">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5.483</w:t>
                  </w:r>
                </w:p>
              </w:tc>
              <w:tc>
                <w:tcPr>
                  <w:tcW w:w="1958" w:type="dxa"/>
                  <w:tcBorders>
                    <w:tl2br w:val="nil"/>
                    <w:tr2bl w:val="nil"/>
                  </w:tcBorders>
                  <w:noWrap w:val="0"/>
                  <w:vAlign w:val="center"/>
                </w:tcPr>
                <w:p w14:paraId="7F8E2198">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5.483</w:t>
                  </w:r>
                </w:p>
              </w:tc>
            </w:tr>
            <w:tr w14:paraId="1987AF56">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62DD5A26">
                  <w:pPr>
                    <w:adjustRightInd w:val="0"/>
                    <w:snapToGrid w:val="0"/>
                    <w:spacing w:line="240" w:lineRule="auto"/>
                    <w:jc w:val="center"/>
                    <w:rPr>
                      <w:rFonts w:hint="eastAsia" w:eastAsia="宋体"/>
                      <w:color w:val="auto"/>
                      <w:kern w:val="21"/>
                      <w:sz w:val="21"/>
                      <w:szCs w:val="21"/>
                      <w:lang w:eastAsia="zh-CN"/>
                    </w:rPr>
                  </w:pPr>
                  <w:r>
                    <w:rPr>
                      <w:rFonts w:hint="eastAsia"/>
                      <w:color w:val="auto"/>
                      <w:kern w:val="21"/>
                      <w:sz w:val="21"/>
                      <w:szCs w:val="21"/>
                    </w:rPr>
                    <w:t>1</w:t>
                  </w:r>
                  <w:r>
                    <w:rPr>
                      <w:rFonts w:hint="eastAsia"/>
                      <w:color w:val="auto"/>
                      <w:kern w:val="21"/>
                      <w:sz w:val="21"/>
                      <w:szCs w:val="21"/>
                      <w:lang w:val="en-US" w:eastAsia="zh-CN"/>
                    </w:rPr>
                    <w:t>2</w:t>
                  </w:r>
                </w:p>
              </w:tc>
              <w:tc>
                <w:tcPr>
                  <w:tcW w:w="3094" w:type="dxa"/>
                  <w:tcBorders>
                    <w:tl2br w:val="nil"/>
                    <w:tr2bl w:val="nil"/>
                  </w:tcBorders>
                  <w:noWrap w:val="0"/>
                  <w:vAlign w:val="center"/>
                </w:tcPr>
                <w:p w14:paraId="64194459">
                  <w:pPr>
                    <w:adjustRightInd w:val="0"/>
                    <w:snapToGrid w:val="0"/>
                    <w:spacing w:line="240" w:lineRule="auto"/>
                    <w:jc w:val="center"/>
                    <w:rPr>
                      <w:rFonts w:hint="eastAsia"/>
                      <w:color w:val="auto"/>
                      <w:kern w:val="21"/>
                      <w:sz w:val="21"/>
                      <w:szCs w:val="21"/>
                    </w:rPr>
                  </w:pPr>
                  <w:r>
                    <w:rPr>
                      <w:rFonts w:hint="eastAsia"/>
                      <w:color w:val="auto"/>
                      <w:kern w:val="21"/>
                      <w:sz w:val="21"/>
                      <w:szCs w:val="21"/>
                    </w:rPr>
                    <w:t>竖曲线最小半径凸型</w:t>
                  </w:r>
                </w:p>
              </w:tc>
              <w:tc>
                <w:tcPr>
                  <w:tcW w:w="586" w:type="dxa"/>
                  <w:tcBorders>
                    <w:tl2br w:val="nil"/>
                    <w:tr2bl w:val="nil"/>
                  </w:tcBorders>
                  <w:noWrap w:val="0"/>
                  <w:vAlign w:val="center"/>
                </w:tcPr>
                <w:p w14:paraId="30517C1B">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6099248C">
                  <w:pPr>
                    <w:adjustRightInd w:val="0"/>
                    <w:snapToGrid w:val="0"/>
                    <w:spacing w:line="240" w:lineRule="auto"/>
                    <w:jc w:val="center"/>
                    <w:rPr>
                      <w:rFonts w:hint="eastAsia"/>
                      <w:color w:val="auto"/>
                      <w:kern w:val="21"/>
                      <w:sz w:val="21"/>
                      <w:szCs w:val="21"/>
                    </w:rPr>
                  </w:pPr>
                  <w:r>
                    <w:rPr>
                      <w:rFonts w:hint="eastAsia"/>
                      <w:color w:val="auto"/>
                      <w:kern w:val="21"/>
                      <w:sz w:val="21"/>
                      <w:szCs w:val="21"/>
                    </w:rPr>
                    <w:t>2</w:t>
                  </w:r>
                  <w:r>
                    <w:rPr>
                      <w:rFonts w:hint="eastAsia"/>
                      <w:color w:val="auto"/>
                      <w:kern w:val="21"/>
                      <w:sz w:val="21"/>
                      <w:szCs w:val="21"/>
                      <w:lang w:val="en-US" w:eastAsia="zh-CN"/>
                    </w:rPr>
                    <w:t>0</w:t>
                  </w:r>
                  <w:r>
                    <w:rPr>
                      <w:color w:val="auto"/>
                      <w:kern w:val="21"/>
                      <w:sz w:val="21"/>
                      <w:szCs w:val="21"/>
                    </w:rPr>
                    <w:t>00</w:t>
                  </w:r>
                </w:p>
              </w:tc>
              <w:tc>
                <w:tcPr>
                  <w:tcW w:w="1958" w:type="dxa"/>
                  <w:tcBorders>
                    <w:tl2br w:val="nil"/>
                    <w:tr2bl w:val="nil"/>
                  </w:tcBorders>
                  <w:noWrap w:val="0"/>
                  <w:vAlign w:val="center"/>
                </w:tcPr>
                <w:p w14:paraId="5A38C6FD">
                  <w:pPr>
                    <w:adjustRightInd w:val="0"/>
                    <w:snapToGrid w:val="0"/>
                    <w:spacing w:line="240" w:lineRule="auto"/>
                    <w:jc w:val="center"/>
                    <w:rPr>
                      <w:rFonts w:hint="eastAsia"/>
                      <w:color w:val="auto"/>
                      <w:kern w:val="21"/>
                      <w:sz w:val="21"/>
                      <w:szCs w:val="21"/>
                    </w:rPr>
                  </w:pPr>
                  <w:r>
                    <w:rPr>
                      <w:rFonts w:hint="eastAsia"/>
                      <w:color w:val="auto"/>
                      <w:kern w:val="21"/>
                      <w:sz w:val="21"/>
                      <w:szCs w:val="21"/>
                      <w:lang w:val="en-US" w:eastAsia="zh-CN"/>
                    </w:rPr>
                    <w:t>20</w:t>
                  </w:r>
                  <w:r>
                    <w:rPr>
                      <w:color w:val="auto"/>
                      <w:kern w:val="21"/>
                      <w:sz w:val="21"/>
                      <w:szCs w:val="21"/>
                    </w:rPr>
                    <w:t>00</w:t>
                  </w:r>
                </w:p>
              </w:tc>
            </w:tr>
            <w:tr w14:paraId="046C5826">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29E3450C">
                  <w:pPr>
                    <w:adjustRightInd w:val="0"/>
                    <w:snapToGrid w:val="0"/>
                    <w:spacing w:line="240" w:lineRule="auto"/>
                    <w:jc w:val="center"/>
                    <w:rPr>
                      <w:rFonts w:hint="eastAsia" w:eastAsia="宋体"/>
                      <w:color w:val="auto"/>
                      <w:kern w:val="21"/>
                      <w:sz w:val="21"/>
                      <w:szCs w:val="21"/>
                      <w:lang w:eastAsia="zh-CN"/>
                    </w:rPr>
                  </w:pPr>
                  <w:r>
                    <w:rPr>
                      <w:rFonts w:hint="eastAsia"/>
                      <w:color w:val="auto"/>
                      <w:kern w:val="21"/>
                      <w:sz w:val="21"/>
                      <w:szCs w:val="21"/>
                    </w:rPr>
                    <w:t>1</w:t>
                  </w:r>
                  <w:r>
                    <w:rPr>
                      <w:rFonts w:hint="eastAsia"/>
                      <w:color w:val="auto"/>
                      <w:kern w:val="21"/>
                      <w:sz w:val="21"/>
                      <w:szCs w:val="21"/>
                      <w:lang w:val="en-US" w:eastAsia="zh-CN"/>
                    </w:rPr>
                    <w:t>3</w:t>
                  </w:r>
                </w:p>
              </w:tc>
              <w:tc>
                <w:tcPr>
                  <w:tcW w:w="3094" w:type="dxa"/>
                  <w:tcBorders>
                    <w:tl2br w:val="nil"/>
                    <w:tr2bl w:val="nil"/>
                  </w:tcBorders>
                  <w:noWrap w:val="0"/>
                  <w:vAlign w:val="center"/>
                </w:tcPr>
                <w:p w14:paraId="2F53B0E7">
                  <w:pPr>
                    <w:adjustRightInd w:val="0"/>
                    <w:snapToGrid w:val="0"/>
                    <w:spacing w:line="240" w:lineRule="auto"/>
                    <w:jc w:val="center"/>
                    <w:rPr>
                      <w:rFonts w:hint="eastAsia"/>
                      <w:color w:val="auto"/>
                      <w:kern w:val="21"/>
                      <w:sz w:val="21"/>
                      <w:szCs w:val="21"/>
                    </w:rPr>
                  </w:pPr>
                  <w:r>
                    <w:rPr>
                      <w:rFonts w:hint="eastAsia"/>
                      <w:color w:val="auto"/>
                      <w:kern w:val="21"/>
                      <w:sz w:val="21"/>
                      <w:szCs w:val="21"/>
                    </w:rPr>
                    <w:t>竖曲线最小半径凹型</w:t>
                  </w:r>
                </w:p>
              </w:tc>
              <w:tc>
                <w:tcPr>
                  <w:tcW w:w="586" w:type="dxa"/>
                  <w:tcBorders>
                    <w:tl2br w:val="nil"/>
                    <w:tr2bl w:val="nil"/>
                  </w:tcBorders>
                  <w:noWrap w:val="0"/>
                  <w:vAlign w:val="center"/>
                </w:tcPr>
                <w:p w14:paraId="54E74C52">
                  <w:pPr>
                    <w:adjustRightInd w:val="0"/>
                    <w:snapToGrid w:val="0"/>
                    <w:spacing w:line="240" w:lineRule="auto"/>
                    <w:jc w:val="center"/>
                    <w:rPr>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1ADE575C">
                  <w:pPr>
                    <w:adjustRightInd w:val="0"/>
                    <w:snapToGrid w:val="0"/>
                    <w:spacing w:line="240" w:lineRule="auto"/>
                    <w:jc w:val="center"/>
                    <w:rPr>
                      <w:rFonts w:hint="eastAsia"/>
                      <w:color w:val="auto"/>
                      <w:kern w:val="21"/>
                      <w:sz w:val="21"/>
                      <w:szCs w:val="21"/>
                    </w:rPr>
                  </w:pPr>
                  <w:r>
                    <w:rPr>
                      <w:rFonts w:hint="eastAsia"/>
                      <w:color w:val="auto"/>
                      <w:kern w:val="21"/>
                      <w:sz w:val="21"/>
                      <w:szCs w:val="21"/>
                    </w:rPr>
                    <w:t>2</w:t>
                  </w:r>
                  <w:r>
                    <w:rPr>
                      <w:rFonts w:hint="eastAsia"/>
                      <w:color w:val="auto"/>
                      <w:kern w:val="21"/>
                      <w:sz w:val="21"/>
                      <w:szCs w:val="21"/>
                      <w:lang w:val="en-US" w:eastAsia="zh-CN"/>
                    </w:rPr>
                    <w:t>0</w:t>
                  </w:r>
                  <w:r>
                    <w:rPr>
                      <w:color w:val="auto"/>
                      <w:kern w:val="21"/>
                      <w:sz w:val="21"/>
                      <w:szCs w:val="21"/>
                    </w:rPr>
                    <w:t>00</w:t>
                  </w:r>
                </w:p>
              </w:tc>
              <w:tc>
                <w:tcPr>
                  <w:tcW w:w="1958" w:type="dxa"/>
                  <w:tcBorders>
                    <w:tl2br w:val="nil"/>
                    <w:tr2bl w:val="nil"/>
                  </w:tcBorders>
                  <w:noWrap w:val="0"/>
                  <w:vAlign w:val="center"/>
                </w:tcPr>
                <w:p w14:paraId="6BDF0DD5">
                  <w:pPr>
                    <w:adjustRightInd w:val="0"/>
                    <w:snapToGrid w:val="0"/>
                    <w:spacing w:line="240" w:lineRule="auto"/>
                    <w:jc w:val="center"/>
                    <w:rPr>
                      <w:rFonts w:hint="eastAsia"/>
                      <w:color w:val="auto"/>
                      <w:kern w:val="21"/>
                      <w:sz w:val="21"/>
                      <w:szCs w:val="21"/>
                    </w:rPr>
                  </w:pPr>
                  <w:r>
                    <w:rPr>
                      <w:rFonts w:hint="eastAsia"/>
                      <w:color w:val="auto"/>
                      <w:kern w:val="21"/>
                      <w:sz w:val="21"/>
                      <w:szCs w:val="21"/>
                      <w:lang w:val="en-US" w:eastAsia="zh-CN"/>
                    </w:rPr>
                    <w:t>20</w:t>
                  </w:r>
                  <w:r>
                    <w:rPr>
                      <w:color w:val="auto"/>
                      <w:kern w:val="21"/>
                      <w:sz w:val="21"/>
                      <w:szCs w:val="21"/>
                    </w:rPr>
                    <w:t>00</w:t>
                  </w:r>
                </w:p>
              </w:tc>
            </w:tr>
            <w:tr w14:paraId="79CF44A6">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45D6F3F1">
                  <w:pPr>
                    <w:adjustRightInd w:val="0"/>
                    <w:snapToGrid w:val="0"/>
                    <w:spacing w:line="240" w:lineRule="auto"/>
                    <w:jc w:val="center"/>
                    <w:rPr>
                      <w:rFonts w:hint="eastAsia" w:eastAsia="宋体"/>
                      <w:color w:val="auto"/>
                      <w:kern w:val="21"/>
                      <w:sz w:val="21"/>
                      <w:szCs w:val="21"/>
                      <w:lang w:eastAsia="zh-CN"/>
                    </w:rPr>
                  </w:pPr>
                  <w:r>
                    <w:rPr>
                      <w:rFonts w:hint="eastAsia"/>
                      <w:color w:val="auto"/>
                      <w:kern w:val="21"/>
                      <w:sz w:val="21"/>
                      <w:szCs w:val="21"/>
                    </w:rPr>
                    <w:t>1</w:t>
                  </w:r>
                  <w:r>
                    <w:rPr>
                      <w:rFonts w:hint="eastAsia"/>
                      <w:color w:val="auto"/>
                      <w:kern w:val="21"/>
                      <w:sz w:val="21"/>
                      <w:szCs w:val="21"/>
                      <w:lang w:val="en-US" w:eastAsia="zh-CN"/>
                    </w:rPr>
                    <w:t>4</w:t>
                  </w:r>
                </w:p>
              </w:tc>
              <w:tc>
                <w:tcPr>
                  <w:tcW w:w="3094" w:type="dxa"/>
                  <w:tcBorders>
                    <w:tl2br w:val="nil"/>
                    <w:tr2bl w:val="nil"/>
                  </w:tcBorders>
                  <w:noWrap w:val="0"/>
                  <w:vAlign w:val="center"/>
                </w:tcPr>
                <w:p w14:paraId="348C2698">
                  <w:pPr>
                    <w:adjustRightInd w:val="0"/>
                    <w:snapToGrid w:val="0"/>
                    <w:spacing w:line="240" w:lineRule="auto"/>
                    <w:jc w:val="center"/>
                    <w:rPr>
                      <w:rFonts w:hint="eastAsia"/>
                      <w:color w:val="auto"/>
                      <w:kern w:val="21"/>
                      <w:sz w:val="21"/>
                      <w:szCs w:val="21"/>
                    </w:rPr>
                  </w:pPr>
                  <w:r>
                    <w:rPr>
                      <w:rFonts w:hint="eastAsia"/>
                      <w:color w:val="auto"/>
                      <w:kern w:val="21"/>
                      <w:sz w:val="21"/>
                      <w:szCs w:val="21"/>
                    </w:rPr>
                    <w:t>竖曲线最小长度</w:t>
                  </w:r>
                </w:p>
              </w:tc>
              <w:tc>
                <w:tcPr>
                  <w:tcW w:w="586" w:type="dxa"/>
                  <w:tcBorders>
                    <w:tl2br w:val="nil"/>
                    <w:tr2bl w:val="nil"/>
                  </w:tcBorders>
                  <w:noWrap w:val="0"/>
                  <w:vAlign w:val="center"/>
                </w:tcPr>
                <w:p w14:paraId="6C777414">
                  <w:pPr>
                    <w:adjustRightInd w:val="0"/>
                    <w:snapToGrid w:val="0"/>
                    <w:spacing w:line="240" w:lineRule="auto"/>
                    <w:jc w:val="center"/>
                    <w:rPr>
                      <w:rFonts w:hint="eastAsia"/>
                      <w:color w:val="auto"/>
                      <w:kern w:val="21"/>
                      <w:sz w:val="21"/>
                      <w:szCs w:val="21"/>
                    </w:rPr>
                  </w:pPr>
                  <w:r>
                    <w:rPr>
                      <w:color w:val="auto"/>
                      <w:kern w:val="21"/>
                      <w:sz w:val="21"/>
                      <w:szCs w:val="21"/>
                    </w:rPr>
                    <w:t>m</w:t>
                  </w:r>
                </w:p>
              </w:tc>
              <w:tc>
                <w:tcPr>
                  <w:tcW w:w="1823" w:type="dxa"/>
                  <w:tcBorders>
                    <w:tl2br w:val="nil"/>
                    <w:tr2bl w:val="nil"/>
                  </w:tcBorders>
                  <w:noWrap w:val="0"/>
                  <w:vAlign w:val="center"/>
                </w:tcPr>
                <w:p w14:paraId="75F05B9F">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85</w:t>
                  </w:r>
                </w:p>
              </w:tc>
              <w:tc>
                <w:tcPr>
                  <w:tcW w:w="1958" w:type="dxa"/>
                  <w:tcBorders>
                    <w:tl2br w:val="nil"/>
                    <w:tr2bl w:val="nil"/>
                  </w:tcBorders>
                  <w:noWrap w:val="0"/>
                  <w:vAlign w:val="center"/>
                </w:tcPr>
                <w:p w14:paraId="3DBF46C6">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85</w:t>
                  </w:r>
                </w:p>
              </w:tc>
            </w:tr>
            <w:tr w14:paraId="0A7633DE">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43383CD1">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15</w:t>
                  </w:r>
                </w:p>
              </w:tc>
              <w:tc>
                <w:tcPr>
                  <w:tcW w:w="3094" w:type="dxa"/>
                  <w:tcBorders>
                    <w:tl2br w:val="nil"/>
                    <w:tr2bl w:val="nil"/>
                  </w:tcBorders>
                  <w:noWrap w:val="0"/>
                  <w:vAlign w:val="center"/>
                </w:tcPr>
                <w:p w14:paraId="6A948A64">
                  <w:pPr>
                    <w:adjustRightInd w:val="0"/>
                    <w:snapToGrid w:val="0"/>
                    <w:spacing w:line="240" w:lineRule="auto"/>
                    <w:jc w:val="center"/>
                    <w:rPr>
                      <w:color w:val="auto"/>
                      <w:kern w:val="21"/>
                      <w:sz w:val="21"/>
                      <w:szCs w:val="21"/>
                    </w:rPr>
                  </w:pPr>
                  <w:r>
                    <w:rPr>
                      <w:color w:val="auto"/>
                      <w:kern w:val="21"/>
                      <w:sz w:val="21"/>
                      <w:szCs w:val="21"/>
                    </w:rPr>
                    <w:t>汽车荷载等级</w:t>
                  </w:r>
                </w:p>
              </w:tc>
              <w:tc>
                <w:tcPr>
                  <w:tcW w:w="586" w:type="dxa"/>
                  <w:tcBorders>
                    <w:tl2br w:val="nil"/>
                    <w:tr2bl w:val="nil"/>
                  </w:tcBorders>
                  <w:noWrap w:val="0"/>
                  <w:vAlign w:val="center"/>
                </w:tcPr>
                <w:p w14:paraId="3899DBEC">
                  <w:pPr>
                    <w:adjustRightInd w:val="0"/>
                    <w:snapToGrid w:val="0"/>
                    <w:spacing w:line="240" w:lineRule="auto"/>
                    <w:jc w:val="center"/>
                    <w:rPr>
                      <w:color w:val="auto"/>
                      <w:kern w:val="21"/>
                      <w:sz w:val="21"/>
                      <w:szCs w:val="21"/>
                    </w:rPr>
                  </w:pPr>
                </w:p>
              </w:tc>
              <w:tc>
                <w:tcPr>
                  <w:tcW w:w="1823" w:type="dxa"/>
                  <w:tcBorders>
                    <w:tl2br w:val="nil"/>
                    <w:tr2bl w:val="nil"/>
                  </w:tcBorders>
                  <w:noWrap w:val="0"/>
                  <w:vAlign w:val="center"/>
                </w:tcPr>
                <w:p w14:paraId="6EE43AE8">
                  <w:pPr>
                    <w:adjustRightInd w:val="0"/>
                    <w:snapToGrid w:val="0"/>
                    <w:spacing w:line="240" w:lineRule="auto"/>
                    <w:jc w:val="center"/>
                    <w:rPr>
                      <w:color w:val="auto"/>
                      <w:kern w:val="21"/>
                      <w:sz w:val="21"/>
                      <w:szCs w:val="21"/>
                    </w:rPr>
                  </w:pPr>
                  <w:r>
                    <w:rPr>
                      <w:rFonts w:hint="eastAsia"/>
                      <w:color w:val="auto"/>
                      <w:kern w:val="21"/>
                      <w:sz w:val="21"/>
                      <w:szCs w:val="21"/>
                    </w:rPr>
                    <w:t>公路-</w:t>
                  </w:r>
                  <w:r>
                    <w:rPr>
                      <w:rFonts w:ascii="Times New Roman" w:hAnsi="Times New Roman" w:cs="Times New Roman"/>
                      <w:color w:val="auto"/>
                      <w:szCs w:val="21"/>
                    </w:rPr>
                    <w:t>Ⅱ</w:t>
                  </w:r>
                  <w:r>
                    <w:rPr>
                      <w:rFonts w:hint="eastAsia"/>
                      <w:color w:val="auto"/>
                      <w:kern w:val="21"/>
                      <w:sz w:val="21"/>
                      <w:szCs w:val="21"/>
                    </w:rPr>
                    <w:t>级</w:t>
                  </w:r>
                </w:p>
              </w:tc>
              <w:tc>
                <w:tcPr>
                  <w:tcW w:w="1958" w:type="dxa"/>
                  <w:tcBorders>
                    <w:tl2br w:val="nil"/>
                    <w:tr2bl w:val="nil"/>
                  </w:tcBorders>
                  <w:noWrap w:val="0"/>
                  <w:vAlign w:val="center"/>
                </w:tcPr>
                <w:p w14:paraId="7F4E5C7D">
                  <w:pPr>
                    <w:adjustRightInd w:val="0"/>
                    <w:snapToGrid w:val="0"/>
                    <w:spacing w:line="240" w:lineRule="auto"/>
                    <w:jc w:val="center"/>
                    <w:rPr>
                      <w:color w:val="auto"/>
                      <w:kern w:val="21"/>
                      <w:sz w:val="21"/>
                      <w:szCs w:val="21"/>
                    </w:rPr>
                  </w:pPr>
                  <w:r>
                    <w:rPr>
                      <w:rFonts w:hint="eastAsia"/>
                      <w:color w:val="auto"/>
                      <w:kern w:val="21"/>
                      <w:sz w:val="21"/>
                      <w:szCs w:val="21"/>
                    </w:rPr>
                    <w:t>公路-</w:t>
                  </w:r>
                  <w:r>
                    <w:rPr>
                      <w:rFonts w:ascii="Times New Roman" w:hAnsi="Times New Roman" w:cs="Times New Roman"/>
                      <w:color w:val="auto"/>
                      <w:szCs w:val="21"/>
                    </w:rPr>
                    <w:t>Ⅱ</w:t>
                  </w:r>
                  <w:r>
                    <w:rPr>
                      <w:rFonts w:hint="eastAsia"/>
                      <w:color w:val="auto"/>
                      <w:kern w:val="21"/>
                      <w:sz w:val="21"/>
                      <w:szCs w:val="21"/>
                    </w:rPr>
                    <w:t>级</w:t>
                  </w:r>
                </w:p>
              </w:tc>
            </w:tr>
            <w:tr w14:paraId="337E651E">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27E01AA3">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16</w:t>
                  </w:r>
                </w:p>
              </w:tc>
              <w:tc>
                <w:tcPr>
                  <w:tcW w:w="3094" w:type="dxa"/>
                  <w:tcBorders>
                    <w:tl2br w:val="nil"/>
                    <w:tr2bl w:val="nil"/>
                  </w:tcBorders>
                  <w:noWrap w:val="0"/>
                  <w:vAlign w:val="center"/>
                </w:tcPr>
                <w:p w14:paraId="26BB8277">
                  <w:pPr>
                    <w:adjustRightInd w:val="0"/>
                    <w:snapToGrid w:val="0"/>
                    <w:spacing w:line="240" w:lineRule="auto"/>
                    <w:jc w:val="center"/>
                    <w:rPr>
                      <w:color w:val="auto"/>
                      <w:kern w:val="21"/>
                      <w:sz w:val="21"/>
                      <w:szCs w:val="21"/>
                    </w:rPr>
                  </w:pPr>
                  <w:r>
                    <w:rPr>
                      <w:rFonts w:hint="eastAsia"/>
                      <w:color w:val="auto"/>
                      <w:kern w:val="21"/>
                      <w:sz w:val="21"/>
                      <w:szCs w:val="21"/>
                    </w:rPr>
                    <w:t>大中桥设计洪水频率</w:t>
                  </w:r>
                </w:p>
              </w:tc>
              <w:tc>
                <w:tcPr>
                  <w:tcW w:w="586" w:type="dxa"/>
                  <w:tcBorders>
                    <w:tl2br w:val="nil"/>
                    <w:tr2bl w:val="nil"/>
                  </w:tcBorders>
                  <w:noWrap w:val="0"/>
                  <w:vAlign w:val="center"/>
                </w:tcPr>
                <w:p w14:paraId="2DFF6FC3">
                  <w:pPr>
                    <w:adjustRightInd w:val="0"/>
                    <w:snapToGrid w:val="0"/>
                    <w:spacing w:line="240" w:lineRule="auto"/>
                    <w:jc w:val="center"/>
                    <w:rPr>
                      <w:color w:val="auto"/>
                      <w:kern w:val="21"/>
                      <w:sz w:val="21"/>
                      <w:szCs w:val="21"/>
                    </w:rPr>
                  </w:pPr>
                </w:p>
              </w:tc>
              <w:tc>
                <w:tcPr>
                  <w:tcW w:w="1823" w:type="dxa"/>
                  <w:tcBorders>
                    <w:tl2br w:val="nil"/>
                    <w:tr2bl w:val="nil"/>
                  </w:tcBorders>
                  <w:noWrap w:val="0"/>
                  <w:vAlign w:val="center"/>
                </w:tcPr>
                <w:p w14:paraId="6609610F">
                  <w:pPr>
                    <w:adjustRightInd w:val="0"/>
                    <w:snapToGrid w:val="0"/>
                    <w:spacing w:line="240" w:lineRule="auto"/>
                    <w:jc w:val="center"/>
                    <w:rPr>
                      <w:rFonts w:hint="eastAsia"/>
                      <w:color w:val="auto"/>
                      <w:kern w:val="21"/>
                      <w:sz w:val="21"/>
                      <w:szCs w:val="21"/>
                    </w:rPr>
                  </w:pPr>
                  <w:r>
                    <w:rPr>
                      <w:rFonts w:hint="eastAsia"/>
                      <w:color w:val="auto"/>
                      <w:kern w:val="21"/>
                      <w:sz w:val="21"/>
                      <w:szCs w:val="21"/>
                    </w:rPr>
                    <w:t>1/100</w:t>
                  </w:r>
                </w:p>
              </w:tc>
              <w:tc>
                <w:tcPr>
                  <w:tcW w:w="1958" w:type="dxa"/>
                  <w:tcBorders>
                    <w:tl2br w:val="nil"/>
                    <w:tr2bl w:val="nil"/>
                  </w:tcBorders>
                  <w:noWrap w:val="0"/>
                  <w:vAlign w:val="center"/>
                </w:tcPr>
                <w:p w14:paraId="1FD4A8D8">
                  <w:pPr>
                    <w:adjustRightInd w:val="0"/>
                    <w:snapToGrid w:val="0"/>
                    <w:spacing w:line="240" w:lineRule="auto"/>
                    <w:jc w:val="center"/>
                    <w:rPr>
                      <w:rFonts w:hint="eastAsia"/>
                      <w:color w:val="auto"/>
                      <w:kern w:val="21"/>
                      <w:sz w:val="21"/>
                      <w:szCs w:val="21"/>
                    </w:rPr>
                  </w:pPr>
                  <w:r>
                    <w:rPr>
                      <w:rFonts w:hint="eastAsia"/>
                      <w:color w:val="auto"/>
                      <w:kern w:val="21"/>
                      <w:sz w:val="21"/>
                      <w:szCs w:val="21"/>
                    </w:rPr>
                    <w:t>1/100</w:t>
                  </w:r>
                </w:p>
              </w:tc>
            </w:tr>
            <w:tr w14:paraId="178E3A4A">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96" w:type="dxa"/>
                  <w:tcBorders>
                    <w:tl2br w:val="nil"/>
                    <w:tr2bl w:val="nil"/>
                  </w:tcBorders>
                  <w:noWrap w:val="0"/>
                  <w:vAlign w:val="center"/>
                </w:tcPr>
                <w:p w14:paraId="25E5DC3C">
                  <w:pPr>
                    <w:adjustRightInd w:val="0"/>
                    <w:snapToGrid w:val="0"/>
                    <w:spacing w:line="240" w:lineRule="auto"/>
                    <w:jc w:val="center"/>
                    <w:rPr>
                      <w:rFonts w:hint="default" w:eastAsia="宋体"/>
                      <w:color w:val="auto"/>
                      <w:kern w:val="21"/>
                      <w:sz w:val="21"/>
                      <w:szCs w:val="21"/>
                      <w:lang w:val="en-US" w:eastAsia="zh-CN"/>
                    </w:rPr>
                  </w:pPr>
                  <w:r>
                    <w:rPr>
                      <w:rFonts w:hint="eastAsia"/>
                      <w:color w:val="auto"/>
                      <w:kern w:val="21"/>
                      <w:sz w:val="21"/>
                      <w:szCs w:val="21"/>
                      <w:lang w:val="en-US" w:eastAsia="zh-CN"/>
                    </w:rPr>
                    <w:t>17</w:t>
                  </w:r>
                </w:p>
              </w:tc>
              <w:tc>
                <w:tcPr>
                  <w:tcW w:w="3094" w:type="dxa"/>
                  <w:tcBorders>
                    <w:tl2br w:val="nil"/>
                    <w:tr2bl w:val="nil"/>
                  </w:tcBorders>
                  <w:noWrap w:val="0"/>
                  <w:vAlign w:val="center"/>
                </w:tcPr>
                <w:p w14:paraId="0164A23C">
                  <w:pPr>
                    <w:adjustRightInd w:val="0"/>
                    <w:snapToGrid w:val="0"/>
                    <w:spacing w:line="240" w:lineRule="auto"/>
                    <w:jc w:val="center"/>
                    <w:rPr>
                      <w:color w:val="auto"/>
                      <w:kern w:val="21"/>
                      <w:sz w:val="21"/>
                      <w:szCs w:val="21"/>
                    </w:rPr>
                  </w:pPr>
                  <w:r>
                    <w:rPr>
                      <w:rFonts w:hint="eastAsia"/>
                      <w:color w:val="auto"/>
                      <w:kern w:val="21"/>
                      <w:sz w:val="21"/>
                      <w:szCs w:val="21"/>
                    </w:rPr>
                    <w:t>小桥、涵洞、路基设计洪水频率</w:t>
                  </w:r>
                </w:p>
              </w:tc>
              <w:tc>
                <w:tcPr>
                  <w:tcW w:w="586" w:type="dxa"/>
                  <w:tcBorders>
                    <w:tl2br w:val="nil"/>
                    <w:tr2bl w:val="nil"/>
                  </w:tcBorders>
                  <w:noWrap w:val="0"/>
                  <w:vAlign w:val="center"/>
                </w:tcPr>
                <w:p w14:paraId="542CA7FA">
                  <w:pPr>
                    <w:adjustRightInd w:val="0"/>
                    <w:snapToGrid w:val="0"/>
                    <w:spacing w:line="240" w:lineRule="auto"/>
                    <w:jc w:val="center"/>
                    <w:rPr>
                      <w:color w:val="auto"/>
                      <w:kern w:val="21"/>
                      <w:sz w:val="21"/>
                      <w:szCs w:val="21"/>
                    </w:rPr>
                  </w:pPr>
                </w:p>
              </w:tc>
              <w:tc>
                <w:tcPr>
                  <w:tcW w:w="1823" w:type="dxa"/>
                  <w:tcBorders>
                    <w:tl2br w:val="nil"/>
                    <w:tr2bl w:val="nil"/>
                  </w:tcBorders>
                  <w:noWrap w:val="0"/>
                  <w:vAlign w:val="center"/>
                </w:tcPr>
                <w:p w14:paraId="2129BC17">
                  <w:pPr>
                    <w:adjustRightInd w:val="0"/>
                    <w:snapToGrid w:val="0"/>
                    <w:spacing w:line="240" w:lineRule="auto"/>
                    <w:jc w:val="center"/>
                    <w:rPr>
                      <w:rFonts w:hint="eastAsia"/>
                      <w:color w:val="auto"/>
                      <w:kern w:val="21"/>
                      <w:sz w:val="21"/>
                      <w:szCs w:val="21"/>
                    </w:rPr>
                  </w:pPr>
                  <w:r>
                    <w:rPr>
                      <w:color w:val="auto"/>
                      <w:kern w:val="21"/>
                      <w:sz w:val="21"/>
                      <w:szCs w:val="21"/>
                    </w:rPr>
                    <w:t>1/50</w:t>
                  </w:r>
                </w:p>
              </w:tc>
              <w:tc>
                <w:tcPr>
                  <w:tcW w:w="1958" w:type="dxa"/>
                  <w:tcBorders>
                    <w:tl2br w:val="nil"/>
                    <w:tr2bl w:val="nil"/>
                  </w:tcBorders>
                  <w:noWrap w:val="0"/>
                  <w:vAlign w:val="center"/>
                </w:tcPr>
                <w:p w14:paraId="3FE5B776">
                  <w:pPr>
                    <w:adjustRightInd w:val="0"/>
                    <w:snapToGrid w:val="0"/>
                    <w:spacing w:line="240" w:lineRule="auto"/>
                    <w:jc w:val="center"/>
                    <w:rPr>
                      <w:rFonts w:hint="eastAsia"/>
                      <w:color w:val="auto"/>
                      <w:kern w:val="21"/>
                      <w:sz w:val="21"/>
                      <w:szCs w:val="21"/>
                    </w:rPr>
                  </w:pPr>
                  <w:r>
                    <w:rPr>
                      <w:color w:val="auto"/>
                      <w:kern w:val="21"/>
                      <w:sz w:val="21"/>
                      <w:szCs w:val="21"/>
                    </w:rPr>
                    <w:t>1/50</w:t>
                  </w:r>
                </w:p>
              </w:tc>
            </w:tr>
          </w:tbl>
          <w:p w14:paraId="3256D8AF">
            <w:pPr>
              <w:pStyle w:val="76"/>
              <w:rPr>
                <w:color w:val="auto"/>
              </w:rPr>
            </w:pPr>
            <w:r>
              <w:rPr>
                <w:color w:val="auto"/>
              </w:rPr>
              <w:t>3、交通量预测</w:t>
            </w:r>
          </w:p>
          <w:p w14:paraId="4B751232">
            <w:pPr>
              <w:pStyle w:val="76"/>
              <w:rPr>
                <w:color w:val="auto"/>
              </w:rPr>
            </w:pPr>
            <w:r>
              <w:rPr>
                <w:color w:val="auto"/>
              </w:rPr>
              <w:t>本项目计划</w:t>
            </w:r>
            <w:r>
              <w:rPr>
                <w:rFonts w:hint="eastAsia"/>
                <w:color w:val="auto"/>
                <w:lang w:val="en-US" w:eastAsia="zh-CN"/>
              </w:rPr>
              <w:t>于</w:t>
            </w:r>
            <w:r>
              <w:rPr>
                <w:color w:val="auto"/>
              </w:rPr>
              <w:t>202</w:t>
            </w:r>
            <w:r>
              <w:rPr>
                <w:rFonts w:hint="eastAsia"/>
                <w:color w:val="auto"/>
                <w:lang w:val="en-US" w:eastAsia="zh-CN"/>
              </w:rPr>
              <w:t>6</w:t>
            </w:r>
            <w:r>
              <w:rPr>
                <w:color w:val="auto"/>
              </w:rPr>
              <w:t>年</w:t>
            </w:r>
            <w:r>
              <w:rPr>
                <w:rFonts w:hint="eastAsia"/>
                <w:color w:val="auto"/>
                <w:lang w:val="en-US" w:eastAsia="zh-CN"/>
              </w:rPr>
              <w:t>7</w:t>
            </w:r>
            <w:r>
              <w:rPr>
                <w:color w:val="auto"/>
              </w:rPr>
              <w:t>月竣工验收，交通量采用</w:t>
            </w:r>
            <w:r>
              <w:rPr>
                <w:rFonts w:hint="eastAsia"/>
                <w:color w:val="auto"/>
                <w:lang w:val="en-US" w:eastAsia="zh-CN"/>
              </w:rPr>
              <w:t>工程初步设计</w:t>
            </w:r>
            <w:r>
              <w:rPr>
                <w:color w:val="auto"/>
              </w:rPr>
              <w:t>报告中提供的车流量，根据《公路工程技术标准》（JTG B01-2014），折算系数为小客车1.0、中型车1.5、普通大型车2.5及特大型车4.0。</w:t>
            </w:r>
            <w:r>
              <w:rPr>
                <w:rFonts w:hint="eastAsia"/>
                <w:color w:val="auto"/>
                <w:lang w:val="en-US" w:eastAsia="zh-CN"/>
              </w:rPr>
              <w:t>道路近期、中期和远期预测车型比相同。</w:t>
            </w:r>
            <w:r>
              <w:rPr>
                <w:color w:val="auto"/>
              </w:rPr>
              <w:t>昼间车流量按</w:t>
            </w:r>
            <w:r>
              <w:rPr>
                <w:rFonts w:hint="eastAsia"/>
                <w:color w:val="auto"/>
                <w:lang w:val="en-US" w:eastAsia="zh-CN"/>
              </w:rPr>
              <w:t>9</w:t>
            </w:r>
            <w:r>
              <w:rPr>
                <w:color w:val="auto"/>
              </w:rPr>
              <w:t>0%计算。</w:t>
            </w:r>
            <w:r>
              <w:rPr>
                <w:rFonts w:hint="eastAsia"/>
                <w:color w:val="auto"/>
                <w:lang w:val="en-US" w:eastAsia="zh-CN"/>
              </w:rPr>
              <w:t>初步设计</w:t>
            </w:r>
            <w:r>
              <w:rPr>
                <w:color w:val="auto"/>
              </w:rPr>
              <w:t>报告给出的运营期第一年为202</w:t>
            </w:r>
            <w:r>
              <w:rPr>
                <w:rFonts w:hint="eastAsia"/>
                <w:color w:val="auto"/>
                <w:lang w:val="en-US" w:eastAsia="zh-CN"/>
              </w:rPr>
              <w:t>6</w:t>
            </w:r>
            <w:r>
              <w:rPr>
                <w:color w:val="auto"/>
              </w:rPr>
              <w:t>年，故本项目运营期以202</w:t>
            </w:r>
            <w:r>
              <w:rPr>
                <w:rFonts w:hint="eastAsia"/>
                <w:color w:val="auto"/>
                <w:lang w:val="en-US" w:eastAsia="zh-CN"/>
              </w:rPr>
              <w:t>6</w:t>
            </w:r>
            <w:r>
              <w:rPr>
                <w:color w:val="auto"/>
              </w:rPr>
              <w:t>年、20</w:t>
            </w:r>
            <w:r>
              <w:rPr>
                <w:rFonts w:hint="eastAsia"/>
                <w:color w:val="auto"/>
                <w:lang w:val="en-US" w:eastAsia="zh-CN"/>
              </w:rPr>
              <w:t>32</w:t>
            </w:r>
            <w:r>
              <w:rPr>
                <w:color w:val="auto"/>
              </w:rPr>
              <w:t>年、20</w:t>
            </w:r>
            <w:r>
              <w:rPr>
                <w:rFonts w:hint="eastAsia"/>
                <w:color w:val="auto"/>
                <w:lang w:val="en-US" w:eastAsia="zh-CN"/>
              </w:rPr>
              <w:t>40</w:t>
            </w:r>
            <w:r>
              <w:rPr>
                <w:color w:val="auto"/>
              </w:rPr>
              <w:t>年3个年度分别代表运营近期、中期和远期。</w:t>
            </w:r>
          </w:p>
          <w:p w14:paraId="08DD8BC2">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表2-3  各征年总交通量预测结果   单位：pcu/d</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43"/>
              <w:gridCol w:w="1258"/>
              <w:gridCol w:w="1305"/>
              <w:gridCol w:w="962"/>
            </w:tblGrid>
            <w:tr w14:paraId="23EC92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59" w:type="pct"/>
                  <w:noWrap w:val="0"/>
                  <w:vAlign w:val="center"/>
                </w:tcPr>
                <w:p w14:paraId="7123DFFF">
                  <w:pPr>
                    <w:pStyle w:val="80"/>
                    <w:rPr>
                      <w:color w:val="auto"/>
                    </w:rPr>
                  </w:pPr>
                  <w:r>
                    <w:rPr>
                      <w:color w:val="auto"/>
                    </w:rPr>
                    <w:t>路段/交通量</w:t>
                  </w:r>
                </w:p>
              </w:tc>
              <w:tc>
                <w:tcPr>
                  <w:tcW w:w="799" w:type="pct"/>
                  <w:noWrap w:val="0"/>
                  <w:vAlign w:val="center"/>
                </w:tcPr>
                <w:p w14:paraId="3C8A63C5">
                  <w:pPr>
                    <w:pStyle w:val="80"/>
                    <w:rPr>
                      <w:color w:val="auto"/>
                    </w:rPr>
                  </w:pPr>
                  <w:r>
                    <w:rPr>
                      <w:color w:val="auto"/>
                    </w:rPr>
                    <w:t>202</w:t>
                  </w:r>
                  <w:r>
                    <w:rPr>
                      <w:rFonts w:hint="eastAsia"/>
                      <w:color w:val="auto"/>
                      <w:lang w:val="en-US" w:eastAsia="zh-CN"/>
                    </w:rPr>
                    <w:t>6</w:t>
                  </w:r>
                  <w:r>
                    <w:rPr>
                      <w:color w:val="auto"/>
                    </w:rPr>
                    <w:t>年</w:t>
                  </w:r>
                </w:p>
              </w:tc>
              <w:tc>
                <w:tcPr>
                  <w:tcW w:w="829" w:type="pct"/>
                  <w:noWrap w:val="0"/>
                  <w:vAlign w:val="center"/>
                </w:tcPr>
                <w:p w14:paraId="603E1CCA">
                  <w:pPr>
                    <w:pStyle w:val="80"/>
                    <w:rPr>
                      <w:color w:val="auto"/>
                    </w:rPr>
                  </w:pPr>
                  <w:r>
                    <w:rPr>
                      <w:color w:val="auto"/>
                    </w:rPr>
                    <w:t>203</w:t>
                  </w:r>
                  <w:r>
                    <w:rPr>
                      <w:rFonts w:hint="eastAsia"/>
                      <w:color w:val="auto"/>
                      <w:lang w:val="en-US" w:eastAsia="zh-CN"/>
                    </w:rPr>
                    <w:t>2</w:t>
                  </w:r>
                  <w:r>
                    <w:rPr>
                      <w:color w:val="auto"/>
                    </w:rPr>
                    <w:t>年</w:t>
                  </w:r>
                </w:p>
              </w:tc>
              <w:tc>
                <w:tcPr>
                  <w:tcW w:w="611" w:type="pct"/>
                  <w:noWrap w:val="0"/>
                  <w:vAlign w:val="center"/>
                </w:tcPr>
                <w:p w14:paraId="560E30FB">
                  <w:pPr>
                    <w:pStyle w:val="80"/>
                    <w:rPr>
                      <w:color w:val="auto"/>
                    </w:rPr>
                  </w:pPr>
                  <w:r>
                    <w:rPr>
                      <w:color w:val="auto"/>
                    </w:rPr>
                    <w:t>20</w:t>
                  </w:r>
                  <w:r>
                    <w:rPr>
                      <w:rFonts w:hint="eastAsia"/>
                      <w:color w:val="auto"/>
                      <w:lang w:val="en-US" w:eastAsia="zh-CN"/>
                    </w:rPr>
                    <w:t>40</w:t>
                  </w:r>
                  <w:r>
                    <w:rPr>
                      <w:color w:val="auto"/>
                    </w:rPr>
                    <w:t>年</w:t>
                  </w:r>
                </w:p>
              </w:tc>
            </w:tr>
            <w:tr w14:paraId="0E68F9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759" w:type="pct"/>
                  <w:noWrap w:val="0"/>
                  <w:vAlign w:val="center"/>
                </w:tcPr>
                <w:p w14:paraId="493675E7">
                  <w:pPr>
                    <w:pStyle w:val="80"/>
                    <w:rPr>
                      <w:color w:val="auto"/>
                      <w:kern w:val="0"/>
                    </w:rPr>
                  </w:pPr>
                  <w:r>
                    <w:rPr>
                      <w:color w:val="auto"/>
                      <w:kern w:val="0"/>
                    </w:rPr>
                    <w:t>起点至</w:t>
                  </w:r>
                  <w:r>
                    <w:rPr>
                      <w:rFonts w:hint="eastAsia"/>
                      <w:color w:val="auto"/>
                      <w:kern w:val="0"/>
                      <w:lang w:val="en-US" w:eastAsia="zh-CN"/>
                    </w:rPr>
                    <w:t>终点</w:t>
                  </w:r>
                  <w:r>
                    <w:rPr>
                      <w:color w:val="auto"/>
                      <w:kern w:val="0"/>
                    </w:rPr>
                    <w:t>段（</w:t>
                  </w:r>
                  <w:r>
                    <w:rPr>
                      <w:rFonts w:eastAsia="宋体"/>
                      <w:b w:val="0"/>
                      <w:bCs/>
                      <w:color w:val="auto"/>
                      <w:lang w:val="zh-CN"/>
                    </w:rPr>
                    <w:t>K370+000</w:t>
                  </w:r>
                  <w:r>
                    <w:rPr>
                      <w:rFonts w:hint="eastAsia"/>
                      <w:color w:val="auto"/>
                    </w:rPr>
                    <w:t>~</w:t>
                  </w:r>
                  <w:r>
                    <w:rPr>
                      <w:rFonts w:eastAsia="宋体"/>
                      <w:b w:val="0"/>
                      <w:bCs/>
                      <w:color w:val="auto"/>
                      <w:lang w:val="zh-CN"/>
                    </w:rPr>
                    <w:t>K414+953.7</w:t>
                  </w:r>
                  <w:r>
                    <w:rPr>
                      <w:color w:val="auto"/>
                      <w:kern w:val="0"/>
                    </w:rPr>
                    <w:t>）</w:t>
                  </w:r>
                </w:p>
              </w:tc>
              <w:tc>
                <w:tcPr>
                  <w:tcW w:w="799" w:type="pct"/>
                  <w:noWrap w:val="0"/>
                  <w:vAlign w:val="center"/>
                </w:tcPr>
                <w:p w14:paraId="55DDE4A9">
                  <w:pPr>
                    <w:pStyle w:val="80"/>
                    <w:rPr>
                      <w:rFonts w:hint="default" w:eastAsia="宋体"/>
                      <w:color w:val="auto"/>
                      <w:lang w:val="en-US" w:eastAsia="zh-CN"/>
                    </w:rPr>
                  </w:pPr>
                  <w:r>
                    <w:rPr>
                      <w:rFonts w:hint="eastAsia"/>
                      <w:color w:val="auto"/>
                      <w:lang w:val="en-US" w:eastAsia="zh-CN"/>
                    </w:rPr>
                    <w:t>4704</w:t>
                  </w:r>
                </w:p>
              </w:tc>
              <w:tc>
                <w:tcPr>
                  <w:tcW w:w="829" w:type="pct"/>
                  <w:noWrap w:val="0"/>
                  <w:vAlign w:val="center"/>
                </w:tcPr>
                <w:p w14:paraId="5A14EB11">
                  <w:pPr>
                    <w:pStyle w:val="80"/>
                    <w:rPr>
                      <w:color w:val="auto"/>
                    </w:rPr>
                  </w:pPr>
                  <w:r>
                    <w:rPr>
                      <w:color w:val="auto"/>
                    </w:rPr>
                    <w:t>5</w:t>
                  </w:r>
                  <w:r>
                    <w:rPr>
                      <w:rFonts w:hint="eastAsia"/>
                      <w:color w:val="auto"/>
                      <w:lang w:val="en-US" w:eastAsia="zh-CN"/>
                    </w:rPr>
                    <w:t>846</w:t>
                  </w:r>
                </w:p>
              </w:tc>
              <w:tc>
                <w:tcPr>
                  <w:tcW w:w="611" w:type="pct"/>
                  <w:noWrap w:val="0"/>
                  <w:vAlign w:val="center"/>
                </w:tcPr>
                <w:p w14:paraId="116D3DB7">
                  <w:pPr>
                    <w:pStyle w:val="80"/>
                    <w:rPr>
                      <w:rFonts w:hint="default" w:eastAsia="宋体"/>
                      <w:color w:val="auto"/>
                      <w:lang w:val="en-US" w:eastAsia="zh-CN"/>
                    </w:rPr>
                  </w:pPr>
                  <w:r>
                    <w:rPr>
                      <w:rFonts w:hint="eastAsia"/>
                      <w:color w:val="auto"/>
                      <w:lang w:val="en-US" w:eastAsia="zh-CN"/>
                    </w:rPr>
                    <w:t>6246</w:t>
                  </w:r>
                </w:p>
              </w:tc>
            </w:tr>
          </w:tbl>
          <w:p w14:paraId="53ED685B">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表2-4  预测车型比</w:t>
            </w:r>
          </w:p>
          <w:tbl>
            <w:tblPr>
              <w:tblStyle w:val="31"/>
              <w:tblW w:w="4998" w:type="pct"/>
              <w:tblInd w:w="0" w:type="dxa"/>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513"/>
              <w:gridCol w:w="1549"/>
              <w:gridCol w:w="1601"/>
              <w:gridCol w:w="1601"/>
              <w:gridCol w:w="1601"/>
            </w:tblGrid>
            <w:tr w14:paraId="5EDE47C9">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74" w:hRule="atLeast"/>
              </w:trPr>
              <w:tc>
                <w:tcPr>
                  <w:tcW w:w="961" w:type="pct"/>
                  <w:tcBorders>
                    <w:top w:val="single" w:color="auto" w:sz="12" w:space="0"/>
                    <w:bottom w:val="single" w:color="auto" w:sz="4" w:space="0"/>
                    <w:right w:val="single" w:color="auto" w:sz="4" w:space="0"/>
                    <w:tl2br w:val="single" w:color="000000" w:sz="4" w:space="0"/>
                  </w:tcBorders>
                  <w:noWrap w:val="0"/>
                  <w:vAlign w:val="center"/>
                </w:tcPr>
                <w:p w14:paraId="5E013D96">
                  <w:pPr>
                    <w:spacing w:line="240" w:lineRule="auto"/>
                    <w:jc w:val="right"/>
                    <w:rPr>
                      <w:snapToGrid w:val="0"/>
                      <w:color w:val="auto"/>
                      <w:sz w:val="21"/>
                      <w:szCs w:val="21"/>
                    </w:rPr>
                  </w:pPr>
                  <w:r>
                    <w:rPr>
                      <w:snapToGrid w:val="0"/>
                      <w:color w:val="auto"/>
                      <w:sz w:val="21"/>
                      <w:szCs w:val="21"/>
                    </w:rPr>
                    <w:t>车型</w:t>
                  </w:r>
                </w:p>
                <w:p w14:paraId="3277E503">
                  <w:pPr>
                    <w:spacing w:line="240" w:lineRule="auto"/>
                    <w:rPr>
                      <w:snapToGrid w:val="0"/>
                      <w:color w:val="auto"/>
                      <w:sz w:val="21"/>
                      <w:szCs w:val="21"/>
                    </w:rPr>
                  </w:pPr>
                  <w:r>
                    <w:rPr>
                      <w:snapToGrid w:val="0"/>
                      <w:color w:val="auto"/>
                      <w:sz w:val="21"/>
                      <w:szCs w:val="21"/>
                    </w:rPr>
                    <w:t>比例</w:t>
                  </w:r>
                </w:p>
              </w:tc>
              <w:tc>
                <w:tcPr>
                  <w:tcW w:w="984" w:type="pct"/>
                  <w:tcBorders>
                    <w:top w:val="single" w:color="auto" w:sz="12" w:space="0"/>
                    <w:left w:val="single" w:color="auto" w:sz="4" w:space="0"/>
                    <w:bottom w:val="single" w:color="auto" w:sz="4" w:space="0"/>
                    <w:right w:val="single" w:color="auto" w:sz="4" w:space="0"/>
                  </w:tcBorders>
                  <w:noWrap w:val="0"/>
                  <w:vAlign w:val="center"/>
                </w:tcPr>
                <w:p w14:paraId="77604B89">
                  <w:pPr>
                    <w:spacing w:line="240" w:lineRule="auto"/>
                    <w:jc w:val="center"/>
                    <w:rPr>
                      <w:snapToGrid w:val="0"/>
                      <w:color w:val="auto"/>
                      <w:sz w:val="21"/>
                      <w:szCs w:val="21"/>
                    </w:rPr>
                  </w:pPr>
                  <w:r>
                    <w:rPr>
                      <w:snapToGrid w:val="0"/>
                      <w:color w:val="auto"/>
                      <w:sz w:val="21"/>
                      <w:szCs w:val="21"/>
                    </w:rPr>
                    <w:t>大型车</w:t>
                  </w:r>
                </w:p>
              </w:tc>
              <w:tc>
                <w:tcPr>
                  <w:tcW w:w="1017" w:type="pct"/>
                  <w:tcBorders>
                    <w:top w:val="single" w:color="auto" w:sz="12" w:space="0"/>
                    <w:left w:val="single" w:color="auto" w:sz="4" w:space="0"/>
                    <w:bottom w:val="single" w:color="auto" w:sz="4" w:space="0"/>
                    <w:right w:val="single" w:color="auto" w:sz="4" w:space="0"/>
                  </w:tcBorders>
                  <w:noWrap w:val="0"/>
                  <w:vAlign w:val="center"/>
                </w:tcPr>
                <w:p w14:paraId="0914E197">
                  <w:pPr>
                    <w:spacing w:line="240" w:lineRule="auto"/>
                    <w:jc w:val="center"/>
                    <w:rPr>
                      <w:snapToGrid w:val="0"/>
                      <w:color w:val="auto"/>
                      <w:sz w:val="21"/>
                      <w:szCs w:val="21"/>
                    </w:rPr>
                  </w:pPr>
                  <w:r>
                    <w:rPr>
                      <w:snapToGrid w:val="0"/>
                      <w:color w:val="auto"/>
                      <w:sz w:val="21"/>
                      <w:szCs w:val="21"/>
                    </w:rPr>
                    <w:t>中型车</w:t>
                  </w:r>
                </w:p>
              </w:tc>
              <w:tc>
                <w:tcPr>
                  <w:tcW w:w="1017" w:type="pct"/>
                  <w:tcBorders>
                    <w:top w:val="single" w:color="auto" w:sz="12" w:space="0"/>
                    <w:left w:val="single" w:color="auto" w:sz="4" w:space="0"/>
                    <w:bottom w:val="single" w:color="auto" w:sz="4" w:space="0"/>
                    <w:right w:val="single" w:color="auto" w:sz="4" w:space="0"/>
                  </w:tcBorders>
                  <w:noWrap w:val="0"/>
                  <w:vAlign w:val="center"/>
                </w:tcPr>
                <w:p w14:paraId="3687B03B">
                  <w:pPr>
                    <w:spacing w:line="240" w:lineRule="auto"/>
                    <w:jc w:val="center"/>
                    <w:rPr>
                      <w:snapToGrid w:val="0"/>
                      <w:color w:val="auto"/>
                      <w:sz w:val="21"/>
                      <w:szCs w:val="21"/>
                    </w:rPr>
                  </w:pPr>
                  <w:r>
                    <w:rPr>
                      <w:snapToGrid w:val="0"/>
                      <w:color w:val="auto"/>
                      <w:sz w:val="21"/>
                      <w:szCs w:val="21"/>
                    </w:rPr>
                    <w:t>小型车</w:t>
                  </w:r>
                </w:p>
              </w:tc>
              <w:tc>
                <w:tcPr>
                  <w:tcW w:w="1017" w:type="pct"/>
                  <w:tcBorders>
                    <w:top w:val="single" w:color="auto" w:sz="12" w:space="0"/>
                    <w:left w:val="single" w:color="auto" w:sz="4" w:space="0"/>
                    <w:bottom w:val="single" w:color="auto" w:sz="4" w:space="0"/>
                  </w:tcBorders>
                  <w:noWrap w:val="0"/>
                  <w:vAlign w:val="center"/>
                </w:tcPr>
                <w:p w14:paraId="5AE203E9">
                  <w:pPr>
                    <w:spacing w:line="240" w:lineRule="auto"/>
                    <w:jc w:val="center"/>
                    <w:rPr>
                      <w:snapToGrid w:val="0"/>
                      <w:color w:val="auto"/>
                      <w:sz w:val="21"/>
                      <w:szCs w:val="21"/>
                    </w:rPr>
                  </w:pPr>
                  <w:r>
                    <w:rPr>
                      <w:snapToGrid w:val="0"/>
                      <w:color w:val="auto"/>
                      <w:sz w:val="21"/>
                      <w:szCs w:val="21"/>
                    </w:rPr>
                    <w:t>合计</w:t>
                  </w:r>
                </w:p>
              </w:tc>
            </w:tr>
            <w:tr w14:paraId="38A8685C">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961" w:type="pct"/>
                  <w:tcBorders>
                    <w:top w:val="single" w:color="auto" w:sz="4" w:space="0"/>
                    <w:bottom w:val="single" w:color="auto" w:sz="4" w:space="0"/>
                    <w:right w:val="single" w:color="auto" w:sz="4" w:space="0"/>
                  </w:tcBorders>
                  <w:noWrap w:val="0"/>
                  <w:vAlign w:val="center"/>
                </w:tcPr>
                <w:p w14:paraId="16B54859">
                  <w:pPr>
                    <w:spacing w:line="240" w:lineRule="auto"/>
                    <w:jc w:val="center"/>
                    <w:rPr>
                      <w:color w:val="auto"/>
                      <w:sz w:val="21"/>
                      <w:szCs w:val="21"/>
                    </w:rPr>
                  </w:pPr>
                  <w:r>
                    <w:rPr>
                      <w:color w:val="auto"/>
                      <w:sz w:val="21"/>
                      <w:szCs w:val="21"/>
                    </w:rPr>
                    <w:t>202</w:t>
                  </w:r>
                  <w:r>
                    <w:rPr>
                      <w:rFonts w:hint="eastAsia"/>
                      <w:color w:val="auto"/>
                      <w:sz w:val="21"/>
                      <w:szCs w:val="21"/>
                      <w:lang w:val="en-US" w:eastAsia="zh-CN"/>
                    </w:rPr>
                    <w:t>6</w:t>
                  </w:r>
                  <w:r>
                    <w:rPr>
                      <w:color w:val="auto"/>
                      <w:sz w:val="21"/>
                      <w:szCs w:val="21"/>
                    </w:rPr>
                    <w:t>年</w:t>
                  </w:r>
                </w:p>
              </w:tc>
              <w:tc>
                <w:tcPr>
                  <w:tcW w:w="984" w:type="pct"/>
                  <w:tcBorders>
                    <w:top w:val="single" w:color="auto" w:sz="4" w:space="0"/>
                    <w:left w:val="single" w:color="auto" w:sz="4" w:space="0"/>
                    <w:bottom w:val="single" w:color="auto" w:sz="4" w:space="0"/>
                    <w:right w:val="single" w:color="auto" w:sz="4" w:space="0"/>
                  </w:tcBorders>
                  <w:noWrap w:val="0"/>
                  <w:vAlign w:val="center"/>
                </w:tcPr>
                <w:p w14:paraId="0F5753CD">
                  <w:pPr>
                    <w:pStyle w:val="80"/>
                    <w:rPr>
                      <w:color w:val="auto"/>
                      <w:kern w:val="0"/>
                    </w:rPr>
                  </w:pPr>
                  <w:r>
                    <w:rPr>
                      <w:rFonts w:hint="eastAsia"/>
                      <w:color w:val="auto"/>
                      <w:lang w:val="en-US" w:eastAsia="zh-CN"/>
                    </w:rPr>
                    <w:t>14.45</w:t>
                  </w:r>
                  <w:r>
                    <w:rPr>
                      <w:color w:val="auto"/>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79E23614">
                  <w:pPr>
                    <w:pStyle w:val="80"/>
                    <w:rPr>
                      <w:color w:val="auto"/>
                    </w:rPr>
                  </w:pPr>
                  <w:r>
                    <w:rPr>
                      <w:rFonts w:hint="eastAsia"/>
                      <w:color w:val="auto"/>
                      <w:lang w:val="en-US" w:eastAsia="zh-CN"/>
                    </w:rPr>
                    <w:t>1.53</w:t>
                  </w:r>
                  <w:r>
                    <w:rPr>
                      <w:color w:val="auto"/>
                    </w:rPr>
                    <w:t>%</w:t>
                  </w:r>
                </w:p>
              </w:tc>
              <w:tc>
                <w:tcPr>
                  <w:tcW w:w="1017" w:type="pct"/>
                  <w:tcBorders>
                    <w:top w:val="single" w:color="auto" w:sz="4" w:space="0"/>
                    <w:left w:val="single" w:color="auto" w:sz="4" w:space="0"/>
                    <w:bottom w:val="single" w:color="auto" w:sz="4" w:space="0"/>
                    <w:right w:val="single" w:color="auto" w:sz="4" w:space="0"/>
                  </w:tcBorders>
                  <w:noWrap w:val="0"/>
                  <w:vAlign w:val="center"/>
                </w:tcPr>
                <w:p w14:paraId="6ED737B6">
                  <w:pPr>
                    <w:pStyle w:val="80"/>
                    <w:rPr>
                      <w:color w:val="auto"/>
                    </w:rPr>
                  </w:pPr>
                  <w:r>
                    <w:rPr>
                      <w:rFonts w:hint="eastAsia"/>
                      <w:color w:val="auto"/>
                      <w:lang w:val="en-US" w:eastAsia="zh-CN"/>
                    </w:rPr>
                    <w:t>84.02</w:t>
                  </w:r>
                  <w:r>
                    <w:rPr>
                      <w:color w:val="auto"/>
                    </w:rPr>
                    <w:t>%</w:t>
                  </w:r>
                </w:p>
              </w:tc>
              <w:tc>
                <w:tcPr>
                  <w:tcW w:w="1017" w:type="pct"/>
                  <w:tcBorders>
                    <w:top w:val="single" w:color="auto" w:sz="4" w:space="0"/>
                    <w:left w:val="single" w:color="auto" w:sz="4" w:space="0"/>
                    <w:bottom w:val="single" w:color="auto" w:sz="4" w:space="0"/>
                  </w:tcBorders>
                  <w:noWrap w:val="0"/>
                  <w:vAlign w:val="center"/>
                </w:tcPr>
                <w:p w14:paraId="4BB8BA03">
                  <w:pPr>
                    <w:pStyle w:val="80"/>
                    <w:rPr>
                      <w:color w:val="auto"/>
                    </w:rPr>
                  </w:pPr>
                  <w:r>
                    <w:rPr>
                      <w:color w:val="auto"/>
                    </w:rPr>
                    <w:t>100%</w:t>
                  </w:r>
                </w:p>
              </w:tc>
            </w:tr>
            <w:tr w14:paraId="6DCC8303">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961" w:type="pct"/>
                  <w:tcBorders>
                    <w:top w:val="single" w:color="auto" w:sz="4" w:space="0"/>
                    <w:bottom w:val="single" w:color="auto" w:sz="4" w:space="0"/>
                    <w:right w:val="single" w:color="auto" w:sz="4" w:space="0"/>
                  </w:tcBorders>
                  <w:noWrap w:val="0"/>
                  <w:vAlign w:val="center"/>
                </w:tcPr>
                <w:p w14:paraId="18E413A1">
                  <w:pPr>
                    <w:spacing w:line="240" w:lineRule="auto"/>
                    <w:jc w:val="center"/>
                    <w:rPr>
                      <w:color w:val="auto"/>
                      <w:sz w:val="21"/>
                      <w:szCs w:val="21"/>
                    </w:rPr>
                  </w:pPr>
                  <w:r>
                    <w:rPr>
                      <w:color w:val="auto"/>
                      <w:sz w:val="21"/>
                      <w:szCs w:val="21"/>
                    </w:rPr>
                    <w:t>203</w:t>
                  </w:r>
                  <w:r>
                    <w:rPr>
                      <w:rFonts w:hint="eastAsia"/>
                      <w:color w:val="auto"/>
                      <w:sz w:val="21"/>
                      <w:szCs w:val="21"/>
                      <w:lang w:val="en-US" w:eastAsia="zh-CN"/>
                    </w:rPr>
                    <w:t>2</w:t>
                  </w:r>
                  <w:r>
                    <w:rPr>
                      <w:color w:val="auto"/>
                      <w:sz w:val="21"/>
                      <w:szCs w:val="21"/>
                    </w:rPr>
                    <w:t>年</w:t>
                  </w:r>
                </w:p>
              </w:tc>
              <w:tc>
                <w:tcPr>
                  <w:tcW w:w="1543" w:type="dxa"/>
                  <w:tcBorders>
                    <w:top w:val="single" w:color="auto" w:sz="4" w:space="0"/>
                    <w:left w:val="single" w:color="auto" w:sz="4" w:space="0"/>
                    <w:bottom w:val="single" w:color="auto" w:sz="4" w:space="0"/>
                    <w:right w:val="single" w:color="auto" w:sz="4" w:space="0"/>
                  </w:tcBorders>
                  <w:noWrap w:val="0"/>
                  <w:vAlign w:val="center"/>
                </w:tcPr>
                <w:p w14:paraId="737DECC7">
                  <w:pPr>
                    <w:pStyle w:val="80"/>
                    <w:rPr>
                      <w:rFonts w:ascii="Calibri" w:hAnsi="Calibri" w:cs="Calibri"/>
                      <w:color w:val="auto"/>
                    </w:rPr>
                  </w:pPr>
                  <w:r>
                    <w:rPr>
                      <w:rFonts w:hint="eastAsia"/>
                      <w:color w:val="auto"/>
                      <w:lang w:val="en-US" w:eastAsia="zh-CN"/>
                    </w:rPr>
                    <w:t>14.45</w:t>
                  </w:r>
                  <w:r>
                    <w:rPr>
                      <w:color w:val="auto"/>
                    </w:rPr>
                    <w:t>%</w:t>
                  </w:r>
                </w:p>
              </w:tc>
              <w:tc>
                <w:tcPr>
                  <w:tcW w:w="1595" w:type="dxa"/>
                  <w:tcBorders>
                    <w:top w:val="single" w:color="auto" w:sz="4" w:space="0"/>
                    <w:left w:val="single" w:color="auto" w:sz="4" w:space="0"/>
                    <w:bottom w:val="single" w:color="auto" w:sz="4" w:space="0"/>
                    <w:right w:val="single" w:color="auto" w:sz="4" w:space="0"/>
                  </w:tcBorders>
                  <w:noWrap w:val="0"/>
                  <w:vAlign w:val="center"/>
                </w:tcPr>
                <w:p w14:paraId="17E13B5B">
                  <w:pPr>
                    <w:pStyle w:val="80"/>
                    <w:rPr>
                      <w:rFonts w:ascii="Calibri" w:hAnsi="Calibri" w:cs="Calibri"/>
                      <w:color w:val="auto"/>
                    </w:rPr>
                  </w:pPr>
                  <w:r>
                    <w:rPr>
                      <w:rFonts w:hint="eastAsia"/>
                      <w:color w:val="auto"/>
                      <w:lang w:val="en-US" w:eastAsia="zh-CN"/>
                    </w:rPr>
                    <w:t>1.53</w:t>
                  </w:r>
                  <w:r>
                    <w:rPr>
                      <w:color w:val="auto"/>
                    </w:rPr>
                    <w:t>%</w:t>
                  </w:r>
                </w:p>
              </w:tc>
              <w:tc>
                <w:tcPr>
                  <w:tcW w:w="1595" w:type="dxa"/>
                  <w:tcBorders>
                    <w:top w:val="single" w:color="auto" w:sz="4" w:space="0"/>
                    <w:left w:val="single" w:color="auto" w:sz="4" w:space="0"/>
                    <w:bottom w:val="single" w:color="auto" w:sz="4" w:space="0"/>
                    <w:right w:val="single" w:color="auto" w:sz="4" w:space="0"/>
                  </w:tcBorders>
                  <w:noWrap w:val="0"/>
                  <w:vAlign w:val="center"/>
                </w:tcPr>
                <w:p w14:paraId="150D5F1B">
                  <w:pPr>
                    <w:pStyle w:val="80"/>
                    <w:rPr>
                      <w:rFonts w:ascii="Calibri" w:hAnsi="Calibri" w:cs="Calibri"/>
                      <w:color w:val="auto"/>
                    </w:rPr>
                  </w:pPr>
                  <w:r>
                    <w:rPr>
                      <w:rFonts w:hint="eastAsia"/>
                      <w:color w:val="auto"/>
                      <w:lang w:val="en-US" w:eastAsia="zh-CN"/>
                    </w:rPr>
                    <w:t>84.02</w:t>
                  </w:r>
                  <w:r>
                    <w:rPr>
                      <w:color w:val="auto"/>
                    </w:rPr>
                    <w:t>%</w:t>
                  </w:r>
                </w:p>
              </w:tc>
              <w:tc>
                <w:tcPr>
                  <w:tcW w:w="1017" w:type="pct"/>
                  <w:tcBorders>
                    <w:top w:val="single" w:color="auto" w:sz="4" w:space="0"/>
                    <w:left w:val="single" w:color="auto" w:sz="4" w:space="0"/>
                    <w:bottom w:val="single" w:color="auto" w:sz="4" w:space="0"/>
                  </w:tcBorders>
                  <w:noWrap w:val="0"/>
                  <w:vAlign w:val="center"/>
                </w:tcPr>
                <w:p w14:paraId="0CA3E325">
                  <w:pPr>
                    <w:pStyle w:val="80"/>
                    <w:rPr>
                      <w:color w:val="auto"/>
                    </w:rPr>
                  </w:pPr>
                  <w:r>
                    <w:rPr>
                      <w:color w:val="auto"/>
                    </w:rPr>
                    <w:t>100%</w:t>
                  </w:r>
                </w:p>
              </w:tc>
            </w:tr>
            <w:tr w14:paraId="7BA8BA6E">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961" w:type="pct"/>
                  <w:tcBorders>
                    <w:top w:val="single" w:color="auto" w:sz="4" w:space="0"/>
                    <w:bottom w:val="single" w:color="auto" w:sz="12" w:space="0"/>
                    <w:right w:val="single" w:color="auto" w:sz="4" w:space="0"/>
                  </w:tcBorders>
                  <w:noWrap w:val="0"/>
                  <w:vAlign w:val="center"/>
                </w:tcPr>
                <w:p w14:paraId="18403185">
                  <w:pPr>
                    <w:spacing w:line="240" w:lineRule="auto"/>
                    <w:jc w:val="center"/>
                    <w:rPr>
                      <w:color w:val="auto"/>
                      <w:sz w:val="21"/>
                      <w:szCs w:val="21"/>
                    </w:rPr>
                  </w:pPr>
                  <w:r>
                    <w:rPr>
                      <w:color w:val="auto"/>
                      <w:sz w:val="21"/>
                      <w:szCs w:val="21"/>
                    </w:rPr>
                    <w:t>20</w:t>
                  </w:r>
                  <w:r>
                    <w:rPr>
                      <w:rFonts w:hint="eastAsia"/>
                      <w:color w:val="auto"/>
                      <w:sz w:val="21"/>
                      <w:szCs w:val="21"/>
                      <w:lang w:val="en-US" w:eastAsia="zh-CN"/>
                    </w:rPr>
                    <w:t>40</w:t>
                  </w:r>
                  <w:r>
                    <w:rPr>
                      <w:color w:val="auto"/>
                      <w:sz w:val="21"/>
                      <w:szCs w:val="21"/>
                    </w:rPr>
                    <w:t>年</w:t>
                  </w:r>
                </w:p>
              </w:tc>
              <w:tc>
                <w:tcPr>
                  <w:tcW w:w="1543" w:type="dxa"/>
                  <w:tcBorders>
                    <w:top w:val="single" w:color="auto" w:sz="4" w:space="0"/>
                    <w:left w:val="single" w:color="auto" w:sz="4" w:space="0"/>
                    <w:bottom w:val="single" w:color="auto" w:sz="12" w:space="0"/>
                    <w:right w:val="single" w:color="auto" w:sz="4" w:space="0"/>
                  </w:tcBorders>
                  <w:noWrap w:val="0"/>
                  <w:vAlign w:val="center"/>
                </w:tcPr>
                <w:p w14:paraId="67428E88">
                  <w:pPr>
                    <w:pStyle w:val="80"/>
                    <w:rPr>
                      <w:color w:val="auto"/>
                    </w:rPr>
                  </w:pPr>
                  <w:r>
                    <w:rPr>
                      <w:rFonts w:hint="eastAsia"/>
                      <w:color w:val="auto"/>
                      <w:lang w:val="en-US" w:eastAsia="zh-CN"/>
                    </w:rPr>
                    <w:t>14.45</w:t>
                  </w:r>
                  <w:r>
                    <w:rPr>
                      <w:color w:val="auto"/>
                    </w:rPr>
                    <w:t>%</w:t>
                  </w:r>
                </w:p>
              </w:tc>
              <w:tc>
                <w:tcPr>
                  <w:tcW w:w="1595" w:type="dxa"/>
                  <w:tcBorders>
                    <w:top w:val="single" w:color="auto" w:sz="4" w:space="0"/>
                    <w:left w:val="single" w:color="auto" w:sz="4" w:space="0"/>
                    <w:bottom w:val="single" w:color="auto" w:sz="12" w:space="0"/>
                    <w:right w:val="single" w:color="auto" w:sz="4" w:space="0"/>
                  </w:tcBorders>
                  <w:noWrap w:val="0"/>
                  <w:vAlign w:val="center"/>
                </w:tcPr>
                <w:p w14:paraId="4F11BC48">
                  <w:pPr>
                    <w:pStyle w:val="80"/>
                    <w:rPr>
                      <w:color w:val="auto"/>
                    </w:rPr>
                  </w:pPr>
                  <w:r>
                    <w:rPr>
                      <w:rFonts w:hint="eastAsia"/>
                      <w:color w:val="auto"/>
                      <w:lang w:val="en-US" w:eastAsia="zh-CN"/>
                    </w:rPr>
                    <w:t>1.53</w:t>
                  </w:r>
                  <w:r>
                    <w:rPr>
                      <w:color w:val="auto"/>
                    </w:rPr>
                    <w:t>%</w:t>
                  </w:r>
                </w:p>
              </w:tc>
              <w:tc>
                <w:tcPr>
                  <w:tcW w:w="1595" w:type="dxa"/>
                  <w:tcBorders>
                    <w:top w:val="single" w:color="auto" w:sz="4" w:space="0"/>
                    <w:left w:val="single" w:color="auto" w:sz="4" w:space="0"/>
                    <w:bottom w:val="single" w:color="auto" w:sz="12" w:space="0"/>
                    <w:right w:val="single" w:color="auto" w:sz="4" w:space="0"/>
                  </w:tcBorders>
                  <w:noWrap w:val="0"/>
                  <w:vAlign w:val="center"/>
                </w:tcPr>
                <w:p w14:paraId="3C218C52">
                  <w:pPr>
                    <w:pStyle w:val="80"/>
                    <w:rPr>
                      <w:color w:val="auto"/>
                    </w:rPr>
                  </w:pPr>
                  <w:r>
                    <w:rPr>
                      <w:rFonts w:hint="eastAsia"/>
                      <w:color w:val="auto"/>
                      <w:lang w:val="en-US" w:eastAsia="zh-CN"/>
                    </w:rPr>
                    <w:t>84.02</w:t>
                  </w:r>
                  <w:r>
                    <w:rPr>
                      <w:color w:val="auto"/>
                    </w:rPr>
                    <w:t>%</w:t>
                  </w:r>
                </w:p>
              </w:tc>
              <w:tc>
                <w:tcPr>
                  <w:tcW w:w="1017" w:type="pct"/>
                  <w:tcBorders>
                    <w:top w:val="single" w:color="auto" w:sz="4" w:space="0"/>
                    <w:left w:val="single" w:color="auto" w:sz="4" w:space="0"/>
                    <w:bottom w:val="single" w:color="auto" w:sz="12" w:space="0"/>
                  </w:tcBorders>
                  <w:noWrap w:val="0"/>
                  <w:vAlign w:val="center"/>
                </w:tcPr>
                <w:p w14:paraId="513E3FB9">
                  <w:pPr>
                    <w:pStyle w:val="80"/>
                    <w:rPr>
                      <w:color w:val="auto"/>
                    </w:rPr>
                  </w:pPr>
                  <w:r>
                    <w:rPr>
                      <w:color w:val="auto"/>
                    </w:rPr>
                    <w:t>100%</w:t>
                  </w:r>
                </w:p>
              </w:tc>
            </w:tr>
          </w:tbl>
          <w:p w14:paraId="419ACCF1">
            <w:pPr>
              <w:pStyle w:val="72"/>
              <w:rPr>
                <w:rFonts w:hint="default" w:ascii="Times New Roman" w:hAnsi="Times New Roman" w:eastAsia="宋体" w:cs="Times New Roman"/>
                <w:color w:val="auto"/>
              </w:rPr>
            </w:pPr>
          </w:p>
          <w:p w14:paraId="5630368F">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表2-5 预测车流量昼夜比</w:t>
            </w:r>
          </w:p>
          <w:tbl>
            <w:tblPr>
              <w:tblStyle w:val="31"/>
              <w:tblW w:w="5000" w:type="pct"/>
              <w:tblInd w:w="0" w:type="dxa"/>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6178"/>
              <w:gridCol w:w="845"/>
              <w:gridCol w:w="845"/>
            </w:tblGrid>
            <w:tr w14:paraId="33A15171">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925" w:type="pct"/>
                  <w:tcBorders>
                    <w:top w:val="single" w:color="auto" w:sz="12" w:space="0"/>
                    <w:bottom w:val="single" w:color="000000" w:sz="4" w:space="0"/>
                    <w:right w:val="single" w:color="auto" w:sz="4" w:space="0"/>
                    <w:tl2br w:val="single" w:color="auto" w:sz="12" w:space="0"/>
                  </w:tcBorders>
                  <w:noWrap w:val="0"/>
                  <w:vAlign w:val="center"/>
                </w:tcPr>
                <w:p w14:paraId="3D5CCD77">
                  <w:pPr>
                    <w:pStyle w:val="80"/>
                    <w:jc w:val="right"/>
                    <w:rPr>
                      <w:color w:val="auto"/>
                    </w:rPr>
                  </w:pPr>
                  <w:r>
                    <w:rPr>
                      <w:color w:val="auto"/>
                    </w:rPr>
                    <w:t>昼夜比</w:t>
                  </w:r>
                </w:p>
                <w:p w14:paraId="37B9E4C2">
                  <w:pPr>
                    <w:pStyle w:val="80"/>
                    <w:jc w:val="both"/>
                    <w:rPr>
                      <w:color w:val="auto"/>
                    </w:rPr>
                  </w:pPr>
                  <w:r>
                    <w:rPr>
                      <w:color w:val="auto"/>
                    </w:rPr>
                    <w:t>路段名称</w:t>
                  </w:r>
                </w:p>
              </w:tc>
              <w:tc>
                <w:tcPr>
                  <w:tcW w:w="537" w:type="pct"/>
                  <w:noWrap w:val="0"/>
                  <w:vAlign w:val="center"/>
                </w:tcPr>
                <w:p w14:paraId="2A0CEC80">
                  <w:pPr>
                    <w:pStyle w:val="80"/>
                    <w:rPr>
                      <w:color w:val="auto"/>
                    </w:rPr>
                  </w:pPr>
                  <w:r>
                    <w:rPr>
                      <w:color w:val="auto"/>
                    </w:rPr>
                    <w:t>昼间</w:t>
                  </w:r>
                </w:p>
              </w:tc>
              <w:tc>
                <w:tcPr>
                  <w:tcW w:w="537" w:type="pct"/>
                  <w:noWrap w:val="0"/>
                  <w:vAlign w:val="center"/>
                </w:tcPr>
                <w:p w14:paraId="0F1A2E5C">
                  <w:pPr>
                    <w:pStyle w:val="80"/>
                    <w:rPr>
                      <w:color w:val="auto"/>
                    </w:rPr>
                  </w:pPr>
                  <w:r>
                    <w:rPr>
                      <w:color w:val="auto"/>
                    </w:rPr>
                    <w:t>夜间</w:t>
                  </w:r>
                </w:p>
              </w:tc>
            </w:tr>
            <w:tr w14:paraId="17C5D3CA">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925" w:type="pct"/>
                  <w:tcBorders>
                    <w:top w:val="single" w:color="000000" w:sz="4" w:space="0"/>
                    <w:right w:val="single" w:color="auto" w:sz="4" w:space="0"/>
                  </w:tcBorders>
                  <w:noWrap w:val="0"/>
                  <w:vAlign w:val="center"/>
                </w:tcPr>
                <w:p w14:paraId="015CDAC7">
                  <w:pPr>
                    <w:pStyle w:val="80"/>
                    <w:rPr>
                      <w:color w:val="auto"/>
                      <w:kern w:val="0"/>
                    </w:rPr>
                  </w:pPr>
                  <w:r>
                    <w:rPr>
                      <w:color w:val="auto"/>
                      <w:kern w:val="0"/>
                    </w:rPr>
                    <w:t>起点至</w:t>
                  </w:r>
                  <w:r>
                    <w:rPr>
                      <w:rFonts w:hint="eastAsia"/>
                      <w:color w:val="auto"/>
                      <w:kern w:val="0"/>
                      <w:lang w:val="en-US" w:eastAsia="zh-CN"/>
                    </w:rPr>
                    <w:t>终点</w:t>
                  </w:r>
                  <w:r>
                    <w:rPr>
                      <w:color w:val="auto"/>
                      <w:kern w:val="0"/>
                    </w:rPr>
                    <w:t>段（</w:t>
                  </w:r>
                  <w:r>
                    <w:rPr>
                      <w:rFonts w:eastAsia="宋体"/>
                      <w:b w:val="0"/>
                      <w:bCs/>
                      <w:color w:val="auto"/>
                      <w:lang w:val="zh-CN"/>
                    </w:rPr>
                    <w:t>K370+000</w:t>
                  </w:r>
                  <w:r>
                    <w:rPr>
                      <w:rFonts w:hint="eastAsia"/>
                      <w:color w:val="auto"/>
                    </w:rPr>
                    <w:t>~</w:t>
                  </w:r>
                  <w:r>
                    <w:rPr>
                      <w:rFonts w:eastAsia="宋体"/>
                      <w:b w:val="0"/>
                      <w:bCs/>
                      <w:color w:val="auto"/>
                      <w:lang w:val="zh-CN"/>
                    </w:rPr>
                    <w:t>K414+953.7</w:t>
                  </w:r>
                  <w:r>
                    <w:rPr>
                      <w:color w:val="auto"/>
                      <w:kern w:val="0"/>
                    </w:rPr>
                    <w:t>）</w:t>
                  </w:r>
                </w:p>
              </w:tc>
              <w:tc>
                <w:tcPr>
                  <w:tcW w:w="537" w:type="pct"/>
                  <w:noWrap w:val="0"/>
                  <w:vAlign w:val="center"/>
                </w:tcPr>
                <w:p w14:paraId="46151CCB">
                  <w:pPr>
                    <w:pStyle w:val="80"/>
                    <w:rPr>
                      <w:color w:val="auto"/>
                    </w:rPr>
                  </w:pPr>
                  <w:r>
                    <w:rPr>
                      <w:rFonts w:hint="eastAsia"/>
                      <w:color w:val="auto"/>
                      <w:lang w:val="en-US" w:eastAsia="zh-CN"/>
                    </w:rPr>
                    <w:t>9</w:t>
                  </w:r>
                  <w:r>
                    <w:rPr>
                      <w:color w:val="auto"/>
                    </w:rPr>
                    <w:t>0%</w:t>
                  </w:r>
                </w:p>
              </w:tc>
              <w:tc>
                <w:tcPr>
                  <w:tcW w:w="537" w:type="pct"/>
                  <w:noWrap w:val="0"/>
                  <w:vAlign w:val="center"/>
                </w:tcPr>
                <w:p w14:paraId="6CC497E7">
                  <w:pPr>
                    <w:pStyle w:val="80"/>
                    <w:rPr>
                      <w:color w:val="auto"/>
                    </w:rPr>
                  </w:pPr>
                  <w:r>
                    <w:rPr>
                      <w:rFonts w:hint="eastAsia"/>
                      <w:color w:val="auto"/>
                      <w:lang w:val="en-US" w:eastAsia="zh-CN"/>
                    </w:rPr>
                    <w:t>1</w:t>
                  </w:r>
                  <w:r>
                    <w:rPr>
                      <w:color w:val="auto"/>
                    </w:rPr>
                    <w:t>0%</w:t>
                  </w:r>
                </w:p>
              </w:tc>
            </w:tr>
          </w:tbl>
          <w:p w14:paraId="1F1CE0D7">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表2-6  各征年总交通量预测结果（自然车流量）</w:t>
            </w:r>
          </w:p>
          <w:tbl>
            <w:tblPr>
              <w:tblStyle w:val="31"/>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2277"/>
              <w:gridCol w:w="1142"/>
              <w:gridCol w:w="1633"/>
              <w:gridCol w:w="1408"/>
              <w:gridCol w:w="1408"/>
            </w:tblGrid>
            <w:tr w14:paraId="4DFBCF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exact"/>
                <w:jc w:val="center"/>
              </w:trPr>
              <w:tc>
                <w:tcPr>
                  <w:tcW w:w="1446" w:type="pct"/>
                  <w:noWrap w:val="0"/>
                  <w:vAlign w:val="center"/>
                </w:tcPr>
                <w:p w14:paraId="0FFCAF84">
                  <w:pPr>
                    <w:pStyle w:val="80"/>
                    <w:rPr>
                      <w:color w:val="auto"/>
                    </w:rPr>
                  </w:pPr>
                  <w:r>
                    <w:rPr>
                      <w:color w:val="auto"/>
                    </w:rPr>
                    <w:t>路段名称</w:t>
                  </w:r>
                </w:p>
              </w:tc>
              <w:tc>
                <w:tcPr>
                  <w:tcW w:w="725" w:type="pct"/>
                  <w:noWrap w:val="0"/>
                  <w:vAlign w:val="center"/>
                </w:tcPr>
                <w:p w14:paraId="04554F93">
                  <w:pPr>
                    <w:pStyle w:val="80"/>
                    <w:rPr>
                      <w:color w:val="auto"/>
                    </w:rPr>
                  </w:pPr>
                  <w:r>
                    <w:rPr>
                      <w:color w:val="auto"/>
                    </w:rPr>
                    <w:t>年段</w:t>
                  </w:r>
                </w:p>
              </w:tc>
              <w:tc>
                <w:tcPr>
                  <w:tcW w:w="1037" w:type="pct"/>
                  <w:noWrap w:val="0"/>
                  <w:vAlign w:val="center"/>
                </w:tcPr>
                <w:p w14:paraId="6AF75FBD">
                  <w:pPr>
                    <w:pStyle w:val="80"/>
                    <w:rPr>
                      <w:color w:val="auto"/>
                    </w:rPr>
                  </w:pPr>
                  <w:r>
                    <w:rPr>
                      <w:color w:val="auto"/>
                    </w:rPr>
                    <w:t>交通量（辆/d）</w:t>
                  </w:r>
                </w:p>
              </w:tc>
              <w:tc>
                <w:tcPr>
                  <w:tcW w:w="894" w:type="pct"/>
                  <w:noWrap w:val="0"/>
                  <w:vAlign w:val="center"/>
                </w:tcPr>
                <w:p w14:paraId="7448210F">
                  <w:pPr>
                    <w:pStyle w:val="80"/>
                    <w:rPr>
                      <w:color w:val="auto"/>
                    </w:rPr>
                  </w:pPr>
                  <w:r>
                    <w:rPr>
                      <w:color w:val="auto"/>
                    </w:rPr>
                    <w:t>昼间（辆/h）</w:t>
                  </w:r>
                </w:p>
              </w:tc>
              <w:tc>
                <w:tcPr>
                  <w:tcW w:w="894" w:type="pct"/>
                  <w:noWrap w:val="0"/>
                  <w:vAlign w:val="center"/>
                </w:tcPr>
                <w:p w14:paraId="7B0D9CC1">
                  <w:pPr>
                    <w:pStyle w:val="80"/>
                    <w:rPr>
                      <w:color w:val="auto"/>
                    </w:rPr>
                  </w:pPr>
                  <w:r>
                    <w:rPr>
                      <w:color w:val="auto"/>
                    </w:rPr>
                    <w:t>夜间（辆/h）</w:t>
                  </w:r>
                </w:p>
              </w:tc>
            </w:tr>
            <w:tr w14:paraId="2ED19A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exact"/>
                <w:jc w:val="center"/>
              </w:trPr>
              <w:tc>
                <w:tcPr>
                  <w:tcW w:w="1446" w:type="pct"/>
                  <w:vMerge w:val="restart"/>
                  <w:noWrap w:val="0"/>
                  <w:vAlign w:val="center"/>
                </w:tcPr>
                <w:p w14:paraId="7905591E">
                  <w:pPr>
                    <w:pStyle w:val="80"/>
                    <w:rPr>
                      <w:color w:val="auto"/>
                    </w:rPr>
                  </w:pPr>
                  <w:r>
                    <w:rPr>
                      <w:color w:val="auto"/>
                      <w:kern w:val="0"/>
                    </w:rPr>
                    <w:t>起点至</w:t>
                  </w:r>
                  <w:r>
                    <w:rPr>
                      <w:rFonts w:hint="eastAsia"/>
                      <w:color w:val="auto"/>
                      <w:kern w:val="0"/>
                      <w:lang w:val="en-US" w:eastAsia="zh-CN"/>
                    </w:rPr>
                    <w:t>终点</w:t>
                  </w:r>
                  <w:r>
                    <w:rPr>
                      <w:color w:val="auto"/>
                      <w:kern w:val="0"/>
                    </w:rPr>
                    <w:t>段（</w:t>
                  </w:r>
                  <w:r>
                    <w:rPr>
                      <w:rFonts w:eastAsia="宋体"/>
                      <w:b w:val="0"/>
                      <w:bCs/>
                      <w:color w:val="auto"/>
                      <w:lang w:val="zh-CN"/>
                    </w:rPr>
                    <w:t>K370+000</w:t>
                  </w:r>
                  <w:r>
                    <w:rPr>
                      <w:rFonts w:hint="eastAsia"/>
                      <w:color w:val="auto"/>
                    </w:rPr>
                    <w:t>~</w:t>
                  </w:r>
                  <w:r>
                    <w:rPr>
                      <w:rFonts w:eastAsia="宋体"/>
                      <w:b w:val="0"/>
                      <w:bCs/>
                      <w:color w:val="auto"/>
                      <w:lang w:val="zh-CN"/>
                    </w:rPr>
                    <w:t>K414+953.7</w:t>
                  </w:r>
                  <w:r>
                    <w:rPr>
                      <w:color w:val="auto"/>
                      <w:kern w:val="0"/>
                    </w:rPr>
                    <w:t>）</w:t>
                  </w:r>
                </w:p>
              </w:tc>
              <w:tc>
                <w:tcPr>
                  <w:tcW w:w="725" w:type="pct"/>
                  <w:noWrap w:val="0"/>
                  <w:vAlign w:val="center"/>
                </w:tcPr>
                <w:p w14:paraId="7693A787">
                  <w:pPr>
                    <w:spacing w:line="240" w:lineRule="auto"/>
                    <w:jc w:val="center"/>
                    <w:rPr>
                      <w:color w:val="auto"/>
                      <w:sz w:val="21"/>
                      <w:szCs w:val="21"/>
                    </w:rPr>
                  </w:pPr>
                  <w:r>
                    <w:rPr>
                      <w:color w:val="auto"/>
                      <w:sz w:val="21"/>
                      <w:szCs w:val="21"/>
                    </w:rPr>
                    <w:t>202</w:t>
                  </w:r>
                  <w:r>
                    <w:rPr>
                      <w:rFonts w:hint="eastAsia"/>
                      <w:color w:val="auto"/>
                      <w:sz w:val="21"/>
                      <w:szCs w:val="21"/>
                      <w:lang w:val="en-US" w:eastAsia="zh-CN"/>
                    </w:rPr>
                    <w:t>6</w:t>
                  </w:r>
                  <w:r>
                    <w:rPr>
                      <w:color w:val="auto"/>
                      <w:sz w:val="21"/>
                      <w:szCs w:val="21"/>
                    </w:rPr>
                    <w:t>年</w:t>
                  </w:r>
                </w:p>
              </w:tc>
              <w:tc>
                <w:tcPr>
                  <w:tcW w:w="1037" w:type="pct"/>
                  <w:noWrap w:val="0"/>
                  <w:vAlign w:val="center"/>
                </w:tcPr>
                <w:p w14:paraId="1033A3DC">
                  <w:pPr>
                    <w:pStyle w:val="80"/>
                    <w:rPr>
                      <w:color w:val="auto"/>
                    </w:rPr>
                  </w:pPr>
                  <w:r>
                    <w:rPr>
                      <w:color w:val="auto"/>
                    </w:rPr>
                    <w:t>3</w:t>
                  </w:r>
                  <w:r>
                    <w:rPr>
                      <w:rFonts w:hint="eastAsia"/>
                      <w:color w:val="auto"/>
                      <w:lang w:val="en-US" w:eastAsia="zh-CN"/>
                    </w:rPr>
                    <w:t>842</w:t>
                  </w:r>
                  <w:r>
                    <w:rPr>
                      <w:color w:val="auto"/>
                    </w:rPr>
                    <w:t xml:space="preserve"> </w:t>
                  </w:r>
                </w:p>
              </w:tc>
              <w:tc>
                <w:tcPr>
                  <w:tcW w:w="894" w:type="pct"/>
                  <w:noWrap w:val="0"/>
                  <w:vAlign w:val="center"/>
                </w:tcPr>
                <w:p w14:paraId="61773496">
                  <w:pPr>
                    <w:pStyle w:val="80"/>
                    <w:rPr>
                      <w:rFonts w:hint="default" w:eastAsia="宋体"/>
                      <w:color w:val="auto"/>
                      <w:lang w:val="en-US" w:eastAsia="zh-CN"/>
                    </w:rPr>
                  </w:pPr>
                  <w:r>
                    <w:rPr>
                      <w:rFonts w:hint="eastAsia"/>
                      <w:color w:val="auto"/>
                      <w:lang w:val="en-US" w:eastAsia="zh-CN"/>
                    </w:rPr>
                    <w:t>216</w:t>
                  </w:r>
                </w:p>
              </w:tc>
              <w:tc>
                <w:tcPr>
                  <w:tcW w:w="894" w:type="pct"/>
                  <w:noWrap w:val="0"/>
                  <w:vAlign w:val="center"/>
                </w:tcPr>
                <w:p w14:paraId="3CD68526">
                  <w:pPr>
                    <w:pStyle w:val="80"/>
                    <w:rPr>
                      <w:rFonts w:hint="default" w:eastAsia="宋体"/>
                      <w:color w:val="auto"/>
                      <w:lang w:val="en-US" w:eastAsia="zh-CN"/>
                    </w:rPr>
                  </w:pPr>
                  <w:r>
                    <w:rPr>
                      <w:rFonts w:hint="eastAsia"/>
                      <w:color w:val="auto"/>
                      <w:lang w:val="en-US" w:eastAsia="zh-CN"/>
                    </w:rPr>
                    <w:t>48</w:t>
                  </w:r>
                </w:p>
              </w:tc>
            </w:tr>
            <w:tr w14:paraId="1EDBDC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exact"/>
                <w:jc w:val="center"/>
              </w:trPr>
              <w:tc>
                <w:tcPr>
                  <w:tcW w:w="1446" w:type="pct"/>
                  <w:vMerge w:val="continue"/>
                  <w:noWrap w:val="0"/>
                  <w:vAlign w:val="center"/>
                </w:tcPr>
                <w:p w14:paraId="4CB47F1D">
                  <w:pPr>
                    <w:pStyle w:val="80"/>
                    <w:rPr>
                      <w:color w:val="auto"/>
                    </w:rPr>
                  </w:pPr>
                </w:p>
              </w:tc>
              <w:tc>
                <w:tcPr>
                  <w:tcW w:w="725" w:type="pct"/>
                  <w:noWrap w:val="0"/>
                  <w:vAlign w:val="center"/>
                </w:tcPr>
                <w:p w14:paraId="73AE73F3">
                  <w:pPr>
                    <w:spacing w:line="240" w:lineRule="auto"/>
                    <w:jc w:val="center"/>
                    <w:rPr>
                      <w:color w:val="auto"/>
                      <w:sz w:val="21"/>
                      <w:szCs w:val="21"/>
                    </w:rPr>
                  </w:pPr>
                  <w:r>
                    <w:rPr>
                      <w:color w:val="auto"/>
                      <w:sz w:val="21"/>
                      <w:szCs w:val="21"/>
                    </w:rPr>
                    <w:t>203</w:t>
                  </w:r>
                  <w:r>
                    <w:rPr>
                      <w:rFonts w:hint="eastAsia"/>
                      <w:color w:val="auto"/>
                      <w:sz w:val="21"/>
                      <w:szCs w:val="21"/>
                      <w:lang w:val="en-US" w:eastAsia="zh-CN"/>
                    </w:rPr>
                    <w:t>2</w:t>
                  </w:r>
                  <w:r>
                    <w:rPr>
                      <w:color w:val="auto"/>
                      <w:sz w:val="21"/>
                      <w:szCs w:val="21"/>
                    </w:rPr>
                    <w:t>年</w:t>
                  </w:r>
                </w:p>
              </w:tc>
              <w:tc>
                <w:tcPr>
                  <w:tcW w:w="1037" w:type="pct"/>
                  <w:noWrap w:val="0"/>
                  <w:vAlign w:val="center"/>
                </w:tcPr>
                <w:p w14:paraId="2CCC2537">
                  <w:pPr>
                    <w:pStyle w:val="80"/>
                    <w:rPr>
                      <w:rFonts w:hint="default" w:eastAsia="宋体"/>
                      <w:color w:val="auto"/>
                      <w:lang w:val="en-US" w:eastAsia="zh-CN"/>
                    </w:rPr>
                  </w:pPr>
                  <w:r>
                    <w:rPr>
                      <w:rFonts w:hint="eastAsia"/>
                      <w:color w:val="auto"/>
                      <w:lang w:val="en-US" w:eastAsia="zh-CN"/>
                    </w:rPr>
                    <w:t>4774</w:t>
                  </w:r>
                </w:p>
              </w:tc>
              <w:tc>
                <w:tcPr>
                  <w:tcW w:w="894" w:type="pct"/>
                  <w:noWrap w:val="0"/>
                  <w:vAlign w:val="center"/>
                </w:tcPr>
                <w:p w14:paraId="6CAFF680">
                  <w:pPr>
                    <w:pStyle w:val="80"/>
                    <w:rPr>
                      <w:rFonts w:hint="default"/>
                      <w:color w:val="auto"/>
                      <w:lang w:val="en-US"/>
                    </w:rPr>
                  </w:pPr>
                  <w:r>
                    <w:rPr>
                      <w:rFonts w:hint="eastAsia"/>
                      <w:color w:val="auto"/>
                      <w:lang w:val="en-US" w:eastAsia="zh-CN"/>
                    </w:rPr>
                    <w:t>269</w:t>
                  </w:r>
                </w:p>
              </w:tc>
              <w:tc>
                <w:tcPr>
                  <w:tcW w:w="894" w:type="pct"/>
                  <w:noWrap w:val="0"/>
                  <w:vAlign w:val="center"/>
                </w:tcPr>
                <w:p w14:paraId="608DE602">
                  <w:pPr>
                    <w:pStyle w:val="80"/>
                    <w:rPr>
                      <w:rFonts w:hint="default" w:eastAsia="宋体"/>
                      <w:color w:val="auto"/>
                      <w:lang w:val="en-US" w:eastAsia="zh-CN"/>
                    </w:rPr>
                  </w:pPr>
                  <w:r>
                    <w:rPr>
                      <w:rFonts w:hint="eastAsia"/>
                      <w:color w:val="auto"/>
                      <w:lang w:val="en-US" w:eastAsia="zh-CN"/>
                    </w:rPr>
                    <w:t>60</w:t>
                  </w:r>
                </w:p>
              </w:tc>
            </w:tr>
            <w:tr w14:paraId="2C0BC4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exact"/>
                <w:jc w:val="center"/>
              </w:trPr>
              <w:tc>
                <w:tcPr>
                  <w:tcW w:w="1446" w:type="pct"/>
                  <w:vMerge w:val="continue"/>
                  <w:noWrap w:val="0"/>
                  <w:vAlign w:val="center"/>
                </w:tcPr>
                <w:p w14:paraId="28805027">
                  <w:pPr>
                    <w:pStyle w:val="80"/>
                    <w:rPr>
                      <w:color w:val="auto"/>
                    </w:rPr>
                  </w:pPr>
                </w:p>
              </w:tc>
              <w:tc>
                <w:tcPr>
                  <w:tcW w:w="725" w:type="pct"/>
                  <w:noWrap w:val="0"/>
                  <w:vAlign w:val="center"/>
                </w:tcPr>
                <w:p w14:paraId="30781FA5">
                  <w:pPr>
                    <w:spacing w:line="240" w:lineRule="auto"/>
                    <w:jc w:val="center"/>
                    <w:rPr>
                      <w:color w:val="auto"/>
                      <w:sz w:val="21"/>
                      <w:szCs w:val="21"/>
                    </w:rPr>
                  </w:pPr>
                  <w:r>
                    <w:rPr>
                      <w:color w:val="auto"/>
                      <w:sz w:val="21"/>
                      <w:szCs w:val="21"/>
                    </w:rPr>
                    <w:t>20</w:t>
                  </w:r>
                  <w:r>
                    <w:rPr>
                      <w:rFonts w:hint="eastAsia"/>
                      <w:color w:val="auto"/>
                      <w:sz w:val="21"/>
                      <w:szCs w:val="21"/>
                      <w:lang w:val="en-US" w:eastAsia="zh-CN"/>
                    </w:rPr>
                    <w:t>40</w:t>
                  </w:r>
                  <w:r>
                    <w:rPr>
                      <w:color w:val="auto"/>
                      <w:sz w:val="21"/>
                      <w:szCs w:val="21"/>
                    </w:rPr>
                    <w:t>年</w:t>
                  </w:r>
                </w:p>
              </w:tc>
              <w:tc>
                <w:tcPr>
                  <w:tcW w:w="1037" w:type="pct"/>
                  <w:noWrap w:val="0"/>
                  <w:vAlign w:val="center"/>
                </w:tcPr>
                <w:p w14:paraId="4F0D39E8">
                  <w:pPr>
                    <w:pStyle w:val="80"/>
                    <w:rPr>
                      <w:rFonts w:hint="default" w:eastAsia="宋体"/>
                      <w:color w:val="auto"/>
                      <w:lang w:val="en-US" w:eastAsia="zh-CN"/>
                    </w:rPr>
                  </w:pPr>
                  <w:r>
                    <w:rPr>
                      <w:rFonts w:hint="eastAsia"/>
                      <w:color w:val="auto"/>
                      <w:lang w:val="en-US" w:eastAsia="zh-CN"/>
                    </w:rPr>
                    <w:t>5101</w:t>
                  </w:r>
                </w:p>
              </w:tc>
              <w:tc>
                <w:tcPr>
                  <w:tcW w:w="894" w:type="pct"/>
                  <w:noWrap w:val="0"/>
                  <w:vAlign w:val="center"/>
                </w:tcPr>
                <w:p w14:paraId="7382BEF5">
                  <w:pPr>
                    <w:pStyle w:val="80"/>
                    <w:rPr>
                      <w:rFonts w:hint="default" w:eastAsia="宋体"/>
                      <w:color w:val="auto"/>
                      <w:lang w:val="en-US" w:eastAsia="zh-CN"/>
                    </w:rPr>
                  </w:pPr>
                  <w:r>
                    <w:rPr>
                      <w:rFonts w:hint="eastAsia"/>
                      <w:color w:val="auto"/>
                      <w:lang w:val="en-US" w:eastAsia="zh-CN"/>
                    </w:rPr>
                    <w:t>287</w:t>
                  </w:r>
                </w:p>
              </w:tc>
              <w:tc>
                <w:tcPr>
                  <w:tcW w:w="894" w:type="pct"/>
                  <w:noWrap w:val="0"/>
                  <w:vAlign w:val="center"/>
                </w:tcPr>
                <w:p w14:paraId="548F348C">
                  <w:pPr>
                    <w:pStyle w:val="80"/>
                    <w:rPr>
                      <w:rFonts w:hint="default" w:eastAsia="宋体"/>
                      <w:color w:val="auto"/>
                      <w:lang w:val="en-US" w:eastAsia="zh-CN"/>
                    </w:rPr>
                  </w:pPr>
                  <w:r>
                    <w:rPr>
                      <w:rFonts w:hint="eastAsia"/>
                      <w:color w:val="auto"/>
                      <w:lang w:val="en-US" w:eastAsia="zh-CN"/>
                    </w:rPr>
                    <w:t>64</w:t>
                  </w:r>
                </w:p>
              </w:tc>
            </w:tr>
          </w:tbl>
          <w:p w14:paraId="53DAC479">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表2-7  折算特征年各车型交通量预测结果  单位：辆/h</w:t>
            </w:r>
          </w:p>
          <w:tbl>
            <w:tblPr>
              <w:tblStyle w:val="31"/>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2029"/>
              <w:gridCol w:w="1070"/>
              <w:gridCol w:w="795"/>
              <w:gridCol w:w="800"/>
              <w:gridCol w:w="798"/>
              <w:gridCol w:w="801"/>
              <w:gridCol w:w="798"/>
              <w:gridCol w:w="777"/>
            </w:tblGrid>
            <w:tr w14:paraId="1593C4A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exact"/>
                <w:jc w:val="center"/>
              </w:trPr>
              <w:tc>
                <w:tcPr>
                  <w:tcW w:w="1969" w:type="pct"/>
                  <w:gridSpan w:val="2"/>
                  <w:vMerge w:val="restart"/>
                  <w:tcBorders>
                    <w:top w:val="single" w:color="000000" w:sz="12" w:space="0"/>
                    <w:bottom w:val="single" w:color="000000" w:sz="4" w:space="0"/>
                    <w:right w:val="single" w:color="000000" w:sz="4" w:space="0"/>
                    <w:tl2br w:val="single" w:color="auto" w:sz="4" w:space="0"/>
                  </w:tcBorders>
                  <w:noWrap w:val="0"/>
                  <w:vAlign w:val="center"/>
                </w:tcPr>
                <w:p w14:paraId="19D719C5">
                  <w:pPr>
                    <w:pStyle w:val="80"/>
                    <w:ind w:left="480" w:firstLine="400"/>
                    <w:jc w:val="right"/>
                    <w:rPr>
                      <w:color w:val="auto"/>
                    </w:rPr>
                  </w:pPr>
                  <w:r>
                    <w:rPr>
                      <w:color w:val="auto"/>
                    </w:rPr>
                    <w:t>预测年</w:t>
                  </w:r>
                </w:p>
                <w:p w14:paraId="5E1566E4">
                  <w:pPr>
                    <w:pStyle w:val="80"/>
                    <w:tabs>
                      <w:tab w:val="left" w:pos="1259"/>
                      <w:tab w:val="center" w:pos="2015"/>
                    </w:tabs>
                    <w:ind w:left="480" w:firstLine="400"/>
                    <w:jc w:val="left"/>
                    <w:rPr>
                      <w:color w:val="auto"/>
                    </w:rPr>
                  </w:pPr>
                  <w:r>
                    <w:rPr>
                      <w:rFonts w:hint="eastAsia"/>
                      <w:color w:val="auto"/>
                      <w:lang w:eastAsia="zh-CN"/>
                    </w:rPr>
                    <w:tab/>
                  </w:r>
                  <w:r>
                    <w:rPr>
                      <w:color w:val="auto"/>
                    </w:rPr>
                    <w:t>车型</w:t>
                  </w:r>
                </w:p>
              </w:tc>
              <w:tc>
                <w:tcPr>
                  <w:tcW w:w="1013" w:type="pct"/>
                  <w:gridSpan w:val="2"/>
                  <w:tcBorders>
                    <w:top w:val="single" w:color="000000" w:sz="12" w:space="0"/>
                    <w:left w:val="single" w:color="000000" w:sz="4" w:space="0"/>
                    <w:bottom w:val="single" w:color="000000" w:sz="4" w:space="0"/>
                    <w:right w:val="single" w:color="000000" w:sz="4" w:space="0"/>
                  </w:tcBorders>
                  <w:noWrap w:val="0"/>
                  <w:vAlign w:val="center"/>
                </w:tcPr>
                <w:p w14:paraId="56281497">
                  <w:pPr>
                    <w:pStyle w:val="80"/>
                    <w:rPr>
                      <w:color w:val="auto"/>
                    </w:rPr>
                  </w:pPr>
                  <w:r>
                    <w:rPr>
                      <w:color w:val="auto"/>
                    </w:rPr>
                    <w:t>202</w:t>
                  </w:r>
                  <w:r>
                    <w:rPr>
                      <w:rFonts w:hint="eastAsia"/>
                      <w:color w:val="auto"/>
                      <w:lang w:val="en-US" w:eastAsia="zh-CN"/>
                    </w:rPr>
                    <w:t>6</w:t>
                  </w:r>
                  <w:r>
                    <w:rPr>
                      <w:color w:val="auto"/>
                    </w:rPr>
                    <w:t>年</w:t>
                  </w:r>
                </w:p>
              </w:tc>
              <w:tc>
                <w:tcPr>
                  <w:tcW w:w="1016" w:type="pct"/>
                  <w:gridSpan w:val="2"/>
                  <w:tcBorders>
                    <w:top w:val="single" w:color="000000" w:sz="12" w:space="0"/>
                    <w:left w:val="single" w:color="000000" w:sz="4" w:space="0"/>
                    <w:bottom w:val="single" w:color="000000" w:sz="4" w:space="0"/>
                    <w:right w:val="single" w:color="000000" w:sz="4" w:space="0"/>
                  </w:tcBorders>
                  <w:noWrap w:val="0"/>
                  <w:vAlign w:val="center"/>
                </w:tcPr>
                <w:p w14:paraId="09EDC09A">
                  <w:pPr>
                    <w:pStyle w:val="80"/>
                    <w:rPr>
                      <w:color w:val="auto"/>
                    </w:rPr>
                  </w:pPr>
                  <w:r>
                    <w:rPr>
                      <w:color w:val="auto"/>
                    </w:rPr>
                    <w:t>203</w:t>
                  </w:r>
                  <w:r>
                    <w:rPr>
                      <w:rFonts w:hint="eastAsia"/>
                      <w:color w:val="auto"/>
                      <w:lang w:val="en-US" w:eastAsia="zh-CN"/>
                    </w:rPr>
                    <w:t>2</w:t>
                  </w:r>
                  <w:r>
                    <w:rPr>
                      <w:color w:val="auto"/>
                    </w:rPr>
                    <w:t>年</w:t>
                  </w:r>
                </w:p>
              </w:tc>
              <w:tc>
                <w:tcPr>
                  <w:tcW w:w="1000" w:type="pct"/>
                  <w:gridSpan w:val="2"/>
                  <w:tcBorders>
                    <w:top w:val="single" w:color="000000" w:sz="12" w:space="0"/>
                    <w:left w:val="single" w:color="000000" w:sz="4" w:space="0"/>
                    <w:bottom w:val="single" w:color="000000" w:sz="4" w:space="0"/>
                    <w:right w:val="nil"/>
                  </w:tcBorders>
                  <w:noWrap w:val="0"/>
                  <w:vAlign w:val="center"/>
                </w:tcPr>
                <w:p w14:paraId="4E3408B6">
                  <w:pPr>
                    <w:pStyle w:val="80"/>
                    <w:rPr>
                      <w:color w:val="auto"/>
                    </w:rPr>
                  </w:pPr>
                  <w:r>
                    <w:rPr>
                      <w:color w:val="auto"/>
                    </w:rPr>
                    <w:t>20</w:t>
                  </w:r>
                  <w:r>
                    <w:rPr>
                      <w:rFonts w:hint="eastAsia"/>
                      <w:color w:val="auto"/>
                      <w:lang w:val="en-US" w:eastAsia="zh-CN"/>
                    </w:rPr>
                    <w:t>40</w:t>
                  </w:r>
                  <w:r>
                    <w:rPr>
                      <w:color w:val="auto"/>
                    </w:rPr>
                    <w:t>年</w:t>
                  </w:r>
                </w:p>
              </w:tc>
            </w:tr>
            <w:tr w14:paraId="36DCA7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exact"/>
                <w:jc w:val="center"/>
              </w:trPr>
              <w:tc>
                <w:tcPr>
                  <w:tcW w:w="1969" w:type="pct"/>
                  <w:gridSpan w:val="2"/>
                  <w:vMerge w:val="continue"/>
                  <w:tcBorders>
                    <w:top w:val="single" w:color="000000" w:sz="4" w:space="0"/>
                    <w:bottom w:val="single" w:color="000000" w:sz="4" w:space="0"/>
                    <w:right w:val="single" w:color="000000" w:sz="4" w:space="0"/>
                  </w:tcBorders>
                  <w:noWrap w:val="0"/>
                  <w:vAlign w:val="center"/>
                </w:tcPr>
                <w:p w14:paraId="19478231">
                  <w:pPr>
                    <w:pStyle w:val="80"/>
                    <w:rPr>
                      <w:color w:val="auto"/>
                    </w:rPr>
                  </w:pPr>
                </w:p>
              </w:tc>
              <w:tc>
                <w:tcPr>
                  <w:tcW w:w="505" w:type="pct"/>
                  <w:tcBorders>
                    <w:top w:val="single" w:color="000000" w:sz="4" w:space="0"/>
                    <w:left w:val="single" w:color="000000" w:sz="4" w:space="0"/>
                    <w:bottom w:val="single" w:color="000000" w:sz="4" w:space="0"/>
                    <w:right w:val="single" w:color="000000" w:sz="4" w:space="0"/>
                  </w:tcBorders>
                  <w:noWrap w:val="0"/>
                  <w:vAlign w:val="center"/>
                </w:tcPr>
                <w:p w14:paraId="2FD83164">
                  <w:pPr>
                    <w:pStyle w:val="80"/>
                    <w:rPr>
                      <w:color w:val="auto"/>
                    </w:rPr>
                  </w:pPr>
                  <w:r>
                    <w:rPr>
                      <w:color w:val="auto"/>
                    </w:rPr>
                    <w:t>昼间</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576B1447">
                  <w:pPr>
                    <w:pStyle w:val="80"/>
                    <w:rPr>
                      <w:color w:val="auto"/>
                    </w:rPr>
                  </w:pPr>
                  <w:r>
                    <w:rPr>
                      <w:color w:val="auto"/>
                    </w:rPr>
                    <w:t>夜间</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62BADE7F">
                  <w:pPr>
                    <w:pStyle w:val="80"/>
                    <w:rPr>
                      <w:color w:val="auto"/>
                    </w:rPr>
                  </w:pPr>
                  <w:r>
                    <w:rPr>
                      <w:color w:val="auto"/>
                    </w:rPr>
                    <w:t>昼间</w:t>
                  </w:r>
                </w:p>
              </w:tc>
              <w:tc>
                <w:tcPr>
                  <w:tcW w:w="509" w:type="pct"/>
                  <w:tcBorders>
                    <w:top w:val="single" w:color="000000" w:sz="4" w:space="0"/>
                    <w:left w:val="single" w:color="000000" w:sz="4" w:space="0"/>
                    <w:bottom w:val="single" w:color="000000" w:sz="4" w:space="0"/>
                    <w:right w:val="single" w:color="000000" w:sz="4" w:space="0"/>
                  </w:tcBorders>
                  <w:noWrap w:val="0"/>
                  <w:vAlign w:val="center"/>
                </w:tcPr>
                <w:p w14:paraId="54F00E1F">
                  <w:pPr>
                    <w:pStyle w:val="80"/>
                    <w:rPr>
                      <w:color w:val="auto"/>
                    </w:rPr>
                  </w:pPr>
                  <w:r>
                    <w:rPr>
                      <w:color w:val="auto"/>
                    </w:rPr>
                    <w:t>夜间</w:t>
                  </w:r>
                </w:p>
              </w:tc>
              <w:tc>
                <w:tcPr>
                  <w:tcW w:w="507" w:type="pct"/>
                  <w:tcBorders>
                    <w:top w:val="single" w:color="000000" w:sz="4" w:space="0"/>
                    <w:left w:val="single" w:color="000000" w:sz="4" w:space="0"/>
                    <w:bottom w:val="single" w:color="000000" w:sz="4" w:space="0"/>
                    <w:right w:val="single" w:color="000000" w:sz="4" w:space="0"/>
                  </w:tcBorders>
                  <w:noWrap w:val="0"/>
                  <w:vAlign w:val="center"/>
                </w:tcPr>
                <w:p w14:paraId="0344613D">
                  <w:pPr>
                    <w:pStyle w:val="80"/>
                    <w:rPr>
                      <w:color w:val="auto"/>
                    </w:rPr>
                  </w:pPr>
                  <w:r>
                    <w:rPr>
                      <w:color w:val="auto"/>
                    </w:rPr>
                    <w:t>昼间</w:t>
                  </w:r>
                </w:p>
              </w:tc>
              <w:tc>
                <w:tcPr>
                  <w:tcW w:w="493" w:type="pct"/>
                  <w:tcBorders>
                    <w:top w:val="single" w:color="000000" w:sz="4" w:space="0"/>
                    <w:left w:val="single" w:color="000000" w:sz="4" w:space="0"/>
                    <w:bottom w:val="single" w:color="000000" w:sz="4" w:space="0"/>
                    <w:right w:val="nil"/>
                  </w:tcBorders>
                  <w:noWrap w:val="0"/>
                  <w:vAlign w:val="center"/>
                </w:tcPr>
                <w:p w14:paraId="7031EF6E">
                  <w:pPr>
                    <w:pStyle w:val="80"/>
                    <w:rPr>
                      <w:color w:val="auto"/>
                    </w:rPr>
                  </w:pPr>
                  <w:r>
                    <w:rPr>
                      <w:color w:val="auto"/>
                    </w:rPr>
                    <w:t>夜间</w:t>
                  </w:r>
                </w:p>
              </w:tc>
            </w:tr>
            <w:tr w14:paraId="011475B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exact"/>
                <w:jc w:val="center"/>
              </w:trPr>
              <w:tc>
                <w:tcPr>
                  <w:tcW w:w="1289" w:type="pct"/>
                  <w:vMerge w:val="restart"/>
                  <w:tcBorders>
                    <w:top w:val="single" w:color="000000" w:sz="4" w:space="0"/>
                    <w:bottom w:val="single" w:color="000000" w:sz="4" w:space="0"/>
                    <w:right w:val="single" w:color="000000" w:sz="4" w:space="0"/>
                  </w:tcBorders>
                  <w:noWrap w:val="0"/>
                  <w:vAlign w:val="center"/>
                </w:tcPr>
                <w:p w14:paraId="699CF03C">
                  <w:pPr>
                    <w:pStyle w:val="80"/>
                    <w:rPr>
                      <w:color w:val="auto"/>
                    </w:rPr>
                  </w:pPr>
                  <w:r>
                    <w:rPr>
                      <w:color w:val="auto"/>
                      <w:kern w:val="0"/>
                    </w:rPr>
                    <w:t>起点至</w:t>
                  </w:r>
                  <w:r>
                    <w:rPr>
                      <w:rFonts w:hint="eastAsia"/>
                      <w:color w:val="auto"/>
                      <w:kern w:val="0"/>
                      <w:lang w:val="en-US" w:eastAsia="zh-CN"/>
                    </w:rPr>
                    <w:t>终点</w:t>
                  </w:r>
                  <w:r>
                    <w:rPr>
                      <w:color w:val="auto"/>
                      <w:kern w:val="0"/>
                    </w:rPr>
                    <w:t>段（</w:t>
                  </w:r>
                  <w:r>
                    <w:rPr>
                      <w:rFonts w:eastAsia="宋体"/>
                      <w:b w:val="0"/>
                      <w:bCs/>
                      <w:color w:val="auto"/>
                      <w:lang w:val="zh-CN"/>
                    </w:rPr>
                    <w:t>K370+000</w:t>
                  </w:r>
                  <w:r>
                    <w:rPr>
                      <w:rFonts w:hint="eastAsia"/>
                      <w:color w:val="auto"/>
                    </w:rPr>
                    <w:t>~</w:t>
                  </w:r>
                  <w:r>
                    <w:rPr>
                      <w:rFonts w:eastAsia="宋体"/>
                      <w:b w:val="0"/>
                      <w:bCs/>
                      <w:color w:val="auto"/>
                      <w:lang w:val="zh-CN"/>
                    </w:rPr>
                    <w:t>K414+953.7</w:t>
                  </w:r>
                  <w:r>
                    <w:rPr>
                      <w:color w:val="auto"/>
                      <w:kern w:val="0"/>
                    </w:rPr>
                    <w:t>）</w:t>
                  </w: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49D3BA54">
                  <w:pPr>
                    <w:pStyle w:val="80"/>
                    <w:rPr>
                      <w:color w:val="auto"/>
                    </w:rPr>
                  </w:pPr>
                  <w:r>
                    <w:rPr>
                      <w:color w:val="auto"/>
                    </w:rPr>
                    <w:t>小型车</w:t>
                  </w:r>
                </w:p>
              </w:tc>
              <w:tc>
                <w:tcPr>
                  <w:tcW w:w="795" w:type="dxa"/>
                  <w:tcBorders>
                    <w:top w:val="single" w:color="000000" w:sz="4" w:space="0"/>
                    <w:left w:val="single" w:color="000000" w:sz="4" w:space="0"/>
                    <w:bottom w:val="single" w:color="000000" w:sz="4" w:space="0"/>
                    <w:right w:val="single" w:color="000000" w:sz="4" w:space="0"/>
                  </w:tcBorders>
                  <w:noWrap w:val="0"/>
                  <w:vAlign w:val="center"/>
                </w:tcPr>
                <w:p w14:paraId="6B6F46C5">
                  <w:pPr>
                    <w:pStyle w:val="80"/>
                    <w:rPr>
                      <w:rFonts w:hint="default"/>
                      <w:color w:val="auto"/>
                      <w:lang w:val="en-US" w:eastAsia="zh-CN"/>
                    </w:rPr>
                  </w:pPr>
                  <w:r>
                    <w:rPr>
                      <w:rFonts w:hint="eastAsia"/>
                      <w:color w:val="auto"/>
                      <w:lang w:val="en-US" w:eastAsia="zh-CN"/>
                    </w:rPr>
                    <w:t xml:space="preserve">182 </w:t>
                  </w:r>
                </w:p>
              </w:tc>
              <w:tc>
                <w:tcPr>
                  <w:tcW w:w="800" w:type="dxa"/>
                  <w:tcBorders>
                    <w:top w:val="single" w:color="000000" w:sz="4" w:space="0"/>
                    <w:left w:val="nil"/>
                    <w:bottom w:val="single" w:color="000000" w:sz="4" w:space="0"/>
                    <w:right w:val="single" w:color="000000" w:sz="4" w:space="0"/>
                  </w:tcBorders>
                  <w:noWrap w:val="0"/>
                  <w:vAlign w:val="center"/>
                </w:tcPr>
                <w:p w14:paraId="41ADE4CB">
                  <w:pPr>
                    <w:pStyle w:val="80"/>
                    <w:rPr>
                      <w:rFonts w:hint="default"/>
                      <w:color w:val="auto"/>
                      <w:lang w:val="en-US" w:eastAsia="zh-CN"/>
                    </w:rPr>
                  </w:pPr>
                  <w:r>
                    <w:rPr>
                      <w:rFonts w:hint="eastAsia"/>
                      <w:color w:val="auto"/>
                      <w:lang w:val="en-US" w:eastAsia="zh-CN"/>
                    </w:rPr>
                    <w:t xml:space="preserve">40 </w:t>
                  </w:r>
                </w:p>
              </w:tc>
              <w:tc>
                <w:tcPr>
                  <w:tcW w:w="798" w:type="dxa"/>
                  <w:tcBorders>
                    <w:top w:val="single" w:color="000000" w:sz="4" w:space="0"/>
                    <w:left w:val="nil"/>
                    <w:bottom w:val="single" w:color="000000" w:sz="4" w:space="0"/>
                    <w:right w:val="single" w:color="000000" w:sz="4" w:space="0"/>
                  </w:tcBorders>
                  <w:noWrap w:val="0"/>
                  <w:vAlign w:val="center"/>
                </w:tcPr>
                <w:p w14:paraId="65B8F482">
                  <w:pPr>
                    <w:pStyle w:val="80"/>
                    <w:rPr>
                      <w:rFonts w:hint="default"/>
                      <w:color w:val="auto"/>
                      <w:lang w:val="en-US" w:eastAsia="zh-CN"/>
                    </w:rPr>
                  </w:pPr>
                  <w:r>
                    <w:rPr>
                      <w:rFonts w:hint="eastAsia"/>
                      <w:color w:val="auto"/>
                      <w:lang w:val="en-US" w:eastAsia="zh-CN"/>
                    </w:rPr>
                    <w:t xml:space="preserve">226 </w:t>
                  </w:r>
                </w:p>
              </w:tc>
              <w:tc>
                <w:tcPr>
                  <w:tcW w:w="801" w:type="dxa"/>
                  <w:tcBorders>
                    <w:top w:val="single" w:color="000000" w:sz="4" w:space="0"/>
                    <w:left w:val="nil"/>
                    <w:bottom w:val="single" w:color="000000" w:sz="4" w:space="0"/>
                    <w:right w:val="single" w:color="000000" w:sz="4" w:space="0"/>
                  </w:tcBorders>
                  <w:noWrap w:val="0"/>
                  <w:vAlign w:val="center"/>
                </w:tcPr>
                <w:p w14:paraId="02C99F9B">
                  <w:pPr>
                    <w:pStyle w:val="80"/>
                    <w:rPr>
                      <w:rFonts w:hint="default"/>
                      <w:color w:val="auto"/>
                      <w:lang w:val="en-US" w:eastAsia="zh-CN"/>
                    </w:rPr>
                  </w:pPr>
                  <w:r>
                    <w:rPr>
                      <w:rFonts w:hint="eastAsia"/>
                      <w:color w:val="auto"/>
                      <w:lang w:val="en-US" w:eastAsia="zh-CN"/>
                    </w:rPr>
                    <w:t xml:space="preserve">50 </w:t>
                  </w:r>
                </w:p>
              </w:tc>
              <w:tc>
                <w:tcPr>
                  <w:tcW w:w="798" w:type="dxa"/>
                  <w:tcBorders>
                    <w:top w:val="single" w:color="000000" w:sz="4" w:space="0"/>
                    <w:left w:val="nil"/>
                    <w:bottom w:val="single" w:color="000000" w:sz="4" w:space="0"/>
                    <w:right w:val="single" w:color="000000" w:sz="4" w:space="0"/>
                  </w:tcBorders>
                  <w:noWrap w:val="0"/>
                  <w:vAlign w:val="center"/>
                </w:tcPr>
                <w:p w14:paraId="37E1317B">
                  <w:pPr>
                    <w:pStyle w:val="80"/>
                    <w:rPr>
                      <w:rFonts w:hint="default"/>
                      <w:color w:val="auto"/>
                      <w:lang w:val="en-US" w:eastAsia="zh-CN"/>
                    </w:rPr>
                  </w:pPr>
                  <w:r>
                    <w:rPr>
                      <w:rFonts w:hint="default"/>
                      <w:color w:val="auto"/>
                      <w:lang w:val="en-US" w:eastAsia="zh-CN"/>
                    </w:rPr>
                    <w:t xml:space="preserve">241 </w:t>
                  </w:r>
                </w:p>
              </w:tc>
              <w:tc>
                <w:tcPr>
                  <w:tcW w:w="777" w:type="dxa"/>
                  <w:tcBorders>
                    <w:top w:val="single" w:color="000000" w:sz="4" w:space="0"/>
                    <w:left w:val="nil"/>
                    <w:bottom w:val="single" w:color="000000" w:sz="4" w:space="0"/>
                    <w:right w:val="nil"/>
                  </w:tcBorders>
                  <w:noWrap w:val="0"/>
                  <w:vAlign w:val="center"/>
                </w:tcPr>
                <w:p w14:paraId="7CB61A03">
                  <w:pPr>
                    <w:pStyle w:val="80"/>
                    <w:rPr>
                      <w:rFonts w:hint="default"/>
                      <w:color w:val="auto"/>
                      <w:lang w:val="en-US" w:eastAsia="zh-CN"/>
                    </w:rPr>
                  </w:pPr>
                  <w:r>
                    <w:rPr>
                      <w:rFonts w:hint="default"/>
                      <w:color w:val="auto"/>
                      <w:lang w:val="en-US" w:eastAsia="zh-CN"/>
                    </w:rPr>
                    <w:t xml:space="preserve">54 </w:t>
                  </w:r>
                </w:p>
              </w:tc>
            </w:tr>
            <w:tr w14:paraId="0C2A18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exact"/>
                <w:jc w:val="center"/>
              </w:trPr>
              <w:tc>
                <w:tcPr>
                  <w:tcW w:w="1289" w:type="pct"/>
                  <w:vMerge w:val="continue"/>
                  <w:tcBorders>
                    <w:top w:val="single" w:color="000000" w:sz="4" w:space="0"/>
                    <w:bottom w:val="single" w:color="000000" w:sz="4" w:space="0"/>
                    <w:right w:val="single" w:color="000000" w:sz="4" w:space="0"/>
                  </w:tcBorders>
                  <w:noWrap w:val="0"/>
                  <w:vAlign w:val="center"/>
                </w:tcPr>
                <w:p w14:paraId="6DC0E47B">
                  <w:pPr>
                    <w:pStyle w:val="80"/>
                    <w:rPr>
                      <w:color w:val="auto"/>
                      <w:kern w:val="0"/>
                    </w:rPr>
                  </w:pP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5C6AC8B0">
                  <w:pPr>
                    <w:pStyle w:val="80"/>
                    <w:rPr>
                      <w:color w:val="auto"/>
                    </w:rPr>
                  </w:pPr>
                  <w:r>
                    <w:rPr>
                      <w:color w:val="auto"/>
                    </w:rPr>
                    <w:t>中型车</w:t>
                  </w:r>
                </w:p>
              </w:tc>
              <w:tc>
                <w:tcPr>
                  <w:tcW w:w="795" w:type="dxa"/>
                  <w:tcBorders>
                    <w:top w:val="single" w:color="000000" w:sz="4" w:space="0"/>
                    <w:left w:val="single" w:color="000000" w:sz="4" w:space="0"/>
                    <w:bottom w:val="single" w:color="000000" w:sz="4" w:space="0"/>
                    <w:right w:val="single" w:color="000000" w:sz="4" w:space="0"/>
                  </w:tcBorders>
                  <w:noWrap w:val="0"/>
                  <w:vAlign w:val="center"/>
                </w:tcPr>
                <w:p w14:paraId="14A1D0E0">
                  <w:pPr>
                    <w:pStyle w:val="80"/>
                    <w:rPr>
                      <w:rFonts w:hint="eastAsia"/>
                      <w:color w:val="auto"/>
                      <w:lang w:eastAsia="zh-CN"/>
                    </w:rPr>
                  </w:pPr>
                  <w:r>
                    <w:rPr>
                      <w:rFonts w:hint="eastAsia"/>
                      <w:color w:val="auto"/>
                      <w:lang w:val="en-US" w:eastAsia="zh-CN"/>
                    </w:rPr>
                    <w:t xml:space="preserve">3 </w:t>
                  </w:r>
                </w:p>
              </w:tc>
              <w:tc>
                <w:tcPr>
                  <w:tcW w:w="800" w:type="dxa"/>
                  <w:tcBorders>
                    <w:top w:val="single" w:color="000000" w:sz="4" w:space="0"/>
                    <w:left w:val="nil"/>
                    <w:bottom w:val="single" w:color="000000" w:sz="4" w:space="0"/>
                    <w:right w:val="single" w:color="000000" w:sz="4" w:space="0"/>
                  </w:tcBorders>
                  <w:noWrap w:val="0"/>
                  <w:vAlign w:val="center"/>
                </w:tcPr>
                <w:p w14:paraId="01BA77AD">
                  <w:pPr>
                    <w:pStyle w:val="80"/>
                    <w:rPr>
                      <w:rFonts w:hint="eastAsia"/>
                      <w:color w:val="auto"/>
                      <w:lang w:eastAsia="zh-CN"/>
                    </w:rPr>
                  </w:pPr>
                  <w:r>
                    <w:rPr>
                      <w:rFonts w:hint="eastAsia"/>
                      <w:color w:val="auto"/>
                      <w:lang w:val="en-US" w:eastAsia="zh-CN"/>
                    </w:rPr>
                    <w:t xml:space="preserve">1 </w:t>
                  </w:r>
                </w:p>
              </w:tc>
              <w:tc>
                <w:tcPr>
                  <w:tcW w:w="798" w:type="dxa"/>
                  <w:tcBorders>
                    <w:top w:val="single" w:color="000000" w:sz="4" w:space="0"/>
                    <w:left w:val="nil"/>
                    <w:bottom w:val="single" w:color="000000" w:sz="4" w:space="0"/>
                    <w:right w:val="single" w:color="000000" w:sz="4" w:space="0"/>
                  </w:tcBorders>
                  <w:noWrap w:val="0"/>
                  <w:vAlign w:val="center"/>
                </w:tcPr>
                <w:p w14:paraId="0AF40EB1">
                  <w:pPr>
                    <w:pStyle w:val="80"/>
                    <w:rPr>
                      <w:rFonts w:hint="eastAsia"/>
                      <w:color w:val="auto"/>
                      <w:lang w:eastAsia="zh-CN"/>
                    </w:rPr>
                  </w:pPr>
                  <w:r>
                    <w:rPr>
                      <w:rFonts w:hint="eastAsia"/>
                      <w:color w:val="auto"/>
                      <w:lang w:val="en-US" w:eastAsia="zh-CN"/>
                    </w:rPr>
                    <w:t xml:space="preserve">4 </w:t>
                  </w:r>
                </w:p>
              </w:tc>
              <w:tc>
                <w:tcPr>
                  <w:tcW w:w="801" w:type="dxa"/>
                  <w:tcBorders>
                    <w:top w:val="single" w:color="000000" w:sz="4" w:space="0"/>
                    <w:left w:val="nil"/>
                    <w:bottom w:val="single" w:color="000000" w:sz="4" w:space="0"/>
                    <w:right w:val="single" w:color="000000" w:sz="4" w:space="0"/>
                  </w:tcBorders>
                  <w:noWrap w:val="0"/>
                  <w:vAlign w:val="center"/>
                </w:tcPr>
                <w:p w14:paraId="2C086DD1">
                  <w:pPr>
                    <w:pStyle w:val="80"/>
                    <w:rPr>
                      <w:rFonts w:hint="eastAsia"/>
                      <w:color w:val="auto"/>
                      <w:lang w:eastAsia="zh-CN"/>
                    </w:rPr>
                  </w:pPr>
                  <w:r>
                    <w:rPr>
                      <w:rFonts w:hint="eastAsia"/>
                      <w:color w:val="auto"/>
                      <w:lang w:val="en-US" w:eastAsia="zh-CN"/>
                    </w:rPr>
                    <w:t xml:space="preserve">1 </w:t>
                  </w:r>
                </w:p>
              </w:tc>
              <w:tc>
                <w:tcPr>
                  <w:tcW w:w="798" w:type="dxa"/>
                  <w:tcBorders>
                    <w:top w:val="single" w:color="000000" w:sz="4" w:space="0"/>
                    <w:left w:val="nil"/>
                    <w:bottom w:val="single" w:color="000000" w:sz="4" w:space="0"/>
                    <w:right w:val="single" w:color="000000" w:sz="4" w:space="0"/>
                  </w:tcBorders>
                  <w:noWrap w:val="0"/>
                  <w:vAlign w:val="center"/>
                </w:tcPr>
                <w:p w14:paraId="5853CB29">
                  <w:pPr>
                    <w:pStyle w:val="80"/>
                    <w:rPr>
                      <w:rFonts w:hint="eastAsia"/>
                      <w:color w:val="auto"/>
                      <w:lang w:eastAsia="zh-CN"/>
                    </w:rPr>
                  </w:pPr>
                  <w:r>
                    <w:rPr>
                      <w:rFonts w:hint="default"/>
                      <w:color w:val="auto"/>
                      <w:lang w:val="en-US" w:eastAsia="zh-CN"/>
                    </w:rPr>
                    <w:t xml:space="preserve">4 </w:t>
                  </w:r>
                </w:p>
              </w:tc>
              <w:tc>
                <w:tcPr>
                  <w:tcW w:w="777" w:type="dxa"/>
                  <w:tcBorders>
                    <w:top w:val="single" w:color="000000" w:sz="4" w:space="0"/>
                    <w:left w:val="nil"/>
                    <w:bottom w:val="single" w:color="000000" w:sz="4" w:space="0"/>
                    <w:right w:val="nil"/>
                  </w:tcBorders>
                  <w:noWrap w:val="0"/>
                  <w:vAlign w:val="center"/>
                </w:tcPr>
                <w:p w14:paraId="5C5347BF">
                  <w:pPr>
                    <w:pStyle w:val="80"/>
                    <w:rPr>
                      <w:rFonts w:hint="eastAsia"/>
                      <w:color w:val="auto"/>
                      <w:lang w:eastAsia="zh-CN"/>
                    </w:rPr>
                  </w:pPr>
                  <w:r>
                    <w:rPr>
                      <w:rFonts w:hint="default"/>
                      <w:color w:val="auto"/>
                      <w:lang w:val="en-US" w:eastAsia="zh-CN"/>
                    </w:rPr>
                    <w:t xml:space="preserve">1 </w:t>
                  </w:r>
                </w:p>
              </w:tc>
            </w:tr>
            <w:tr w14:paraId="5F1E9A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28" w:type="dxa"/>
                  <w:bottom w:w="0" w:type="dxa"/>
                  <w:right w:w="28" w:type="dxa"/>
                </w:tblCellMar>
              </w:tblPrEx>
              <w:trPr>
                <w:trHeight w:val="397" w:hRule="exact"/>
                <w:jc w:val="center"/>
              </w:trPr>
              <w:tc>
                <w:tcPr>
                  <w:tcW w:w="1289" w:type="pct"/>
                  <w:vMerge w:val="continue"/>
                  <w:tcBorders>
                    <w:top w:val="single" w:color="000000" w:sz="4" w:space="0"/>
                    <w:bottom w:val="single" w:color="000000" w:sz="4" w:space="0"/>
                    <w:right w:val="single" w:color="000000" w:sz="4" w:space="0"/>
                  </w:tcBorders>
                  <w:noWrap w:val="0"/>
                  <w:vAlign w:val="center"/>
                </w:tcPr>
                <w:p w14:paraId="006B0A5B">
                  <w:pPr>
                    <w:pStyle w:val="80"/>
                    <w:rPr>
                      <w:color w:val="auto"/>
                      <w:kern w:val="0"/>
                    </w:rPr>
                  </w:pPr>
                </w:p>
              </w:tc>
              <w:tc>
                <w:tcPr>
                  <w:tcW w:w="680" w:type="pct"/>
                  <w:tcBorders>
                    <w:top w:val="single" w:color="000000" w:sz="4" w:space="0"/>
                    <w:left w:val="single" w:color="000000" w:sz="4" w:space="0"/>
                    <w:bottom w:val="single" w:color="000000" w:sz="4" w:space="0"/>
                    <w:right w:val="single" w:color="000000" w:sz="4" w:space="0"/>
                  </w:tcBorders>
                  <w:noWrap w:val="0"/>
                  <w:vAlign w:val="center"/>
                </w:tcPr>
                <w:p w14:paraId="04C18402">
                  <w:pPr>
                    <w:pStyle w:val="80"/>
                    <w:rPr>
                      <w:color w:val="auto"/>
                    </w:rPr>
                  </w:pPr>
                  <w:r>
                    <w:rPr>
                      <w:color w:val="auto"/>
                    </w:rPr>
                    <w:t>大型车</w:t>
                  </w:r>
                </w:p>
              </w:tc>
              <w:tc>
                <w:tcPr>
                  <w:tcW w:w="795" w:type="dxa"/>
                  <w:tcBorders>
                    <w:top w:val="single" w:color="000000" w:sz="4" w:space="0"/>
                    <w:left w:val="single" w:color="000000" w:sz="4" w:space="0"/>
                    <w:bottom w:val="single" w:color="000000" w:sz="4" w:space="0"/>
                    <w:right w:val="single" w:color="000000" w:sz="4" w:space="0"/>
                  </w:tcBorders>
                  <w:noWrap w:val="0"/>
                  <w:vAlign w:val="center"/>
                </w:tcPr>
                <w:p w14:paraId="47807C0C">
                  <w:pPr>
                    <w:pStyle w:val="80"/>
                    <w:rPr>
                      <w:rFonts w:hint="default"/>
                      <w:color w:val="auto"/>
                      <w:lang w:val="en-US" w:eastAsia="zh-CN"/>
                    </w:rPr>
                  </w:pPr>
                  <w:r>
                    <w:rPr>
                      <w:rFonts w:hint="eastAsia"/>
                      <w:color w:val="auto"/>
                      <w:lang w:val="en-US" w:eastAsia="zh-CN"/>
                    </w:rPr>
                    <w:t xml:space="preserve">31 </w:t>
                  </w:r>
                </w:p>
              </w:tc>
              <w:tc>
                <w:tcPr>
                  <w:tcW w:w="800" w:type="dxa"/>
                  <w:tcBorders>
                    <w:top w:val="single" w:color="000000" w:sz="4" w:space="0"/>
                    <w:left w:val="nil"/>
                    <w:bottom w:val="single" w:color="000000" w:sz="4" w:space="0"/>
                    <w:right w:val="single" w:color="000000" w:sz="4" w:space="0"/>
                  </w:tcBorders>
                  <w:noWrap w:val="0"/>
                  <w:vAlign w:val="center"/>
                </w:tcPr>
                <w:p w14:paraId="3F0C5FBF">
                  <w:pPr>
                    <w:pStyle w:val="80"/>
                    <w:rPr>
                      <w:rFonts w:hint="default"/>
                      <w:color w:val="auto"/>
                      <w:lang w:val="en-US" w:eastAsia="zh-CN"/>
                    </w:rPr>
                  </w:pPr>
                  <w:r>
                    <w:rPr>
                      <w:rFonts w:hint="eastAsia"/>
                      <w:color w:val="auto"/>
                      <w:lang w:val="en-US" w:eastAsia="zh-CN"/>
                    </w:rPr>
                    <w:t xml:space="preserve">7 </w:t>
                  </w:r>
                </w:p>
              </w:tc>
              <w:tc>
                <w:tcPr>
                  <w:tcW w:w="798" w:type="dxa"/>
                  <w:tcBorders>
                    <w:top w:val="single" w:color="000000" w:sz="4" w:space="0"/>
                    <w:left w:val="nil"/>
                    <w:bottom w:val="single" w:color="000000" w:sz="4" w:space="0"/>
                    <w:right w:val="single" w:color="000000" w:sz="4" w:space="0"/>
                  </w:tcBorders>
                  <w:noWrap w:val="0"/>
                  <w:vAlign w:val="center"/>
                </w:tcPr>
                <w:p w14:paraId="233582D2">
                  <w:pPr>
                    <w:pStyle w:val="80"/>
                    <w:rPr>
                      <w:rFonts w:hint="default"/>
                      <w:color w:val="auto"/>
                      <w:lang w:val="en-US" w:eastAsia="zh-CN"/>
                    </w:rPr>
                  </w:pPr>
                  <w:r>
                    <w:rPr>
                      <w:rFonts w:hint="eastAsia"/>
                      <w:color w:val="auto"/>
                      <w:lang w:val="en-US" w:eastAsia="zh-CN"/>
                    </w:rPr>
                    <w:t xml:space="preserve">39 </w:t>
                  </w:r>
                </w:p>
              </w:tc>
              <w:tc>
                <w:tcPr>
                  <w:tcW w:w="801" w:type="dxa"/>
                  <w:tcBorders>
                    <w:top w:val="single" w:color="000000" w:sz="4" w:space="0"/>
                    <w:left w:val="nil"/>
                    <w:bottom w:val="single" w:color="000000" w:sz="4" w:space="0"/>
                    <w:right w:val="single" w:color="000000" w:sz="4" w:space="0"/>
                  </w:tcBorders>
                  <w:noWrap w:val="0"/>
                  <w:vAlign w:val="center"/>
                </w:tcPr>
                <w:p w14:paraId="3B25FBA2">
                  <w:pPr>
                    <w:pStyle w:val="80"/>
                    <w:rPr>
                      <w:rFonts w:hint="default"/>
                      <w:color w:val="auto"/>
                      <w:lang w:val="en-US" w:eastAsia="zh-CN"/>
                    </w:rPr>
                  </w:pPr>
                  <w:r>
                    <w:rPr>
                      <w:rFonts w:hint="eastAsia"/>
                      <w:color w:val="auto"/>
                      <w:lang w:val="en-US" w:eastAsia="zh-CN"/>
                    </w:rPr>
                    <w:t xml:space="preserve">9 </w:t>
                  </w:r>
                </w:p>
              </w:tc>
              <w:tc>
                <w:tcPr>
                  <w:tcW w:w="798" w:type="dxa"/>
                  <w:tcBorders>
                    <w:top w:val="single" w:color="000000" w:sz="4" w:space="0"/>
                    <w:left w:val="nil"/>
                    <w:bottom w:val="single" w:color="000000" w:sz="4" w:space="0"/>
                    <w:right w:val="single" w:color="000000" w:sz="4" w:space="0"/>
                  </w:tcBorders>
                  <w:noWrap w:val="0"/>
                  <w:vAlign w:val="center"/>
                </w:tcPr>
                <w:p w14:paraId="3E0CD0A5">
                  <w:pPr>
                    <w:pStyle w:val="80"/>
                    <w:rPr>
                      <w:rFonts w:hint="default"/>
                      <w:color w:val="auto"/>
                      <w:lang w:val="en-US" w:eastAsia="zh-CN"/>
                    </w:rPr>
                  </w:pPr>
                  <w:r>
                    <w:rPr>
                      <w:rFonts w:hint="default"/>
                      <w:color w:val="auto"/>
                      <w:lang w:val="en-US" w:eastAsia="zh-CN"/>
                    </w:rPr>
                    <w:t xml:space="preserve">41 </w:t>
                  </w:r>
                </w:p>
              </w:tc>
              <w:tc>
                <w:tcPr>
                  <w:tcW w:w="777" w:type="dxa"/>
                  <w:tcBorders>
                    <w:top w:val="single" w:color="000000" w:sz="4" w:space="0"/>
                    <w:left w:val="nil"/>
                    <w:bottom w:val="single" w:color="000000" w:sz="4" w:space="0"/>
                    <w:right w:val="nil"/>
                  </w:tcBorders>
                  <w:noWrap w:val="0"/>
                  <w:vAlign w:val="center"/>
                </w:tcPr>
                <w:p w14:paraId="06951B6A">
                  <w:pPr>
                    <w:pStyle w:val="80"/>
                    <w:rPr>
                      <w:rFonts w:hint="default"/>
                      <w:color w:val="auto"/>
                      <w:lang w:val="en-US" w:eastAsia="zh-CN"/>
                    </w:rPr>
                  </w:pPr>
                  <w:r>
                    <w:rPr>
                      <w:rFonts w:hint="default"/>
                      <w:color w:val="auto"/>
                      <w:lang w:val="en-US" w:eastAsia="zh-CN"/>
                    </w:rPr>
                    <w:t xml:space="preserve">9 </w:t>
                  </w:r>
                </w:p>
              </w:tc>
            </w:tr>
          </w:tbl>
          <w:p w14:paraId="3A1B9DC0">
            <w:pPr>
              <w:pStyle w:val="76"/>
              <w:rPr>
                <w:rFonts w:hint="eastAsia"/>
                <w:color w:val="auto"/>
              </w:rPr>
            </w:pPr>
            <w:r>
              <w:rPr>
                <w:rFonts w:hint="eastAsia"/>
                <w:color w:val="auto"/>
                <w:szCs w:val="21"/>
              </w:rPr>
              <w:t>4、</w:t>
            </w:r>
            <w:r>
              <w:rPr>
                <w:rFonts w:hint="eastAsia"/>
                <w:color w:val="auto"/>
              </w:rPr>
              <w:t>路基工程</w:t>
            </w:r>
          </w:p>
          <w:p w14:paraId="0DEA78D1">
            <w:pPr>
              <w:pStyle w:val="76"/>
              <w:rPr>
                <w:color w:val="auto"/>
                <w:szCs w:val="20"/>
              </w:rPr>
            </w:pPr>
            <w:r>
              <w:rPr>
                <w:color w:val="auto"/>
                <w:szCs w:val="20"/>
              </w:rPr>
              <w:t>本</w:t>
            </w:r>
            <w:r>
              <w:rPr>
                <w:rFonts w:hint="eastAsia"/>
                <w:color w:val="auto"/>
                <w:szCs w:val="20"/>
              </w:rPr>
              <w:t>项目改建</w:t>
            </w:r>
            <w:r>
              <w:rPr>
                <w:color w:val="auto"/>
                <w:szCs w:val="20"/>
              </w:rPr>
              <w:t>路段路基设计，根据沿线地形、地貌、地质、水文、气象等自然条件，依据交通部部颁《公路工程技术标准》（JTG B01-2014）和《公路路基设计规范》（JTG D30-2015）等确定本工程的路基设计原则。</w:t>
            </w:r>
          </w:p>
          <w:p w14:paraId="42A0CD33">
            <w:pPr>
              <w:pStyle w:val="76"/>
              <w:rPr>
                <w:color w:val="auto"/>
              </w:rPr>
            </w:pPr>
            <w:r>
              <w:rPr>
                <w:rFonts w:hint="eastAsia"/>
                <w:color w:val="auto"/>
              </w:rPr>
              <w:t>（1）</w:t>
            </w:r>
            <w:r>
              <w:rPr>
                <w:color w:val="auto"/>
              </w:rPr>
              <w:t>路基横断面</w:t>
            </w:r>
          </w:p>
          <w:p w14:paraId="6EF07522">
            <w:pPr>
              <w:pStyle w:val="76"/>
              <w:spacing w:line="360" w:lineRule="auto"/>
              <w:rPr>
                <w:rFonts w:hint="eastAsia"/>
                <w:snapToGrid w:val="0"/>
                <w:color w:val="auto"/>
              </w:rPr>
            </w:pPr>
            <w:r>
              <w:rPr>
                <w:rFonts w:hint="eastAsia"/>
                <w:snapToGrid w:val="0"/>
                <w:color w:val="auto"/>
              </w:rPr>
              <w:t>本项目采用《公路工程技术标准》</w:t>
            </w:r>
            <w:r>
              <w:rPr>
                <w:snapToGrid w:val="0"/>
                <w:color w:val="auto"/>
              </w:rPr>
              <w:t>(</w:t>
            </w:r>
            <w:r>
              <w:rPr>
                <w:rFonts w:hint="eastAsia"/>
                <w:snapToGrid w:val="0"/>
                <w:color w:val="auto"/>
              </w:rPr>
              <w:t>JTGB01-2014</w:t>
            </w:r>
            <w:r>
              <w:rPr>
                <w:snapToGrid w:val="0"/>
                <w:color w:val="auto"/>
              </w:rPr>
              <w:t>)</w:t>
            </w:r>
            <w:r>
              <w:rPr>
                <w:rFonts w:hint="eastAsia"/>
                <w:snapToGrid w:val="0"/>
                <w:color w:val="auto"/>
              </w:rPr>
              <w:t>规定的设计速度60km/h的</w:t>
            </w:r>
            <w:r>
              <w:rPr>
                <w:rFonts w:hint="eastAsia"/>
                <w:color w:val="auto"/>
              </w:rPr>
              <w:t>二级公路横断面，路基宽度1</w:t>
            </w:r>
            <w:r>
              <w:rPr>
                <w:rFonts w:hint="eastAsia"/>
                <w:color w:val="auto"/>
                <w:lang w:val="en-US" w:eastAsia="zh-CN"/>
              </w:rPr>
              <w:t>6.5</w:t>
            </w:r>
            <w:r>
              <w:rPr>
                <w:rFonts w:hint="eastAsia"/>
                <w:color w:val="auto"/>
              </w:rPr>
              <w:t>（1</w:t>
            </w:r>
            <w:r>
              <w:rPr>
                <w:rFonts w:hint="eastAsia"/>
                <w:color w:val="auto"/>
                <w:lang w:val="en-US" w:eastAsia="zh-CN"/>
              </w:rPr>
              <w:t>2</w:t>
            </w:r>
            <w:r>
              <w:rPr>
                <w:rFonts w:hint="eastAsia"/>
                <w:color w:val="auto"/>
              </w:rPr>
              <w:t>）m。桥涵与路基同宽</w:t>
            </w:r>
            <w:r>
              <w:rPr>
                <w:rFonts w:hint="eastAsia"/>
                <w:snapToGrid w:val="0"/>
                <w:color w:val="auto"/>
              </w:rPr>
              <w:t>。</w:t>
            </w:r>
          </w:p>
          <w:p w14:paraId="36B59DEE">
            <w:pPr>
              <w:ind w:firstLine="480" w:firstLineChars="200"/>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K370+000～K370+630路段：路基宽度为16.5m，路面宽15m，道路中心施划双黄线宽度0.5m，行车道2×3.5m（行车道）+2×3.5m（慢车道），硬路肩2×0.25m，土路肩2×0.75m。路拱坡度：行车道、硬路肩为1.5%，土路肩为3%。</w:t>
            </w:r>
            <w:r>
              <w:rPr>
                <w:rFonts w:hint="eastAsia" w:cs="Times New Roman"/>
                <w:color w:val="auto"/>
                <w:kern w:val="0"/>
                <w:sz w:val="24"/>
                <w:szCs w:val="24"/>
                <w:lang w:val="en-US" w:eastAsia="zh-CN" w:bidi="ar-SA"/>
              </w:rPr>
              <w:t>边坡和水沟宽度为2.5m。道路边界线宽度为21.5m。</w:t>
            </w:r>
          </w:p>
          <w:p w14:paraId="7E8BA443">
            <w:pPr>
              <w:pStyle w:val="80"/>
              <w:rPr>
                <w:rFonts w:hint="eastAsia"/>
                <w:color w:val="auto"/>
              </w:rPr>
            </w:pPr>
            <w:r>
              <w:rPr>
                <w:rFonts w:ascii="Times New Roman" w:hAnsi="Times New Roman" w:cs="Times New Roman"/>
                <w:color w:val="auto"/>
              </w:rPr>
              <w:drawing>
                <wp:inline distT="0" distB="0" distL="114300" distR="114300">
                  <wp:extent cx="5035550" cy="2536190"/>
                  <wp:effectExtent l="0" t="0" r="12700" b="0"/>
                  <wp:docPr id="8"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13"/>
                          <pic:cNvPicPr>
                            <a:picLocks noChangeAspect="1"/>
                          </pic:cNvPicPr>
                        </pic:nvPicPr>
                        <pic:blipFill>
                          <a:blip r:embed="rId14"/>
                          <a:srcRect l="14252" t="12573" r="17709" b="18803"/>
                          <a:stretch>
                            <a:fillRect/>
                          </a:stretch>
                        </pic:blipFill>
                        <pic:spPr>
                          <a:xfrm>
                            <a:off x="0" y="0"/>
                            <a:ext cx="5035550" cy="2536190"/>
                          </a:xfrm>
                          <a:prstGeom prst="rect">
                            <a:avLst/>
                          </a:prstGeom>
                          <a:noFill/>
                          <a:ln>
                            <a:noFill/>
                          </a:ln>
                        </pic:spPr>
                      </pic:pic>
                    </a:graphicData>
                  </a:graphic>
                </wp:inline>
              </w:drawing>
            </w:r>
          </w:p>
          <w:p w14:paraId="1CE0AB9B">
            <w:pPr>
              <w:pStyle w:val="72"/>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 xml:space="preserve">图2-1 </w:t>
            </w:r>
            <w:r>
              <w:rPr>
                <w:rFonts w:hint="eastAsia" w:asciiTheme="minorEastAsia" w:hAnsiTheme="minorEastAsia" w:eastAsiaTheme="minorEastAsia" w:cstheme="minorEastAsia"/>
                <w:color w:val="auto"/>
                <w:lang w:val="en-US" w:eastAsia="zh-CN"/>
              </w:rPr>
              <w:t xml:space="preserve"> </w:t>
            </w:r>
            <w:r>
              <w:rPr>
                <w:rFonts w:hint="eastAsia" w:asciiTheme="minorEastAsia" w:hAnsiTheme="minorEastAsia" w:eastAsiaTheme="minorEastAsia" w:cstheme="minorEastAsia"/>
                <w:color w:val="auto"/>
              </w:rPr>
              <w:t>路基横断面图</w:t>
            </w:r>
          </w:p>
          <w:p w14:paraId="474BDB4F">
            <w:pPr>
              <w:ind w:firstLine="480" w:firstLineChars="200"/>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K370+630～K414+953.7路段：路基宽度为12m，路面宽10.5m，行车道2×3.75m，硬路肩2×1.5m，土路肩2×0.75m。路拱坡度：行车道、硬路肩为1.5%，土路肩为3%。</w:t>
            </w:r>
            <w:r>
              <w:rPr>
                <w:rFonts w:hint="eastAsia" w:cs="Times New Roman"/>
                <w:color w:val="auto"/>
                <w:kern w:val="0"/>
                <w:sz w:val="24"/>
                <w:szCs w:val="24"/>
                <w:lang w:val="en-US" w:eastAsia="zh-CN" w:bidi="ar-SA"/>
              </w:rPr>
              <w:t>边坡和水沟宽度为2.5m。道路边界线宽度为17m。</w:t>
            </w:r>
          </w:p>
          <w:p w14:paraId="7364F657">
            <w:pPr>
              <w:pStyle w:val="29"/>
              <w:rPr>
                <w:color w:val="auto"/>
              </w:rPr>
            </w:pPr>
            <w:r>
              <w:rPr>
                <w:rFonts w:ascii="Times New Roman" w:hAnsi="Times New Roman"/>
                <w:color w:val="auto"/>
              </w:rPr>
              <w:drawing>
                <wp:inline distT="0" distB="0" distL="114300" distR="114300">
                  <wp:extent cx="4768850" cy="1696720"/>
                  <wp:effectExtent l="0" t="0" r="12700" b="1778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5"/>
                          <a:srcRect l="23752" t="29218" r="6161" b="20844"/>
                          <a:stretch>
                            <a:fillRect/>
                          </a:stretch>
                        </pic:blipFill>
                        <pic:spPr>
                          <a:xfrm>
                            <a:off x="0" y="0"/>
                            <a:ext cx="4768850" cy="1696720"/>
                          </a:xfrm>
                          <a:prstGeom prst="rect">
                            <a:avLst/>
                          </a:prstGeom>
                          <a:noFill/>
                          <a:ln>
                            <a:noFill/>
                          </a:ln>
                        </pic:spPr>
                      </pic:pic>
                    </a:graphicData>
                  </a:graphic>
                </wp:inline>
              </w:drawing>
            </w:r>
          </w:p>
          <w:p w14:paraId="6613882C">
            <w:pPr>
              <w:pStyle w:val="72"/>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rPr>
              <w:t>图2-</w:t>
            </w:r>
            <w:r>
              <w:rPr>
                <w:rFonts w:hint="eastAsia" w:asciiTheme="minorEastAsia" w:hAnsiTheme="minorEastAsia" w:eastAsiaTheme="minorEastAsia" w:cstheme="minorEastAsia"/>
                <w:color w:val="auto"/>
                <w:lang w:val="en-US" w:eastAsia="zh-CN"/>
              </w:rPr>
              <w:t>2</w:t>
            </w:r>
            <w:r>
              <w:rPr>
                <w:rFonts w:hint="eastAsia" w:asciiTheme="minorEastAsia" w:hAnsiTheme="minorEastAsia" w:eastAsiaTheme="minorEastAsia" w:cstheme="minorEastAsia"/>
                <w:color w:val="auto"/>
              </w:rPr>
              <w:t xml:space="preserve"> </w:t>
            </w:r>
            <w:r>
              <w:rPr>
                <w:rFonts w:hint="eastAsia" w:asciiTheme="minorEastAsia" w:hAnsiTheme="minorEastAsia" w:eastAsiaTheme="minorEastAsia" w:cstheme="minorEastAsia"/>
                <w:color w:val="auto"/>
                <w:lang w:val="en-US" w:eastAsia="zh-CN"/>
              </w:rPr>
              <w:t xml:space="preserve"> </w:t>
            </w:r>
            <w:r>
              <w:rPr>
                <w:rFonts w:hint="eastAsia" w:asciiTheme="minorEastAsia" w:hAnsiTheme="minorEastAsia" w:eastAsiaTheme="minorEastAsia" w:cstheme="minorEastAsia"/>
                <w:color w:val="auto"/>
              </w:rPr>
              <w:t>路基</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lang w:val="en-US" w:eastAsia="zh-CN"/>
              </w:rPr>
              <w:t>含过境段</w:t>
            </w:r>
            <w:r>
              <w:rPr>
                <w:rFonts w:hint="eastAsia" w:asciiTheme="minorEastAsia" w:hAnsiTheme="minorEastAsia" w:eastAsiaTheme="minorEastAsia" w:cstheme="minorEastAsia"/>
                <w:color w:val="auto"/>
                <w:lang w:eastAsia="zh-CN"/>
              </w:rPr>
              <w:t>）</w:t>
            </w:r>
            <w:r>
              <w:rPr>
                <w:rFonts w:hint="eastAsia" w:asciiTheme="minorEastAsia" w:hAnsiTheme="minorEastAsia" w:eastAsiaTheme="minorEastAsia" w:cstheme="minorEastAsia"/>
                <w:color w:val="auto"/>
              </w:rPr>
              <w:t>横断面图</w:t>
            </w:r>
          </w:p>
          <w:p w14:paraId="36D34932">
            <w:pPr>
              <w:pStyle w:val="76"/>
              <w:rPr>
                <w:rFonts w:hint="eastAsia"/>
                <w:color w:val="auto"/>
              </w:rPr>
            </w:pPr>
            <w:r>
              <w:rPr>
                <w:rFonts w:hint="eastAsia"/>
                <w:color w:val="auto"/>
              </w:rPr>
              <w:t>（</w:t>
            </w:r>
            <w:r>
              <w:rPr>
                <w:color w:val="auto"/>
              </w:rPr>
              <w:t>2</w:t>
            </w:r>
            <w:r>
              <w:rPr>
                <w:rFonts w:hint="eastAsia"/>
                <w:color w:val="auto"/>
              </w:rPr>
              <w:t>）旧路利用方案</w:t>
            </w:r>
          </w:p>
          <w:p w14:paraId="52751EE7">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通过对路基、路面技术状况评价，路面状况指数为中，路基均状况良好，适于加铺沥青层使旧路恢复其使用功能，根据现场调查和检测资料揭示：</w:t>
            </w:r>
          </w:p>
          <w:p w14:paraId="1E6C2A3C">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路面每公里代表弯沉值平均为19.4（0.01mm），路面结构强度高；板底脱空长度不大，脱空值均小于1mm，无明显脱空；接缝传荷能力保持在中等以上，错台量均为优良，路面行驶指数多为中级以上；虽然个别路段路面DBL断板率值偏高，但整体断板率仍处于中级以上水平，路面破损指数PCI维持在中等级别，旧路面层抗弯拉强度未见衰减，基层整体性较好，芯样均能取出。</w:t>
            </w:r>
          </w:p>
          <w:p w14:paraId="5D6BAC74">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故总体设计方案考虑采用对旧路面板共振碎石化后加铺沥青层处理。</w:t>
            </w:r>
          </w:p>
          <w:p w14:paraId="24E1C561">
            <w:pPr>
              <w:pStyle w:val="76"/>
              <w:spacing w:line="360" w:lineRule="auto"/>
              <w:rPr>
                <w:rFonts w:hint="eastAsia"/>
                <w:color w:val="auto"/>
              </w:rPr>
            </w:pPr>
            <w:r>
              <w:rPr>
                <w:rFonts w:hint="eastAsia"/>
                <w:color w:val="auto"/>
              </w:rPr>
              <w:t>（</w:t>
            </w:r>
            <w:r>
              <w:rPr>
                <w:rFonts w:hint="eastAsia"/>
                <w:color w:val="auto"/>
                <w:lang w:val="en-US" w:eastAsia="zh-CN"/>
              </w:rPr>
              <w:t>3</w:t>
            </w:r>
            <w:r>
              <w:rPr>
                <w:rFonts w:hint="eastAsia"/>
                <w:color w:val="auto"/>
              </w:rPr>
              <w:t>）路基边坡坡率</w:t>
            </w:r>
          </w:p>
          <w:p w14:paraId="72CBAA46">
            <w:pPr>
              <w:spacing w:line="360" w:lineRule="auto"/>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均为填方路段，原有路基填料主要为碎石土、风化砂填方路基高度一般小于6m。边坡采用直线式，坡率采用1:1.5。本次改造设计维持原有设计不变。路面加高后需进行路肩培土，培土坡率采用1:1与既有边坡相接。</w:t>
            </w:r>
          </w:p>
          <w:p w14:paraId="4D26B8B2">
            <w:pPr>
              <w:pStyle w:val="76"/>
              <w:spacing w:line="360" w:lineRule="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（5）桥涵路基</w:t>
            </w:r>
          </w:p>
          <w:p w14:paraId="147DE6F5">
            <w:pPr>
              <w:spacing w:line="360" w:lineRule="auto"/>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桥涵台背填料，应选用内摩擦角值较大的透水性材料（砂砾）填筑。旧路存在既有涵洞拆除新建情况，需拆除旧涵两侧路面结构，挖除路基土方，按新建涵洞两侧底宽3m，纵向1:2预留台阶控制开挖边界，待涵洞施工完成后回填砂砾。</w:t>
            </w:r>
          </w:p>
          <w:p w14:paraId="72EF602E">
            <w:pPr>
              <w:ind w:firstLine="480" w:firstLineChars="200"/>
              <w:rPr>
                <w:color w:val="auto"/>
              </w:rPr>
            </w:pPr>
            <w:r>
              <w:rPr>
                <w:rFonts w:hint="eastAsia"/>
                <w:color w:val="auto"/>
              </w:rPr>
              <w:t>（</w:t>
            </w:r>
            <w:r>
              <w:rPr>
                <w:color w:val="auto"/>
              </w:rPr>
              <w:t>6</w:t>
            </w:r>
            <w:r>
              <w:rPr>
                <w:rFonts w:hint="eastAsia"/>
                <w:color w:val="auto"/>
              </w:rPr>
              <w:t>）</w:t>
            </w:r>
            <w:r>
              <w:rPr>
                <w:color w:val="auto"/>
              </w:rPr>
              <w:t>路基压实标准</w:t>
            </w:r>
          </w:p>
          <w:p w14:paraId="2C25E97A">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路基填料按《公路路基设计规范》（JTGD30-2015）中细粒土的填筑要求执行，分层填筑路基、采用重型机械碾压密实。一般路基填料的压实度标准为重型压实标准，采用重型机械分层碾压密实。路基基底、土路肩填土压实度≥90%；桥台锥坡、台后填土压实度≥96%。</w:t>
            </w:r>
          </w:p>
          <w:p w14:paraId="7BF6FF6A">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路堤填料不得使用淤泥、沼泽土、有机土、含草皮土、生活垃圾、树根和腐殖质土。液限大于50、塑性指数大于26的土，以及含水量超过规定的土，不得直接作为路基填料。</w:t>
            </w:r>
          </w:p>
          <w:p w14:paraId="5D09307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（7）路基排水设计</w:t>
            </w:r>
          </w:p>
          <w:p w14:paraId="63D4DA52">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旧路排水系统完善，可以满足排水需求。</w:t>
            </w:r>
          </w:p>
          <w:p w14:paraId="56C5EBCB">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乡镇过境段既有矩形边沟、盖板边沟存在勾缝掉落、片石松散、盖板破碎现象，本次排水设计对边沟进行翻砌。</w:t>
            </w:r>
          </w:p>
          <w:p w14:paraId="7C7BC421">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对一般路段局部土质边沟冲刷严重的路段进行圬工加固，并根据现场实际情况设置边沟尺寸。</w:t>
            </w:r>
          </w:p>
          <w:p w14:paraId="540E1206">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对K381+160处存在较大汇水交叉道设置交叉道盖板涵，改善雨季汇水上路情况。</w:t>
            </w:r>
          </w:p>
          <w:p w14:paraId="5B965C33">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对超高调整段曲线内侧土路肩设置水泥混凝土路肩加固块。</w:t>
            </w:r>
          </w:p>
          <w:p w14:paraId="16A839E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（8）路基防护</w:t>
            </w:r>
          </w:p>
          <w:p w14:paraId="14D80D5D">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本项目地处平原区，周围阡陌交通，环境优美。路基防护设计贯彻“稳定、美观、生态协调”的原则。</w:t>
            </w:r>
          </w:p>
          <w:p w14:paraId="6C5C2283">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旧路边坡防护以植草为主，边坡防护效果较好，无需进行设计。</w:t>
            </w:r>
          </w:p>
          <w:p w14:paraId="71FBCA76">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超高调整段曲线内侧路基平均填高1~2m，填高较低，既有植草防护效果较好，不进行设计。</w:t>
            </w:r>
          </w:p>
          <w:p w14:paraId="39B26898">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拆除新建涵洞均位于原有沟渠处，两侧路基为零填路基，无需设置防护设施。</w:t>
            </w:r>
          </w:p>
          <w:p w14:paraId="0C60315B">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5、路面工程</w:t>
            </w:r>
          </w:p>
          <w:p w14:paraId="0F9FA2C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根据旧路检测结论，旧路接缝传荷能力处于中级以上水平，断板率整体处于中级以上级水平，结合水泥混凝土路面设计规范相关规定，考虑沥青混凝土加铺方案。</w:t>
            </w:r>
          </w:p>
          <w:p w14:paraId="51AFB76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（1）一般段：采用共振碎石化+8cmATB-25沥青碎石+5cmAC-16中粒式改性沥青混凝土。</w:t>
            </w:r>
            <w:bookmarkStart w:id="5" w:name="_Hlk157358459"/>
            <w:r>
              <w:rPr>
                <w:rFonts w:hint="eastAsia" w:ascii="Times New Roman" w:hAnsi="Times New Roman" w:eastAsia="宋体" w:cs="Times New Roman"/>
                <w:color w:val="auto"/>
                <w:kern w:val="0"/>
                <w:sz w:val="24"/>
                <w:szCs w:val="24"/>
                <w:lang w:val="en-US" w:eastAsia="zh-CN" w:bidi="ar-SA"/>
              </w:rPr>
              <w:t>共振前需更换重度破碎板、清除修补的沥青混凝土</w:t>
            </w:r>
            <w:bookmarkEnd w:id="5"/>
            <w:r>
              <w:rPr>
                <w:rFonts w:hint="eastAsia" w:ascii="Times New Roman" w:hAnsi="Times New Roman" w:eastAsia="宋体" w:cs="Times New Roman"/>
                <w:color w:val="auto"/>
                <w:kern w:val="0"/>
                <w:sz w:val="24"/>
                <w:szCs w:val="24"/>
                <w:lang w:val="en-US" w:eastAsia="zh-CN" w:bidi="ar-SA"/>
              </w:rPr>
              <w:t>、回填碎石。</w:t>
            </w:r>
          </w:p>
          <w:p w14:paraId="058D1F1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5cm   AC-16中粒式</w:t>
            </w:r>
            <w:bookmarkStart w:id="6" w:name="_Hlk157358360"/>
            <w:r>
              <w:rPr>
                <w:rFonts w:hint="eastAsia" w:ascii="Times New Roman" w:hAnsi="Times New Roman" w:eastAsia="宋体" w:cs="Times New Roman"/>
                <w:color w:val="auto"/>
                <w:kern w:val="0"/>
                <w:sz w:val="24"/>
                <w:szCs w:val="24"/>
                <w:lang w:val="en-US" w:eastAsia="zh-CN" w:bidi="ar-SA"/>
              </w:rPr>
              <w:t>改性</w:t>
            </w:r>
            <w:bookmarkEnd w:id="6"/>
            <w:r>
              <w:rPr>
                <w:rFonts w:hint="eastAsia" w:ascii="Times New Roman" w:hAnsi="Times New Roman" w:eastAsia="宋体" w:cs="Times New Roman"/>
                <w:color w:val="auto"/>
                <w:kern w:val="0"/>
                <w:sz w:val="24"/>
                <w:szCs w:val="24"/>
                <w:lang w:val="en-US" w:eastAsia="zh-CN" w:bidi="ar-SA"/>
              </w:rPr>
              <w:t>沥青混凝土</w:t>
            </w:r>
          </w:p>
          <w:p w14:paraId="6652E637">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8cm   ATB-25沥青碎石</w:t>
            </w:r>
          </w:p>
          <w:p w14:paraId="6A5C8FD2">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 共振碎石化处理</w:t>
            </w:r>
          </w:p>
          <w:p w14:paraId="5CB8CDBD">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（2）对局部需调整超高的路段：Hcm ATB-25（找坡、找拱）+8cmATB-25沥青碎石+5cmAC-16中粒式改性沥青混凝土。超高调整段总长度约3.9km。共振前需清除修补的沥青混凝土、回填碎石。</w:t>
            </w:r>
          </w:p>
          <w:p w14:paraId="0D3D5E43">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5cm    AC-16中粒式改性沥青混凝土</w:t>
            </w:r>
          </w:p>
          <w:p w14:paraId="76928AD4">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8cm    ATB-25沥青碎石</w:t>
            </w:r>
          </w:p>
          <w:p w14:paraId="0A656851">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Hcm    ATB-25沥青碎石（找坡、找拱）</w:t>
            </w:r>
          </w:p>
          <w:p w14:paraId="7058BB06">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 共振碎石化处理</w:t>
            </w:r>
          </w:p>
          <w:p w14:paraId="05EB0529">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（3）高程衔接段：由于项目起终点及桥梁构造物高程不升高，根据纵断情况考虑一定长度的过渡段，为避免对水泥混凝土进行过深铣刨，在过渡段内按2种形式完成过渡。需更换破碎板，对裂缝进行热沥青灌缝。</w:t>
            </w:r>
          </w:p>
          <w:p w14:paraId="241CB446">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形式一：靠近零高程段</w:t>
            </w:r>
          </w:p>
          <w:p w14:paraId="2A190BC9">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5cm    AC-16中粒式改性沥青混凝土</w:t>
            </w:r>
          </w:p>
          <w:p w14:paraId="26F9F55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 平均铣刨旧路2.5cm水泥混凝土</w:t>
            </w:r>
          </w:p>
          <w:p w14:paraId="18300FD9">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形式二：靠近正常加铺段</w:t>
            </w:r>
          </w:p>
          <w:p w14:paraId="28D696B0">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5cm    AC-16中粒式改性沥青混凝土</w:t>
            </w:r>
          </w:p>
          <w:p w14:paraId="1DFB6C4F">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8cm    ATB-25沥青碎石</w:t>
            </w:r>
          </w:p>
          <w:p w14:paraId="3F4DF693">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旧路 平均铣刨旧路4cm水泥混凝土</w:t>
            </w:r>
          </w:p>
          <w:p w14:paraId="132336FD">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（4）涵洞拆除新建段</w:t>
            </w:r>
          </w:p>
          <w:p w14:paraId="6DA44B54">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5cm   AC-16中粒式改性沥青混凝土</w:t>
            </w:r>
          </w:p>
          <w:p w14:paraId="3F3A77B5">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8cm   ATB-25沥青碎石</w:t>
            </w:r>
          </w:p>
          <w:p w14:paraId="08FC2BE3">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 xml:space="preserve"> 新建搭板</w:t>
            </w:r>
          </w:p>
          <w:p w14:paraId="5BAAAF80">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20cm 4.5%水泥稳定级配碎石</w:t>
            </w:r>
          </w:p>
          <w:p w14:paraId="22F0056E">
            <w:pPr>
              <w:pStyle w:val="76"/>
              <w:numPr>
                <w:ilvl w:val="0"/>
                <w:numId w:val="2"/>
              </w:numPr>
              <w:rPr>
                <w:rFonts w:hint="eastAsia" w:ascii="Times New Roman" w:hAnsi="Times New Roman" w:eastAsia="宋体" w:cs="Times New Roman"/>
                <w:color w:val="auto"/>
                <w:kern w:val="0"/>
                <w:sz w:val="24"/>
                <w:szCs w:val="24"/>
                <w:lang w:val="en-US" w:eastAsia="zh-CN" w:bidi="ar-SA"/>
              </w:rPr>
            </w:pPr>
            <w:r>
              <w:rPr>
                <w:rFonts w:hint="eastAsia"/>
                <w:color w:val="auto"/>
              </w:rPr>
              <w:t>桥涵</w:t>
            </w:r>
            <w:r>
              <w:rPr>
                <w:rFonts w:hint="eastAsia" w:ascii="Times New Roman" w:hAnsi="Times New Roman" w:eastAsia="宋体" w:cs="Times New Roman"/>
                <w:color w:val="auto"/>
                <w:kern w:val="0"/>
                <w:sz w:val="24"/>
                <w:szCs w:val="24"/>
                <w:lang w:val="en-US" w:eastAsia="zh-CN" w:bidi="ar-SA"/>
              </w:rPr>
              <w:t xml:space="preserve">工程  </w:t>
            </w:r>
          </w:p>
          <w:p w14:paraId="3E342FB4">
            <w:pPr>
              <w:pStyle w:val="76"/>
              <w:numPr>
                <w:ilvl w:val="0"/>
                <w:numId w:val="0"/>
              </w:numPr>
              <w:ind w:firstLine="480" w:firstLineChars="200"/>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维修桥梁 945m/11座，其中维修利用大桥 607.5m/1 座，维修利用中桥 137.8m/2 座，维修利用小桥 199.7m/8 座，完全利用大桥1座。</w:t>
            </w:r>
          </w:p>
          <w:p w14:paraId="03215AEC">
            <w:pPr>
              <w:pStyle w:val="76"/>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（1）桥梁</w:t>
            </w:r>
          </w:p>
          <w:p w14:paraId="23B21F00">
            <w:pPr>
              <w:pStyle w:val="16"/>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段原有桥梁大桥607.5m/1座，中桥137.8m/2座（K371+237跨线桥只有损坏的搭板纳入本次设计，其余损坏部分归密山市公路事业发展中心负责），小桥199.7m/8座，在建大桥1座（穆棱河河滩大桥）；除在建的穆棱河河滩大桥及特殊说明的以外，均列入本次路面改造工程设计。原有桥梁护栏均为A级防撞护栏。</w:t>
            </w:r>
          </w:p>
          <w:p w14:paraId="0D40CE3F">
            <w:pPr>
              <w:pStyle w:val="76"/>
              <w:rPr>
                <w:color w:val="auto"/>
              </w:rPr>
            </w:pPr>
            <w:r>
              <w:rPr>
                <w:rFonts w:hint="eastAsia"/>
                <w:color w:val="auto"/>
              </w:rPr>
              <w:t>桥梁布设情况见表2-</w:t>
            </w:r>
            <w:r>
              <w:rPr>
                <w:rFonts w:hint="eastAsia"/>
                <w:color w:val="auto"/>
                <w:lang w:val="en-US" w:eastAsia="zh-CN"/>
              </w:rPr>
              <w:t>8</w:t>
            </w:r>
            <w:r>
              <w:rPr>
                <w:rFonts w:hint="eastAsia"/>
                <w:color w:val="auto"/>
              </w:rPr>
              <w:t>。</w:t>
            </w:r>
          </w:p>
          <w:p w14:paraId="310E8517">
            <w:pPr>
              <w:pStyle w:val="72"/>
              <w:rPr>
                <w:rFonts w:hint="default" w:ascii="Times New Roman" w:hAnsi="Times New Roman" w:eastAsia="宋体" w:cs="Times New Roman"/>
                <w:color w:val="auto"/>
              </w:rPr>
            </w:pPr>
            <w:r>
              <w:rPr>
                <w:rFonts w:hint="eastAsia" w:ascii="Times New Roman" w:hAnsi="Times New Roman" w:eastAsia="宋体" w:cs="Times New Roman"/>
                <w:color w:val="auto"/>
              </w:rPr>
              <w:t>表2-</w:t>
            </w:r>
            <w:r>
              <w:rPr>
                <w:rFonts w:hint="eastAsia" w:ascii="Times New Roman" w:hAnsi="Times New Roman" w:eastAsia="宋体" w:cs="Times New Roman"/>
                <w:color w:val="auto"/>
                <w:lang w:val="en-US" w:eastAsia="zh-CN"/>
              </w:rPr>
              <w:t>8</w:t>
            </w:r>
            <w:r>
              <w:rPr>
                <w:rFonts w:hint="eastAsia" w:ascii="Times New Roman" w:hAnsi="Times New Roman" w:eastAsia="宋体" w:cs="Times New Roman"/>
                <w:color w:val="auto"/>
              </w:rPr>
              <w:t xml:space="preserve">  桥梁布设情况一览表</w:t>
            </w:r>
          </w:p>
          <w:tbl>
            <w:tblPr>
              <w:tblStyle w:val="31"/>
              <w:tblW w:w="4925"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68"/>
              <w:gridCol w:w="917"/>
              <w:gridCol w:w="759"/>
              <w:gridCol w:w="1294"/>
              <w:gridCol w:w="666"/>
              <w:gridCol w:w="439"/>
              <w:gridCol w:w="402"/>
              <w:gridCol w:w="653"/>
              <w:gridCol w:w="1430"/>
            </w:tblGrid>
            <w:tr w14:paraId="2EC6ADC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369B9DA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序</w:t>
                  </w:r>
                </w:p>
                <w:p w14:paraId="5C867DF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号</w:t>
                  </w:r>
                </w:p>
              </w:tc>
              <w:tc>
                <w:tcPr>
                  <w:tcW w:w="495" w:type="pct"/>
                  <w:tcBorders>
                    <w:tl2br w:val="nil"/>
                    <w:tr2bl w:val="nil"/>
                  </w:tcBorders>
                  <w:vAlign w:val="center"/>
                </w:tcPr>
                <w:p w14:paraId="12ACBF3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桩号</w:t>
                  </w:r>
                </w:p>
              </w:tc>
              <w:tc>
                <w:tcPr>
                  <w:tcW w:w="591" w:type="pct"/>
                  <w:tcBorders>
                    <w:tl2br w:val="nil"/>
                    <w:tr2bl w:val="nil"/>
                  </w:tcBorders>
                  <w:vAlign w:val="center"/>
                </w:tcPr>
                <w:p w14:paraId="7ECB796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桥梁</w:t>
                  </w:r>
                </w:p>
                <w:p w14:paraId="6FE0DAC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名称</w:t>
                  </w:r>
                </w:p>
              </w:tc>
              <w:tc>
                <w:tcPr>
                  <w:tcW w:w="489" w:type="pct"/>
                  <w:tcBorders>
                    <w:tl2br w:val="nil"/>
                    <w:tr2bl w:val="nil"/>
                  </w:tcBorders>
                  <w:vAlign w:val="center"/>
                </w:tcPr>
                <w:p w14:paraId="6DB11CE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孔径</w:t>
                  </w:r>
                </w:p>
                <w:p w14:paraId="577F3FE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及</w:t>
                  </w:r>
                </w:p>
                <w:p w14:paraId="028E82F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孔数</w:t>
                  </w:r>
                </w:p>
              </w:tc>
              <w:tc>
                <w:tcPr>
                  <w:tcW w:w="834" w:type="pct"/>
                  <w:tcBorders>
                    <w:tl2br w:val="nil"/>
                    <w:tr2bl w:val="nil"/>
                  </w:tcBorders>
                  <w:vAlign w:val="center"/>
                </w:tcPr>
                <w:p w14:paraId="4BE08C7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上部结构</w:t>
                  </w:r>
                </w:p>
              </w:tc>
              <w:tc>
                <w:tcPr>
                  <w:tcW w:w="429" w:type="pct"/>
                  <w:tcBorders>
                    <w:tl2br w:val="nil"/>
                    <w:tr2bl w:val="nil"/>
                  </w:tcBorders>
                </w:tcPr>
                <w:p w14:paraId="61B7B70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汽车</w:t>
                  </w:r>
                </w:p>
                <w:p w14:paraId="21FB929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荷载</w:t>
                  </w:r>
                </w:p>
                <w:p w14:paraId="653C19F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等级</w:t>
                  </w:r>
                </w:p>
              </w:tc>
              <w:tc>
                <w:tcPr>
                  <w:tcW w:w="283" w:type="pct"/>
                  <w:tcBorders>
                    <w:tl2br w:val="nil"/>
                    <w:tr2bl w:val="nil"/>
                  </w:tcBorders>
                </w:tcPr>
                <w:p w14:paraId="000FB9FB">
                  <w:pPr>
                    <w:pStyle w:val="65"/>
                    <w:ind w:firstLine="105" w:firstLineChars="50"/>
                    <w:jc w:val="both"/>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整体</w:t>
                  </w:r>
                </w:p>
                <w:p w14:paraId="3FCA54D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评定</w:t>
                  </w:r>
                </w:p>
                <w:p w14:paraId="5B5A36F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类别</w:t>
                  </w:r>
                </w:p>
              </w:tc>
              <w:tc>
                <w:tcPr>
                  <w:tcW w:w="259" w:type="pct"/>
                  <w:tcBorders>
                    <w:tl2br w:val="nil"/>
                    <w:tr2bl w:val="nil"/>
                  </w:tcBorders>
                  <w:vAlign w:val="center"/>
                </w:tcPr>
                <w:p w14:paraId="331034B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p w14:paraId="2246D16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形式</w:t>
                  </w:r>
                </w:p>
              </w:tc>
              <w:tc>
                <w:tcPr>
                  <w:tcW w:w="421" w:type="pct"/>
                  <w:tcBorders>
                    <w:tl2br w:val="nil"/>
                    <w:tr2bl w:val="nil"/>
                  </w:tcBorders>
                  <w:vAlign w:val="center"/>
                </w:tcPr>
                <w:p w14:paraId="2799BA5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是否列入本次设计内容</w:t>
                  </w:r>
                </w:p>
              </w:tc>
              <w:tc>
                <w:tcPr>
                  <w:tcW w:w="921" w:type="pct"/>
                  <w:tcBorders>
                    <w:tl2br w:val="nil"/>
                    <w:tr2bl w:val="nil"/>
                  </w:tcBorders>
                  <w:vAlign w:val="center"/>
                </w:tcPr>
                <w:p w14:paraId="69538D1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维修项目</w:t>
                  </w:r>
                </w:p>
              </w:tc>
            </w:tr>
            <w:tr w14:paraId="4216ED1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18D4365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w:t>
                  </w:r>
                </w:p>
              </w:tc>
              <w:tc>
                <w:tcPr>
                  <w:tcW w:w="495" w:type="pct"/>
                  <w:tcBorders>
                    <w:tl2br w:val="nil"/>
                    <w:tr2bl w:val="nil"/>
                  </w:tcBorders>
                  <w:vAlign w:val="center"/>
                </w:tcPr>
                <w:p w14:paraId="7676CD4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K370+567.5</w:t>
                  </w:r>
                </w:p>
              </w:tc>
              <w:tc>
                <w:tcPr>
                  <w:tcW w:w="591" w:type="pct"/>
                  <w:tcBorders>
                    <w:tl2br w:val="nil"/>
                    <w:tr2bl w:val="nil"/>
                  </w:tcBorders>
                  <w:vAlign w:val="center"/>
                </w:tcPr>
                <w:p w14:paraId="7B302CA4">
                  <w:pPr>
                    <w:pStyle w:val="65"/>
                    <w:rPr>
                      <w:rFonts w:ascii="Times New Roman" w:hAnsi="Times New Roman" w:cs="Times New Roman"/>
                      <w:color w:val="auto"/>
                      <w:sz w:val="21"/>
                      <w:szCs w:val="21"/>
                    </w:rPr>
                  </w:pPr>
                  <w:r>
                    <w:rPr>
                      <w:rFonts w:ascii="Times New Roman" w:hAnsi="Times New Roman" w:cs="Times New Roman"/>
                      <w:color w:val="auto"/>
                      <w:sz w:val="21"/>
                      <w:szCs w:val="21"/>
                    </w:rPr>
                    <w:t>依龙</w:t>
                  </w:r>
                </w:p>
                <w:p w14:paraId="0A804346">
                  <w:pPr>
                    <w:pStyle w:val="65"/>
                    <w:rPr>
                      <w:rFonts w:ascii="Times New Roman" w:hAnsi="Times New Roman" w:eastAsia="宋体" w:cs="Times New Roman"/>
                      <w:color w:val="auto"/>
                      <w:sz w:val="21"/>
                      <w:szCs w:val="21"/>
                    </w:rPr>
                  </w:pPr>
                  <w:r>
                    <w:rPr>
                      <w:rFonts w:ascii="Times New Roman" w:hAnsi="Times New Roman" w:cs="Times New Roman"/>
                      <w:color w:val="auto"/>
                      <w:sz w:val="21"/>
                      <w:szCs w:val="21"/>
                    </w:rPr>
                    <w:t>二桥</w:t>
                  </w:r>
                </w:p>
              </w:tc>
              <w:tc>
                <w:tcPr>
                  <w:tcW w:w="489" w:type="pct"/>
                  <w:tcBorders>
                    <w:tl2br w:val="nil"/>
                    <w:tr2bl w:val="nil"/>
                  </w:tcBorders>
                  <w:vAlign w:val="center"/>
                </w:tcPr>
                <w:p w14:paraId="08F9FAED">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1-10m</w:t>
                  </w:r>
                </w:p>
              </w:tc>
              <w:tc>
                <w:tcPr>
                  <w:tcW w:w="834" w:type="pct"/>
                  <w:tcBorders>
                    <w:tl2br w:val="nil"/>
                    <w:tr2bl w:val="nil"/>
                  </w:tcBorders>
                  <w:vAlign w:val="center"/>
                </w:tcPr>
                <w:p w14:paraId="053428FA">
                  <w:pPr>
                    <w:spacing w:line="240" w:lineRule="auto"/>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11328F6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377F4E68">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7DE3CA3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13B6CFA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50F60F7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07790BB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708D73A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52A7AE8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5C2A102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④更换伸缩装置</w:t>
                  </w:r>
                </w:p>
              </w:tc>
            </w:tr>
            <w:tr w14:paraId="7D8998E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272" w:type="pct"/>
                  <w:tcBorders>
                    <w:tl2br w:val="nil"/>
                    <w:tr2bl w:val="nil"/>
                  </w:tcBorders>
                  <w:vAlign w:val="center"/>
                </w:tcPr>
                <w:p w14:paraId="028FB5B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2</w:t>
                  </w:r>
                </w:p>
              </w:tc>
              <w:tc>
                <w:tcPr>
                  <w:tcW w:w="495" w:type="pct"/>
                  <w:tcBorders>
                    <w:tl2br w:val="nil"/>
                    <w:tr2bl w:val="nil"/>
                  </w:tcBorders>
                  <w:vAlign w:val="center"/>
                </w:tcPr>
                <w:p w14:paraId="422039C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K371+237.7</w:t>
                  </w:r>
                </w:p>
              </w:tc>
              <w:tc>
                <w:tcPr>
                  <w:tcW w:w="591" w:type="pct"/>
                  <w:tcBorders>
                    <w:tl2br w:val="nil"/>
                    <w:tr2bl w:val="nil"/>
                  </w:tcBorders>
                  <w:vAlign w:val="center"/>
                </w:tcPr>
                <w:p w14:paraId="0E9503C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上跨高速桥</w:t>
                  </w:r>
                </w:p>
              </w:tc>
              <w:tc>
                <w:tcPr>
                  <w:tcW w:w="489" w:type="pct"/>
                  <w:tcBorders>
                    <w:tl2br w:val="nil"/>
                    <w:tr2bl w:val="nil"/>
                  </w:tcBorders>
                  <w:vAlign w:val="center"/>
                </w:tcPr>
                <w:p w14:paraId="13C6E2E4">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4-20m</w:t>
                  </w:r>
                </w:p>
              </w:tc>
              <w:tc>
                <w:tcPr>
                  <w:tcW w:w="834" w:type="pct"/>
                  <w:tcBorders>
                    <w:tl2br w:val="nil"/>
                    <w:tr2bl w:val="nil"/>
                  </w:tcBorders>
                  <w:vAlign w:val="center"/>
                </w:tcPr>
                <w:p w14:paraId="19E8BC3A">
                  <w:pPr>
                    <w:spacing w:line="240" w:lineRule="auto"/>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53A0D0E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2A40AE76">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051CA07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3AB4265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21F11B7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54AAF59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①拆除重建搭板</w:t>
                  </w:r>
                </w:p>
              </w:tc>
            </w:tr>
            <w:tr w14:paraId="125590F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0ADD7A6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3</w:t>
                  </w:r>
                </w:p>
              </w:tc>
              <w:tc>
                <w:tcPr>
                  <w:tcW w:w="495" w:type="pct"/>
                  <w:tcBorders>
                    <w:tl2br w:val="nil"/>
                    <w:tr2bl w:val="nil"/>
                  </w:tcBorders>
                  <w:vAlign w:val="center"/>
                </w:tcPr>
                <w:p w14:paraId="2646D90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K372+914.1</w:t>
                  </w:r>
                </w:p>
              </w:tc>
              <w:tc>
                <w:tcPr>
                  <w:tcW w:w="591" w:type="pct"/>
                  <w:tcBorders>
                    <w:tl2br w:val="nil"/>
                    <w:tr2bl w:val="nil"/>
                  </w:tcBorders>
                  <w:vAlign w:val="center"/>
                </w:tcPr>
                <w:p w14:paraId="5CAF786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依龙</w:t>
                  </w:r>
                </w:p>
                <w:p w14:paraId="2256BC8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三桥</w:t>
                  </w:r>
                </w:p>
              </w:tc>
              <w:tc>
                <w:tcPr>
                  <w:tcW w:w="489" w:type="pct"/>
                  <w:tcBorders>
                    <w:tl2br w:val="nil"/>
                    <w:tr2bl w:val="nil"/>
                  </w:tcBorders>
                  <w:vAlign w:val="center"/>
                </w:tcPr>
                <w:p w14:paraId="10186193">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1-10m</w:t>
                  </w:r>
                </w:p>
              </w:tc>
              <w:tc>
                <w:tcPr>
                  <w:tcW w:w="834" w:type="pct"/>
                  <w:tcBorders>
                    <w:tl2br w:val="nil"/>
                    <w:tr2bl w:val="nil"/>
                  </w:tcBorders>
                </w:tcPr>
                <w:p w14:paraId="29CC640B">
                  <w:pPr>
                    <w:pStyle w:val="29"/>
                    <w:spacing w:line="240" w:lineRule="auto"/>
                    <w:ind w:firstLine="0" w:firstLineChars="0"/>
                    <w:rPr>
                      <w:rFonts w:ascii="Times New Roman" w:hAnsi="Times New Roman"/>
                      <w:color w:val="auto"/>
                      <w:sz w:val="21"/>
                      <w:szCs w:val="21"/>
                    </w:rPr>
                  </w:pPr>
                </w:p>
                <w:p w14:paraId="4CF016C8">
                  <w:pPr>
                    <w:spacing w:line="240" w:lineRule="auto"/>
                    <w:jc w:val="center"/>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29751C7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714F3E0A">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07897B5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0C5774A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707DCE2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7AFCD86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53BFBD9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1F23656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18877E9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④维修锥坡砌体</w:t>
                  </w:r>
                </w:p>
              </w:tc>
            </w:tr>
            <w:tr w14:paraId="5118D9A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10" w:hRule="atLeast"/>
                <w:jc w:val="center"/>
              </w:trPr>
              <w:tc>
                <w:tcPr>
                  <w:tcW w:w="272" w:type="pct"/>
                  <w:tcBorders>
                    <w:tl2br w:val="nil"/>
                    <w:tr2bl w:val="nil"/>
                  </w:tcBorders>
                  <w:vAlign w:val="center"/>
                </w:tcPr>
                <w:p w14:paraId="7CE2531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4</w:t>
                  </w:r>
                </w:p>
              </w:tc>
              <w:tc>
                <w:tcPr>
                  <w:tcW w:w="495" w:type="pct"/>
                  <w:tcBorders>
                    <w:tl2br w:val="nil"/>
                    <w:tr2bl w:val="nil"/>
                  </w:tcBorders>
                  <w:vAlign w:val="center"/>
                </w:tcPr>
                <w:p w14:paraId="0F13902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K373+272.5</w:t>
                  </w:r>
                </w:p>
              </w:tc>
              <w:tc>
                <w:tcPr>
                  <w:tcW w:w="591" w:type="pct"/>
                  <w:tcBorders>
                    <w:tl2br w:val="nil"/>
                    <w:tr2bl w:val="nil"/>
                  </w:tcBorders>
                  <w:vAlign w:val="center"/>
                </w:tcPr>
                <w:p w14:paraId="65BE6EB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依龙</w:t>
                  </w:r>
                </w:p>
                <w:p w14:paraId="6F93168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四桥</w:t>
                  </w:r>
                </w:p>
              </w:tc>
              <w:tc>
                <w:tcPr>
                  <w:tcW w:w="489" w:type="pct"/>
                  <w:tcBorders>
                    <w:tl2br w:val="nil"/>
                    <w:tr2bl w:val="nil"/>
                  </w:tcBorders>
                  <w:vAlign w:val="center"/>
                </w:tcPr>
                <w:p w14:paraId="76AE1F9A">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1-10m</w:t>
                  </w:r>
                </w:p>
              </w:tc>
              <w:tc>
                <w:tcPr>
                  <w:tcW w:w="834" w:type="pct"/>
                  <w:tcBorders>
                    <w:tl2br w:val="nil"/>
                    <w:tr2bl w:val="nil"/>
                  </w:tcBorders>
                  <w:vAlign w:val="center"/>
                </w:tcPr>
                <w:p w14:paraId="29E6BB66">
                  <w:pPr>
                    <w:pStyle w:val="65"/>
                    <w:spacing w:line="240" w:lineRule="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79BD4E7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0FF6F4EB">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4432247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642692F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7E08C34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64A13CC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1F75507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1ECB5D7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139C13A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④更换伸缩装置</w:t>
                  </w:r>
                </w:p>
              </w:tc>
            </w:tr>
            <w:tr w14:paraId="3289A74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38" w:hRule="atLeast"/>
                <w:jc w:val="center"/>
              </w:trPr>
              <w:tc>
                <w:tcPr>
                  <w:tcW w:w="272" w:type="pct"/>
                  <w:tcBorders>
                    <w:tl2br w:val="nil"/>
                    <w:tr2bl w:val="nil"/>
                  </w:tcBorders>
                  <w:vAlign w:val="center"/>
                </w:tcPr>
                <w:p w14:paraId="3FB06A5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5</w:t>
                  </w:r>
                </w:p>
              </w:tc>
              <w:tc>
                <w:tcPr>
                  <w:tcW w:w="495" w:type="pct"/>
                  <w:tcBorders>
                    <w:tl2br w:val="nil"/>
                    <w:tr2bl w:val="nil"/>
                  </w:tcBorders>
                  <w:vAlign w:val="center"/>
                </w:tcPr>
                <w:p w14:paraId="180F6B1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K373+835.7</w:t>
                  </w:r>
                </w:p>
              </w:tc>
              <w:tc>
                <w:tcPr>
                  <w:tcW w:w="591" w:type="pct"/>
                  <w:tcBorders>
                    <w:tl2br w:val="nil"/>
                    <w:tr2bl w:val="nil"/>
                  </w:tcBorders>
                  <w:vAlign w:val="center"/>
                </w:tcPr>
                <w:p w14:paraId="5FD3141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穆棱河河汊中桥</w:t>
                  </w:r>
                </w:p>
              </w:tc>
              <w:tc>
                <w:tcPr>
                  <w:tcW w:w="489" w:type="pct"/>
                  <w:tcBorders>
                    <w:tl2br w:val="nil"/>
                    <w:tr2bl w:val="nil"/>
                  </w:tcBorders>
                  <w:vAlign w:val="center"/>
                </w:tcPr>
                <w:p w14:paraId="3CAC1AB8">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3-16m</w:t>
                  </w:r>
                </w:p>
              </w:tc>
              <w:tc>
                <w:tcPr>
                  <w:tcW w:w="834" w:type="pct"/>
                  <w:tcBorders>
                    <w:tl2br w:val="nil"/>
                    <w:tr2bl w:val="nil"/>
                  </w:tcBorders>
                  <w:vAlign w:val="center"/>
                </w:tcPr>
                <w:p w14:paraId="203FB260">
                  <w:pPr>
                    <w:pStyle w:val="65"/>
                    <w:spacing w:line="240" w:lineRule="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2E6409B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51C0F9AF">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6846EB7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防撞墙</w:t>
                  </w:r>
                </w:p>
              </w:tc>
              <w:tc>
                <w:tcPr>
                  <w:tcW w:w="421" w:type="pct"/>
                  <w:tcBorders>
                    <w:tl2br w:val="nil"/>
                    <w:tr2bl w:val="nil"/>
                  </w:tcBorders>
                  <w:vAlign w:val="center"/>
                </w:tcPr>
                <w:p w14:paraId="55BCC3F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144D450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398499F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69EFD82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③维修锥坡砌体、侧脚</w:t>
                  </w:r>
                </w:p>
                <w:p w14:paraId="182E6D9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w:t>
                  </w:r>
                  <w:r>
                    <w:rPr>
                      <w:rFonts w:hint="eastAsia" w:ascii="Times New Roman" w:hAnsi="Times New Roman" w:eastAsia="宋体" w:cs="Times New Roman"/>
                      <w:color w:val="auto"/>
                      <w:sz w:val="21"/>
                      <w:szCs w:val="21"/>
                    </w:rPr>
                    <w:t>维修防撞墙</w:t>
                  </w:r>
                </w:p>
              </w:tc>
            </w:tr>
            <w:tr w14:paraId="4DC4BD6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40" w:hRule="atLeast"/>
                <w:jc w:val="center"/>
              </w:trPr>
              <w:tc>
                <w:tcPr>
                  <w:tcW w:w="272" w:type="pct"/>
                  <w:tcBorders>
                    <w:tl2br w:val="nil"/>
                    <w:tr2bl w:val="nil"/>
                  </w:tcBorders>
                  <w:vAlign w:val="center"/>
                </w:tcPr>
                <w:p w14:paraId="52271D1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6</w:t>
                  </w:r>
                </w:p>
              </w:tc>
              <w:tc>
                <w:tcPr>
                  <w:tcW w:w="495" w:type="pct"/>
                  <w:tcBorders>
                    <w:tl2br w:val="nil"/>
                    <w:tr2bl w:val="nil"/>
                  </w:tcBorders>
                  <w:vAlign w:val="center"/>
                </w:tcPr>
                <w:p w14:paraId="08A838B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K374+614</w:t>
                  </w:r>
                </w:p>
              </w:tc>
              <w:tc>
                <w:tcPr>
                  <w:tcW w:w="591" w:type="pct"/>
                  <w:tcBorders>
                    <w:tl2br w:val="nil"/>
                    <w:tr2bl w:val="nil"/>
                  </w:tcBorders>
                  <w:vAlign w:val="center"/>
                </w:tcPr>
                <w:p w14:paraId="4F0BFCD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穆棱河河滩桥</w:t>
                  </w:r>
                </w:p>
              </w:tc>
              <w:tc>
                <w:tcPr>
                  <w:tcW w:w="489" w:type="pct"/>
                  <w:tcBorders>
                    <w:tl2br w:val="nil"/>
                    <w:tr2bl w:val="nil"/>
                  </w:tcBorders>
                  <w:vAlign w:val="center"/>
                </w:tcPr>
                <w:p w14:paraId="3EB4BFDC">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15-30m</w:t>
                  </w:r>
                </w:p>
              </w:tc>
              <w:tc>
                <w:tcPr>
                  <w:tcW w:w="834" w:type="pct"/>
                  <w:tcBorders>
                    <w:tl2br w:val="nil"/>
                    <w:tr2bl w:val="nil"/>
                  </w:tcBorders>
                  <w:vAlign w:val="center"/>
                </w:tcPr>
                <w:p w14:paraId="20FC60CB">
                  <w:pPr>
                    <w:pStyle w:val="65"/>
                    <w:spacing w:line="240" w:lineRule="auto"/>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预应力混凝土简支转连续箱梁</w:t>
                  </w:r>
                </w:p>
              </w:tc>
              <w:tc>
                <w:tcPr>
                  <w:tcW w:w="429" w:type="pct"/>
                  <w:tcBorders>
                    <w:tl2br w:val="nil"/>
                    <w:tr2bl w:val="nil"/>
                  </w:tcBorders>
                  <w:vAlign w:val="center"/>
                </w:tcPr>
                <w:p w14:paraId="21CE0A7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79AE2A79">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在建</w:t>
                  </w:r>
                </w:p>
              </w:tc>
              <w:tc>
                <w:tcPr>
                  <w:tcW w:w="259" w:type="pct"/>
                  <w:tcBorders>
                    <w:tl2br w:val="nil"/>
                    <w:tr2bl w:val="nil"/>
                  </w:tcBorders>
                  <w:vAlign w:val="center"/>
                </w:tcPr>
                <w:p w14:paraId="4A3C42E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4D678CE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5E79C5A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否</w:t>
                  </w:r>
                </w:p>
              </w:tc>
              <w:tc>
                <w:tcPr>
                  <w:tcW w:w="921" w:type="pct"/>
                  <w:tcBorders>
                    <w:tl2br w:val="nil"/>
                    <w:tr2bl w:val="nil"/>
                  </w:tcBorders>
                  <w:vAlign w:val="center"/>
                </w:tcPr>
                <w:p w14:paraId="28CEFF4E">
                  <w:pPr>
                    <w:pStyle w:val="65"/>
                    <w:rPr>
                      <w:rFonts w:ascii="Times New Roman" w:hAnsi="Times New Roman" w:eastAsia="宋体" w:cs="Times New Roman"/>
                      <w:color w:val="auto"/>
                      <w:sz w:val="21"/>
                      <w:szCs w:val="21"/>
                    </w:rPr>
                  </w:pPr>
                </w:p>
                <w:p w14:paraId="07AD022C">
                  <w:pPr>
                    <w:pStyle w:val="65"/>
                    <w:rPr>
                      <w:rFonts w:ascii="Times New Roman" w:hAnsi="Times New Roman" w:eastAsia="宋体" w:cs="Times New Roman"/>
                      <w:color w:val="auto"/>
                      <w:sz w:val="21"/>
                      <w:szCs w:val="21"/>
                    </w:rPr>
                  </w:pPr>
                </w:p>
                <w:p w14:paraId="43A9184E">
                  <w:pPr>
                    <w:pStyle w:val="65"/>
                    <w:rPr>
                      <w:rFonts w:hint="default" w:ascii="Times New Roman" w:hAnsi="Times New Roman" w:eastAsia="宋体" w:cs="Times New Roman"/>
                      <w:color w:val="auto"/>
                      <w:sz w:val="21"/>
                      <w:szCs w:val="21"/>
                      <w:lang w:val="en-US" w:eastAsia="zh-CN"/>
                    </w:rPr>
                  </w:pPr>
                </w:p>
                <w:p w14:paraId="4126897C">
                  <w:pPr>
                    <w:pStyle w:val="65"/>
                    <w:rPr>
                      <w:rFonts w:ascii="Times New Roman" w:hAnsi="Times New Roman" w:eastAsia="宋体" w:cs="Times New Roman"/>
                      <w:color w:val="auto"/>
                      <w:sz w:val="21"/>
                      <w:szCs w:val="21"/>
                    </w:rPr>
                  </w:pPr>
                </w:p>
                <w:p w14:paraId="58BFE786">
                  <w:pPr>
                    <w:pStyle w:val="65"/>
                    <w:rPr>
                      <w:rFonts w:ascii="Times New Roman" w:hAnsi="Times New Roman" w:eastAsia="宋体" w:cs="Times New Roman"/>
                      <w:color w:val="auto"/>
                      <w:sz w:val="21"/>
                      <w:szCs w:val="21"/>
                    </w:rPr>
                  </w:pPr>
                </w:p>
                <w:p w14:paraId="343FB981">
                  <w:pPr>
                    <w:pStyle w:val="65"/>
                    <w:rPr>
                      <w:rFonts w:ascii="Times New Roman" w:hAnsi="Times New Roman" w:eastAsia="宋体" w:cs="Times New Roman"/>
                      <w:color w:val="auto"/>
                      <w:sz w:val="21"/>
                      <w:szCs w:val="21"/>
                    </w:rPr>
                  </w:pPr>
                </w:p>
              </w:tc>
            </w:tr>
            <w:tr w14:paraId="0264573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84" w:hRule="atLeast"/>
                <w:jc w:val="center"/>
              </w:trPr>
              <w:tc>
                <w:tcPr>
                  <w:tcW w:w="272" w:type="pct"/>
                  <w:tcBorders>
                    <w:tl2br w:val="nil"/>
                    <w:tr2bl w:val="nil"/>
                  </w:tcBorders>
                  <w:vAlign w:val="center"/>
                </w:tcPr>
                <w:p w14:paraId="4F998D9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7</w:t>
                  </w:r>
                </w:p>
              </w:tc>
              <w:tc>
                <w:tcPr>
                  <w:tcW w:w="495" w:type="pct"/>
                  <w:tcBorders>
                    <w:tl2br w:val="nil"/>
                    <w:tr2bl w:val="nil"/>
                  </w:tcBorders>
                  <w:vAlign w:val="center"/>
                </w:tcPr>
                <w:p w14:paraId="4B622B7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K375+429.7</w:t>
                  </w:r>
                </w:p>
              </w:tc>
              <w:tc>
                <w:tcPr>
                  <w:tcW w:w="591" w:type="pct"/>
                  <w:tcBorders>
                    <w:tl2br w:val="nil"/>
                    <w:tr2bl w:val="nil"/>
                  </w:tcBorders>
                  <w:vAlign w:val="center"/>
                </w:tcPr>
                <w:p w14:paraId="1F86C1C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穆棱河大桥</w:t>
                  </w:r>
                </w:p>
              </w:tc>
              <w:tc>
                <w:tcPr>
                  <w:tcW w:w="489" w:type="pct"/>
                  <w:tcBorders>
                    <w:tl2br w:val="nil"/>
                    <w:tr2bl w:val="nil"/>
                  </w:tcBorders>
                  <w:vAlign w:val="center"/>
                </w:tcPr>
                <w:p w14:paraId="6F662592">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20-30m</w:t>
                  </w:r>
                </w:p>
              </w:tc>
              <w:tc>
                <w:tcPr>
                  <w:tcW w:w="834" w:type="pct"/>
                  <w:tcBorders>
                    <w:tl2br w:val="nil"/>
                    <w:tr2bl w:val="nil"/>
                  </w:tcBorders>
                  <w:vAlign w:val="center"/>
                </w:tcPr>
                <w:p w14:paraId="40197D6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预应力混凝土简支转连续箱梁</w:t>
                  </w:r>
                </w:p>
              </w:tc>
              <w:tc>
                <w:tcPr>
                  <w:tcW w:w="429" w:type="pct"/>
                  <w:tcBorders>
                    <w:tl2br w:val="nil"/>
                    <w:tr2bl w:val="nil"/>
                  </w:tcBorders>
                  <w:vAlign w:val="center"/>
                </w:tcPr>
                <w:p w14:paraId="482E628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654C0ED4">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0EB56E7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70C693D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01385CD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5E3CD20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1DE4E38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6BF1A5B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59B9386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④更换伸缩装置</w:t>
                  </w:r>
                </w:p>
                <w:p w14:paraId="0EF5443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⑤维修锥坡砌体</w:t>
                  </w:r>
                </w:p>
              </w:tc>
            </w:tr>
            <w:tr w14:paraId="0C4B78B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07ECD1B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8</w:t>
                  </w:r>
                </w:p>
              </w:tc>
              <w:tc>
                <w:tcPr>
                  <w:tcW w:w="495" w:type="pct"/>
                  <w:tcBorders>
                    <w:tl2br w:val="nil"/>
                    <w:tr2bl w:val="nil"/>
                  </w:tcBorders>
                  <w:vAlign w:val="center"/>
                </w:tcPr>
                <w:p w14:paraId="7AD2A73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K379+869.6</w:t>
                  </w:r>
                </w:p>
              </w:tc>
              <w:tc>
                <w:tcPr>
                  <w:tcW w:w="591" w:type="pct"/>
                  <w:tcBorders>
                    <w:tl2br w:val="nil"/>
                    <w:tr2bl w:val="nil"/>
                  </w:tcBorders>
                  <w:vAlign w:val="center"/>
                </w:tcPr>
                <w:p w14:paraId="4F64B01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向华桥</w:t>
                  </w:r>
                </w:p>
              </w:tc>
              <w:tc>
                <w:tcPr>
                  <w:tcW w:w="489" w:type="pct"/>
                  <w:tcBorders>
                    <w:tl2br w:val="nil"/>
                    <w:tr2bl w:val="nil"/>
                  </w:tcBorders>
                  <w:vAlign w:val="center"/>
                </w:tcPr>
                <w:p w14:paraId="64BF6FE2">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1-10m</w:t>
                  </w:r>
                </w:p>
              </w:tc>
              <w:tc>
                <w:tcPr>
                  <w:tcW w:w="834" w:type="pct"/>
                  <w:tcBorders>
                    <w:tl2br w:val="nil"/>
                    <w:tr2bl w:val="nil"/>
                  </w:tcBorders>
                  <w:vAlign w:val="center"/>
                </w:tcPr>
                <w:p w14:paraId="582C2C8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3EF9A00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7BAA56A6">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1EB0A05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3573D32D">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02CB7B2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0D472A3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24B5807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5B54406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tc>
            </w:tr>
            <w:tr w14:paraId="52E24DF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1D63E71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9</w:t>
                  </w:r>
                </w:p>
              </w:tc>
              <w:tc>
                <w:tcPr>
                  <w:tcW w:w="495" w:type="pct"/>
                  <w:tcBorders>
                    <w:tl2br w:val="nil"/>
                    <w:tr2bl w:val="nil"/>
                  </w:tcBorders>
                  <w:vAlign w:val="center"/>
                </w:tcPr>
                <w:p w14:paraId="76405CD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K380+745.5</w:t>
                  </w:r>
                </w:p>
              </w:tc>
              <w:tc>
                <w:tcPr>
                  <w:tcW w:w="591" w:type="pct"/>
                  <w:tcBorders>
                    <w:tl2br w:val="nil"/>
                    <w:tr2bl w:val="nil"/>
                  </w:tcBorders>
                  <w:vAlign w:val="center"/>
                </w:tcPr>
                <w:p w14:paraId="6FDCA99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向华</w:t>
                  </w:r>
                </w:p>
                <w:p w14:paraId="5A5E8C8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南桥</w:t>
                  </w:r>
                </w:p>
              </w:tc>
              <w:tc>
                <w:tcPr>
                  <w:tcW w:w="489" w:type="pct"/>
                  <w:tcBorders>
                    <w:tl2br w:val="nil"/>
                    <w:tr2bl w:val="nil"/>
                  </w:tcBorders>
                  <w:vAlign w:val="center"/>
                </w:tcPr>
                <w:p w14:paraId="5D959EEB">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1-10m</w:t>
                  </w:r>
                </w:p>
              </w:tc>
              <w:tc>
                <w:tcPr>
                  <w:tcW w:w="834" w:type="pct"/>
                  <w:tcBorders>
                    <w:tl2br w:val="nil"/>
                    <w:tr2bl w:val="nil"/>
                  </w:tcBorders>
                  <w:vAlign w:val="center"/>
                </w:tcPr>
                <w:p w14:paraId="102BBC1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0B2926F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0E9A565F">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27DFFAC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3CDB26C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3617457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7474A70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7EF5A70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71517F2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tc>
            </w:tr>
            <w:tr w14:paraId="3FECCF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4801202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10</w:t>
                  </w:r>
                </w:p>
              </w:tc>
              <w:tc>
                <w:tcPr>
                  <w:tcW w:w="495" w:type="pct"/>
                  <w:tcBorders>
                    <w:tl2br w:val="nil"/>
                    <w:tr2bl w:val="nil"/>
                  </w:tcBorders>
                  <w:vAlign w:val="center"/>
                </w:tcPr>
                <w:p w14:paraId="220A78C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K388+017.5</w:t>
                  </w:r>
                </w:p>
              </w:tc>
              <w:tc>
                <w:tcPr>
                  <w:tcW w:w="591" w:type="pct"/>
                  <w:tcBorders>
                    <w:tl2br w:val="nil"/>
                    <w:tr2bl w:val="nil"/>
                  </w:tcBorders>
                  <w:vAlign w:val="center"/>
                </w:tcPr>
                <w:p w14:paraId="52D00BA7">
                  <w:pPr>
                    <w:pStyle w:val="65"/>
                    <w:rPr>
                      <w:rFonts w:ascii="Times New Roman" w:hAnsi="Times New Roman" w:cs="Times New Roman"/>
                      <w:color w:val="auto"/>
                      <w:sz w:val="21"/>
                      <w:szCs w:val="21"/>
                    </w:rPr>
                  </w:pPr>
                  <w:r>
                    <w:rPr>
                      <w:rFonts w:ascii="Times New Roman" w:hAnsi="Times New Roman" w:cs="Times New Roman"/>
                      <w:color w:val="auto"/>
                      <w:sz w:val="21"/>
                      <w:szCs w:val="21"/>
                    </w:rPr>
                    <w:t>依龙</w:t>
                  </w:r>
                </w:p>
                <w:p w14:paraId="4002804C">
                  <w:pPr>
                    <w:pStyle w:val="65"/>
                    <w:rPr>
                      <w:rFonts w:ascii="Times New Roman" w:hAnsi="Times New Roman" w:eastAsia="宋体" w:cs="Times New Roman"/>
                      <w:color w:val="auto"/>
                      <w:sz w:val="21"/>
                      <w:szCs w:val="21"/>
                    </w:rPr>
                  </w:pPr>
                  <w:r>
                    <w:rPr>
                      <w:rFonts w:ascii="Times New Roman" w:hAnsi="Times New Roman" w:cs="Times New Roman"/>
                      <w:color w:val="auto"/>
                      <w:sz w:val="21"/>
                      <w:szCs w:val="21"/>
                    </w:rPr>
                    <w:t>七桥</w:t>
                  </w:r>
                </w:p>
              </w:tc>
              <w:tc>
                <w:tcPr>
                  <w:tcW w:w="489" w:type="pct"/>
                  <w:tcBorders>
                    <w:tl2br w:val="nil"/>
                    <w:tr2bl w:val="nil"/>
                  </w:tcBorders>
                  <w:vAlign w:val="center"/>
                </w:tcPr>
                <w:p w14:paraId="36A2D353">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3-10m</w:t>
                  </w:r>
                </w:p>
              </w:tc>
              <w:tc>
                <w:tcPr>
                  <w:tcW w:w="834" w:type="pct"/>
                  <w:tcBorders>
                    <w:tl2br w:val="nil"/>
                    <w:tr2bl w:val="nil"/>
                  </w:tcBorders>
                  <w:vAlign w:val="center"/>
                </w:tcPr>
                <w:p w14:paraId="63AE33F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2ABA744B">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29219986">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3867ABB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256DAD0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15B12D37">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054D3FC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46C09B3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0AAA0CC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2180911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④维修锥坡砌体</w:t>
                  </w:r>
                </w:p>
              </w:tc>
            </w:tr>
            <w:tr w14:paraId="4F1C6D2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43ECCB4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11</w:t>
                  </w:r>
                </w:p>
              </w:tc>
              <w:tc>
                <w:tcPr>
                  <w:tcW w:w="495" w:type="pct"/>
                  <w:tcBorders>
                    <w:tl2br w:val="nil"/>
                    <w:tr2bl w:val="nil"/>
                  </w:tcBorders>
                  <w:vAlign w:val="center"/>
                </w:tcPr>
                <w:p w14:paraId="6218FC6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K390+426.3</w:t>
                  </w:r>
                </w:p>
              </w:tc>
              <w:tc>
                <w:tcPr>
                  <w:tcW w:w="591" w:type="pct"/>
                  <w:tcBorders>
                    <w:tl2br w:val="nil"/>
                    <w:tr2bl w:val="nil"/>
                  </w:tcBorders>
                  <w:vAlign w:val="center"/>
                </w:tcPr>
                <w:p w14:paraId="7F8A7A33">
                  <w:pPr>
                    <w:pStyle w:val="65"/>
                    <w:rPr>
                      <w:rFonts w:ascii="Times New Roman" w:hAnsi="Times New Roman" w:cs="Times New Roman"/>
                      <w:color w:val="auto"/>
                      <w:sz w:val="21"/>
                      <w:szCs w:val="21"/>
                    </w:rPr>
                  </w:pPr>
                  <w:r>
                    <w:rPr>
                      <w:rFonts w:ascii="Times New Roman" w:hAnsi="Times New Roman" w:cs="Times New Roman"/>
                      <w:color w:val="auto"/>
                      <w:sz w:val="21"/>
                      <w:szCs w:val="21"/>
                    </w:rPr>
                    <w:t>依龙</w:t>
                  </w:r>
                </w:p>
                <w:p w14:paraId="09F8B3D1">
                  <w:pPr>
                    <w:pStyle w:val="65"/>
                    <w:rPr>
                      <w:rFonts w:ascii="Times New Roman" w:hAnsi="Times New Roman" w:eastAsia="宋体" w:cs="Times New Roman"/>
                      <w:color w:val="auto"/>
                      <w:sz w:val="21"/>
                      <w:szCs w:val="21"/>
                    </w:rPr>
                  </w:pPr>
                  <w:r>
                    <w:rPr>
                      <w:rFonts w:ascii="Times New Roman" w:hAnsi="Times New Roman" w:cs="Times New Roman"/>
                      <w:color w:val="auto"/>
                      <w:sz w:val="21"/>
                      <w:szCs w:val="21"/>
                    </w:rPr>
                    <w:t>八桥</w:t>
                  </w:r>
                </w:p>
              </w:tc>
              <w:tc>
                <w:tcPr>
                  <w:tcW w:w="489" w:type="pct"/>
                  <w:tcBorders>
                    <w:tl2br w:val="nil"/>
                    <w:tr2bl w:val="nil"/>
                  </w:tcBorders>
                  <w:vAlign w:val="center"/>
                </w:tcPr>
                <w:p w14:paraId="1FEFA6E2">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3-10m</w:t>
                  </w:r>
                </w:p>
              </w:tc>
              <w:tc>
                <w:tcPr>
                  <w:tcW w:w="834" w:type="pct"/>
                  <w:tcBorders>
                    <w:tl2br w:val="nil"/>
                    <w:tr2bl w:val="nil"/>
                  </w:tcBorders>
                  <w:vAlign w:val="center"/>
                </w:tcPr>
                <w:p w14:paraId="49510950">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57FDE76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7284E169">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7A874242">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499F538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7DEF8EA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3B453AAE">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6087A8B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0992F126">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77DF408F">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④维修锥坡砌体</w:t>
                  </w:r>
                </w:p>
              </w:tc>
            </w:tr>
            <w:tr w14:paraId="05E2675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72" w:type="pct"/>
                  <w:tcBorders>
                    <w:tl2br w:val="nil"/>
                    <w:tr2bl w:val="nil"/>
                  </w:tcBorders>
                  <w:vAlign w:val="center"/>
                </w:tcPr>
                <w:p w14:paraId="34673C75">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12</w:t>
                  </w:r>
                </w:p>
              </w:tc>
              <w:tc>
                <w:tcPr>
                  <w:tcW w:w="495" w:type="pct"/>
                  <w:tcBorders>
                    <w:tl2br w:val="nil"/>
                    <w:tr2bl w:val="nil"/>
                  </w:tcBorders>
                  <w:vAlign w:val="center"/>
                </w:tcPr>
                <w:p w14:paraId="2CCD7388">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K405+074.3</w:t>
                  </w:r>
                </w:p>
              </w:tc>
              <w:tc>
                <w:tcPr>
                  <w:tcW w:w="591" w:type="pct"/>
                  <w:tcBorders>
                    <w:tl2br w:val="nil"/>
                    <w:tr2bl w:val="nil"/>
                  </w:tcBorders>
                  <w:vAlign w:val="center"/>
                </w:tcPr>
                <w:p w14:paraId="557575CE">
                  <w:pPr>
                    <w:pStyle w:val="65"/>
                    <w:rPr>
                      <w:rFonts w:ascii="Times New Roman" w:hAnsi="Times New Roman" w:cs="Times New Roman"/>
                      <w:color w:val="auto"/>
                      <w:sz w:val="21"/>
                      <w:szCs w:val="21"/>
                    </w:rPr>
                  </w:pPr>
                  <w:r>
                    <w:rPr>
                      <w:rFonts w:ascii="Times New Roman" w:hAnsi="Times New Roman" w:cs="Times New Roman"/>
                      <w:color w:val="auto"/>
                      <w:sz w:val="21"/>
                      <w:szCs w:val="21"/>
                    </w:rPr>
                    <w:t>依龙</w:t>
                  </w:r>
                </w:p>
                <w:p w14:paraId="7FBF8616">
                  <w:pPr>
                    <w:pStyle w:val="65"/>
                    <w:rPr>
                      <w:rFonts w:ascii="Times New Roman" w:hAnsi="Times New Roman" w:eastAsia="宋体" w:cs="Times New Roman"/>
                      <w:color w:val="auto"/>
                      <w:sz w:val="21"/>
                      <w:szCs w:val="21"/>
                    </w:rPr>
                  </w:pPr>
                  <w:r>
                    <w:rPr>
                      <w:rFonts w:ascii="Times New Roman" w:hAnsi="Times New Roman" w:cs="Times New Roman"/>
                      <w:color w:val="auto"/>
                      <w:sz w:val="21"/>
                      <w:szCs w:val="21"/>
                    </w:rPr>
                    <w:t>九桥</w:t>
                  </w:r>
                </w:p>
              </w:tc>
              <w:tc>
                <w:tcPr>
                  <w:tcW w:w="489" w:type="pct"/>
                  <w:tcBorders>
                    <w:tl2br w:val="nil"/>
                    <w:tr2bl w:val="nil"/>
                  </w:tcBorders>
                  <w:vAlign w:val="center"/>
                </w:tcPr>
                <w:p w14:paraId="0CE70660">
                  <w:pPr>
                    <w:pStyle w:val="65"/>
                    <w:jc w:val="both"/>
                    <w:rPr>
                      <w:rFonts w:ascii="Times New Roman" w:hAnsi="Times New Roman" w:cs="Times New Roman"/>
                      <w:color w:val="auto"/>
                      <w:sz w:val="21"/>
                      <w:szCs w:val="21"/>
                    </w:rPr>
                  </w:pPr>
                  <w:r>
                    <w:rPr>
                      <w:rFonts w:ascii="Times New Roman" w:hAnsi="Times New Roman" w:cs="Times New Roman"/>
                      <w:color w:val="auto"/>
                      <w:sz w:val="21"/>
                      <w:szCs w:val="21"/>
                    </w:rPr>
                    <w:t>3-10m</w:t>
                  </w:r>
                </w:p>
              </w:tc>
              <w:tc>
                <w:tcPr>
                  <w:tcW w:w="834" w:type="pct"/>
                  <w:tcBorders>
                    <w:tl2br w:val="nil"/>
                    <w:tr2bl w:val="nil"/>
                  </w:tcBorders>
                  <w:vAlign w:val="center"/>
                </w:tcPr>
                <w:p w14:paraId="64DBE8B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预应力钢筋混凝土空心板</w:t>
                  </w:r>
                </w:p>
              </w:tc>
              <w:tc>
                <w:tcPr>
                  <w:tcW w:w="429" w:type="pct"/>
                  <w:tcBorders>
                    <w:tl2br w:val="nil"/>
                    <w:tr2bl w:val="nil"/>
                  </w:tcBorders>
                  <w:vAlign w:val="center"/>
                </w:tcPr>
                <w:p w14:paraId="0E83FA23">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公路-Ⅱ</w:t>
                  </w:r>
                </w:p>
              </w:tc>
              <w:tc>
                <w:tcPr>
                  <w:tcW w:w="283" w:type="pct"/>
                  <w:tcBorders>
                    <w:tl2br w:val="nil"/>
                    <w:tr2bl w:val="nil"/>
                  </w:tcBorders>
                  <w:vAlign w:val="center"/>
                </w:tcPr>
                <w:p w14:paraId="458C0AEE">
                  <w:pPr>
                    <w:pStyle w:val="65"/>
                    <w:ind w:firstLine="105" w:firstLineChars="50"/>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二类</w:t>
                  </w:r>
                </w:p>
              </w:tc>
              <w:tc>
                <w:tcPr>
                  <w:tcW w:w="259" w:type="pct"/>
                  <w:tcBorders>
                    <w:tl2br w:val="nil"/>
                    <w:tr2bl w:val="nil"/>
                  </w:tcBorders>
                  <w:vAlign w:val="center"/>
                </w:tcPr>
                <w:p w14:paraId="49EE5F5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防撞</w:t>
                  </w:r>
                </w:p>
                <w:p w14:paraId="7B8234C9">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护栏</w:t>
                  </w:r>
                </w:p>
              </w:tc>
              <w:tc>
                <w:tcPr>
                  <w:tcW w:w="421" w:type="pct"/>
                  <w:tcBorders>
                    <w:tl2br w:val="nil"/>
                    <w:tr2bl w:val="nil"/>
                  </w:tcBorders>
                  <w:vAlign w:val="center"/>
                </w:tcPr>
                <w:p w14:paraId="06FF87C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是</w:t>
                  </w:r>
                </w:p>
              </w:tc>
              <w:tc>
                <w:tcPr>
                  <w:tcW w:w="921" w:type="pct"/>
                  <w:tcBorders>
                    <w:tl2br w:val="nil"/>
                    <w:tr2bl w:val="nil"/>
                  </w:tcBorders>
                  <w:vAlign w:val="center"/>
                </w:tcPr>
                <w:p w14:paraId="34A8B061">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①维修搭板</w:t>
                  </w:r>
                </w:p>
                <w:p w14:paraId="47490ADC">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②维修桥面铺装</w:t>
                  </w:r>
                </w:p>
                <w:p w14:paraId="5021A064">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③拆除重建护栏</w:t>
                  </w:r>
                </w:p>
                <w:p w14:paraId="670CFA5A">
                  <w:pPr>
                    <w:pStyle w:val="65"/>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④维修锥坡砌体</w:t>
                  </w:r>
                </w:p>
              </w:tc>
            </w:tr>
          </w:tbl>
          <w:p w14:paraId="1AC79F89">
            <w:pPr>
              <w:pStyle w:val="76"/>
              <w:rPr>
                <w:rFonts w:hint="eastAsia"/>
                <w:color w:val="auto"/>
                <w:kern w:val="21"/>
              </w:rPr>
            </w:pPr>
            <w:r>
              <w:rPr>
                <w:rFonts w:hint="eastAsia"/>
                <w:color w:val="auto"/>
              </w:rPr>
              <w:t>（</w:t>
            </w:r>
            <w:r>
              <w:rPr>
                <w:color w:val="auto"/>
              </w:rPr>
              <w:t>2</w:t>
            </w:r>
            <w:r>
              <w:rPr>
                <w:rFonts w:hint="eastAsia"/>
                <w:color w:val="auto"/>
              </w:rPr>
              <w:t>）涵洞</w:t>
            </w:r>
          </w:p>
          <w:p w14:paraId="427A514B">
            <w:pPr>
              <w:pStyle w:val="16"/>
              <w:ind w:firstLine="560"/>
              <w:rPr>
                <w:rFonts w:hint="eastAsia" w:ascii="Times New Roman" w:hAnsi="Times New Roman" w:eastAsia="宋体" w:cs="Times New Roman"/>
                <w:color w:val="auto"/>
                <w:kern w:val="0"/>
                <w:sz w:val="24"/>
                <w:szCs w:val="24"/>
                <w:lang w:val="zh-CN" w:eastAsia="zh-CN" w:bidi="ar-SA"/>
              </w:rPr>
            </w:pPr>
            <w:r>
              <w:rPr>
                <w:rFonts w:hint="eastAsia" w:ascii="Times New Roman" w:hAnsi="Times New Roman" w:eastAsia="宋体" w:cs="Times New Roman"/>
                <w:color w:val="auto"/>
                <w:kern w:val="0"/>
                <w:sz w:val="24"/>
                <w:szCs w:val="24"/>
                <w:lang w:val="en-US" w:eastAsia="zh-CN" w:bidi="ar-SA"/>
              </w:rPr>
              <w:t>根据</w:t>
            </w:r>
            <w:r>
              <w:rPr>
                <w:rFonts w:hint="eastAsia" w:ascii="Times New Roman" w:hAnsi="Times New Roman" w:eastAsia="宋体" w:cs="Times New Roman"/>
                <w:color w:val="auto"/>
                <w:kern w:val="0"/>
                <w:sz w:val="24"/>
                <w:szCs w:val="24"/>
                <w:lang w:val="zh-CN" w:eastAsia="zh-CN" w:bidi="ar-SA"/>
              </w:rPr>
              <w:t>调查，</w:t>
            </w:r>
            <w:r>
              <w:rPr>
                <w:rFonts w:hint="eastAsia" w:ascii="Times New Roman" w:hAnsi="Times New Roman" w:eastAsia="宋体" w:cs="Times New Roman"/>
                <w:color w:val="auto"/>
                <w:kern w:val="0"/>
                <w:sz w:val="24"/>
                <w:szCs w:val="24"/>
                <w:lang w:val="en-US" w:eastAsia="zh-CN" w:bidi="ar-SA"/>
              </w:rPr>
              <w:t>本项目有</w:t>
            </w:r>
            <w:r>
              <w:rPr>
                <w:rFonts w:hint="eastAsia" w:ascii="Times New Roman" w:hAnsi="Times New Roman" w:eastAsia="宋体" w:cs="Times New Roman"/>
                <w:color w:val="auto"/>
                <w:kern w:val="0"/>
                <w:sz w:val="24"/>
                <w:szCs w:val="24"/>
                <w:lang w:val="zh-CN" w:eastAsia="zh-CN" w:bidi="ar-SA"/>
              </w:rPr>
              <w:t>过水涵洞48道，其中圆管涵32道、盖板涵15道、箱涵1道。</w:t>
            </w:r>
            <w:r>
              <w:rPr>
                <w:rFonts w:hint="eastAsia" w:ascii="Times New Roman" w:hAnsi="Times New Roman" w:eastAsia="宋体" w:cs="Times New Roman"/>
                <w:color w:val="auto"/>
                <w:kern w:val="0"/>
                <w:sz w:val="24"/>
                <w:szCs w:val="24"/>
                <w:lang w:val="en-US" w:eastAsia="zh-CN" w:bidi="ar-SA"/>
              </w:rPr>
              <w:t>本次</w:t>
            </w:r>
            <w:r>
              <w:rPr>
                <w:rFonts w:hint="eastAsia" w:ascii="Times New Roman" w:hAnsi="Times New Roman" w:eastAsia="宋体" w:cs="Times New Roman"/>
                <w:color w:val="auto"/>
                <w:kern w:val="0"/>
                <w:sz w:val="24"/>
                <w:szCs w:val="24"/>
                <w:lang w:val="zh-CN" w:eastAsia="zh-CN" w:bidi="ar-SA"/>
              </w:rPr>
              <w:t>维修利用圆管涵6道、维修利用盖板涵9道、维修利用箱涵1道，拆除重建圆管涵4道，列入</w:t>
            </w:r>
            <w:r>
              <w:rPr>
                <w:rFonts w:hint="eastAsia" w:ascii="Times New Roman" w:hAnsi="Times New Roman" w:eastAsia="宋体" w:cs="Times New Roman"/>
                <w:color w:val="auto"/>
                <w:kern w:val="0"/>
                <w:sz w:val="24"/>
                <w:szCs w:val="24"/>
                <w:lang w:val="en-US" w:eastAsia="zh-CN" w:bidi="ar-SA"/>
              </w:rPr>
              <w:t>本次路面改造工程设计</w:t>
            </w:r>
            <w:r>
              <w:rPr>
                <w:rFonts w:hint="eastAsia" w:ascii="Times New Roman" w:hAnsi="Times New Roman" w:eastAsia="宋体" w:cs="Times New Roman"/>
                <w:color w:val="auto"/>
                <w:kern w:val="0"/>
                <w:sz w:val="24"/>
                <w:szCs w:val="24"/>
                <w:lang w:val="zh-CN" w:eastAsia="zh-CN" w:bidi="ar-SA"/>
              </w:rPr>
              <w:t>；其余涵洞维持原状。</w:t>
            </w:r>
          </w:p>
          <w:p w14:paraId="5865CC4E">
            <w:pPr>
              <w:pStyle w:val="72"/>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表2-9  本项目</w:t>
            </w:r>
            <w:r>
              <w:rPr>
                <w:rFonts w:hint="default" w:ascii="Times New Roman" w:hAnsi="Times New Roman" w:eastAsia="宋体" w:cs="Times New Roman"/>
                <w:color w:val="auto"/>
              </w:rPr>
              <w:t>涵洞</w:t>
            </w:r>
            <w:r>
              <w:rPr>
                <w:rFonts w:hint="eastAsia" w:ascii="Times New Roman" w:hAnsi="Times New Roman" w:eastAsia="宋体" w:cs="Times New Roman"/>
                <w:color w:val="auto"/>
                <w:lang w:val="en-US" w:eastAsia="zh-CN"/>
              </w:rPr>
              <w:t>一览</w:t>
            </w:r>
            <w:r>
              <w:rPr>
                <w:rFonts w:hint="default" w:ascii="Times New Roman" w:hAnsi="Times New Roman" w:eastAsia="宋体" w:cs="Times New Roman"/>
                <w:color w:val="auto"/>
              </w:rPr>
              <w:t>表</w:t>
            </w:r>
          </w:p>
          <w:tbl>
            <w:tblPr>
              <w:tblStyle w:val="31"/>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3"/>
              <w:gridCol w:w="989"/>
              <w:gridCol w:w="769"/>
              <w:gridCol w:w="996"/>
              <w:gridCol w:w="665"/>
              <w:gridCol w:w="775"/>
              <w:gridCol w:w="886"/>
              <w:gridCol w:w="665"/>
              <w:gridCol w:w="886"/>
              <w:gridCol w:w="901"/>
            </w:tblGrid>
            <w:tr w14:paraId="6FC4B86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vMerge w:val="restart"/>
                  <w:tcBorders>
                    <w:tl2br w:val="nil"/>
                    <w:tr2bl w:val="nil"/>
                  </w:tcBorders>
                  <w:vAlign w:val="center"/>
                </w:tcPr>
                <w:p w14:paraId="069805B9">
                  <w:pPr>
                    <w:pStyle w:val="65"/>
                    <w:rPr>
                      <w:rFonts w:ascii="Times New Roman" w:hAnsi="Times New Roman" w:eastAsia="宋体" w:cs="Times New Roman"/>
                      <w:color w:val="auto"/>
                    </w:rPr>
                  </w:pPr>
                  <w:r>
                    <w:rPr>
                      <w:rFonts w:ascii="Times New Roman" w:hAnsi="Times New Roman" w:eastAsia="宋体" w:cs="Times New Roman"/>
                      <w:color w:val="auto"/>
                    </w:rPr>
                    <w:t>序</w:t>
                  </w:r>
                </w:p>
                <w:p w14:paraId="1AFEE2B3">
                  <w:pPr>
                    <w:pStyle w:val="65"/>
                    <w:rPr>
                      <w:rFonts w:ascii="Times New Roman" w:hAnsi="Times New Roman" w:eastAsia="宋体" w:cs="Times New Roman"/>
                      <w:color w:val="auto"/>
                    </w:rPr>
                  </w:pPr>
                  <w:r>
                    <w:rPr>
                      <w:rFonts w:ascii="Times New Roman" w:hAnsi="Times New Roman" w:eastAsia="宋体" w:cs="Times New Roman"/>
                      <w:color w:val="auto"/>
                    </w:rPr>
                    <w:t>号</w:t>
                  </w:r>
                </w:p>
              </w:tc>
              <w:tc>
                <w:tcPr>
                  <w:tcW w:w="629" w:type="pct"/>
                  <w:vMerge w:val="restart"/>
                  <w:tcBorders>
                    <w:tl2br w:val="nil"/>
                    <w:tr2bl w:val="nil"/>
                  </w:tcBorders>
                  <w:vAlign w:val="center"/>
                </w:tcPr>
                <w:p w14:paraId="3EEB47EB">
                  <w:pPr>
                    <w:pStyle w:val="65"/>
                    <w:rPr>
                      <w:rFonts w:ascii="Times New Roman" w:hAnsi="Times New Roman" w:eastAsia="宋体" w:cs="Times New Roman"/>
                      <w:color w:val="auto"/>
                    </w:rPr>
                  </w:pPr>
                  <w:r>
                    <w:rPr>
                      <w:rFonts w:ascii="Times New Roman" w:hAnsi="Times New Roman" w:eastAsia="宋体" w:cs="Times New Roman"/>
                      <w:color w:val="auto"/>
                    </w:rPr>
                    <w:t>桩号</w:t>
                  </w:r>
                </w:p>
              </w:tc>
              <w:tc>
                <w:tcPr>
                  <w:tcW w:w="489" w:type="pct"/>
                  <w:vMerge w:val="restart"/>
                  <w:tcBorders>
                    <w:tl2br w:val="nil"/>
                    <w:tr2bl w:val="nil"/>
                  </w:tcBorders>
                  <w:vAlign w:val="center"/>
                </w:tcPr>
                <w:p w14:paraId="24487EA4">
                  <w:pPr>
                    <w:pStyle w:val="65"/>
                    <w:rPr>
                      <w:rFonts w:ascii="Times New Roman" w:hAnsi="Times New Roman" w:eastAsia="宋体" w:cs="Times New Roman"/>
                      <w:color w:val="auto"/>
                    </w:rPr>
                  </w:pPr>
                  <w:r>
                    <w:rPr>
                      <w:rFonts w:ascii="Times New Roman" w:hAnsi="Times New Roman" w:eastAsia="宋体" w:cs="Times New Roman"/>
                      <w:color w:val="auto"/>
                    </w:rPr>
                    <w:t>结构类型</w:t>
                  </w:r>
                </w:p>
              </w:tc>
              <w:tc>
                <w:tcPr>
                  <w:tcW w:w="633" w:type="pct"/>
                  <w:vMerge w:val="restart"/>
                  <w:tcBorders>
                    <w:tl2br w:val="nil"/>
                    <w:tr2bl w:val="nil"/>
                  </w:tcBorders>
                  <w:vAlign w:val="center"/>
                </w:tcPr>
                <w:p w14:paraId="1AC0F25A">
                  <w:pPr>
                    <w:pStyle w:val="65"/>
                    <w:rPr>
                      <w:rFonts w:ascii="Times New Roman" w:hAnsi="Times New Roman" w:eastAsia="宋体" w:cs="Times New Roman"/>
                      <w:color w:val="auto"/>
                    </w:rPr>
                  </w:pPr>
                  <w:r>
                    <w:rPr>
                      <w:rFonts w:ascii="Times New Roman" w:hAnsi="Times New Roman" w:eastAsia="宋体" w:cs="Times New Roman"/>
                      <w:color w:val="auto"/>
                    </w:rPr>
                    <w:t>孔径</w:t>
                  </w:r>
                </w:p>
                <w:p w14:paraId="32D86800">
                  <w:pPr>
                    <w:pStyle w:val="65"/>
                    <w:rPr>
                      <w:rFonts w:ascii="Times New Roman" w:hAnsi="Times New Roman" w:eastAsia="宋体" w:cs="Times New Roman"/>
                      <w:color w:val="auto"/>
                    </w:rPr>
                  </w:pPr>
                  <w:r>
                    <w:rPr>
                      <w:rFonts w:ascii="Times New Roman" w:hAnsi="Times New Roman" w:eastAsia="宋体" w:cs="Times New Roman"/>
                      <w:color w:val="auto"/>
                    </w:rPr>
                    <w:t>及</w:t>
                  </w:r>
                </w:p>
                <w:p w14:paraId="3FA8EE00">
                  <w:pPr>
                    <w:pStyle w:val="65"/>
                    <w:rPr>
                      <w:rFonts w:ascii="Times New Roman" w:hAnsi="Times New Roman" w:eastAsia="宋体" w:cs="Times New Roman"/>
                      <w:color w:val="auto"/>
                    </w:rPr>
                  </w:pPr>
                  <w:r>
                    <w:rPr>
                      <w:rFonts w:ascii="Times New Roman" w:hAnsi="Times New Roman" w:eastAsia="宋体" w:cs="Times New Roman"/>
                      <w:color w:val="auto"/>
                    </w:rPr>
                    <w:t>孔数</w:t>
                  </w:r>
                </w:p>
              </w:tc>
              <w:tc>
                <w:tcPr>
                  <w:tcW w:w="423" w:type="pct"/>
                  <w:vMerge w:val="restart"/>
                  <w:tcBorders>
                    <w:tl2br w:val="nil"/>
                    <w:tr2bl w:val="nil"/>
                  </w:tcBorders>
                  <w:vAlign w:val="center"/>
                </w:tcPr>
                <w:p w14:paraId="018CBCBB">
                  <w:pPr>
                    <w:pStyle w:val="65"/>
                    <w:rPr>
                      <w:rFonts w:ascii="Times New Roman" w:hAnsi="Times New Roman" w:eastAsia="宋体" w:cs="Times New Roman"/>
                      <w:color w:val="auto"/>
                    </w:rPr>
                  </w:pPr>
                  <w:r>
                    <w:rPr>
                      <w:rFonts w:ascii="Times New Roman" w:hAnsi="Times New Roman" w:eastAsia="宋体" w:cs="Times New Roman"/>
                      <w:color w:val="auto"/>
                    </w:rPr>
                    <w:t>涵洞调查评定等级</w:t>
                  </w:r>
                </w:p>
              </w:tc>
              <w:tc>
                <w:tcPr>
                  <w:tcW w:w="493" w:type="pct"/>
                  <w:tcBorders>
                    <w:tl2br w:val="nil"/>
                    <w:tr2bl w:val="nil"/>
                  </w:tcBorders>
                </w:tcPr>
                <w:p w14:paraId="28310E91">
                  <w:pPr>
                    <w:pStyle w:val="65"/>
                    <w:rPr>
                      <w:rFonts w:ascii="Times New Roman" w:hAnsi="Times New Roman" w:eastAsia="宋体" w:cs="Times New Roman"/>
                      <w:color w:val="auto"/>
                    </w:rPr>
                  </w:pPr>
                  <w:r>
                    <w:rPr>
                      <w:rFonts w:ascii="Times New Roman" w:hAnsi="Times New Roman" w:eastAsia="宋体" w:cs="Times New Roman"/>
                      <w:color w:val="auto"/>
                    </w:rPr>
                    <w:t>洞口</w:t>
                  </w:r>
                </w:p>
                <w:p w14:paraId="75E78870">
                  <w:pPr>
                    <w:pStyle w:val="65"/>
                    <w:rPr>
                      <w:rFonts w:ascii="Times New Roman" w:hAnsi="Times New Roman" w:eastAsia="宋体" w:cs="Times New Roman"/>
                      <w:color w:val="auto"/>
                    </w:rPr>
                  </w:pPr>
                  <w:r>
                    <w:rPr>
                      <w:rFonts w:ascii="Times New Roman" w:hAnsi="Times New Roman" w:eastAsia="宋体" w:cs="Times New Roman"/>
                      <w:color w:val="auto"/>
                    </w:rPr>
                    <w:t>形式</w:t>
                  </w:r>
                </w:p>
              </w:tc>
              <w:tc>
                <w:tcPr>
                  <w:tcW w:w="563" w:type="pct"/>
                  <w:tcBorders>
                    <w:tl2br w:val="nil"/>
                    <w:tr2bl w:val="nil"/>
                  </w:tcBorders>
                </w:tcPr>
                <w:p w14:paraId="1F9B4EAB">
                  <w:pPr>
                    <w:pStyle w:val="65"/>
                    <w:rPr>
                      <w:rFonts w:ascii="Times New Roman" w:hAnsi="Times New Roman" w:eastAsia="宋体" w:cs="Times New Roman"/>
                      <w:color w:val="auto"/>
                    </w:rPr>
                  </w:pPr>
                  <w:r>
                    <w:rPr>
                      <w:rFonts w:ascii="Times New Roman" w:hAnsi="Times New Roman" w:eastAsia="宋体" w:cs="Times New Roman"/>
                      <w:color w:val="auto"/>
                    </w:rPr>
                    <w:t>洞口</w:t>
                  </w:r>
                </w:p>
                <w:p w14:paraId="6FAEC1D5">
                  <w:pPr>
                    <w:pStyle w:val="65"/>
                    <w:rPr>
                      <w:rFonts w:ascii="Times New Roman" w:hAnsi="Times New Roman" w:eastAsia="宋体" w:cs="Times New Roman"/>
                      <w:color w:val="auto"/>
                    </w:rPr>
                  </w:pPr>
                  <w:r>
                    <w:rPr>
                      <w:rFonts w:ascii="Times New Roman" w:hAnsi="Times New Roman" w:eastAsia="宋体" w:cs="Times New Roman"/>
                      <w:color w:val="auto"/>
                    </w:rPr>
                    <w:t>形式</w:t>
                  </w:r>
                </w:p>
              </w:tc>
              <w:tc>
                <w:tcPr>
                  <w:tcW w:w="423" w:type="pct"/>
                  <w:vMerge w:val="restart"/>
                  <w:tcBorders>
                    <w:tl2br w:val="nil"/>
                    <w:tr2bl w:val="nil"/>
                  </w:tcBorders>
                  <w:vAlign w:val="center"/>
                </w:tcPr>
                <w:p w14:paraId="13609B8D">
                  <w:pPr>
                    <w:pStyle w:val="65"/>
                    <w:rPr>
                      <w:rFonts w:ascii="Times New Roman" w:hAnsi="Times New Roman" w:eastAsia="宋体" w:cs="Times New Roman"/>
                      <w:color w:val="auto"/>
                    </w:rPr>
                  </w:pPr>
                  <w:r>
                    <w:rPr>
                      <w:rFonts w:ascii="Times New Roman" w:hAnsi="Times New Roman" w:eastAsia="宋体" w:cs="Times New Roman"/>
                      <w:color w:val="auto"/>
                    </w:rPr>
                    <w:t>建成</w:t>
                  </w:r>
                </w:p>
                <w:p w14:paraId="7D6D8844">
                  <w:pPr>
                    <w:pStyle w:val="65"/>
                    <w:rPr>
                      <w:rFonts w:ascii="Times New Roman" w:hAnsi="Times New Roman" w:eastAsia="宋体" w:cs="Times New Roman"/>
                      <w:color w:val="auto"/>
                    </w:rPr>
                  </w:pPr>
                  <w:r>
                    <w:rPr>
                      <w:rFonts w:ascii="Times New Roman" w:hAnsi="Times New Roman" w:eastAsia="宋体" w:cs="Times New Roman"/>
                      <w:color w:val="auto"/>
                    </w:rPr>
                    <w:t>年代</w:t>
                  </w:r>
                </w:p>
              </w:tc>
              <w:tc>
                <w:tcPr>
                  <w:tcW w:w="563" w:type="pct"/>
                  <w:vMerge w:val="restart"/>
                  <w:tcBorders>
                    <w:tl2br w:val="nil"/>
                    <w:tr2bl w:val="nil"/>
                  </w:tcBorders>
                  <w:vAlign w:val="center"/>
                </w:tcPr>
                <w:p w14:paraId="734B0471">
                  <w:pPr>
                    <w:pStyle w:val="65"/>
                    <w:rPr>
                      <w:rFonts w:ascii="Times New Roman" w:hAnsi="Times New Roman" w:eastAsia="宋体" w:cs="Times New Roman"/>
                      <w:color w:val="auto"/>
                    </w:rPr>
                  </w:pPr>
                  <w:r>
                    <w:rPr>
                      <w:rFonts w:ascii="Times New Roman" w:hAnsi="Times New Roman" w:eastAsia="宋体" w:cs="Times New Roman"/>
                      <w:color w:val="auto"/>
                    </w:rPr>
                    <w:t>是否纳入本次设计内容</w:t>
                  </w:r>
                </w:p>
              </w:tc>
              <w:tc>
                <w:tcPr>
                  <w:tcW w:w="572" w:type="pct"/>
                  <w:vMerge w:val="restart"/>
                  <w:tcBorders>
                    <w:tl2br w:val="nil"/>
                    <w:tr2bl w:val="nil"/>
                  </w:tcBorders>
                  <w:vAlign w:val="center"/>
                </w:tcPr>
                <w:p w14:paraId="56AAA9D1">
                  <w:pPr>
                    <w:pStyle w:val="65"/>
                    <w:rPr>
                      <w:rFonts w:ascii="Times New Roman" w:hAnsi="Times New Roman" w:eastAsia="宋体" w:cs="Times New Roman"/>
                      <w:color w:val="auto"/>
                    </w:rPr>
                  </w:pPr>
                  <w:r>
                    <w:rPr>
                      <w:rFonts w:ascii="Times New Roman" w:hAnsi="Times New Roman" w:eastAsia="宋体" w:cs="Times New Roman"/>
                      <w:color w:val="auto"/>
                    </w:rPr>
                    <w:t>备注</w:t>
                  </w:r>
                </w:p>
              </w:tc>
            </w:tr>
            <w:tr w14:paraId="02A6610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vMerge w:val="continue"/>
                  <w:tcBorders>
                    <w:tl2br w:val="nil"/>
                    <w:tr2bl w:val="nil"/>
                  </w:tcBorders>
                  <w:vAlign w:val="center"/>
                </w:tcPr>
                <w:p w14:paraId="62012EE7">
                  <w:pPr>
                    <w:pStyle w:val="65"/>
                    <w:rPr>
                      <w:rFonts w:ascii="Times New Roman" w:hAnsi="Times New Roman" w:eastAsia="宋体" w:cs="Times New Roman"/>
                      <w:color w:val="auto"/>
                    </w:rPr>
                  </w:pPr>
                </w:p>
              </w:tc>
              <w:tc>
                <w:tcPr>
                  <w:tcW w:w="629" w:type="pct"/>
                  <w:vMerge w:val="continue"/>
                  <w:tcBorders>
                    <w:tl2br w:val="nil"/>
                    <w:tr2bl w:val="nil"/>
                  </w:tcBorders>
                  <w:vAlign w:val="center"/>
                </w:tcPr>
                <w:p w14:paraId="361CA292">
                  <w:pPr>
                    <w:pStyle w:val="65"/>
                    <w:rPr>
                      <w:rFonts w:ascii="Times New Roman" w:hAnsi="Times New Roman" w:eastAsia="宋体" w:cs="Times New Roman"/>
                      <w:color w:val="auto"/>
                    </w:rPr>
                  </w:pPr>
                </w:p>
              </w:tc>
              <w:tc>
                <w:tcPr>
                  <w:tcW w:w="489" w:type="pct"/>
                  <w:vMerge w:val="continue"/>
                  <w:tcBorders>
                    <w:tl2br w:val="nil"/>
                    <w:tr2bl w:val="nil"/>
                  </w:tcBorders>
                  <w:vAlign w:val="center"/>
                </w:tcPr>
                <w:p w14:paraId="74F43ED6">
                  <w:pPr>
                    <w:pStyle w:val="65"/>
                    <w:rPr>
                      <w:rFonts w:ascii="Times New Roman" w:hAnsi="Times New Roman" w:eastAsia="宋体" w:cs="Times New Roman"/>
                      <w:color w:val="auto"/>
                    </w:rPr>
                  </w:pPr>
                </w:p>
              </w:tc>
              <w:tc>
                <w:tcPr>
                  <w:tcW w:w="633" w:type="pct"/>
                  <w:vMerge w:val="continue"/>
                  <w:tcBorders>
                    <w:tl2br w:val="nil"/>
                    <w:tr2bl w:val="nil"/>
                  </w:tcBorders>
                  <w:vAlign w:val="center"/>
                </w:tcPr>
                <w:p w14:paraId="51ADD242">
                  <w:pPr>
                    <w:pStyle w:val="65"/>
                    <w:rPr>
                      <w:rFonts w:ascii="Times New Roman" w:hAnsi="Times New Roman" w:eastAsia="宋体" w:cs="Times New Roman"/>
                      <w:color w:val="auto"/>
                    </w:rPr>
                  </w:pPr>
                </w:p>
              </w:tc>
              <w:tc>
                <w:tcPr>
                  <w:tcW w:w="423" w:type="pct"/>
                  <w:vMerge w:val="continue"/>
                  <w:tcBorders>
                    <w:tl2br w:val="nil"/>
                    <w:tr2bl w:val="nil"/>
                  </w:tcBorders>
                  <w:vAlign w:val="center"/>
                </w:tcPr>
                <w:p w14:paraId="2B1A34BF">
                  <w:pPr>
                    <w:pStyle w:val="65"/>
                    <w:rPr>
                      <w:rFonts w:ascii="Times New Roman" w:hAnsi="Times New Roman" w:eastAsia="宋体" w:cs="Times New Roman"/>
                      <w:color w:val="auto"/>
                    </w:rPr>
                  </w:pPr>
                </w:p>
              </w:tc>
              <w:tc>
                <w:tcPr>
                  <w:tcW w:w="493" w:type="pct"/>
                  <w:tcBorders>
                    <w:tl2br w:val="nil"/>
                    <w:tr2bl w:val="nil"/>
                  </w:tcBorders>
                </w:tcPr>
                <w:p w14:paraId="377F4893">
                  <w:pPr>
                    <w:jc w:val="center"/>
                    <w:rPr>
                      <w:rFonts w:ascii="Times New Roman" w:hAnsi="Times New Roman" w:eastAsia="宋体" w:cs="Times New Roman"/>
                      <w:color w:val="auto"/>
                    </w:rPr>
                  </w:pPr>
                  <w:r>
                    <w:rPr>
                      <w:rFonts w:ascii="Times New Roman" w:hAnsi="Times New Roman" w:eastAsia="宋体" w:cs="Times New Roman"/>
                      <w:color w:val="auto"/>
                    </w:rPr>
                    <w:t>进口</w:t>
                  </w:r>
                </w:p>
              </w:tc>
              <w:tc>
                <w:tcPr>
                  <w:tcW w:w="563" w:type="pct"/>
                  <w:tcBorders>
                    <w:tl2br w:val="nil"/>
                    <w:tr2bl w:val="nil"/>
                  </w:tcBorders>
                </w:tcPr>
                <w:p w14:paraId="70A2AEAD">
                  <w:pPr>
                    <w:pStyle w:val="65"/>
                    <w:rPr>
                      <w:rFonts w:ascii="Times New Roman" w:hAnsi="Times New Roman" w:eastAsia="宋体" w:cs="Times New Roman"/>
                      <w:color w:val="auto"/>
                    </w:rPr>
                  </w:pPr>
                  <w:r>
                    <w:rPr>
                      <w:rFonts w:ascii="Times New Roman" w:hAnsi="Times New Roman" w:eastAsia="宋体" w:cs="Times New Roman"/>
                      <w:color w:val="auto"/>
                    </w:rPr>
                    <w:t>出口</w:t>
                  </w:r>
                </w:p>
              </w:tc>
              <w:tc>
                <w:tcPr>
                  <w:tcW w:w="423" w:type="pct"/>
                  <w:vMerge w:val="continue"/>
                  <w:tcBorders>
                    <w:tl2br w:val="nil"/>
                    <w:tr2bl w:val="nil"/>
                  </w:tcBorders>
                  <w:vAlign w:val="center"/>
                </w:tcPr>
                <w:p w14:paraId="44A60953">
                  <w:pPr>
                    <w:pStyle w:val="65"/>
                    <w:rPr>
                      <w:rFonts w:ascii="Times New Roman" w:hAnsi="Times New Roman" w:eastAsia="宋体" w:cs="Times New Roman"/>
                      <w:color w:val="auto"/>
                    </w:rPr>
                  </w:pPr>
                </w:p>
              </w:tc>
              <w:tc>
                <w:tcPr>
                  <w:tcW w:w="563" w:type="pct"/>
                  <w:vMerge w:val="continue"/>
                  <w:tcBorders>
                    <w:tl2br w:val="nil"/>
                    <w:tr2bl w:val="nil"/>
                  </w:tcBorders>
                  <w:vAlign w:val="center"/>
                </w:tcPr>
                <w:p w14:paraId="5281C27E">
                  <w:pPr>
                    <w:pStyle w:val="65"/>
                    <w:rPr>
                      <w:rFonts w:ascii="Times New Roman" w:hAnsi="Times New Roman" w:eastAsia="宋体" w:cs="Times New Roman"/>
                      <w:color w:val="auto"/>
                    </w:rPr>
                  </w:pPr>
                </w:p>
              </w:tc>
              <w:tc>
                <w:tcPr>
                  <w:tcW w:w="572" w:type="pct"/>
                  <w:vMerge w:val="continue"/>
                  <w:tcBorders>
                    <w:tl2br w:val="nil"/>
                    <w:tr2bl w:val="nil"/>
                  </w:tcBorders>
                  <w:vAlign w:val="center"/>
                </w:tcPr>
                <w:p w14:paraId="373219A8">
                  <w:pPr>
                    <w:pStyle w:val="65"/>
                    <w:rPr>
                      <w:rFonts w:ascii="Times New Roman" w:hAnsi="Times New Roman" w:eastAsia="宋体" w:cs="Times New Roman"/>
                      <w:color w:val="auto"/>
                    </w:rPr>
                  </w:pPr>
                </w:p>
              </w:tc>
            </w:tr>
            <w:tr w14:paraId="6855205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7ED79951">
                  <w:pPr>
                    <w:pStyle w:val="65"/>
                    <w:rPr>
                      <w:rFonts w:ascii="Times New Roman" w:hAnsi="Times New Roman" w:eastAsia="宋体" w:cs="Times New Roman"/>
                      <w:color w:val="auto"/>
                    </w:rPr>
                  </w:pPr>
                  <w:r>
                    <w:rPr>
                      <w:rFonts w:ascii="Times New Roman" w:hAnsi="Times New Roman" w:eastAsia="宋体" w:cs="Times New Roman"/>
                      <w:color w:val="auto"/>
                    </w:rPr>
                    <w:t>1</w:t>
                  </w:r>
                </w:p>
              </w:tc>
              <w:tc>
                <w:tcPr>
                  <w:tcW w:w="629" w:type="pct"/>
                  <w:tcBorders>
                    <w:tl2br w:val="nil"/>
                    <w:tr2bl w:val="nil"/>
                  </w:tcBorders>
                  <w:vAlign w:val="center"/>
                </w:tcPr>
                <w:p w14:paraId="46024CA3">
                  <w:pPr>
                    <w:pStyle w:val="65"/>
                    <w:rPr>
                      <w:rFonts w:ascii="Times New Roman" w:hAnsi="Times New Roman" w:eastAsia="宋体" w:cs="Times New Roman"/>
                      <w:color w:val="auto"/>
                    </w:rPr>
                  </w:pPr>
                  <w:r>
                    <w:rPr>
                      <w:rFonts w:ascii="Times New Roman" w:hAnsi="Times New Roman" w:eastAsia="宋体" w:cs="Times New Roman"/>
                      <w:color w:val="auto"/>
                    </w:rPr>
                    <w:t>K370+692.3</w:t>
                  </w:r>
                </w:p>
              </w:tc>
              <w:tc>
                <w:tcPr>
                  <w:tcW w:w="489" w:type="pct"/>
                  <w:tcBorders>
                    <w:tl2br w:val="nil"/>
                    <w:tr2bl w:val="nil"/>
                  </w:tcBorders>
                  <w:vAlign w:val="center"/>
                </w:tcPr>
                <w:p w14:paraId="002868DC">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5E25D4F7">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75159D07">
                  <w:pPr>
                    <w:pStyle w:val="65"/>
                    <w:rPr>
                      <w:rFonts w:ascii="Times New Roman" w:hAnsi="Times New Roman" w:eastAsia="宋体" w:cs="Times New Roman"/>
                      <w:color w:val="auto"/>
                    </w:rPr>
                  </w:pPr>
                  <w:r>
                    <w:rPr>
                      <w:rFonts w:ascii="Times New Roman" w:hAnsi="Times New Roman" w:eastAsia="宋体" w:cs="Times New Roman"/>
                      <w:color w:val="auto"/>
                    </w:rPr>
                    <w:t>差</w:t>
                  </w:r>
                </w:p>
              </w:tc>
              <w:tc>
                <w:tcPr>
                  <w:tcW w:w="493" w:type="pct"/>
                  <w:tcBorders>
                    <w:tl2br w:val="nil"/>
                    <w:tr2bl w:val="nil"/>
                  </w:tcBorders>
                  <w:vAlign w:val="center"/>
                </w:tcPr>
                <w:p w14:paraId="7411CD59">
                  <w:pPr>
                    <w:pStyle w:val="65"/>
                    <w:rPr>
                      <w:rFonts w:ascii="Times New Roman" w:hAnsi="Times New Roman" w:eastAsia="宋体" w:cs="Times New Roman"/>
                      <w:color w:val="auto"/>
                    </w:rPr>
                  </w:pPr>
                  <w:r>
                    <w:rPr>
                      <w:rFonts w:ascii="Times New Roman" w:hAnsi="Times New Roman" w:eastAsia="宋体" w:cs="Times New Roman"/>
                      <w:color w:val="auto"/>
                    </w:rPr>
                    <w:t>无</w:t>
                  </w:r>
                </w:p>
              </w:tc>
              <w:tc>
                <w:tcPr>
                  <w:tcW w:w="563" w:type="pct"/>
                  <w:tcBorders>
                    <w:tl2br w:val="nil"/>
                    <w:tr2bl w:val="nil"/>
                  </w:tcBorders>
                  <w:vAlign w:val="center"/>
                </w:tcPr>
                <w:p w14:paraId="52363372">
                  <w:pPr>
                    <w:pStyle w:val="65"/>
                    <w:ind w:firstLine="420" w:firstLineChars="200"/>
                    <w:jc w:val="both"/>
                    <w:rPr>
                      <w:rFonts w:ascii="Times New Roman" w:hAnsi="Times New Roman" w:eastAsia="宋体" w:cs="Times New Roman"/>
                      <w:color w:val="auto"/>
                    </w:rPr>
                  </w:pPr>
                  <w:r>
                    <w:rPr>
                      <w:rFonts w:ascii="Times New Roman" w:hAnsi="Times New Roman" w:eastAsia="宋体" w:cs="Times New Roman"/>
                      <w:color w:val="auto"/>
                    </w:rPr>
                    <w:t>无</w:t>
                  </w:r>
                </w:p>
              </w:tc>
              <w:tc>
                <w:tcPr>
                  <w:tcW w:w="423" w:type="pct"/>
                  <w:tcBorders>
                    <w:tl2br w:val="nil"/>
                    <w:tr2bl w:val="nil"/>
                  </w:tcBorders>
                  <w:vAlign w:val="center"/>
                </w:tcPr>
                <w:p w14:paraId="7033D5F0">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34B5BC1D">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5B53494">
                  <w:pPr>
                    <w:pStyle w:val="65"/>
                    <w:rPr>
                      <w:rFonts w:ascii="Times New Roman" w:hAnsi="Times New Roman" w:eastAsia="宋体" w:cs="Times New Roman"/>
                      <w:color w:val="auto"/>
                    </w:rPr>
                  </w:pPr>
                  <w:r>
                    <w:rPr>
                      <w:rFonts w:ascii="Times New Roman" w:hAnsi="Times New Roman" w:eastAsia="宋体" w:cs="Times New Roman"/>
                      <w:color w:val="auto"/>
                    </w:rPr>
                    <w:t>拆除新建</w:t>
                  </w:r>
                </w:p>
              </w:tc>
            </w:tr>
            <w:tr w14:paraId="4068CC8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38B8D363">
                  <w:pPr>
                    <w:pStyle w:val="65"/>
                    <w:rPr>
                      <w:rFonts w:ascii="Times New Roman" w:hAnsi="Times New Roman" w:eastAsia="宋体" w:cs="Times New Roman"/>
                      <w:color w:val="auto"/>
                    </w:rPr>
                  </w:pPr>
                  <w:r>
                    <w:rPr>
                      <w:rFonts w:ascii="Times New Roman" w:hAnsi="Times New Roman" w:eastAsia="宋体" w:cs="Times New Roman"/>
                      <w:color w:val="auto"/>
                    </w:rPr>
                    <w:t>2</w:t>
                  </w:r>
                </w:p>
              </w:tc>
              <w:tc>
                <w:tcPr>
                  <w:tcW w:w="629" w:type="pct"/>
                  <w:tcBorders>
                    <w:tl2br w:val="nil"/>
                    <w:tr2bl w:val="nil"/>
                  </w:tcBorders>
                  <w:vAlign w:val="center"/>
                </w:tcPr>
                <w:p w14:paraId="587659C0">
                  <w:pPr>
                    <w:pStyle w:val="65"/>
                    <w:rPr>
                      <w:rFonts w:ascii="Times New Roman" w:hAnsi="Times New Roman" w:eastAsia="宋体" w:cs="Times New Roman"/>
                      <w:color w:val="auto"/>
                    </w:rPr>
                  </w:pPr>
                  <w:r>
                    <w:rPr>
                      <w:rFonts w:ascii="Times New Roman" w:hAnsi="Times New Roman" w:eastAsia="宋体" w:cs="Times New Roman"/>
                      <w:color w:val="auto"/>
                    </w:rPr>
                    <w:t>K371+759</w:t>
                  </w:r>
                </w:p>
              </w:tc>
              <w:tc>
                <w:tcPr>
                  <w:tcW w:w="489" w:type="pct"/>
                  <w:tcBorders>
                    <w:tl2br w:val="nil"/>
                    <w:tr2bl w:val="nil"/>
                  </w:tcBorders>
                  <w:vAlign w:val="center"/>
                </w:tcPr>
                <w:p w14:paraId="50C0DB4C">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7EE88D4F">
                  <w:pPr>
                    <w:pStyle w:val="65"/>
                    <w:rPr>
                      <w:rFonts w:ascii="Times New Roman" w:hAnsi="Times New Roman" w:eastAsia="宋体" w:cs="Times New Roman"/>
                      <w:color w:val="auto"/>
                    </w:rPr>
                  </w:pPr>
                  <w:r>
                    <w:rPr>
                      <w:rFonts w:ascii="Times New Roman" w:hAnsi="Times New Roman" w:eastAsia="宋体" w:cs="Times New Roman"/>
                      <w:color w:val="auto"/>
                    </w:rPr>
                    <w:t>1-4x2</w:t>
                  </w:r>
                </w:p>
              </w:tc>
              <w:tc>
                <w:tcPr>
                  <w:tcW w:w="423" w:type="pct"/>
                  <w:tcBorders>
                    <w:tl2br w:val="nil"/>
                    <w:tr2bl w:val="nil"/>
                  </w:tcBorders>
                  <w:vAlign w:val="center"/>
                </w:tcPr>
                <w:p w14:paraId="4DE1E81A">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47B67955">
                  <w:pPr>
                    <w:pStyle w:val="65"/>
                    <w:rPr>
                      <w:rFonts w:ascii="Times New Roman" w:hAnsi="Times New Roman" w:eastAsia="宋体" w:cs="Times New Roman"/>
                      <w:color w:val="auto"/>
                    </w:rPr>
                  </w:pPr>
                  <w:r>
                    <w:rPr>
                      <w:rFonts w:ascii="Times New Roman" w:hAnsi="Times New Roman" w:eastAsia="宋体" w:cs="Times New Roman"/>
                      <w:color w:val="auto"/>
                    </w:rPr>
                    <w:t>一字墙</w:t>
                  </w:r>
                </w:p>
              </w:tc>
              <w:tc>
                <w:tcPr>
                  <w:tcW w:w="563" w:type="pct"/>
                  <w:tcBorders>
                    <w:tl2br w:val="nil"/>
                    <w:tr2bl w:val="nil"/>
                  </w:tcBorders>
                  <w:vAlign w:val="center"/>
                </w:tcPr>
                <w:p w14:paraId="672D7416">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一字墙</w:t>
                  </w:r>
                </w:p>
              </w:tc>
              <w:tc>
                <w:tcPr>
                  <w:tcW w:w="423" w:type="pct"/>
                  <w:tcBorders>
                    <w:tl2br w:val="nil"/>
                    <w:tr2bl w:val="nil"/>
                  </w:tcBorders>
                  <w:vAlign w:val="center"/>
                </w:tcPr>
                <w:p w14:paraId="5BBAFCC7">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5E6AF5B5">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5DB72F51">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45B7CFE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32F3AC88">
                  <w:pPr>
                    <w:pStyle w:val="65"/>
                    <w:rPr>
                      <w:rFonts w:ascii="Times New Roman" w:hAnsi="Times New Roman" w:eastAsia="宋体" w:cs="Times New Roman"/>
                      <w:color w:val="auto"/>
                    </w:rPr>
                  </w:pPr>
                  <w:r>
                    <w:rPr>
                      <w:rFonts w:ascii="Times New Roman" w:hAnsi="Times New Roman" w:eastAsia="宋体" w:cs="Times New Roman"/>
                      <w:color w:val="auto"/>
                    </w:rPr>
                    <w:t>3</w:t>
                  </w:r>
                </w:p>
              </w:tc>
              <w:tc>
                <w:tcPr>
                  <w:tcW w:w="629" w:type="pct"/>
                  <w:tcBorders>
                    <w:tl2br w:val="nil"/>
                    <w:tr2bl w:val="nil"/>
                  </w:tcBorders>
                  <w:vAlign w:val="center"/>
                </w:tcPr>
                <w:p w14:paraId="19FF39A1">
                  <w:pPr>
                    <w:pStyle w:val="65"/>
                    <w:rPr>
                      <w:rFonts w:ascii="Times New Roman" w:hAnsi="Times New Roman" w:eastAsia="宋体" w:cs="Times New Roman"/>
                      <w:color w:val="auto"/>
                    </w:rPr>
                  </w:pPr>
                  <w:r>
                    <w:rPr>
                      <w:rFonts w:ascii="Times New Roman" w:hAnsi="Times New Roman" w:eastAsia="宋体" w:cs="Times New Roman"/>
                      <w:color w:val="auto"/>
                    </w:rPr>
                    <w:t>K377+952.5</w:t>
                  </w:r>
                </w:p>
              </w:tc>
              <w:tc>
                <w:tcPr>
                  <w:tcW w:w="489" w:type="pct"/>
                  <w:tcBorders>
                    <w:tl2br w:val="nil"/>
                    <w:tr2bl w:val="nil"/>
                  </w:tcBorders>
                  <w:vAlign w:val="center"/>
                </w:tcPr>
                <w:p w14:paraId="5E379801">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2A11DAE6">
                  <w:pPr>
                    <w:pStyle w:val="65"/>
                    <w:rPr>
                      <w:rFonts w:ascii="Times New Roman" w:hAnsi="Times New Roman" w:eastAsia="宋体" w:cs="Times New Roman"/>
                      <w:color w:val="auto"/>
                    </w:rPr>
                  </w:pPr>
                  <w:r>
                    <w:rPr>
                      <w:rFonts w:ascii="Times New Roman" w:hAnsi="Times New Roman" w:eastAsia="宋体" w:cs="Times New Roman"/>
                      <w:color w:val="auto"/>
                    </w:rPr>
                    <w:t>2-Φ1.0</w:t>
                  </w:r>
                </w:p>
              </w:tc>
              <w:tc>
                <w:tcPr>
                  <w:tcW w:w="423" w:type="pct"/>
                  <w:tcBorders>
                    <w:tl2br w:val="nil"/>
                    <w:tr2bl w:val="nil"/>
                  </w:tcBorders>
                  <w:vAlign w:val="center"/>
                </w:tcPr>
                <w:p w14:paraId="01685992">
                  <w:pPr>
                    <w:pStyle w:val="65"/>
                    <w:rPr>
                      <w:rFonts w:ascii="Times New Roman" w:hAnsi="Times New Roman" w:eastAsia="宋体" w:cs="Times New Roman"/>
                      <w:color w:val="auto"/>
                    </w:rPr>
                  </w:pPr>
                  <w:r>
                    <w:rPr>
                      <w:rFonts w:ascii="Times New Roman" w:hAnsi="Times New Roman" w:eastAsia="宋体" w:cs="Times New Roman"/>
                      <w:color w:val="auto"/>
                    </w:rPr>
                    <w:t>差</w:t>
                  </w:r>
                </w:p>
              </w:tc>
              <w:tc>
                <w:tcPr>
                  <w:tcW w:w="493" w:type="pct"/>
                  <w:tcBorders>
                    <w:tl2br w:val="nil"/>
                    <w:tr2bl w:val="nil"/>
                  </w:tcBorders>
                  <w:vAlign w:val="center"/>
                </w:tcPr>
                <w:p w14:paraId="2C01D099">
                  <w:pPr>
                    <w:pStyle w:val="65"/>
                    <w:rPr>
                      <w:rFonts w:ascii="Times New Roman" w:hAnsi="Times New Roman" w:eastAsia="宋体" w:cs="Times New Roman"/>
                      <w:color w:val="auto"/>
                    </w:rPr>
                  </w:pPr>
                  <w:r>
                    <w:rPr>
                      <w:rFonts w:ascii="Times New Roman" w:hAnsi="Times New Roman" w:eastAsia="宋体" w:cs="Times New Roman"/>
                      <w:color w:val="auto"/>
                    </w:rPr>
                    <w:t>一字墙</w:t>
                  </w:r>
                </w:p>
              </w:tc>
              <w:tc>
                <w:tcPr>
                  <w:tcW w:w="563" w:type="pct"/>
                  <w:tcBorders>
                    <w:tl2br w:val="nil"/>
                    <w:tr2bl w:val="nil"/>
                  </w:tcBorders>
                  <w:vAlign w:val="center"/>
                </w:tcPr>
                <w:p w14:paraId="723466B4">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一字墙</w:t>
                  </w:r>
                </w:p>
              </w:tc>
              <w:tc>
                <w:tcPr>
                  <w:tcW w:w="423" w:type="pct"/>
                  <w:tcBorders>
                    <w:tl2br w:val="nil"/>
                    <w:tr2bl w:val="nil"/>
                  </w:tcBorders>
                  <w:vAlign w:val="center"/>
                </w:tcPr>
                <w:p w14:paraId="2BC1F58D">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3A65B2C5">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74AB3B8">
                  <w:pPr>
                    <w:pStyle w:val="65"/>
                    <w:rPr>
                      <w:rFonts w:ascii="Times New Roman" w:hAnsi="Times New Roman" w:eastAsia="宋体" w:cs="Times New Roman"/>
                      <w:color w:val="auto"/>
                    </w:rPr>
                  </w:pPr>
                  <w:r>
                    <w:rPr>
                      <w:rFonts w:ascii="Times New Roman" w:hAnsi="Times New Roman" w:eastAsia="宋体" w:cs="Times New Roman"/>
                      <w:color w:val="auto"/>
                    </w:rPr>
                    <w:t>拆除新建</w:t>
                  </w:r>
                </w:p>
              </w:tc>
            </w:tr>
            <w:tr w14:paraId="329C01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676C04D6">
                  <w:pPr>
                    <w:pStyle w:val="65"/>
                    <w:rPr>
                      <w:rFonts w:ascii="Times New Roman" w:hAnsi="Times New Roman" w:eastAsia="宋体" w:cs="Times New Roman"/>
                      <w:color w:val="auto"/>
                    </w:rPr>
                  </w:pPr>
                  <w:r>
                    <w:rPr>
                      <w:rFonts w:ascii="Times New Roman" w:hAnsi="Times New Roman" w:eastAsia="宋体" w:cs="Times New Roman"/>
                      <w:color w:val="auto"/>
                    </w:rPr>
                    <w:t>4</w:t>
                  </w:r>
                </w:p>
              </w:tc>
              <w:tc>
                <w:tcPr>
                  <w:tcW w:w="629" w:type="pct"/>
                  <w:tcBorders>
                    <w:tl2br w:val="nil"/>
                    <w:tr2bl w:val="nil"/>
                  </w:tcBorders>
                  <w:vAlign w:val="center"/>
                </w:tcPr>
                <w:p w14:paraId="6ECAE008">
                  <w:pPr>
                    <w:pStyle w:val="65"/>
                    <w:rPr>
                      <w:rFonts w:ascii="Times New Roman" w:hAnsi="Times New Roman" w:eastAsia="宋体" w:cs="Times New Roman"/>
                      <w:color w:val="auto"/>
                    </w:rPr>
                  </w:pPr>
                  <w:r>
                    <w:rPr>
                      <w:rFonts w:ascii="Times New Roman" w:hAnsi="Times New Roman" w:eastAsia="宋体" w:cs="Times New Roman"/>
                      <w:color w:val="auto"/>
                    </w:rPr>
                    <w:t>K378+543.3</w:t>
                  </w:r>
                </w:p>
              </w:tc>
              <w:tc>
                <w:tcPr>
                  <w:tcW w:w="489" w:type="pct"/>
                  <w:tcBorders>
                    <w:tl2br w:val="nil"/>
                    <w:tr2bl w:val="nil"/>
                  </w:tcBorders>
                  <w:vAlign w:val="center"/>
                </w:tcPr>
                <w:p w14:paraId="37664F48">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3950F1B7">
                  <w:pPr>
                    <w:pStyle w:val="65"/>
                    <w:rPr>
                      <w:rFonts w:ascii="Times New Roman" w:hAnsi="Times New Roman" w:eastAsia="宋体" w:cs="Times New Roman"/>
                      <w:color w:val="auto"/>
                    </w:rPr>
                  </w:pPr>
                  <w:r>
                    <w:rPr>
                      <w:rFonts w:ascii="Times New Roman" w:hAnsi="Times New Roman" w:eastAsia="宋体" w:cs="Times New Roman"/>
                      <w:color w:val="auto"/>
                    </w:rPr>
                    <w:t>2-Φ1.0</w:t>
                  </w:r>
                </w:p>
              </w:tc>
              <w:tc>
                <w:tcPr>
                  <w:tcW w:w="423" w:type="pct"/>
                  <w:tcBorders>
                    <w:tl2br w:val="nil"/>
                    <w:tr2bl w:val="nil"/>
                  </w:tcBorders>
                  <w:vAlign w:val="center"/>
                </w:tcPr>
                <w:p w14:paraId="7C8A97D7">
                  <w:pPr>
                    <w:pStyle w:val="65"/>
                    <w:rPr>
                      <w:rFonts w:ascii="Times New Roman" w:hAnsi="Times New Roman" w:eastAsia="宋体" w:cs="Times New Roman"/>
                      <w:color w:val="auto"/>
                    </w:rPr>
                  </w:pPr>
                  <w:r>
                    <w:rPr>
                      <w:rFonts w:ascii="Times New Roman" w:hAnsi="Times New Roman" w:eastAsia="宋体" w:cs="Times New Roman"/>
                      <w:color w:val="auto"/>
                    </w:rPr>
                    <w:t>差</w:t>
                  </w:r>
                </w:p>
              </w:tc>
              <w:tc>
                <w:tcPr>
                  <w:tcW w:w="493" w:type="pct"/>
                  <w:tcBorders>
                    <w:tl2br w:val="nil"/>
                    <w:tr2bl w:val="nil"/>
                  </w:tcBorders>
                  <w:vAlign w:val="center"/>
                </w:tcPr>
                <w:p w14:paraId="58F4ED4F">
                  <w:pPr>
                    <w:pStyle w:val="65"/>
                    <w:rPr>
                      <w:rFonts w:ascii="Times New Roman" w:hAnsi="Times New Roman" w:eastAsia="宋体" w:cs="Times New Roman"/>
                      <w:color w:val="auto"/>
                    </w:rPr>
                  </w:pPr>
                  <w:r>
                    <w:rPr>
                      <w:rFonts w:ascii="Times New Roman" w:hAnsi="Times New Roman" w:eastAsia="宋体" w:cs="Times New Roman"/>
                      <w:color w:val="auto"/>
                    </w:rPr>
                    <w:t>一字墙</w:t>
                  </w:r>
                </w:p>
              </w:tc>
              <w:tc>
                <w:tcPr>
                  <w:tcW w:w="563" w:type="pct"/>
                  <w:tcBorders>
                    <w:tl2br w:val="nil"/>
                    <w:tr2bl w:val="nil"/>
                  </w:tcBorders>
                  <w:vAlign w:val="center"/>
                </w:tcPr>
                <w:p w14:paraId="35C229AC">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一字墙</w:t>
                  </w:r>
                </w:p>
              </w:tc>
              <w:tc>
                <w:tcPr>
                  <w:tcW w:w="423" w:type="pct"/>
                  <w:tcBorders>
                    <w:tl2br w:val="nil"/>
                    <w:tr2bl w:val="nil"/>
                  </w:tcBorders>
                  <w:vAlign w:val="center"/>
                </w:tcPr>
                <w:p w14:paraId="2853C653">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13601814">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4E14814C">
                  <w:pPr>
                    <w:pStyle w:val="65"/>
                    <w:rPr>
                      <w:rFonts w:ascii="Times New Roman" w:hAnsi="Times New Roman" w:eastAsia="宋体" w:cs="Times New Roman"/>
                      <w:color w:val="auto"/>
                    </w:rPr>
                  </w:pPr>
                  <w:r>
                    <w:rPr>
                      <w:rFonts w:ascii="Times New Roman" w:hAnsi="Times New Roman" w:eastAsia="宋体" w:cs="Times New Roman"/>
                      <w:color w:val="auto"/>
                    </w:rPr>
                    <w:t>拆除新建</w:t>
                  </w:r>
                </w:p>
              </w:tc>
            </w:tr>
            <w:tr w14:paraId="7043707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4119E7D5">
                  <w:pPr>
                    <w:pStyle w:val="65"/>
                    <w:rPr>
                      <w:rFonts w:ascii="Times New Roman" w:hAnsi="Times New Roman" w:eastAsia="宋体" w:cs="Times New Roman"/>
                      <w:color w:val="auto"/>
                    </w:rPr>
                  </w:pPr>
                  <w:r>
                    <w:rPr>
                      <w:rFonts w:ascii="Times New Roman" w:hAnsi="Times New Roman" w:eastAsia="宋体" w:cs="Times New Roman"/>
                      <w:color w:val="auto"/>
                    </w:rPr>
                    <w:t>5</w:t>
                  </w:r>
                </w:p>
              </w:tc>
              <w:tc>
                <w:tcPr>
                  <w:tcW w:w="629" w:type="pct"/>
                  <w:tcBorders>
                    <w:tl2br w:val="nil"/>
                    <w:tr2bl w:val="nil"/>
                  </w:tcBorders>
                  <w:vAlign w:val="center"/>
                </w:tcPr>
                <w:p w14:paraId="69E64916">
                  <w:pPr>
                    <w:pStyle w:val="65"/>
                    <w:rPr>
                      <w:rFonts w:ascii="Times New Roman" w:hAnsi="Times New Roman" w:eastAsia="宋体" w:cs="Times New Roman"/>
                      <w:color w:val="auto"/>
                    </w:rPr>
                  </w:pPr>
                  <w:r>
                    <w:rPr>
                      <w:rFonts w:ascii="Times New Roman" w:hAnsi="Times New Roman" w:eastAsia="宋体" w:cs="Times New Roman"/>
                      <w:color w:val="auto"/>
                    </w:rPr>
                    <w:t>K379+505.3</w:t>
                  </w:r>
                </w:p>
              </w:tc>
              <w:tc>
                <w:tcPr>
                  <w:tcW w:w="489" w:type="pct"/>
                  <w:tcBorders>
                    <w:tl2br w:val="nil"/>
                    <w:tr2bl w:val="nil"/>
                  </w:tcBorders>
                  <w:vAlign w:val="center"/>
                </w:tcPr>
                <w:p w14:paraId="1C5A7D89">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50552BDF">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4A04DA64">
                  <w:pPr>
                    <w:pStyle w:val="65"/>
                    <w:rPr>
                      <w:rFonts w:ascii="Times New Roman" w:hAnsi="Times New Roman" w:eastAsia="宋体" w:cs="Times New Roman"/>
                      <w:color w:val="auto"/>
                    </w:rPr>
                  </w:pPr>
                  <w:r>
                    <w:rPr>
                      <w:rFonts w:ascii="Times New Roman" w:hAnsi="Times New Roman" w:eastAsia="宋体" w:cs="Times New Roman"/>
                      <w:color w:val="auto"/>
                    </w:rPr>
                    <w:t>差</w:t>
                  </w:r>
                </w:p>
              </w:tc>
              <w:tc>
                <w:tcPr>
                  <w:tcW w:w="493" w:type="pct"/>
                  <w:tcBorders>
                    <w:tl2br w:val="nil"/>
                    <w:tr2bl w:val="nil"/>
                  </w:tcBorders>
                  <w:vAlign w:val="center"/>
                </w:tcPr>
                <w:p w14:paraId="3AC69800">
                  <w:pPr>
                    <w:pStyle w:val="65"/>
                    <w:rPr>
                      <w:rFonts w:ascii="Times New Roman" w:hAnsi="Times New Roman" w:eastAsia="宋体" w:cs="Times New Roman"/>
                      <w:color w:val="auto"/>
                    </w:rPr>
                  </w:pPr>
                  <w:r>
                    <w:rPr>
                      <w:rFonts w:ascii="Times New Roman" w:hAnsi="Times New Roman" w:eastAsia="宋体" w:cs="Times New Roman"/>
                      <w:color w:val="auto"/>
                    </w:rPr>
                    <w:t>一字墙</w:t>
                  </w:r>
                </w:p>
              </w:tc>
              <w:tc>
                <w:tcPr>
                  <w:tcW w:w="563" w:type="pct"/>
                  <w:tcBorders>
                    <w:tl2br w:val="nil"/>
                    <w:tr2bl w:val="nil"/>
                  </w:tcBorders>
                  <w:vAlign w:val="center"/>
                </w:tcPr>
                <w:p w14:paraId="59FD934E">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一字墙</w:t>
                  </w:r>
                </w:p>
              </w:tc>
              <w:tc>
                <w:tcPr>
                  <w:tcW w:w="423" w:type="pct"/>
                  <w:tcBorders>
                    <w:tl2br w:val="nil"/>
                    <w:tr2bl w:val="nil"/>
                  </w:tcBorders>
                  <w:vAlign w:val="center"/>
                </w:tcPr>
                <w:p w14:paraId="760783E6">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64395FBC">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15277973">
                  <w:pPr>
                    <w:pStyle w:val="65"/>
                    <w:rPr>
                      <w:rFonts w:ascii="Times New Roman" w:hAnsi="Times New Roman" w:eastAsia="宋体" w:cs="Times New Roman"/>
                      <w:color w:val="auto"/>
                    </w:rPr>
                  </w:pPr>
                  <w:r>
                    <w:rPr>
                      <w:rFonts w:ascii="Times New Roman" w:hAnsi="Times New Roman" w:eastAsia="宋体" w:cs="Times New Roman"/>
                      <w:color w:val="auto"/>
                    </w:rPr>
                    <w:t>拆除新建</w:t>
                  </w:r>
                </w:p>
              </w:tc>
            </w:tr>
            <w:tr w14:paraId="28FC900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721E3AE7">
                  <w:pPr>
                    <w:pStyle w:val="65"/>
                    <w:rPr>
                      <w:rFonts w:ascii="Times New Roman" w:hAnsi="Times New Roman" w:eastAsia="宋体" w:cs="Times New Roman"/>
                      <w:color w:val="auto"/>
                    </w:rPr>
                  </w:pPr>
                  <w:r>
                    <w:rPr>
                      <w:rFonts w:ascii="Times New Roman" w:hAnsi="Times New Roman" w:eastAsia="宋体" w:cs="Times New Roman"/>
                      <w:color w:val="auto"/>
                    </w:rPr>
                    <w:t>6</w:t>
                  </w:r>
                </w:p>
              </w:tc>
              <w:tc>
                <w:tcPr>
                  <w:tcW w:w="629" w:type="pct"/>
                  <w:tcBorders>
                    <w:tl2br w:val="nil"/>
                    <w:tr2bl w:val="nil"/>
                  </w:tcBorders>
                  <w:vAlign w:val="center"/>
                </w:tcPr>
                <w:p w14:paraId="585F5B7D">
                  <w:pPr>
                    <w:pStyle w:val="65"/>
                    <w:rPr>
                      <w:rFonts w:ascii="Times New Roman" w:hAnsi="Times New Roman" w:eastAsia="宋体" w:cs="Times New Roman"/>
                      <w:color w:val="auto"/>
                    </w:rPr>
                  </w:pPr>
                  <w:r>
                    <w:rPr>
                      <w:rFonts w:ascii="Times New Roman" w:hAnsi="Times New Roman" w:eastAsia="宋体" w:cs="Times New Roman"/>
                      <w:color w:val="auto"/>
                    </w:rPr>
                    <w:t>K383+600.0</w:t>
                  </w:r>
                </w:p>
              </w:tc>
              <w:tc>
                <w:tcPr>
                  <w:tcW w:w="489" w:type="pct"/>
                  <w:tcBorders>
                    <w:tl2br w:val="nil"/>
                    <w:tr2bl w:val="nil"/>
                  </w:tcBorders>
                  <w:vAlign w:val="center"/>
                </w:tcPr>
                <w:p w14:paraId="7D0588C6">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0E5C37DC">
                  <w:pPr>
                    <w:pStyle w:val="65"/>
                    <w:rPr>
                      <w:rFonts w:ascii="Times New Roman" w:hAnsi="Times New Roman" w:eastAsia="宋体" w:cs="Times New Roman"/>
                      <w:color w:val="auto"/>
                    </w:rPr>
                  </w:pPr>
                  <w:r>
                    <w:rPr>
                      <w:rFonts w:ascii="Times New Roman" w:hAnsi="Times New Roman" w:eastAsia="宋体" w:cs="Times New Roman"/>
                      <w:color w:val="auto"/>
                    </w:rPr>
                    <w:t>1-4x2</w:t>
                  </w:r>
                </w:p>
              </w:tc>
              <w:tc>
                <w:tcPr>
                  <w:tcW w:w="423" w:type="pct"/>
                  <w:tcBorders>
                    <w:tl2br w:val="nil"/>
                    <w:tr2bl w:val="nil"/>
                  </w:tcBorders>
                  <w:vAlign w:val="center"/>
                </w:tcPr>
                <w:p w14:paraId="1D75D660">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110BB73A">
                  <w:pPr>
                    <w:pStyle w:val="65"/>
                    <w:rPr>
                      <w:rFonts w:ascii="Times New Roman" w:hAnsi="Times New Roman" w:eastAsia="宋体" w:cs="Times New Roman"/>
                      <w:color w:val="auto"/>
                    </w:rPr>
                  </w:pPr>
                  <w:r>
                    <w:rPr>
                      <w:rFonts w:ascii="Times New Roman" w:hAnsi="Times New Roman" w:eastAsia="宋体" w:cs="Times New Roman"/>
                      <w:color w:val="auto"/>
                    </w:rPr>
                    <w:t>锥坡</w:t>
                  </w:r>
                </w:p>
              </w:tc>
              <w:tc>
                <w:tcPr>
                  <w:tcW w:w="563" w:type="pct"/>
                  <w:tcBorders>
                    <w:tl2br w:val="nil"/>
                    <w:tr2bl w:val="nil"/>
                  </w:tcBorders>
                  <w:vAlign w:val="center"/>
                </w:tcPr>
                <w:p w14:paraId="4E49EE74">
                  <w:pPr>
                    <w:pStyle w:val="65"/>
                    <w:ind w:firstLine="420" w:firstLineChars="200"/>
                    <w:jc w:val="both"/>
                    <w:rPr>
                      <w:rFonts w:ascii="Times New Roman" w:hAnsi="Times New Roman" w:eastAsia="宋体" w:cs="Times New Roman"/>
                      <w:color w:val="auto"/>
                    </w:rPr>
                  </w:pPr>
                  <w:r>
                    <w:rPr>
                      <w:rFonts w:ascii="Times New Roman" w:hAnsi="Times New Roman" w:eastAsia="宋体" w:cs="Times New Roman"/>
                      <w:color w:val="auto"/>
                    </w:rPr>
                    <w:t>锥坡</w:t>
                  </w:r>
                </w:p>
              </w:tc>
              <w:tc>
                <w:tcPr>
                  <w:tcW w:w="423" w:type="pct"/>
                  <w:tcBorders>
                    <w:tl2br w:val="nil"/>
                    <w:tr2bl w:val="nil"/>
                  </w:tcBorders>
                  <w:vAlign w:val="center"/>
                </w:tcPr>
                <w:p w14:paraId="17940D1F">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4750181E">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0996D57A">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50AE8DC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4C43E240">
                  <w:pPr>
                    <w:pStyle w:val="65"/>
                    <w:rPr>
                      <w:rFonts w:ascii="Times New Roman" w:hAnsi="Times New Roman" w:eastAsia="宋体" w:cs="Times New Roman"/>
                      <w:color w:val="auto"/>
                    </w:rPr>
                  </w:pPr>
                  <w:r>
                    <w:rPr>
                      <w:rFonts w:ascii="Times New Roman" w:hAnsi="Times New Roman" w:eastAsia="宋体" w:cs="Times New Roman"/>
                      <w:color w:val="auto"/>
                    </w:rPr>
                    <w:t>7</w:t>
                  </w:r>
                </w:p>
              </w:tc>
              <w:tc>
                <w:tcPr>
                  <w:tcW w:w="629" w:type="pct"/>
                  <w:tcBorders>
                    <w:tl2br w:val="nil"/>
                    <w:tr2bl w:val="nil"/>
                  </w:tcBorders>
                  <w:vAlign w:val="center"/>
                </w:tcPr>
                <w:p w14:paraId="1CEDC956">
                  <w:pPr>
                    <w:pStyle w:val="65"/>
                    <w:rPr>
                      <w:rFonts w:ascii="Times New Roman" w:hAnsi="Times New Roman" w:eastAsia="宋体" w:cs="Times New Roman"/>
                      <w:color w:val="auto"/>
                    </w:rPr>
                  </w:pPr>
                  <w:r>
                    <w:rPr>
                      <w:rFonts w:ascii="Times New Roman" w:hAnsi="Times New Roman" w:eastAsia="宋体" w:cs="Times New Roman"/>
                      <w:color w:val="auto"/>
                    </w:rPr>
                    <w:t>K386+882.8</w:t>
                  </w:r>
                </w:p>
              </w:tc>
              <w:tc>
                <w:tcPr>
                  <w:tcW w:w="489" w:type="pct"/>
                  <w:tcBorders>
                    <w:tl2br w:val="nil"/>
                    <w:tr2bl w:val="nil"/>
                  </w:tcBorders>
                  <w:vAlign w:val="center"/>
                </w:tcPr>
                <w:p w14:paraId="69F33F39">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014D76C1">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039D3D74">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48B5D154">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174A1BDD">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61EDC1CC">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7B0EC3AD">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5C48A5C5">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49E6DA2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4EAB000F">
                  <w:pPr>
                    <w:pStyle w:val="65"/>
                    <w:rPr>
                      <w:rFonts w:ascii="Times New Roman" w:hAnsi="Times New Roman" w:eastAsia="宋体" w:cs="Times New Roman"/>
                      <w:color w:val="auto"/>
                    </w:rPr>
                  </w:pPr>
                  <w:r>
                    <w:rPr>
                      <w:rFonts w:ascii="Times New Roman" w:hAnsi="Times New Roman" w:eastAsia="宋体" w:cs="Times New Roman"/>
                      <w:color w:val="auto"/>
                    </w:rPr>
                    <w:t>8</w:t>
                  </w:r>
                </w:p>
              </w:tc>
              <w:tc>
                <w:tcPr>
                  <w:tcW w:w="629" w:type="pct"/>
                  <w:tcBorders>
                    <w:tl2br w:val="nil"/>
                    <w:tr2bl w:val="nil"/>
                  </w:tcBorders>
                  <w:vAlign w:val="center"/>
                </w:tcPr>
                <w:p w14:paraId="33482122">
                  <w:pPr>
                    <w:pStyle w:val="65"/>
                    <w:rPr>
                      <w:rFonts w:ascii="Times New Roman" w:hAnsi="Times New Roman" w:eastAsia="宋体" w:cs="Times New Roman"/>
                      <w:color w:val="auto"/>
                    </w:rPr>
                  </w:pPr>
                  <w:r>
                    <w:rPr>
                      <w:rFonts w:ascii="Times New Roman" w:hAnsi="Times New Roman" w:eastAsia="宋体" w:cs="Times New Roman"/>
                      <w:color w:val="auto"/>
                    </w:rPr>
                    <w:t>K393+947.1</w:t>
                  </w:r>
                </w:p>
              </w:tc>
              <w:tc>
                <w:tcPr>
                  <w:tcW w:w="489" w:type="pct"/>
                  <w:tcBorders>
                    <w:tl2br w:val="nil"/>
                    <w:tr2bl w:val="nil"/>
                  </w:tcBorders>
                  <w:vAlign w:val="center"/>
                </w:tcPr>
                <w:p w14:paraId="2357715C">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7CBE64C6">
                  <w:pPr>
                    <w:pStyle w:val="65"/>
                    <w:rPr>
                      <w:rFonts w:ascii="Times New Roman" w:hAnsi="Times New Roman" w:eastAsia="宋体" w:cs="Times New Roman"/>
                      <w:color w:val="auto"/>
                    </w:rPr>
                  </w:pPr>
                  <w:r>
                    <w:rPr>
                      <w:rFonts w:ascii="Times New Roman" w:hAnsi="Times New Roman" w:eastAsia="宋体" w:cs="Times New Roman"/>
                      <w:color w:val="auto"/>
                    </w:rPr>
                    <w:t>1-3x1.5</w:t>
                  </w:r>
                </w:p>
              </w:tc>
              <w:tc>
                <w:tcPr>
                  <w:tcW w:w="423" w:type="pct"/>
                  <w:tcBorders>
                    <w:tl2br w:val="nil"/>
                    <w:tr2bl w:val="nil"/>
                  </w:tcBorders>
                  <w:vAlign w:val="center"/>
                </w:tcPr>
                <w:p w14:paraId="1D0F956B">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1A0BB63A">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5ED95621">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39CABE79">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48E71DC7">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7E53F83C">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15A97D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6B7C5BAC">
                  <w:pPr>
                    <w:pStyle w:val="65"/>
                    <w:rPr>
                      <w:rFonts w:ascii="Times New Roman" w:hAnsi="Times New Roman" w:eastAsia="宋体" w:cs="Times New Roman"/>
                      <w:color w:val="auto"/>
                    </w:rPr>
                  </w:pPr>
                  <w:r>
                    <w:rPr>
                      <w:rFonts w:hint="eastAsia" w:ascii="Times New Roman" w:hAnsi="Times New Roman" w:eastAsia="宋体" w:cs="Times New Roman"/>
                      <w:color w:val="auto"/>
                    </w:rPr>
                    <w:t>9</w:t>
                  </w:r>
                </w:p>
              </w:tc>
              <w:tc>
                <w:tcPr>
                  <w:tcW w:w="629" w:type="pct"/>
                  <w:tcBorders>
                    <w:tl2br w:val="nil"/>
                    <w:tr2bl w:val="nil"/>
                  </w:tcBorders>
                  <w:vAlign w:val="center"/>
                </w:tcPr>
                <w:p w14:paraId="0BB453D3">
                  <w:pPr>
                    <w:pStyle w:val="65"/>
                    <w:rPr>
                      <w:rFonts w:ascii="Times New Roman" w:hAnsi="Times New Roman" w:eastAsia="宋体" w:cs="Times New Roman"/>
                      <w:color w:val="auto"/>
                    </w:rPr>
                  </w:pPr>
                  <w:r>
                    <w:rPr>
                      <w:rFonts w:ascii="Times New Roman" w:hAnsi="Times New Roman" w:eastAsia="宋体" w:cs="Times New Roman"/>
                      <w:color w:val="auto"/>
                    </w:rPr>
                    <w:t>K394+746.3</w:t>
                  </w:r>
                </w:p>
              </w:tc>
              <w:tc>
                <w:tcPr>
                  <w:tcW w:w="489" w:type="pct"/>
                  <w:tcBorders>
                    <w:tl2br w:val="nil"/>
                    <w:tr2bl w:val="nil"/>
                  </w:tcBorders>
                  <w:vAlign w:val="center"/>
                </w:tcPr>
                <w:p w14:paraId="4C2C3D59">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0826E86C">
                  <w:pPr>
                    <w:pStyle w:val="65"/>
                    <w:rPr>
                      <w:rFonts w:ascii="Times New Roman" w:hAnsi="Times New Roman" w:eastAsia="宋体" w:cs="Times New Roman"/>
                      <w:color w:val="auto"/>
                    </w:rPr>
                  </w:pPr>
                  <w:r>
                    <w:rPr>
                      <w:rFonts w:ascii="Times New Roman" w:hAnsi="Times New Roman" w:eastAsia="宋体" w:cs="Times New Roman"/>
                      <w:color w:val="auto"/>
                    </w:rPr>
                    <w:t>1-2x2</w:t>
                  </w:r>
                </w:p>
              </w:tc>
              <w:tc>
                <w:tcPr>
                  <w:tcW w:w="423" w:type="pct"/>
                  <w:tcBorders>
                    <w:tl2br w:val="nil"/>
                    <w:tr2bl w:val="nil"/>
                  </w:tcBorders>
                  <w:vAlign w:val="center"/>
                </w:tcPr>
                <w:p w14:paraId="4A0B103A">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57BD2386">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37727372">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0489843F">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5A8FBD59">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42BCFD18">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7723A8E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24C7D281">
                  <w:pPr>
                    <w:pStyle w:val="65"/>
                    <w:rPr>
                      <w:rFonts w:ascii="Times New Roman" w:hAnsi="Times New Roman" w:eastAsia="宋体" w:cs="Times New Roman"/>
                      <w:color w:val="auto"/>
                    </w:rPr>
                  </w:pPr>
                  <w:r>
                    <w:rPr>
                      <w:rFonts w:hint="eastAsia" w:ascii="Times New Roman" w:hAnsi="Times New Roman" w:eastAsia="宋体" w:cs="Times New Roman"/>
                      <w:color w:val="auto"/>
                    </w:rPr>
                    <w:t>10</w:t>
                  </w:r>
                </w:p>
              </w:tc>
              <w:tc>
                <w:tcPr>
                  <w:tcW w:w="629" w:type="pct"/>
                  <w:tcBorders>
                    <w:tl2br w:val="nil"/>
                    <w:tr2bl w:val="nil"/>
                  </w:tcBorders>
                  <w:vAlign w:val="center"/>
                </w:tcPr>
                <w:p w14:paraId="242343CE">
                  <w:pPr>
                    <w:pStyle w:val="65"/>
                    <w:rPr>
                      <w:rFonts w:ascii="Times New Roman" w:hAnsi="Times New Roman" w:eastAsia="宋体" w:cs="Times New Roman"/>
                      <w:color w:val="auto"/>
                    </w:rPr>
                  </w:pPr>
                  <w:r>
                    <w:rPr>
                      <w:rFonts w:ascii="Times New Roman" w:hAnsi="Times New Roman" w:eastAsia="宋体" w:cs="Times New Roman"/>
                      <w:color w:val="auto"/>
                    </w:rPr>
                    <w:t>K397+423.2</w:t>
                  </w:r>
                </w:p>
              </w:tc>
              <w:tc>
                <w:tcPr>
                  <w:tcW w:w="489" w:type="pct"/>
                  <w:tcBorders>
                    <w:tl2br w:val="nil"/>
                    <w:tr2bl w:val="nil"/>
                  </w:tcBorders>
                  <w:vAlign w:val="center"/>
                </w:tcPr>
                <w:p w14:paraId="3F23C75C">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1586E0EF">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119C995F">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32E35EDD">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7D319B72">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0A1748FA">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35436C67">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37A74513">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1D12EB1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435FAD91">
                  <w:pPr>
                    <w:pStyle w:val="65"/>
                    <w:rPr>
                      <w:rFonts w:ascii="Times New Roman" w:hAnsi="Times New Roman" w:eastAsia="宋体" w:cs="Times New Roman"/>
                      <w:color w:val="auto"/>
                    </w:rPr>
                  </w:pPr>
                  <w:r>
                    <w:rPr>
                      <w:rFonts w:hint="eastAsia" w:ascii="Times New Roman" w:hAnsi="Times New Roman" w:eastAsia="宋体" w:cs="Times New Roman"/>
                      <w:color w:val="auto"/>
                    </w:rPr>
                    <w:t>11</w:t>
                  </w:r>
                </w:p>
              </w:tc>
              <w:tc>
                <w:tcPr>
                  <w:tcW w:w="629" w:type="pct"/>
                  <w:tcBorders>
                    <w:tl2br w:val="nil"/>
                    <w:tr2bl w:val="nil"/>
                  </w:tcBorders>
                  <w:vAlign w:val="center"/>
                </w:tcPr>
                <w:p w14:paraId="17D407B1">
                  <w:pPr>
                    <w:pStyle w:val="65"/>
                    <w:rPr>
                      <w:rFonts w:ascii="Times New Roman" w:hAnsi="Times New Roman" w:eastAsia="宋体" w:cs="Times New Roman"/>
                      <w:color w:val="auto"/>
                    </w:rPr>
                  </w:pPr>
                  <w:r>
                    <w:rPr>
                      <w:rFonts w:ascii="Times New Roman" w:hAnsi="Times New Roman" w:eastAsia="宋体" w:cs="Times New Roman"/>
                      <w:color w:val="auto"/>
                    </w:rPr>
                    <w:t>K397+763.8</w:t>
                  </w:r>
                </w:p>
              </w:tc>
              <w:tc>
                <w:tcPr>
                  <w:tcW w:w="489" w:type="pct"/>
                  <w:tcBorders>
                    <w:tl2br w:val="nil"/>
                    <w:tr2bl w:val="nil"/>
                  </w:tcBorders>
                  <w:vAlign w:val="center"/>
                </w:tcPr>
                <w:p w14:paraId="258F3B8C">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00E52C0E">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1DC72110">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0B31F159">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5EEC12EC">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59DC1B6C">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5B847029">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ACC3CBF">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4FE7663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2F79110F">
                  <w:pPr>
                    <w:pStyle w:val="65"/>
                    <w:rPr>
                      <w:rFonts w:ascii="Times New Roman" w:hAnsi="Times New Roman" w:eastAsia="宋体" w:cs="Times New Roman"/>
                      <w:color w:val="auto"/>
                    </w:rPr>
                  </w:pPr>
                  <w:r>
                    <w:rPr>
                      <w:rFonts w:ascii="Times New Roman" w:hAnsi="Times New Roman" w:eastAsia="宋体" w:cs="Times New Roman"/>
                      <w:color w:val="auto"/>
                    </w:rPr>
                    <w:t>12</w:t>
                  </w:r>
                </w:p>
              </w:tc>
              <w:tc>
                <w:tcPr>
                  <w:tcW w:w="629" w:type="pct"/>
                  <w:tcBorders>
                    <w:tl2br w:val="nil"/>
                    <w:tr2bl w:val="nil"/>
                  </w:tcBorders>
                  <w:vAlign w:val="center"/>
                </w:tcPr>
                <w:p w14:paraId="3FF0A146">
                  <w:pPr>
                    <w:pStyle w:val="65"/>
                    <w:rPr>
                      <w:rFonts w:ascii="Times New Roman" w:hAnsi="Times New Roman" w:eastAsia="宋体" w:cs="Times New Roman"/>
                      <w:color w:val="auto"/>
                    </w:rPr>
                  </w:pPr>
                  <w:r>
                    <w:rPr>
                      <w:rFonts w:ascii="Times New Roman" w:hAnsi="Times New Roman" w:eastAsia="宋体" w:cs="Times New Roman"/>
                      <w:color w:val="auto"/>
                    </w:rPr>
                    <w:t>K398+571.2</w:t>
                  </w:r>
                </w:p>
              </w:tc>
              <w:tc>
                <w:tcPr>
                  <w:tcW w:w="489" w:type="pct"/>
                  <w:tcBorders>
                    <w:tl2br w:val="nil"/>
                    <w:tr2bl w:val="nil"/>
                  </w:tcBorders>
                  <w:vAlign w:val="center"/>
                </w:tcPr>
                <w:p w14:paraId="3C47DAF6">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2747E85E">
                  <w:pPr>
                    <w:pStyle w:val="65"/>
                    <w:rPr>
                      <w:rFonts w:ascii="Times New Roman" w:hAnsi="Times New Roman" w:eastAsia="宋体" w:cs="Times New Roman"/>
                      <w:color w:val="auto"/>
                    </w:rPr>
                  </w:pPr>
                  <w:r>
                    <w:rPr>
                      <w:rFonts w:ascii="Times New Roman" w:hAnsi="Times New Roman" w:eastAsia="宋体" w:cs="Times New Roman"/>
                      <w:color w:val="auto"/>
                    </w:rPr>
                    <w:t>1-2x2</w:t>
                  </w:r>
                </w:p>
              </w:tc>
              <w:tc>
                <w:tcPr>
                  <w:tcW w:w="423" w:type="pct"/>
                  <w:tcBorders>
                    <w:tl2br w:val="nil"/>
                    <w:tr2bl w:val="nil"/>
                  </w:tcBorders>
                  <w:vAlign w:val="center"/>
                </w:tcPr>
                <w:p w14:paraId="4B064E40">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624E529E">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5E4FBCFB">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61754194">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0FDD490E">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40E9F2D6">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271BFB3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4A719B93">
                  <w:pPr>
                    <w:pStyle w:val="65"/>
                    <w:rPr>
                      <w:rFonts w:ascii="Times New Roman" w:hAnsi="Times New Roman" w:eastAsia="宋体" w:cs="Times New Roman"/>
                      <w:color w:val="auto"/>
                    </w:rPr>
                  </w:pPr>
                  <w:r>
                    <w:rPr>
                      <w:rFonts w:ascii="Times New Roman" w:hAnsi="Times New Roman" w:eastAsia="宋体" w:cs="Times New Roman"/>
                      <w:color w:val="auto"/>
                    </w:rPr>
                    <w:t>13</w:t>
                  </w:r>
                </w:p>
              </w:tc>
              <w:tc>
                <w:tcPr>
                  <w:tcW w:w="629" w:type="pct"/>
                  <w:tcBorders>
                    <w:tl2br w:val="nil"/>
                    <w:tr2bl w:val="nil"/>
                  </w:tcBorders>
                  <w:vAlign w:val="center"/>
                </w:tcPr>
                <w:p w14:paraId="2104E67F">
                  <w:pPr>
                    <w:pStyle w:val="65"/>
                    <w:rPr>
                      <w:rFonts w:ascii="Times New Roman" w:hAnsi="Times New Roman" w:eastAsia="宋体" w:cs="Times New Roman"/>
                      <w:color w:val="auto"/>
                    </w:rPr>
                  </w:pPr>
                  <w:r>
                    <w:rPr>
                      <w:rFonts w:ascii="Times New Roman" w:hAnsi="Times New Roman" w:eastAsia="宋体" w:cs="Times New Roman"/>
                      <w:color w:val="auto"/>
                    </w:rPr>
                    <w:t>K399+311.2</w:t>
                  </w:r>
                </w:p>
              </w:tc>
              <w:tc>
                <w:tcPr>
                  <w:tcW w:w="489" w:type="pct"/>
                  <w:tcBorders>
                    <w:tl2br w:val="nil"/>
                    <w:tr2bl w:val="nil"/>
                  </w:tcBorders>
                  <w:vAlign w:val="center"/>
                </w:tcPr>
                <w:p w14:paraId="2D931517">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320B4194">
                  <w:pPr>
                    <w:pStyle w:val="65"/>
                    <w:rPr>
                      <w:rFonts w:ascii="Times New Roman" w:hAnsi="Times New Roman" w:eastAsia="宋体" w:cs="Times New Roman"/>
                      <w:color w:val="auto"/>
                    </w:rPr>
                  </w:pPr>
                  <w:r>
                    <w:rPr>
                      <w:rFonts w:ascii="Times New Roman" w:hAnsi="Times New Roman" w:eastAsia="宋体" w:cs="Times New Roman"/>
                      <w:color w:val="auto"/>
                    </w:rPr>
                    <w:t>1-3x2</w:t>
                  </w:r>
                </w:p>
              </w:tc>
              <w:tc>
                <w:tcPr>
                  <w:tcW w:w="423" w:type="pct"/>
                  <w:tcBorders>
                    <w:tl2br w:val="nil"/>
                    <w:tr2bl w:val="nil"/>
                  </w:tcBorders>
                  <w:vAlign w:val="center"/>
                </w:tcPr>
                <w:p w14:paraId="2BA3893B">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14AA10C4">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1EBA16C4">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5066747F">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780E16B6">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546A0DEF">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3CE71BE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35EDEEC9">
                  <w:pPr>
                    <w:pStyle w:val="65"/>
                    <w:rPr>
                      <w:rFonts w:ascii="Times New Roman" w:hAnsi="Times New Roman" w:eastAsia="宋体" w:cs="Times New Roman"/>
                      <w:color w:val="auto"/>
                    </w:rPr>
                  </w:pPr>
                  <w:r>
                    <w:rPr>
                      <w:rFonts w:ascii="Times New Roman" w:hAnsi="Times New Roman" w:eastAsia="宋体" w:cs="Times New Roman"/>
                      <w:color w:val="auto"/>
                    </w:rPr>
                    <w:t>14</w:t>
                  </w:r>
                </w:p>
              </w:tc>
              <w:tc>
                <w:tcPr>
                  <w:tcW w:w="629" w:type="pct"/>
                  <w:tcBorders>
                    <w:tl2br w:val="nil"/>
                    <w:tr2bl w:val="nil"/>
                  </w:tcBorders>
                  <w:vAlign w:val="center"/>
                </w:tcPr>
                <w:p w14:paraId="25510B3E">
                  <w:pPr>
                    <w:pStyle w:val="65"/>
                    <w:rPr>
                      <w:rFonts w:ascii="Times New Roman" w:hAnsi="Times New Roman" w:eastAsia="宋体" w:cs="Times New Roman"/>
                      <w:color w:val="auto"/>
                    </w:rPr>
                  </w:pPr>
                  <w:r>
                    <w:rPr>
                      <w:rFonts w:ascii="Times New Roman" w:hAnsi="Times New Roman" w:eastAsia="宋体" w:cs="Times New Roman"/>
                      <w:color w:val="auto"/>
                    </w:rPr>
                    <w:t>K402+879.3</w:t>
                  </w:r>
                </w:p>
              </w:tc>
              <w:tc>
                <w:tcPr>
                  <w:tcW w:w="489" w:type="pct"/>
                  <w:tcBorders>
                    <w:tl2br w:val="nil"/>
                    <w:tr2bl w:val="nil"/>
                  </w:tcBorders>
                  <w:vAlign w:val="center"/>
                </w:tcPr>
                <w:p w14:paraId="73EF399C">
                  <w:pPr>
                    <w:pStyle w:val="65"/>
                    <w:rPr>
                      <w:rFonts w:ascii="Times New Roman" w:hAnsi="Times New Roman" w:eastAsia="宋体" w:cs="Times New Roman"/>
                      <w:color w:val="auto"/>
                    </w:rPr>
                  </w:pPr>
                  <w:r>
                    <w:rPr>
                      <w:rFonts w:ascii="Times New Roman" w:hAnsi="Times New Roman" w:eastAsia="宋体" w:cs="Times New Roman"/>
                      <w:color w:val="auto"/>
                    </w:rPr>
                    <w:t>箱涵</w:t>
                  </w:r>
                </w:p>
              </w:tc>
              <w:tc>
                <w:tcPr>
                  <w:tcW w:w="633" w:type="pct"/>
                  <w:tcBorders>
                    <w:tl2br w:val="nil"/>
                    <w:tr2bl w:val="nil"/>
                  </w:tcBorders>
                  <w:vAlign w:val="center"/>
                </w:tcPr>
                <w:p w14:paraId="6A2DEC39">
                  <w:pPr>
                    <w:pStyle w:val="65"/>
                    <w:rPr>
                      <w:rFonts w:ascii="Times New Roman" w:hAnsi="Times New Roman" w:eastAsia="宋体" w:cs="Times New Roman"/>
                      <w:color w:val="auto"/>
                    </w:rPr>
                  </w:pPr>
                  <w:r>
                    <w:rPr>
                      <w:rFonts w:ascii="Times New Roman" w:hAnsi="Times New Roman" w:eastAsia="宋体" w:cs="Times New Roman"/>
                      <w:color w:val="auto"/>
                    </w:rPr>
                    <w:t>1-3x2</w:t>
                  </w:r>
                </w:p>
              </w:tc>
              <w:tc>
                <w:tcPr>
                  <w:tcW w:w="423" w:type="pct"/>
                  <w:tcBorders>
                    <w:tl2br w:val="nil"/>
                    <w:tr2bl w:val="nil"/>
                  </w:tcBorders>
                  <w:vAlign w:val="center"/>
                </w:tcPr>
                <w:p w14:paraId="30FBD357">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43F0BA2A">
                  <w:pPr>
                    <w:pStyle w:val="65"/>
                    <w:rPr>
                      <w:rFonts w:ascii="Times New Roman" w:hAnsi="Times New Roman" w:eastAsia="宋体" w:cs="Times New Roman"/>
                      <w:color w:val="auto"/>
                    </w:rPr>
                  </w:pPr>
                  <w:r>
                    <w:rPr>
                      <w:rFonts w:ascii="Times New Roman" w:hAnsi="Times New Roman" w:eastAsia="宋体" w:cs="Times New Roman"/>
                      <w:color w:val="auto"/>
                    </w:rPr>
                    <w:t>一字墙</w:t>
                  </w:r>
                </w:p>
              </w:tc>
              <w:tc>
                <w:tcPr>
                  <w:tcW w:w="563" w:type="pct"/>
                  <w:tcBorders>
                    <w:tl2br w:val="nil"/>
                    <w:tr2bl w:val="nil"/>
                  </w:tcBorders>
                  <w:vAlign w:val="center"/>
                </w:tcPr>
                <w:p w14:paraId="045393F8">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一字墙</w:t>
                  </w:r>
                </w:p>
              </w:tc>
              <w:tc>
                <w:tcPr>
                  <w:tcW w:w="423" w:type="pct"/>
                  <w:tcBorders>
                    <w:tl2br w:val="nil"/>
                    <w:tr2bl w:val="nil"/>
                  </w:tcBorders>
                  <w:vAlign w:val="center"/>
                </w:tcPr>
                <w:p w14:paraId="10F3A762">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0F07E9E8">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183A969F">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4E2285C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365B322A">
                  <w:pPr>
                    <w:pStyle w:val="65"/>
                    <w:rPr>
                      <w:rFonts w:ascii="Times New Roman" w:hAnsi="Times New Roman" w:eastAsia="宋体" w:cs="Times New Roman"/>
                      <w:color w:val="auto"/>
                    </w:rPr>
                  </w:pPr>
                  <w:r>
                    <w:rPr>
                      <w:rFonts w:ascii="Times New Roman" w:hAnsi="Times New Roman" w:eastAsia="宋体" w:cs="Times New Roman"/>
                      <w:color w:val="auto"/>
                    </w:rPr>
                    <w:t>15</w:t>
                  </w:r>
                </w:p>
              </w:tc>
              <w:tc>
                <w:tcPr>
                  <w:tcW w:w="629" w:type="pct"/>
                  <w:tcBorders>
                    <w:tl2br w:val="nil"/>
                    <w:tr2bl w:val="nil"/>
                  </w:tcBorders>
                  <w:vAlign w:val="center"/>
                </w:tcPr>
                <w:p w14:paraId="44B3C24E">
                  <w:pPr>
                    <w:pStyle w:val="65"/>
                    <w:rPr>
                      <w:rFonts w:ascii="Times New Roman" w:hAnsi="Times New Roman" w:eastAsia="宋体" w:cs="Times New Roman"/>
                      <w:color w:val="auto"/>
                    </w:rPr>
                  </w:pPr>
                  <w:r>
                    <w:rPr>
                      <w:rFonts w:ascii="Times New Roman" w:hAnsi="Times New Roman" w:eastAsia="宋体" w:cs="Times New Roman"/>
                      <w:color w:val="auto"/>
                    </w:rPr>
                    <w:t>K407+357.0</w:t>
                  </w:r>
                </w:p>
              </w:tc>
              <w:tc>
                <w:tcPr>
                  <w:tcW w:w="489" w:type="pct"/>
                  <w:tcBorders>
                    <w:tl2br w:val="nil"/>
                    <w:tr2bl w:val="nil"/>
                  </w:tcBorders>
                  <w:vAlign w:val="center"/>
                </w:tcPr>
                <w:p w14:paraId="43C50ED1">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020B6970">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22276D34">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549EABFD">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69341555">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1A69A763">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70019325">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0D9DC509">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514D822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6DE2012E">
                  <w:pPr>
                    <w:pStyle w:val="65"/>
                    <w:rPr>
                      <w:rFonts w:ascii="Times New Roman" w:hAnsi="Times New Roman" w:eastAsia="宋体" w:cs="Times New Roman"/>
                      <w:color w:val="auto"/>
                    </w:rPr>
                  </w:pPr>
                  <w:r>
                    <w:rPr>
                      <w:rFonts w:ascii="Times New Roman" w:hAnsi="Times New Roman" w:eastAsia="宋体" w:cs="Times New Roman"/>
                      <w:color w:val="auto"/>
                    </w:rPr>
                    <w:t>16</w:t>
                  </w:r>
                </w:p>
              </w:tc>
              <w:tc>
                <w:tcPr>
                  <w:tcW w:w="629" w:type="pct"/>
                  <w:tcBorders>
                    <w:tl2br w:val="nil"/>
                    <w:tr2bl w:val="nil"/>
                  </w:tcBorders>
                  <w:vAlign w:val="center"/>
                </w:tcPr>
                <w:p w14:paraId="3CF82EF7">
                  <w:pPr>
                    <w:pStyle w:val="65"/>
                    <w:rPr>
                      <w:rFonts w:ascii="Times New Roman" w:hAnsi="Times New Roman" w:eastAsia="宋体" w:cs="Times New Roman"/>
                      <w:color w:val="auto"/>
                    </w:rPr>
                  </w:pPr>
                  <w:r>
                    <w:rPr>
                      <w:rFonts w:ascii="Times New Roman" w:hAnsi="Times New Roman" w:eastAsia="宋体" w:cs="Times New Roman"/>
                      <w:color w:val="auto"/>
                    </w:rPr>
                    <w:t>K407+917.7</w:t>
                  </w:r>
                </w:p>
              </w:tc>
              <w:tc>
                <w:tcPr>
                  <w:tcW w:w="489" w:type="pct"/>
                  <w:tcBorders>
                    <w:tl2br w:val="nil"/>
                    <w:tr2bl w:val="nil"/>
                  </w:tcBorders>
                  <w:vAlign w:val="center"/>
                </w:tcPr>
                <w:p w14:paraId="7C63737F">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4BA6553A">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50F6FF81">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3699508F">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38DE5DE8">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71DF43BA">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6282D59E">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51FBA18">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0906E79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74917B6E">
                  <w:pPr>
                    <w:pStyle w:val="65"/>
                    <w:rPr>
                      <w:rFonts w:ascii="Times New Roman" w:hAnsi="Times New Roman" w:eastAsia="宋体" w:cs="Times New Roman"/>
                      <w:color w:val="auto"/>
                    </w:rPr>
                  </w:pPr>
                  <w:r>
                    <w:rPr>
                      <w:rFonts w:ascii="Times New Roman" w:hAnsi="Times New Roman" w:eastAsia="宋体" w:cs="Times New Roman"/>
                      <w:color w:val="auto"/>
                    </w:rPr>
                    <w:t>17</w:t>
                  </w:r>
                </w:p>
              </w:tc>
              <w:tc>
                <w:tcPr>
                  <w:tcW w:w="629" w:type="pct"/>
                  <w:tcBorders>
                    <w:tl2br w:val="nil"/>
                    <w:tr2bl w:val="nil"/>
                  </w:tcBorders>
                  <w:vAlign w:val="center"/>
                </w:tcPr>
                <w:p w14:paraId="67D2C2E0">
                  <w:pPr>
                    <w:pStyle w:val="65"/>
                    <w:rPr>
                      <w:rFonts w:ascii="Times New Roman" w:hAnsi="Times New Roman" w:eastAsia="宋体" w:cs="Times New Roman"/>
                      <w:color w:val="auto"/>
                    </w:rPr>
                  </w:pPr>
                  <w:r>
                    <w:rPr>
                      <w:rFonts w:ascii="Times New Roman" w:hAnsi="Times New Roman" w:eastAsia="宋体" w:cs="Times New Roman"/>
                      <w:color w:val="auto"/>
                    </w:rPr>
                    <w:t>K409+492.5</w:t>
                  </w:r>
                </w:p>
              </w:tc>
              <w:tc>
                <w:tcPr>
                  <w:tcW w:w="489" w:type="pct"/>
                  <w:tcBorders>
                    <w:tl2br w:val="nil"/>
                    <w:tr2bl w:val="nil"/>
                  </w:tcBorders>
                  <w:vAlign w:val="center"/>
                </w:tcPr>
                <w:p w14:paraId="33B1599A">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0C43922D">
                  <w:pPr>
                    <w:pStyle w:val="65"/>
                    <w:rPr>
                      <w:rFonts w:ascii="Times New Roman" w:hAnsi="Times New Roman" w:eastAsia="宋体" w:cs="Times New Roman"/>
                      <w:color w:val="auto"/>
                    </w:rPr>
                  </w:pPr>
                  <w:r>
                    <w:rPr>
                      <w:rFonts w:ascii="Times New Roman" w:hAnsi="Times New Roman" w:eastAsia="宋体" w:cs="Times New Roman"/>
                      <w:color w:val="auto"/>
                    </w:rPr>
                    <w:t>1-3x2</w:t>
                  </w:r>
                </w:p>
              </w:tc>
              <w:tc>
                <w:tcPr>
                  <w:tcW w:w="423" w:type="pct"/>
                  <w:tcBorders>
                    <w:tl2br w:val="nil"/>
                    <w:tr2bl w:val="nil"/>
                  </w:tcBorders>
                  <w:vAlign w:val="center"/>
                </w:tcPr>
                <w:p w14:paraId="3C6496F7">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4E1E8D4A">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7010449F">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30CD1EF7">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3A1DF4CC">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D16E813">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6AD99BE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2189688D">
                  <w:pPr>
                    <w:pStyle w:val="65"/>
                    <w:rPr>
                      <w:rFonts w:ascii="Times New Roman" w:hAnsi="Times New Roman" w:eastAsia="宋体" w:cs="Times New Roman"/>
                      <w:color w:val="auto"/>
                    </w:rPr>
                  </w:pPr>
                  <w:r>
                    <w:rPr>
                      <w:rFonts w:ascii="Times New Roman" w:hAnsi="Times New Roman" w:eastAsia="宋体" w:cs="Times New Roman"/>
                      <w:color w:val="auto"/>
                    </w:rPr>
                    <w:t>18</w:t>
                  </w:r>
                </w:p>
              </w:tc>
              <w:tc>
                <w:tcPr>
                  <w:tcW w:w="629" w:type="pct"/>
                  <w:tcBorders>
                    <w:tl2br w:val="nil"/>
                    <w:tr2bl w:val="nil"/>
                  </w:tcBorders>
                  <w:vAlign w:val="center"/>
                </w:tcPr>
                <w:p w14:paraId="13A9938C">
                  <w:pPr>
                    <w:pStyle w:val="65"/>
                    <w:rPr>
                      <w:rFonts w:ascii="Times New Roman" w:hAnsi="Times New Roman" w:eastAsia="宋体" w:cs="Times New Roman"/>
                      <w:color w:val="auto"/>
                    </w:rPr>
                  </w:pPr>
                  <w:r>
                    <w:rPr>
                      <w:rFonts w:ascii="Times New Roman" w:hAnsi="Times New Roman" w:eastAsia="宋体" w:cs="Times New Roman"/>
                      <w:color w:val="auto"/>
                    </w:rPr>
                    <w:t>K411+472.9</w:t>
                  </w:r>
                </w:p>
              </w:tc>
              <w:tc>
                <w:tcPr>
                  <w:tcW w:w="489" w:type="pct"/>
                  <w:tcBorders>
                    <w:tl2br w:val="nil"/>
                    <w:tr2bl w:val="nil"/>
                  </w:tcBorders>
                  <w:vAlign w:val="center"/>
                </w:tcPr>
                <w:p w14:paraId="2A640431">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54EE8FCB">
                  <w:pPr>
                    <w:pStyle w:val="65"/>
                    <w:rPr>
                      <w:rFonts w:ascii="Times New Roman" w:hAnsi="Times New Roman" w:eastAsia="宋体" w:cs="Times New Roman"/>
                      <w:color w:val="auto"/>
                    </w:rPr>
                  </w:pPr>
                  <w:r>
                    <w:rPr>
                      <w:rFonts w:ascii="Times New Roman" w:hAnsi="Times New Roman" w:eastAsia="宋体" w:cs="Times New Roman"/>
                      <w:color w:val="auto"/>
                    </w:rPr>
                    <w:t>1-3x2</w:t>
                  </w:r>
                </w:p>
              </w:tc>
              <w:tc>
                <w:tcPr>
                  <w:tcW w:w="423" w:type="pct"/>
                  <w:tcBorders>
                    <w:tl2br w:val="nil"/>
                    <w:tr2bl w:val="nil"/>
                  </w:tcBorders>
                  <w:vAlign w:val="center"/>
                </w:tcPr>
                <w:p w14:paraId="375FCA85">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034CB272">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2C00539D">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33F885B8">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68CF89AE">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7754424F">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407D084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0DA38CAC">
                  <w:pPr>
                    <w:pStyle w:val="65"/>
                    <w:rPr>
                      <w:rFonts w:ascii="Times New Roman" w:hAnsi="Times New Roman" w:eastAsia="宋体" w:cs="Times New Roman"/>
                      <w:color w:val="auto"/>
                    </w:rPr>
                  </w:pPr>
                  <w:r>
                    <w:rPr>
                      <w:rFonts w:ascii="Times New Roman" w:hAnsi="Times New Roman" w:eastAsia="宋体" w:cs="Times New Roman"/>
                      <w:color w:val="auto"/>
                    </w:rPr>
                    <w:t>19</w:t>
                  </w:r>
                </w:p>
              </w:tc>
              <w:tc>
                <w:tcPr>
                  <w:tcW w:w="629" w:type="pct"/>
                  <w:tcBorders>
                    <w:tl2br w:val="nil"/>
                    <w:tr2bl w:val="nil"/>
                  </w:tcBorders>
                  <w:vAlign w:val="center"/>
                </w:tcPr>
                <w:p w14:paraId="386C760D">
                  <w:pPr>
                    <w:pStyle w:val="65"/>
                    <w:rPr>
                      <w:rFonts w:ascii="Times New Roman" w:hAnsi="Times New Roman" w:eastAsia="宋体" w:cs="Times New Roman"/>
                      <w:color w:val="auto"/>
                    </w:rPr>
                  </w:pPr>
                  <w:r>
                    <w:rPr>
                      <w:rFonts w:ascii="Times New Roman" w:hAnsi="Times New Roman" w:eastAsia="宋体" w:cs="Times New Roman"/>
                      <w:color w:val="auto"/>
                    </w:rPr>
                    <w:t>K413+453.4</w:t>
                  </w:r>
                </w:p>
              </w:tc>
              <w:tc>
                <w:tcPr>
                  <w:tcW w:w="489" w:type="pct"/>
                  <w:tcBorders>
                    <w:tl2br w:val="nil"/>
                    <w:tr2bl w:val="nil"/>
                  </w:tcBorders>
                  <w:vAlign w:val="center"/>
                </w:tcPr>
                <w:p w14:paraId="0F133ECB">
                  <w:pPr>
                    <w:pStyle w:val="65"/>
                    <w:rPr>
                      <w:rFonts w:ascii="Times New Roman" w:hAnsi="Times New Roman" w:eastAsia="宋体" w:cs="Times New Roman"/>
                      <w:color w:val="auto"/>
                    </w:rPr>
                  </w:pPr>
                  <w:r>
                    <w:rPr>
                      <w:rFonts w:ascii="Times New Roman" w:hAnsi="Times New Roman" w:eastAsia="宋体" w:cs="Times New Roman"/>
                      <w:color w:val="auto"/>
                    </w:rPr>
                    <w:t>盖板涵</w:t>
                  </w:r>
                </w:p>
              </w:tc>
              <w:tc>
                <w:tcPr>
                  <w:tcW w:w="633" w:type="pct"/>
                  <w:tcBorders>
                    <w:tl2br w:val="nil"/>
                    <w:tr2bl w:val="nil"/>
                  </w:tcBorders>
                  <w:vAlign w:val="center"/>
                </w:tcPr>
                <w:p w14:paraId="4721AFF3">
                  <w:pPr>
                    <w:pStyle w:val="65"/>
                    <w:rPr>
                      <w:rFonts w:ascii="Times New Roman" w:hAnsi="Times New Roman" w:eastAsia="宋体" w:cs="Times New Roman"/>
                      <w:color w:val="auto"/>
                    </w:rPr>
                  </w:pPr>
                  <w:r>
                    <w:rPr>
                      <w:rFonts w:ascii="Times New Roman" w:hAnsi="Times New Roman" w:eastAsia="宋体" w:cs="Times New Roman"/>
                      <w:color w:val="auto"/>
                    </w:rPr>
                    <w:t>1-2x1.5</w:t>
                  </w:r>
                </w:p>
              </w:tc>
              <w:tc>
                <w:tcPr>
                  <w:tcW w:w="423" w:type="pct"/>
                  <w:tcBorders>
                    <w:tl2br w:val="nil"/>
                    <w:tr2bl w:val="nil"/>
                  </w:tcBorders>
                  <w:vAlign w:val="center"/>
                </w:tcPr>
                <w:p w14:paraId="6C439F07">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10CDA186">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59F553E2">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03B983EC">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394484EA">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2AB727D6">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r w14:paraId="1C7650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12" w:type="pct"/>
                  <w:tcBorders>
                    <w:tl2br w:val="nil"/>
                    <w:tr2bl w:val="nil"/>
                  </w:tcBorders>
                  <w:vAlign w:val="center"/>
                </w:tcPr>
                <w:p w14:paraId="178EDE14">
                  <w:pPr>
                    <w:pStyle w:val="65"/>
                    <w:rPr>
                      <w:rFonts w:ascii="Times New Roman" w:hAnsi="Times New Roman" w:eastAsia="宋体" w:cs="Times New Roman"/>
                      <w:color w:val="auto"/>
                    </w:rPr>
                  </w:pPr>
                  <w:r>
                    <w:rPr>
                      <w:rFonts w:ascii="Times New Roman" w:hAnsi="Times New Roman" w:eastAsia="宋体" w:cs="Times New Roman"/>
                      <w:color w:val="auto"/>
                    </w:rPr>
                    <w:t>20</w:t>
                  </w:r>
                </w:p>
              </w:tc>
              <w:tc>
                <w:tcPr>
                  <w:tcW w:w="629" w:type="pct"/>
                  <w:tcBorders>
                    <w:tl2br w:val="nil"/>
                    <w:tr2bl w:val="nil"/>
                  </w:tcBorders>
                  <w:vAlign w:val="center"/>
                </w:tcPr>
                <w:p w14:paraId="1E0DD242">
                  <w:pPr>
                    <w:pStyle w:val="65"/>
                    <w:rPr>
                      <w:rFonts w:ascii="Times New Roman" w:hAnsi="Times New Roman" w:eastAsia="宋体" w:cs="Times New Roman"/>
                      <w:color w:val="auto"/>
                    </w:rPr>
                  </w:pPr>
                  <w:r>
                    <w:rPr>
                      <w:rFonts w:ascii="Times New Roman" w:hAnsi="Times New Roman" w:eastAsia="宋体" w:cs="Times New Roman"/>
                      <w:color w:val="auto"/>
                    </w:rPr>
                    <w:t>K414+415.9</w:t>
                  </w:r>
                </w:p>
              </w:tc>
              <w:tc>
                <w:tcPr>
                  <w:tcW w:w="489" w:type="pct"/>
                  <w:tcBorders>
                    <w:tl2br w:val="nil"/>
                    <w:tr2bl w:val="nil"/>
                  </w:tcBorders>
                  <w:vAlign w:val="center"/>
                </w:tcPr>
                <w:p w14:paraId="282DABF2">
                  <w:pPr>
                    <w:pStyle w:val="65"/>
                    <w:rPr>
                      <w:rFonts w:ascii="Times New Roman" w:hAnsi="Times New Roman" w:eastAsia="宋体" w:cs="Times New Roman"/>
                      <w:color w:val="auto"/>
                    </w:rPr>
                  </w:pPr>
                  <w:r>
                    <w:rPr>
                      <w:rFonts w:ascii="Times New Roman" w:hAnsi="Times New Roman" w:eastAsia="宋体" w:cs="Times New Roman"/>
                      <w:color w:val="auto"/>
                    </w:rPr>
                    <w:t>圆管涵</w:t>
                  </w:r>
                </w:p>
              </w:tc>
              <w:tc>
                <w:tcPr>
                  <w:tcW w:w="633" w:type="pct"/>
                  <w:tcBorders>
                    <w:tl2br w:val="nil"/>
                    <w:tr2bl w:val="nil"/>
                  </w:tcBorders>
                  <w:vAlign w:val="center"/>
                </w:tcPr>
                <w:p w14:paraId="18728B32">
                  <w:pPr>
                    <w:pStyle w:val="65"/>
                    <w:rPr>
                      <w:rFonts w:ascii="Times New Roman" w:hAnsi="Times New Roman" w:eastAsia="宋体" w:cs="Times New Roman"/>
                      <w:color w:val="auto"/>
                    </w:rPr>
                  </w:pPr>
                  <w:r>
                    <w:rPr>
                      <w:rFonts w:ascii="Times New Roman" w:hAnsi="Times New Roman" w:eastAsia="宋体" w:cs="Times New Roman"/>
                      <w:color w:val="auto"/>
                    </w:rPr>
                    <w:t>1-Φ1.0</w:t>
                  </w:r>
                </w:p>
              </w:tc>
              <w:tc>
                <w:tcPr>
                  <w:tcW w:w="423" w:type="pct"/>
                  <w:tcBorders>
                    <w:tl2br w:val="nil"/>
                    <w:tr2bl w:val="nil"/>
                  </w:tcBorders>
                  <w:vAlign w:val="center"/>
                </w:tcPr>
                <w:p w14:paraId="283EBFFB">
                  <w:pPr>
                    <w:pStyle w:val="65"/>
                    <w:rPr>
                      <w:rFonts w:ascii="Times New Roman" w:hAnsi="Times New Roman" w:eastAsia="宋体" w:cs="Times New Roman"/>
                      <w:color w:val="auto"/>
                    </w:rPr>
                  </w:pPr>
                  <w:r>
                    <w:rPr>
                      <w:rFonts w:ascii="Times New Roman" w:hAnsi="Times New Roman" w:eastAsia="宋体" w:cs="Times New Roman"/>
                      <w:color w:val="auto"/>
                    </w:rPr>
                    <w:t>较差</w:t>
                  </w:r>
                </w:p>
              </w:tc>
              <w:tc>
                <w:tcPr>
                  <w:tcW w:w="493" w:type="pct"/>
                  <w:tcBorders>
                    <w:tl2br w:val="nil"/>
                    <w:tr2bl w:val="nil"/>
                  </w:tcBorders>
                  <w:vAlign w:val="center"/>
                </w:tcPr>
                <w:p w14:paraId="2CA3855E">
                  <w:pPr>
                    <w:pStyle w:val="65"/>
                    <w:rPr>
                      <w:rFonts w:ascii="Times New Roman" w:hAnsi="Times New Roman" w:eastAsia="宋体" w:cs="Times New Roman"/>
                      <w:color w:val="auto"/>
                    </w:rPr>
                  </w:pPr>
                  <w:r>
                    <w:rPr>
                      <w:rFonts w:ascii="Times New Roman" w:hAnsi="Times New Roman" w:eastAsia="宋体" w:cs="Times New Roman"/>
                      <w:color w:val="auto"/>
                    </w:rPr>
                    <w:t>八字墙</w:t>
                  </w:r>
                </w:p>
              </w:tc>
              <w:tc>
                <w:tcPr>
                  <w:tcW w:w="563" w:type="pct"/>
                  <w:tcBorders>
                    <w:tl2br w:val="nil"/>
                    <w:tr2bl w:val="nil"/>
                  </w:tcBorders>
                  <w:vAlign w:val="center"/>
                </w:tcPr>
                <w:p w14:paraId="09A1AA11">
                  <w:pPr>
                    <w:pStyle w:val="65"/>
                    <w:ind w:firstLine="210" w:firstLineChars="100"/>
                    <w:jc w:val="both"/>
                    <w:rPr>
                      <w:rFonts w:ascii="Times New Roman" w:hAnsi="Times New Roman" w:eastAsia="宋体" w:cs="Times New Roman"/>
                      <w:color w:val="auto"/>
                    </w:rPr>
                  </w:pPr>
                  <w:r>
                    <w:rPr>
                      <w:rFonts w:ascii="Times New Roman" w:hAnsi="Times New Roman" w:eastAsia="宋体" w:cs="Times New Roman"/>
                      <w:color w:val="auto"/>
                    </w:rPr>
                    <w:t>八字墙</w:t>
                  </w:r>
                </w:p>
              </w:tc>
              <w:tc>
                <w:tcPr>
                  <w:tcW w:w="423" w:type="pct"/>
                  <w:tcBorders>
                    <w:tl2br w:val="nil"/>
                    <w:tr2bl w:val="nil"/>
                  </w:tcBorders>
                  <w:vAlign w:val="center"/>
                </w:tcPr>
                <w:p w14:paraId="094C30FC">
                  <w:pPr>
                    <w:pStyle w:val="65"/>
                    <w:rPr>
                      <w:rFonts w:ascii="Times New Roman" w:hAnsi="Times New Roman" w:eastAsia="宋体" w:cs="Times New Roman"/>
                      <w:color w:val="auto"/>
                    </w:rPr>
                  </w:pPr>
                  <w:r>
                    <w:rPr>
                      <w:rFonts w:ascii="Times New Roman" w:hAnsi="Times New Roman" w:eastAsia="宋体" w:cs="Times New Roman"/>
                      <w:color w:val="auto"/>
                    </w:rPr>
                    <w:t>2012</w:t>
                  </w:r>
                </w:p>
              </w:tc>
              <w:tc>
                <w:tcPr>
                  <w:tcW w:w="563" w:type="pct"/>
                  <w:tcBorders>
                    <w:tl2br w:val="nil"/>
                    <w:tr2bl w:val="nil"/>
                  </w:tcBorders>
                  <w:vAlign w:val="center"/>
                </w:tcPr>
                <w:p w14:paraId="457DDBA4">
                  <w:pPr>
                    <w:pStyle w:val="65"/>
                    <w:rPr>
                      <w:rFonts w:ascii="Times New Roman" w:hAnsi="Times New Roman" w:eastAsia="宋体" w:cs="Times New Roman"/>
                      <w:color w:val="auto"/>
                    </w:rPr>
                  </w:pPr>
                  <w:r>
                    <w:rPr>
                      <w:rFonts w:ascii="Times New Roman" w:hAnsi="Times New Roman" w:eastAsia="宋体" w:cs="Times New Roman"/>
                      <w:color w:val="auto"/>
                    </w:rPr>
                    <w:t>是</w:t>
                  </w:r>
                </w:p>
              </w:tc>
              <w:tc>
                <w:tcPr>
                  <w:tcW w:w="572" w:type="pct"/>
                  <w:tcBorders>
                    <w:tl2br w:val="nil"/>
                    <w:tr2bl w:val="nil"/>
                  </w:tcBorders>
                  <w:vAlign w:val="center"/>
                </w:tcPr>
                <w:p w14:paraId="363EA717">
                  <w:pPr>
                    <w:pStyle w:val="65"/>
                    <w:rPr>
                      <w:rFonts w:ascii="Times New Roman" w:hAnsi="Times New Roman" w:eastAsia="宋体" w:cs="Times New Roman"/>
                      <w:color w:val="auto"/>
                    </w:rPr>
                  </w:pPr>
                  <w:r>
                    <w:rPr>
                      <w:rFonts w:ascii="Times New Roman" w:hAnsi="Times New Roman" w:eastAsia="宋体" w:cs="Times New Roman"/>
                      <w:color w:val="auto"/>
                    </w:rPr>
                    <w:t>维修利用</w:t>
                  </w:r>
                </w:p>
              </w:tc>
            </w:tr>
          </w:tbl>
          <w:p w14:paraId="7445835E">
            <w:pPr>
              <w:pStyle w:val="76"/>
              <w:rPr>
                <w:color w:val="auto"/>
              </w:rPr>
            </w:pPr>
            <w:r>
              <w:rPr>
                <w:rFonts w:hint="eastAsia"/>
                <w:color w:val="auto"/>
              </w:rPr>
              <w:t>7、</w:t>
            </w:r>
            <w:r>
              <w:rPr>
                <w:color w:val="auto"/>
              </w:rPr>
              <w:t>交叉工程</w:t>
            </w:r>
          </w:p>
          <w:p w14:paraId="0FCE72BE">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为设计速度60km/h的二级公路标准，共设置平面交叉58处，其中：与三级路交叉1处，与四级公路交叉10处，与等外道路交叉47处。经调查，由于既有道路被交道等级整体偏低，路面结构以土质路面为主，基本无铺装；全线被交叉路路面为水泥混凝土结构的交叉21处，路面为沥青混凝土结构的交叉3处。本次路面改造工程对被交路进行接高设计的同时，对接高路段及其加铺转角范围内的路面进行升级改造，方案与主线方案相仿，均按沥青混凝土路面进行改造。</w:t>
            </w:r>
          </w:p>
          <w:p w14:paraId="20AB48DC">
            <w:pPr>
              <w:pStyle w:val="72"/>
              <w:keepNext/>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表2-10  本项目交叉工程一览</w:t>
            </w:r>
            <w:r>
              <w:rPr>
                <w:rFonts w:hint="default" w:ascii="Times New Roman" w:hAnsi="Times New Roman" w:eastAsia="宋体" w:cs="Times New Roman"/>
                <w:color w:val="auto"/>
              </w:rPr>
              <w:t>表</w:t>
            </w:r>
          </w:p>
          <w:tbl>
            <w:tblPr>
              <w:tblStyle w:val="32"/>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3"/>
              <w:gridCol w:w="1286"/>
              <w:gridCol w:w="1145"/>
              <w:gridCol w:w="873"/>
              <w:gridCol w:w="518"/>
              <w:gridCol w:w="668"/>
              <w:gridCol w:w="622"/>
              <w:gridCol w:w="772"/>
              <w:gridCol w:w="555"/>
              <w:gridCol w:w="707"/>
            </w:tblGrid>
            <w:tr w14:paraId="35881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ED132CE">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序号</w:t>
                  </w:r>
                </w:p>
              </w:tc>
              <w:tc>
                <w:tcPr>
                  <w:tcW w:w="819" w:type="pct"/>
                  <w:vAlign w:val="center"/>
                </w:tcPr>
                <w:p w14:paraId="3E61BB78">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设计桩号</w:t>
                  </w:r>
                </w:p>
              </w:tc>
              <w:tc>
                <w:tcPr>
                  <w:tcW w:w="729" w:type="pct"/>
                  <w:vAlign w:val="center"/>
                </w:tcPr>
                <w:p w14:paraId="0271C159">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被交叉路名</w:t>
                  </w:r>
                </w:p>
              </w:tc>
              <w:tc>
                <w:tcPr>
                  <w:tcW w:w="556" w:type="pct"/>
                  <w:shd w:val="clear" w:color="auto" w:fill="auto"/>
                  <w:vAlign w:val="center"/>
                </w:tcPr>
                <w:p w14:paraId="002A5C8C">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交叉形式</w:t>
                  </w:r>
                </w:p>
              </w:tc>
              <w:tc>
                <w:tcPr>
                  <w:tcW w:w="329" w:type="pct"/>
                  <w:shd w:val="clear" w:color="auto" w:fill="auto"/>
                  <w:vAlign w:val="center"/>
                </w:tcPr>
                <w:p w14:paraId="76C816A8">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设计速度</w:t>
                  </w:r>
                </w:p>
              </w:tc>
              <w:tc>
                <w:tcPr>
                  <w:tcW w:w="425" w:type="pct"/>
                  <w:shd w:val="clear" w:color="auto" w:fill="auto"/>
                  <w:vAlign w:val="center"/>
                </w:tcPr>
                <w:p w14:paraId="2F8B4C30">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路基宽度</w:t>
                  </w:r>
                </w:p>
              </w:tc>
              <w:tc>
                <w:tcPr>
                  <w:tcW w:w="396" w:type="pct"/>
                  <w:shd w:val="clear" w:color="auto" w:fill="auto"/>
                  <w:vAlign w:val="center"/>
                </w:tcPr>
                <w:p w14:paraId="57C67151">
                  <w:pPr>
                    <w:pStyle w:val="65"/>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路面宽度</w:t>
                  </w:r>
                </w:p>
              </w:tc>
              <w:tc>
                <w:tcPr>
                  <w:tcW w:w="491" w:type="pct"/>
                  <w:shd w:val="clear" w:color="auto" w:fill="auto"/>
                  <w:vAlign w:val="center"/>
                </w:tcPr>
                <w:p w14:paraId="03299478">
                  <w:pPr>
                    <w:pStyle w:val="65"/>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路面类型</w:t>
                  </w:r>
                </w:p>
              </w:tc>
              <w:tc>
                <w:tcPr>
                  <w:tcW w:w="353" w:type="pct"/>
                  <w:vAlign w:val="center"/>
                </w:tcPr>
                <w:p w14:paraId="236D59A9">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交叉角度</w:t>
                  </w:r>
                </w:p>
              </w:tc>
              <w:tc>
                <w:tcPr>
                  <w:tcW w:w="450" w:type="pct"/>
                  <w:vAlign w:val="center"/>
                </w:tcPr>
                <w:p w14:paraId="1876A77B">
                  <w:pPr>
                    <w:pStyle w:val="65"/>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被交路修建长度</w:t>
                  </w:r>
                </w:p>
              </w:tc>
            </w:tr>
            <w:tr w14:paraId="7DF3B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8A34C8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w:t>
                  </w:r>
                </w:p>
              </w:tc>
              <w:tc>
                <w:tcPr>
                  <w:tcW w:w="819" w:type="pct"/>
                  <w:vAlign w:val="center"/>
                </w:tcPr>
                <w:p w14:paraId="6929B25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K370+275.0</w:t>
                  </w:r>
                </w:p>
              </w:tc>
              <w:tc>
                <w:tcPr>
                  <w:tcW w:w="729" w:type="pct"/>
                  <w:vAlign w:val="center"/>
                </w:tcPr>
                <w:p w14:paraId="646856B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32838B5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2CFCA84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AB0B98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66C8ADE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54A5D2D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CBB175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3B822E6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2C487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DFD2F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819" w:type="pct"/>
                  <w:vAlign w:val="center"/>
                </w:tcPr>
                <w:p w14:paraId="6AB3E3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K370+590.0</w:t>
                  </w:r>
                </w:p>
              </w:tc>
              <w:tc>
                <w:tcPr>
                  <w:tcW w:w="729" w:type="pct"/>
                  <w:vAlign w:val="center"/>
                </w:tcPr>
                <w:p w14:paraId="5314995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Y004</w:t>
                  </w:r>
                </w:p>
              </w:tc>
              <w:tc>
                <w:tcPr>
                  <w:tcW w:w="556" w:type="pct"/>
                  <w:vAlign w:val="center"/>
                </w:tcPr>
                <w:p w14:paraId="2C34D4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8FEBDB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8AFF5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c>
                <w:tcPr>
                  <w:tcW w:w="396" w:type="pct"/>
                  <w:vAlign w:val="center"/>
                </w:tcPr>
                <w:p w14:paraId="1313DCB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7013F4C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2505A3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2D1EAAB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13</w:t>
                  </w:r>
                </w:p>
              </w:tc>
            </w:tr>
            <w:tr w14:paraId="1A770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B9D82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w:t>
                  </w:r>
                </w:p>
              </w:tc>
              <w:tc>
                <w:tcPr>
                  <w:tcW w:w="819" w:type="pct"/>
                  <w:vAlign w:val="center"/>
                </w:tcPr>
                <w:p w14:paraId="18E8E6E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K371+753.0</w:t>
                  </w:r>
                </w:p>
              </w:tc>
              <w:tc>
                <w:tcPr>
                  <w:tcW w:w="729" w:type="pct"/>
                  <w:vAlign w:val="center"/>
                </w:tcPr>
                <w:p w14:paraId="0AC012B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02C3FA2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29F4BD4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6C3C7C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10.5</w:t>
                  </w:r>
                </w:p>
              </w:tc>
              <w:tc>
                <w:tcPr>
                  <w:tcW w:w="396" w:type="pct"/>
                  <w:vAlign w:val="center"/>
                </w:tcPr>
                <w:p w14:paraId="7FE4FB9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w:t>
                  </w:r>
                </w:p>
              </w:tc>
              <w:tc>
                <w:tcPr>
                  <w:tcW w:w="491" w:type="pct"/>
                  <w:vAlign w:val="center"/>
                </w:tcPr>
                <w:p w14:paraId="7A386DD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8F1289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1EEF0D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r>
            <w:tr w14:paraId="501FA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73D88E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819" w:type="pct"/>
                  <w:vAlign w:val="center"/>
                </w:tcPr>
                <w:p w14:paraId="5ADE364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K372+686.0</w:t>
                  </w:r>
                </w:p>
              </w:tc>
              <w:tc>
                <w:tcPr>
                  <w:tcW w:w="729" w:type="pct"/>
                  <w:vAlign w:val="center"/>
                </w:tcPr>
                <w:p w14:paraId="5DCFF61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3A437B3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0BE2D31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A76838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6.5/4.5</w:t>
                  </w:r>
                </w:p>
              </w:tc>
              <w:tc>
                <w:tcPr>
                  <w:tcW w:w="396" w:type="pct"/>
                  <w:vAlign w:val="center"/>
                </w:tcPr>
                <w:p w14:paraId="2EDB090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6.5/3.5</w:t>
                  </w:r>
                </w:p>
              </w:tc>
              <w:tc>
                <w:tcPr>
                  <w:tcW w:w="491" w:type="pct"/>
                  <w:vAlign w:val="center"/>
                </w:tcPr>
                <w:p w14:paraId="0995D98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4B8873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450" w:type="pct"/>
                  <w:vAlign w:val="center"/>
                </w:tcPr>
                <w:p w14:paraId="698E02E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15/10</w:t>
                  </w:r>
                </w:p>
              </w:tc>
            </w:tr>
            <w:tr w14:paraId="3E83F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0E7C24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819" w:type="pct"/>
                  <w:vAlign w:val="center"/>
                </w:tcPr>
                <w:p w14:paraId="403EB9E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K373+352.0</w:t>
                  </w:r>
                </w:p>
              </w:tc>
              <w:tc>
                <w:tcPr>
                  <w:tcW w:w="729" w:type="pct"/>
                  <w:vAlign w:val="center"/>
                </w:tcPr>
                <w:p w14:paraId="1B85FE6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49AD013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02E6876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4EEEE0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w:t>
                  </w:r>
                </w:p>
              </w:tc>
              <w:tc>
                <w:tcPr>
                  <w:tcW w:w="396" w:type="pct"/>
                  <w:vAlign w:val="center"/>
                </w:tcPr>
                <w:p w14:paraId="69E7964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c>
                <w:tcPr>
                  <w:tcW w:w="491" w:type="pct"/>
                  <w:vAlign w:val="center"/>
                </w:tcPr>
                <w:p w14:paraId="755AF1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8A2E63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6EA843B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r>
            <w:tr w14:paraId="711F2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9DEECB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819" w:type="pct"/>
                  <w:vAlign w:val="center"/>
                </w:tcPr>
                <w:p w14:paraId="01C19DC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K373+915.0</w:t>
                  </w:r>
                </w:p>
              </w:tc>
              <w:tc>
                <w:tcPr>
                  <w:tcW w:w="729" w:type="pct"/>
                  <w:vAlign w:val="center"/>
                </w:tcPr>
                <w:p w14:paraId="2373CC5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410F174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22722D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69A6E46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E9E745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EF394D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A5D435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5F3E85B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62F56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66F3EC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c>
                <w:tcPr>
                  <w:tcW w:w="819" w:type="pct"/>
                  <w:vAlign w:val="center"/>
                </w:tcPr>
                <w:p w14:paraId="4027B2F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K376+542.2</w:t>
                  </w:r>
                </w:p>
              </w:tc>
              <w:tc>
                <w:tcPr>
                  <w:tcW w:w="729" w:type="pct"/>
                  <w:vAlign w:val="center"/>
                </w:tcPr>
                <w:p w14:paraId="6CC7D7F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BB0057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4B703CD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6B6568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3DE9871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43718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E9ECD2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w:t>
                  </w:r>
                </w:p>
              </w:tc>
              <w:tc>
                <w:tcPr>
                  <w:tcW w:w="450" w:type="pct"/>
                  <w:vAlign w:val="center"/>
                </w:tcPr>
                <w:p w14:paraId="43356A7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 xml:space="preserve">30 </w:t>
                  </w:r>
                </w:p>
              </w:tc>
            </w:tr>
            <w:tr w14:paraId="78EF1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4B1322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w:t>
                  </w:r>
                </w:p>
              </w:tc>
              <w:tc>
                <w:tcPr>
                  <w:tcW w:w="819" w:type="pct"/>
                  <w:vAlign w:val="center"/>
                </w:tcPr>
                <w:p w14:paraId="2616911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K377+315.0</w:t>
                  </w:r>
                </w:p>
              </w:tc>
              <w:tc>
                <w:tcPr>
                  <w:tcW w:w="729" w:type="pct"/>
                  <w:vAlign w:val="center"/>
                </w:tcPr>
                <w:p w14:paraId="07B24A9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S314</w:t>
                  </w:r>
                </w:p>
              </w:tc>
              <w:tc>
                <w:tcPr>
                  <w:tcW w:w="556" w:type="pct"/>
                  <w:vAlign w:val="center"/>
                </w:tcPr>
                <w:p w14:paraId="352CDE9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7BE1D8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c>
                <w:tcPr>
                  <w:tcW w:w="425" w:type="pct"/>
                  <w:vAlign w:val="center"/>
                </w:tcPr>
                <w:p w14:paraId="7509375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w:t>
                  </w:r>
                </w:p>
              </w:tc>
              <w:tc>
                <w:tcPr>
                  <w:tcW w:w="396" w:type="pct"/>
                  <w:vAlign w:val="center"/>
                </w:tcPr>
                <w:p w14:paraId="5072096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15D79B9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47F90F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31B221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2E2F9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20B3BC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w:t>
                  </w:r>
                </w:p>
              </w:tc>
              <w:tc>
                <w:tcPr>
                  <w:tcW w:w="819" w:type="pct"/>
                  <w:vAlign w:val="center"/>
                </w:tcPr>
                <w:p w14:paraId="336C011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K380+700.0</w:t>
                  </w:r>
                </w:p>
              </w:tc>
              <w:tc>
                <w:tcPr>
                  <w:tcW w:w="729" w:type="pct"/>
                  <w:vAlign w:val="center"/>
                </w:tcPr>
                <w:p w14:paraId="22F7D53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厂区大门</w:t>
                  </w:r>
                </w:p>
              </w:tc>
              <w:tc>
                <w:tcPr>
                  <w:tcW w:w="556" w:type="pct"/>
                  <w:vAlign w:val="center"/>
                </w:tcPr>
                <w:p w14:paraId="1DDCBED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5AB46B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635958C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2673E90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42EF606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AB2F3C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199BD1D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r>
            <w:tr w14:paraId="3D559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D93881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c>
                <w:tcPr>
                  <w:tcW w:w="819" w:type="pct"/>
                  <w:vAlign w:val="center"/>
                </w:tcPr>
                <w:p w14:paraId="6A4D157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K381+161.0</w:t>
                  </w:r>
                </w:p>
              </w:tc>
              <w:tc>
                <w:tcPr>
                  <w:tcW w:w="729" w:type="pct"/>
                  <w:vAlign w:val="center"/>
                </w:tcPr>
                <w:p w14:paraId="554B270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厂区大门</w:t>
                  </w:r>
                </w:p>
              </w:tc>
              <w:tc>
                <w:tcPr>
                  <w:tcW w:w="556" w:type="pct"/>
                  <w:vAlign w:val="center"/>
                </w:tcPr>
                <w:p w14:paraId="5B2A29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11B9E93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63E42A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w:t>
                  </w:r>
                </w:p>
              </w:tc>
              <w:tc>
                <w:tcPr>
                  <w:tcW w:w="396" w:type="pct"/>
                  <w:vAlign w:val="center"/>
                </w:tcPr>
                <w:p w14:paraId="10DC027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491" w:type="pct"/>
                  <w:vAlign w:val="center"/>
                </w:tcPr>
                <w:p w14:paraId="67CECA3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43F721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47AD737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03231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F34FFB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w:t>
                  </w:r>
                </w:p>
              </w:tc>
              <w:tc>
                <w:tcPr>
                  <w:tcW w:w="819" w:type="pct"/>
                  <w:vAlign w:val="center"/>
                </w:tcPr>
                <w:p w14:paraId="764CD5D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K381+542.0</w:t>
                  </w:r>
                </w:p>
              </w:tc>
              <w:tc>
                <w:tcPr>
                  <w:tcW w:w="729" w:type="pct"/>
                  <w:vAlign w:val="center"/>
                </w:tcPr>
                <w:p w14:paraId="3BA9CA9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6C05CD4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0A21358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93BB7F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64B49A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1169419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6E6490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87</w:t>
                  </w:r>
                </w:p>
              </w:tc>
              <w:tc>
                <w:tcPr>
                  <w:tcW w:w="450" w:type="pct"/>
                  <w:vAlign w:val="center"/>
                </w:tcPr>
                <w:p w14:paraId="4B4BFCE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14DF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5E7D11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p>
              </w:tc>
              <w:tc>
                <w:tcPr>
                  <w:tcW w:w="819" w:type="pct"/>
                  <w:vAlign w:val="center"/>
                </w:tcPr>
                <w:p w14:paraId="51901F4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K381+959.0</w:t>
                  </w:r>
                </w:p>
              </w:tc>
              <w:tc>
                <w:tcPr>
                  <w:tcW w:w="729" w:type="pct"/>
                  <w:vAlign w:val="center"/>
                </w:tcPr>
                <w:p w14:paraId="1044F3F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2B80838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3794FAA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1C7619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373130A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06FDD76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8BF1AC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35A0CE1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73383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2E684F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13</w:t>
                  </w:r>
                </w:p>
              </w:tc>
              <w:tc>
                <w:tcPr>
                  <w:tcW w:w="819" w:type="pct"/>
                  <w:vAlign w:val="center"/>
                </w:tcPr>
                <w:p w14:paraId="0BC09F8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K382+699.0</w:t>
                  </w:r>
                </w:p>
              </w:tc>
              <w:tc>
                <w:tcPr>
                  <w:tcW w:w="729" w:type="pct"/>
                  <w:vAlign w:val="center"/>
                </w:tcPr>
                <w:p w14:paraId="7ED01EB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0FC31BC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5568FE1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5B724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w:t>
                  </w:r>
                </w:p>
              </w:tc>
              <w:tc>
                <w:tcPr>
                  <w:tcW w:w="396" w:type="pct"/>
                  <w:vAlign w:val="center"/>
                </w:tcPr>
                <w:p w14:paraId="53BB6D0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c>
                <w:tcPr>
                  <w:tcW w:w="491" w:type="pct"/>
                  <w:vAlign w:val="center"/>
                </w:tcPr>
                <w:p w14:paraId="5438EBF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955F54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70</w:t>
                  </w:r>
                </w:p>
              </w:tc>
              <w:tc>
                <w:tcPr>
                  <w:tcW w:w="450" w:type="pct"/>
                  <w:vAlign w:val="center"/>
                </w:tcPr>
                <w:p w14:paraId="3972F19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E8CE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C868D0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14</w:t>
                  </w:r>
                </w:p>
              </w:tc>
              <w:tc>
                <w:tcPr>
                  <w:tcW w:w="819" w:type="pct"/>
                  <w:vAlign w:val="center"/>
                </w:tcPr>
                <w:p w14:paraId="3F45F02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K383+002.0</w:t>
                  </w:r>
                </w:p>
              </w:tc>
              <w:tc>
                <w:tcPr>
                  <w:tcW w:w="729" w:type="pct"/>
                  <w:vAlign w:val="center"/>
                </w:tcPr>
                <w:p w14:paraId="2E43F67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37E379B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518CCF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BCC8A2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2DC7394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676740A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C26234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450" w:type="pct"/>
                  <w:vAlign w:val="center"/>
                </w:tcPr>
                <w:p w14:paraId="5B474BF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06D66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A45CA8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c>
                <w:tcPr>
                  <w:tcW w:w="819" w:type="pct"/>
                  <w:vAlign w:val="center"/>
                </w:tcPr>
                <w:p w14:paraId="1CDC58B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K383+333.0</w:t>
                  </w:r>
                </w:p>
              </w:tc>
              <w:tc>
                <w:tcPr>
                  <w:tcW w:w="729" w:type="pct"/>
                  <w:vAlign w:val="center"/>
                </w:tcPr>
                <w:p w14:paraId="24BAF20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4152668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333851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380EE0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B6FAA1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6DF188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3E3666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c>
                <w:tcPr>
                  <w:tcW w:w="450" w:type="pct"/>
                  <w:vAlign w:val="center"/>
                </w:tcPr>
                <w:p w14:paraId="2B698C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r>
            <w:tr w14:paraId="43AE4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9CDACD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16</w:t>
                  </w:r>
                </w:p>
              </w:tc>
              <w:tc>
                <w:tcPr>
                  <w:tcW w:w="819" w:type="pct"/>
                  <w:vAlign w:val="center"/>
                </w:tcPr>
                <w:p w14:paraId="29E53B5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K383+784.0</w:t>
                  </w:r>
                </w:p>
              </w:tc>
              <w:tc>
                <w:tcPr>
                  <w:tcW w:w="729" w:type="pct"/>
                  <w:vAlign w:val="center"/>
                </w:tcPr>
                <w:p w14:paraId="71272B6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510E1A6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7A79E16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6379E7F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31A9109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F79F84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51E36B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72F6B59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6A74B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CEFDEE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w:t>
                  </w:r>
                </w:p>
              </w:tc>
              <w:tc>
                <w:tcPr>
                  <w:tcW w:w="819" w:type="pct"/>
                  <w:vAlign w:val="center"/>
                </w:tcPr>
                <w:p w14:paraId="6ECA7CA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K384+870.0</w:t>
                  </w:r>
                </w:p>
              </w:tc>
              <w:tc>
                <w:tcPr>
                  <w:tcW w:w="729" w:type="pct"/>
                  <w:vAlign w:val="center"/>
                </w:tcPr>
                <w:p w14:paraId="1E4C22B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5D6D465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7310EC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31518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03C19E5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F8FD1D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8AC24D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028B8BD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09B0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0296A0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w:t>
                  </w:r>
                </w:p>
              </w:tc>
              <w:tc>
                <w:tcPr>
                  <w:tcW w:w="819" w:type="pct"/>
                  <w:vAlign w:val="center"/>
                </w:tcPr>
                <w:p w14:paraId="7649DFE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K386+910.0</w:t>
                  </w:r>
                </w:p>
              </w:tc>
              <w:tc>
                <w:tcPr>
                  <w:tcW w:w="729" w:type="pct"/>
                  <w:vAlign w:val="center"/>
                </w:tcPr>
                <w:p w14:paraId="321B4FD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008374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778DCA6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843650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483EE86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FE1B3E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F12142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375A480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4935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F9F134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19</w:t>
                  </w:r>
                </w:p>
              </w:tc>
              <w:tc>
                <w:tcPr>
                  <w:tcW w:w="819" w:type="pct"/>
                  <w:vAlign w:val="center"/>
                </w:tcPr>
                <w:p w14:paraId="306A690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K387+572.0</w:t>
                  </w:r>
                </w:p>
              </w:tc>
              <w:tc>
                <w:tcPr>
                  <w:tcW w:w="729" w:type="pct"/>
                  <w:vAlign w:val="center"/>
                </w:tcPr>
                <w:p w14:paraId="3B8941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3077E57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77CE315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342450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59C3D63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5D15DF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8771AD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450" w:type="pct"/>
                  <w:vAlign w:val="center"/>
                </w:tcPr>
                <w:p w14:paraId="13B3C20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 xml:space="preserve">30 </w:t>
                  </w:r>
                </w:p>
              </w:tc>
            </w:tr>
            <w:tr w14:paraId="5A7C0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DD090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819" w:type="pct"/>
                  <w:vAlign w:val="center"/>
                </w:tcPr>
                <w:p w14:paraId="74A2E13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K388+601.0</w:t>
                  </w:r>
                </w:p>
              </w:tc>
              <w:tc>
                <w:tcPr>
                  <w:tcW w:w="729" w:type="pct"/>
                  <w:vAlign w:val="center"/>
                </w:tcPr>
                <w:p w14:paraId="264C4D8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40848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1E85A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27F625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311A7D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201F2F9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C9317F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4EDFEAB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EBC2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C33505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w:t>
                  </w:r>
                </w:p>
              </w:tc>
              <w:tc>
                <w:tcPr>
                  <w:tcW w:w="819" w:type="pct"/>
                  <w:vAlign w:val="center"/>
                </w:tcPr>
                <w:p w14:paraId="4B92218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K389+660.0</w:t>
                  </w:r>
                </w:p>
              </w:tc>
              <w:tc>
                <w:tcPr>
                  <w:tcW w:w="729" w:type="pct"/>
                  <w:vAlign w:val="center"/>
                </w:tcPr>
                <w:p w14:paraId="2C0E74C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05E2BE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127EAE2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C74989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F4AA7B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49A2FC3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AB3C2B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450" w:type="pct"/>
                  <w:vAlign w:val="center"/>
                </w:tcPr>
                <w:p w14:paraId="42DF745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15/15</w:t>
                  </w:r>
                </w:p>
              </w:tc>
            </w:tr>
            <w:tr w14:paraId="21B91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CACBD7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w:t>
                  </w:r>
                </w:p>
              </w:tc>
              <w:tc>
                <w:tcPr>
                  <w:tcW w:w="819" w:type="pct"/>
                  <w:vAlign w:val="center"/>
                </w:tcPr>
                <w:p w14:paraId="4B2EF57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K390+505.0</w:t>
                  </w:r>
                </w:p>
              </w:tc>
              <w:tc>
                <w:tcPr>
                  <w:tcW w:w="729" w:type="pct"/>
                  <w:vAlign w:val="center"/>
                </w:tcPr>
                <w:p w14:paraId="281790A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0F16AB7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5B77C67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FC563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w:t>
                  </w:r>
                </w:p>
              </w:tc>
              <w:tc>
                <w:tcPr>
                  <w:tcW w:w="396" w:type="pct"/>
                  <w:vAlign w:val="center"/>
                </w:tcPr>
                <w:p w14:paraId="2069025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0C46BFE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9FC926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70</w:t>
                  </w:r>
                </w:p>
              </w:tc>
              <w:tc>
                <w:tcPr>
                  <w:tcW w:w="450" w:type="pct"/>
                  <w:vAlign w:val="center"/>
                </w:tcPr>
                <w:p w14:paraId="6779820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15/20</w:t>
                  </w:r>
                </w:p>
              </w:tc>
            </w:tr>
            <w:tr w14:paraId="24882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FC5452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w:t>
                  </w:r>
                </w:p>
              </w:tc>
              <w:tc>
                <w:tcPr>
                  <w:tcW w:w="819" w:type="pct"/>
                  <w:vAlign w:val="center"/>
                </w:tcPr>
                <w:p w14:paraId="3D07D56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K390+820.0</w:t>
                  </w:r>
                </w:p>
              </w:tc>
              <w:tc>
                <w:tcPr>
                  <w:tcW w:w="729" w:type="pct"/>
                  <w:vAlign w:val="center"/>
                </w:tcPr>
                <w:p w14:paraId="515B122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46C9BF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067A84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113F4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5D797A7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5CD4D4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AF1FE1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6221CEC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236C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A02082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w:t>
                  </w:r>
                </w:p>
              </w:tc>
              <w:tc>
                <w:tcPr>
                  <w:tcW w:w="819" w:type="pct"/>
                  <w:vAlign w:val="center"/>
                </w:tcPr>
                <w:p w14:paraId="6FC5CD1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K392+450.0</w:t>
                  </w:r>
                </w:p>
              </w:tc>
              <w:tc>
                <w:tcPr>
                  <w:tcW w:w="729" w:type="pct"/>
                  <w:vAlign w:val="center"/>
                </w:tcPr>
                <w:p w14:paraId="784D264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3E75507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BED3D6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3E918D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396" w:type="pct"/>
                  <w:vAlign w:val="center"/>
                </w:tcPr>
                <w:p w14:paraId="0A9994B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491" w:type="pct"/>
                  <w:vAlign w:val="center"/>
                </w:tcPr>
                <w:p w14:paraId="16A042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4A0373F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w:t>
                  </w:r>
                </w:p>
              </w:tc>
              <w:tc>
                <w:tcPr>
                  <w:tcW w:w="450" w:type="pct"/>
                  <w:vAlign w:val="center"/>
                </w:tcPr>
                <w:p w14:paraId="3553E4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76B5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1FF394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25</w:t>
                  </w:r>
                </w:p>
              </w:tc>
              <w:tc>
                <w:tcPr>
                  <w:tcW w:w="819" w:type="pct"/>
                  <w:vAlign w:val="center"/>
                </w:tcPr>
                <w:p w14:paraId="3E07D63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K393+345.0</w:t>
                  </w:r>
                </w:p>
              </w:tc>
              <w:tc>
                <w:tcPr>
                  <w:tcW w:w="729" w:type="pct"/>
                  <w:vAlign w:val="center"/>
                </w:tcPr>
                <w:p w14:paraId="375678C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67538F2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654AEFB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4853BD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192A546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1CCA0E6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D8C9EC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7CFE576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4373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57574C7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26</w:t>
                  </w:r>
                </w:p>
              </w:tc>
              <w:tc>
                <w:tcPr>
                  <w:tcW w:w="819" w:type="pct"/>
                  <w:vAlign w:val="center"/>
                </w:tcPr>
                <w:p w14:paraId="7133100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K393+760.0</w:t>
                  </w:r>
                </w:p>
              </w:tc>
              <w:tc>
                <w:tcPr>
                  <w:tcW w:w="729" w:type="pct"/>
                  <w:vAlign w:val="center"/>
                </w:tcPr>
                <w:p w14:paraId="01F3133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410C7B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176C69F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641636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4D553D4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7BC868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E6150A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w:t>
                  </w:r>
                </w:p>
              </w:tc>
              <w:tc>
                <w:tcPr>
                  <w:tcW w:w="450" w:type="pct"/>
                  <w:vAlign w:val="center"/>
                </w:tcPr>
                <w:p w14:paraId="48F0ABE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17068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034584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27</w:t>
                  </w:r>
                </w:p>
              </w:tc>
              <w:tc>
                <w:tcPr>
                  <w:tcW w:w="819" w:type="pct"/>
                  <w:vAlign w:val="center"/>
                </w:tcPr>
                <w:p w14:paraId="2D0D222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K394+080.0</w:t>
                  </w:r>
                </w:p>
              </w:tc>
              <w:tc>
                <w:tcPr>
                  <w:tcW w:w="729" w:type="pct"/>
                  <w:vAlign w:val="center"/>
                </w:tcPr>
                <w:p w14:paraId="2758CA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177FED6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D076C3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E07175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57203E2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4058E43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386872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450" w:type="pct"/>
                  <w:vAlign w:val="center"/>
                </w:tcPr>
                <w:p w14:paraId="1AC1F23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6D8DB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CC793D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28</w:t>
                  </w:r>
                </w:p>
              </w:tc>
              <w:tc>
                <w:tcPr>
                  <w:tcW w:w="819" w:type="pct"/>
                  <w:vAlign w:val="center"/>
                </w:tcPr>
                <w:p w14:paraId="0B1758B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K394+502.0</w:t>
                  </w:r>
                </w:p>
              </w:tc>
              <w:tc>
                <w:tcPr>
                  <w:tcW w:w="729" w:type="pct"/>
                  <w:vAlign w:val="center"/>
                </w:tcPr>
                <w:p w14:paraId="2421753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A91A1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7F9313E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BAD94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16B6E10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1A1FB82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2947A0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1F1DA88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7974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227266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29</w:t>
                  </w:r>
                </w:p>
              </w:tc>
              <w:tc>
                <w:tcPr>
                  <w:tcW w:w="819" w:type="pct"/>
                  <w:vAlign w:val="center"/>
                </w:tcPr>
                <w:p w14:paraId="78DE6DC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K394+832.0</w:t>
                  </w:r>
                </w:p>
              </w:tc>
              <w:tc>
                <w:tcPr>
                  <w:tcW w:w="729" w:type="pct"/>
                  <w:vAlign w:val="center"/>
                </w:tcPr>
                <w:p w14:paraId="0062499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F69345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32414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D20A2E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2A0D3A4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D4804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C0E273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70</w:t>
                  </w:r>
                </w:p>
              </w:tc>
              <w:tc>
                <w:tcPr>
                  <w:tcW w:w="450" w:type="pct"/>
                  <w:vAlign w:val="center"/>
                </w:tcPr>
                <w:p w14:paraId="60CAEF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61275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F8F15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w:t>
                  </w:r>
                </w:p>
              </w:tc>
              <w:tc>
                <w:tcPr>
                  <w:tcW w:w="819" w:type="pct"/>
                  <w:vAlign w:val="center"/>
                </w:tcPr>
                <w:p w14:paraId="38618AC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K395+135.0</w:t>
                  </w:r>
                </w:p>
              </w:tc>
              <w:tc>
                <w:tcPr>
                  <w:tcW w:w="729" w:type="pct"/>
                  <w:vAlign w:val="center"/>
                </w:tcPr>
                <w:p w14:paraId="68200DE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9F594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2C10724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6873A3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BF7D6B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07E3F6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064F2F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446E25D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2ED5F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C5FF10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31</w:t>
                  </w:r>
                </w:p>
              </w:tc>
              <w:tc>
                <w:tcPr>
                  <w:tcW w:w="819" w:type="pct"/>
                  <w:vAlign w:val="center"/>
                </w:tcPr>
                <w:p w14:paraId="028BAF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K395+800.0</w:t>
                  </w:r>
                </w:p>
              </w:tc>
              <w:tc>
                <w:tcPr>
                  <w:tcW w:w="729" w:type="pct"/>
                  <w:vAlign w:val="center"/>
                </w:tcPr>
                <w:p w14:paraId="0642B05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678310C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4D410BA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8E8E4C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3C08540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27C742E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7EC0A1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76BE4EC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5F630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8BCFC7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32</w:t>
                  </w:r>
                </w:p>
              </w:tc>
              <w:tc>
                <w:tcPr>
                  <w:tcW w:w="819" w:type="pct"/>
                  <w:vAlign w:val="center"/>
                </w:tcPr>
                <w:p w14:paraId="5380561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K396+835.0</w:t>
                  </w:r>
                </w:p>
              </w:tc>
              <w:tc>
                <w:tcPr>
                  <w:tcW w:w="729" w:type="pct"/>
                  <w:vAlign w:val="center"/>
                </w:tcPr>
                <w:p w14:paraId="6DE77B0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402AD1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7BBA694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4FDDCA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59314EF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35365FC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77CA7E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1767D5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54CDC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8AFC5C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33</w:t>
                  </w:r>
                </w:p>
              </w:tc>
              <w:tc>
                <w:tcPr>
                  <w:tcW w:w="819" w:type="pct"/>
                  <w:vAlign w:val="center"/>
                </w:tcPr>
                <w:p w14:paraId="17570E1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K397+806.0</w:t>
                  </w:r>
                </w:p>
              </w:tc>
              <w:tc>
                <w:tcPr>
                  <w:tcW w:w="729" w:type="pct"/>
                  <w:vAlign w:val="center"/>
                </w:tcPr>
                <w:p w14:paraId="79A2D3D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07B8C16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2C9A60B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731A08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96DCB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4BD7355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7A4DE4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019B0EE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7B409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E41B6A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34</w:t>
                  </w:r>
                </w:p>
              </w:tc>
              <w:tc>
                <w:tcPr>
                  <w:tcW w:w="819" w:type="pct"/>
                  <w:vAlign w:val="center"/>
                </w:tcPr>
                <w:p w14:paraId="1EAE2DA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K398+139.0</w:t>
                  </w:r>
                </w:p>
              </w:tc>
              <w:tc>
                <w:tcPr>
                  <w:tcW w:w="729" w:type="pct"/>
                  <w:vAlign w:val="center"/>
                </w:tcPr>
                <w:p w14:paraId="73E395B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25D33AB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2A149F9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686F1B9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5F1C74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189D11E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78A8AF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5860366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r>
            <w:tr w14:paraId="68BAD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9BA0D3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819" w:type="pct"/>
                  <w:vAlign w:val="center"/>
                </w:tcPr>
                <w:p w14:paraId="71AB024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K398+525.0</w:t>
                  </w:r>
                </w:p>
              </w:tc>
              <w:tc>
                <w:tcPr>
                  <w:tcW w:w="729" w:type="pct"/>
                  <w:vAlign w:val="center"/>
                </w:tcPr>
                <w:p w14:paraId="742C06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C20986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E299A3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54738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91575B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73CCE5F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9D3031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c>
                <w:tcPr>
                  <w:tcW w:w="450" w:type="pct"/>
                  <w:vAlign w:val="center"/>
                </w:tcPr>
                <w:p w14:paraId="18BF46D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2D90E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11C61A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36</w:t>
                  </w:r>
                </w:p>
              </w:tc>
              <w:tc>
                <w:tcPr>
                  <w:tcW w:w="819" w:type="pct"/>
                  <w:vAlign w:val="center"/>
                </w:tcPr>
                <w:p w14:paraId="1557EBD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K398+862.0</w:t>
                  </w:r>
                </w:p>
              </w:tc>
              <w:tc>
                <w:tcPr>
                  <w:tcW w:w="729" w:type="pct"/>
                  <w:vAlign w:val="center"/>
                </w:tcPr>
                <w:p w14:paraId="7E8A4F3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F12F6E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5A87D2D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3C87B9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396" w:type="pct"/>
                  <w:vAlign w:val="center"/>
                </w:tcPr>
                <w:p w14:paraId="70272E0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91" w:type="pct"/>
                  <w:vAlign w:val="center"/>
                </w:tcPr>
                <w:p w14:paraId="1421E8F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6BF91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70</w:t>
                  </w:r>
                </w:p>
              </w:tc>
              <w:tc>
                <w:tcPr>
                  <w:tcW w:w="450" w:type="pct"/>
                  <w:vAlign w:val="center"/>
                </w:tcPr>
                <w:p w14:paraId="2E6D2BA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691A2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46262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37</w:t>
                  </w:r>
                </w:p>
              </w:tc>
              <w:tc>
                <w:tcPr>
                  <w:tcW w:w="819" w:type="pct"/>
                  <w:vAlign w:val="center"/>
                </w:tcPr>
                <w:p w14:paraId="4EC9AD3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K399+310.0</w:t>
                  </w:r>
                </w:p>
              </w:tc>
              <w:tc>
                <w:tcPr>
                  <w:tcW w:w="729" w:type="pct"/>
                  <w:vAlign w:val="center"/>
                </w:tcPr>
                <w:p w14:paraId="4C62C13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B2DB8C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6EBF9B7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503518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562059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C2B4D0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9A4E66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0A04C9E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7DCAB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5862C7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38</w:t>
                  </w:r>
                </w:p>
              </w:tc>
              <w:tc>
                <w:tcPr>
                  <w:tcW w:w="819" w:type="pct"/>
                  <w:vAlign w:val="center"/>
                </w:tcPr>
                <w:p w14:paraId="1E9CEF6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K400+080.0</w:t>
                  </w:r>
                </w:p>
              </w:tc>
              <w:tc>
                <w:tcPr>
                  <w:tcW w:w="729" w:type="pct"/>
                  <w:vAlign w:val="center"/>
                </w:tcPr>
                <w:p w14:paraId="6BD6128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FBA715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2E1E18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C31A23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BDAD3A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6DABEEA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7AEC62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76754E0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7380A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7181F91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39</w:t>
                  </w:r>
                </w:p>
              </w:tc>
              <w:tc>
                <w:tcPr>
                  <w:tcW w:w="819" w:type="pct"/>
                  <w:vAlign w:val="center"/>
                </w:tcPr>
                <w:p w14:paraId="4AF490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K400+618.0</w:t>
                  </w:r>
                </w:p>
              </w:tc>
              <w:tc>
                <w:tcPr>
                  <w:tcW w:w="729" w:type="pct"/>
                  <w:vAlign w:val="center"/>
                </w:tcPr>
                <w:p w14:paraId="63A12F2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BABCE3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D1373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EE7AE3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271E37A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6349A85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792597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12A8A16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3A70B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45F279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c>
                <w:tcPr>
                  <w:tcW w:w="819" w:type="pct"/>
                  <w:vAlign w:val="center"/>
                </w:tcPr>
                <w:p w14:paraId="19A5F11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K400+970.0</w:t>
                  </w:r>
                </w:p>
              </w:tc>
              <w:tc>
                <w:tcPr>
                  <w:tcW w:w="729" w:type="pct"/>
                  <w:vAlign w:val="center"/>
                </w:tcPr>
                <w:p w14:paraId="601790C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048BF69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3C0A788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829349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17A8C1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1EFA385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655179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13FC8B4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r>
            <w:tr w14:paraId="6090E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158713C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41</w:t>
                  </w:r>
                </w:p>
              </w:tc>
              <w:tc>
                <w:tcPr>
                  <w:tcW w:w="819" w:type="pct"/>
                  <w:vAlign w:val="center"/>
                </w:tcPr>
                <w:p w14:paraId="2222966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K401+320.0</w:t>
                  </w:r>
                </w:p>
              </w:tc>
              <w:tc>
                <w:tcPr>
                  <w:tcW w:w="729" w:type="pct"/>
                  <w:vAlign w:val="center"/>
                </w:tcPr>
                <w:p w14:paraId="4D93E1C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6BB904B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1051E05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164066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20C3DE3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0FDEA3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57C1DE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7349C0E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2321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54ECCB9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w:t>
                  </w:r>
                </w:p>
              </w:tc>
              <w:tc>
                <w:tcPr>
                  <w:tcW w:w="819" w:type="pct"/>
                  <w:vAlign w:val="center"/>
                </w:tcPr>
                <w:p w14:paraId="7DF352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K403+643.0</w:t>
                  </w:r>
                </w:p>
              </w:tc>
              <w:tc>
                <w:tcPr>
                  <w:tcW w:w="729" w:type="pct"/>
                  <w:vAlign w:val="center"/>
                </w:tcPr>
                <w:p w14:paraId="0305FE5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21DA8BB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565A964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9AC7D5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c>
                <w:tcPr>
                  <w:tcW w:w="396" w:type="pct"/>
                  <w:vAlign w:val="center"/>
                </w:tcPr>
                <w:p w14:paraId="01333A4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c>
                <w:tcPr>
                  <w:tcW w:w="491" w:type="pct"/>
                  <w:vAlign w:val="center"/>
                </w:tcPr>
                <w:p w14:paraId="2E09686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7F533C0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15EA468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0F936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4AB6C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w:t>
                  </w:r>
                </w:p>
              </w:tc>
              <w:tc>
                <w:tcPr>
                  <w:tcW w:w="819" w:type="pct"/>
                  <w:vAlign w:val="center"/>
                </w:tcPr>
                <w:p w14:paraId="43F05A2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K404+400.0</w:t>
                  </w:r>
                </w:p>
              </w:tc>
              <w:tc>
                <w:tcPr>
                  <w:tcW w:w="729" w:type="pct"/>
                  <w:vAlign w:val="center"/>
                </w:tcPr>
                <w:p w14:paraId="51DB506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34D24D9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6E8F03C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FA806F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389B65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F1156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396C7E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3985665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2CF3A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504BC18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44</w:t>
                  </w:r>
                </w:p>
              </w:tc>
              <w:tc>
                <w:tcPr>
                  <w:tcW w:w="819" w:type="pct"/>
                  <w:vAlign w:val="center"/>
                </w:tcPr>
                <w:p w14:paraId="6CC8B9F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K404+925.0</w:t>
                  </w:r>
                </w:p>
              </w:tc>
              <w:tc>
                <w:tcPr>
                  <w:tcW w:w="729" w:type="pct"/>
                  <w:vAlign w:val="center"/>
                </w:tcPr>
                <w:p w14:paraId="4E61160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6371049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78AC434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C2C744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C5B712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56CDDE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0BFFC75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69F6D20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76DB6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C47B6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819" w:type="pct"/>
                  <w:vAlign w:val="center"/>
                </w:tcPr>
                <w:p w14:paraId="3F43E45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K405+450.0</w:t>
                  </w:r>
                </w:p>
              </w:tc>
              <w:tc>
                <w:tcPr>
                  <w:tcW w:w="729" w:type="pct"/>
                  <w:vAlign w:val="center"/>
                </w:tcPr>
                <w:p w14:paraId="38CA502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000F4DE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6D3BB1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3B16CB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40F021B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560849C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77C75E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450" w:type="pct"/>
                  <w:vAlign w:val="center"/>
                </w:tcPr>
                <w:p w14:paraId="092CC58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737B4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50CB95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46</w:t>
                  </w:r>
                </w:p>
              </w:tc>
              <w:tc>
                <w:tcPr>
                  <w:tcW w:w="819" w:type="pct"/>
                  <w:vAlign w:val="center"/>
                </w:tcPr>
                <w:p w14:paraId="7E79B8F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K405+886.0</w:t>
                  </w:r>
                </w:p>
              </w:tc>
              <w:tc>
                <w:tcPr>
                  <w:tcW w:w="729" w:type="pct"/>
                  <w:vAlign w:val="center"/>
                </w:tcPr>
                <w:p w14:paraId="5089DE6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72F762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5BAC2E7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DC2FA6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72D57C1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74702DE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668558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7F038FA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r>
            <w:tr w14:paraId="2F8D7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58F20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47</w:t>
                  </w:r>
                </w:p>
              </w:tc>
              <w:tc>
                <w:tcPr>
                  <w:tcW w:w="819" w:type="pct"/>
                  <w:vAlign w:val="center"/>
                </w:tcPr>
                <w:p w14:paraId="7ED7B0D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K406+236.0</w:t>
                  </w:r>
                </w:p>
              </w:tc>
              <w:tc>
                <w:tcPr>
                  <w:tcW w:w="729" w:type="pct"/>
                  <w:vAlign w:val="center"/>
                </w:tcPr>
                <w:p w14:paraId="3A5E1E9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3995DA6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十字</w:t>
                  </w:r>
                </w:p>
              </w:tc>
              <w:tc>
                <w:tcPr>
                  <w:tcW w:w="329" w:type="pct"/>
                  <w:vAlign w:val="center"/>
                </w:tcPr>
                <w:p w14:paraId="5808A9B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14A750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4.5/8.5</w:t>
                  </w:r>
                </w:p>
              </w:tc>
              <w:tc>
                <w:tcPr>
                  <w:tcW w:w="396" w:type="pct"/>
                  <w:vAlign w:val="center"/>
                </w:tcPr>
                <w:p w14:paraId="708D68F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3.5/7</w:t>
                  </w:r>
                </w:p>
              </w:tc>
              <w:tc>
                <w:tcPr>
                  <w:tcW w:w="491" w:type="pct"/>
                  <w:vAlign w:val="center"/>
                </w:tcPr>
                <w:p w14:paraId="4EE16E5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7C4290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w:t>
                  </w:r>
                </w:p>
              </w:tc>
              <w:tc>
                <w:tcPr>
                  <w:tcW w:w="450" w:type="pct"/>
                  <w:vAlign w:val="center"/>
                </w:tcPr>
                <w:p w14:paraId="054C6C2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10/18</w:t>
                  </w:r>
                </w:p>
              </w:tc>
            </w:tr>
            <w:tr w14:paraId="79D60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0FEFA8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48</w:t>
                  </w:r>
                </w:p>
              </w:tc>
              <w:tc>
                <w:tcPr>
                  <w:tcW w:w="819" w:type="pct"/>
                  <w:vAlign w:val="center"/>
                </w:tcPr>
                <w:p w14:paraId="6D367BE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K407+346.0</w:t>
                  </w:r>
                </w:p>
              </w:tc>
              <w:tc>
                <w:tcPr>
                  <w:tcW w:w="729" w:type="pct"/>
                  <w:vAlign w:val="center"/>
                </w:tcPr>
                <w:p w14:paraId="3EC48B4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7F62689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03C921D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8F4C75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60CE925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4C18E4F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1425B06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6792D0C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727C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F0E773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49</w:t>
                  </w:r>
                </w:p>
              </w:tc>
              <w:tc>
                <w:tcPr>
                  <w:tcW w:w="819" w:type="pct"/>
                  <w:vAlign w:val="center"/>
                </w:tcPr>
                <w:p w14:paraId="67F322E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K407+900.0</w:t>
                  </w:r>
                </w:p>
              </w:tc>
              <w:tc>
                <w:tcPr>
                  <w:tcW w:w="729" w:type="pct"/>
                  <w:vAlign w:val="center"/>
                </w:tcPr>
                <w:p w14:paraId="0309297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4DACE5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16CA64B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49308A2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1950815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1096580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480B84E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705FF04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2A9D8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30D5183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c>
                <w:tcPr>
                  <w:tcW w:w="819" w:type="pct"/>
                  <w:vAlign w:val="center"/>
                </w:tcPr>
                <w:p w14:paraId="4C5898A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K408+600.0</w:t>
                  </w:r>
                </w:p>
              </w:tc>
              <w:tc>
                <w:tcPr>
                  <w:tcW w:w="729" w:type="pct"/>
                  <w:vAlign w:val="center"/>
                </w:tcPr>
                <w:p w14:paraId="052DA5B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0A5EB5A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441CFE9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3AB5A04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17B9B87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5F57FDB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6009334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87</w:t>
                  </w:r>
                </w:p>
              </w:tc>
              <w:tc>
                <w:tcPr>
                  <w:tcW w:w="450" w:type="pct"/>
                  <w:vAlign w:val="center"/>
                </w:tcPr>
                <w:p w14:paraId="143F498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14005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8824C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51</w:t>
                  </w:r>
                </w:p>
              </w:tc>
              <w:tc>
                <w:tcPr>
                  <w:tcW w:w="819" w:type="pct"/>
                  <w:vAlign w:val="center"/>
                </w:tcPr>
                <w:p w14:paraId="4E9FBD4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K409+013.0</w:t>
                  </w:r>
                </w:p>
              </w:tc>
              <w:tc>
                <w:tcPr>
                  <w:tcW w:w="729" w:type="pct"/>
                  <w:vAlign w:val="center"/>
                </w:tcPr>
                <w:p w14:paraId="04C0872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6817613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13E4261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30BD2F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5777194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6704F66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96924E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w:t>
                  </w:r>
                </w:p>
              </w:tc>
              <w:tc>
                <w:tcPr>
                  <w:tcW w:w="450" w:type="pct"/>
                  <w:vAlign w:val="center"/>
                </w:tcPr>
                <w:p w14:paraId="6226A64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6F881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7C1875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52</w:t>
                  </w:r>
                </w:p>
              </w:tc>
              <w:tc>
                <w:tcPr>
                  <w:tcW w:w="819" w:type="pct"/>
                  <w:vAlign w:val="center"/>
                </w:tcPr>
                <w:p w14:paraId="630042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K409+495.0</w:t>
                  </w:r>
                </w:p>
              </w:tc>
              <w:tc>
                <w:tcPr>
                  <w:tcW w:w="729" w:type="pct"/>
                  <w:vAlign w:val="center"/>
                </w:tcPr>
                <w:p w14:paraId="47AAEE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8896C4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6F24226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76C54A8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2674362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2B60A1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EBF74B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2C20997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4EF68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036BB15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53</w:t>
                  </w:r>
                </w:p>
              </w:tc>
              <w:tc>
                <w:tcPr>
                  <w:tcW w:w="819" w:type="pct"/>
                  <w:vAlign w:val="center"/>
                </w:tcPr>
                <w:p w14:paraId="0A0ABD1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K410+157.0</w:t>
                  </w:r>
                </w:p>
              </w:tc>
              <w:tc>
                <w:tcPr>
                  <w:tcW w:w="729" w:type="pct"/>
                  <w:vAlign w:val="center"/>
                </w:tcPr>
                <w:p w14:paraId="322FD12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0F808E5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5C1B71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1A86F58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396" w:type="pct"/>
                  <w:vAlign w:val="center"/>
                </w:tcPr>
                <w:p w14:paraId="1E6E4B1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491" w:type="pct"/>
                  <w:vAlign w:val="center"/>
                </w:tcPr>
                <w:p w14:paraId="2D37FAC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56B058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3EB8703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4358C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63C401C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54</w:t>
                  </w:r>
                </w:p>
              </w:tc>
              <w:tc>
                <w:tcPr>
                  <w:tcW w:w="819" w:type="pct"/>
                  <w:vAlign w:val="center"/>
                </w:tcPr>
                <w:p w14:paraId="2DE0164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K410+756.0</w:t>
                  </w:r>
                </w:p>
              </w:tc>
              <w:tc>
                <w:tcPr>
                  <w:tcW w:w="729" w:type="pct"/>
                  <w:vAlign w:val="center"/>
                </w:tcPr>
                <w:p w14:paraId="4E3A141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E926BA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1736E5B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A5DD90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065B5B5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EB6E59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4F5D7B1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7675C374">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4B8B0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5F57875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55</w:t>
                  </w:r>
                </w:p>
              </w:tc>
              <w:tc>
                <w:tcPr>
                  <w:tcW w:w="819" w:type="pct"/>
                  <w:vAlign w:val="center"/>
                </w:tcPr>
                <w:p w14:paraId="1245DCA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K411+450.0</w:t>
                  </w:r>
                </w:p>
              </w:tc>
              <w:tc>
                <w:tcPr>
                  <w:tcW w:w="729" w:type="pct"/>
                  <w:vAlign w:val="center"/>
                </w:tcPr>
                <w:p w14:paraId="2F5097D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40B5F257">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6889640">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5440000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09350FC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043F081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380F619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90</w:t>
                  </w:r>
                </w:p>
              </w:tc>
              <w:tc>
                <w:tcPr>
                  <w:tcW w:w="450" w:type="pct"/>
                  <w:vAlign w:val="center"/>
                </w:tcPr>
                <w:p w14:paraId="5FA5761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r w14:paraId="1B9BD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5E6A2E13">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56</w:t>
                  </w:r>
                </w:p>
              </w:tc>
              <w:tc>
                <w:tcPr>
                  <w:tcW w:w="819" w:type="pct"/>
                  <w:vAlign w:val="center"/>
                </w:tcPr>
                <w:p w14:paraId="5E4C709A">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K411+770.0</w:t>
                  </w:r>
                </w:p>
              </w:tc>
              <w:tc>
                <w:tcPr>
                  <w:tcW w:w="729" w:type="pct"/>
                  <w:vAlign w:val="center"/>
                </w:tcPr>
                <w:p w14:paraId="203AB5F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41A851B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左T</w:t>
                  </w:r>
                </w:p>
              </w:tc>
              <w:tc>
                <w:tcPr>
                  <w:tcW w:w="329" w:type="pct"/>
                  <w:vAlign w:val="center"/>
                </w:tcPr>
                <w:p w14:paraId="3FB6BC0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0C232B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3CC72C6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69CE6FAF">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2AF6D85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80</w:t>
                  </w:r>
                </w:p>
              </w:tc>
              <w:tc>
                <w:tcPr>
                  <w:tcW w:w="450" w:type="pct"/>
                  <w:vAlign w:val="center"/>
                </w:tcPr>
                <w:p w14:paraId="2920893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3EF51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2397672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57</w:t>
                  </w:r>
                </w:p>
              </w:tc>
              <w:tc>
                <w:tcPr>
                  <w:tcW w:w="819" w:type="pct"/>
                  <w:vAlign w:val="center"/>
                </w:tcPr>
                <w:p w14:paraId="5F012DE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K412+262.0</w:t>
                  </w:r>
                </w:p>
              </w:tc>
              <w:tc>
                <w:tcPr>
                  <w:tcW w:w="729" w:type="pct"/>
                  <w:vAlign w:val="center"/>
                </w:tcPr>
                <w:p w14:paraId="4CDC78C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通村路</w:t>
                  </w:r>
                </w:p>
              </w:tc>
              <w:tc>
                <w:tcPr>
                  <w:tcW w:w="556" w:type="pct"/>
                  <w:vAlign w:val="center"/>
                </w:tcPr>
                <w:p w14:paraId="1309B1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47A2CED8">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222B102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w:t>
                  </w:r>
                </w:p>
              </w:tc>
              <w:tc>
                <w:tcPr>
                  <w:tcW w:w="396" w:type="pct"/>
                  <w:vAlign w:val="center"/>
                </w:tcPr>
                <w:p w14:paraId="3AAE4FFB">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w:t>
                  </w:r>
                </w:p>
              </w:tc>
              <w:tc>
                <w:tcPr>
                  <w:tcW w:w="491" w:type="pct"/>
                  <w:vAlign w:val="center"/>
                </w:tcPr>
                <w:p w14:paraId="1460581D">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58BFE60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w:t>
                  </w:r>
                </w:p>
              </w:tc>
              <w:tc>
                <w:tcPr>
                  <w:tcW w:w="450" w:type="pct"/>
                  <w:vAlign w:val="center"/>
                </w:tcPr>
                <w:p w14:paraId="47B37F41">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r w14:paraId="49FEE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 w:type="pct"/>
                  <w:vAlign w:val="center"/>
                </w:tcPr>
                <w:p w14:paraId="453254B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58</w:t>
                  </w:r>
                </w:p>
              </w:tc>
              <w:tc>
                <w:tcPr>
                  <w:tcW w:w="819" w:type="pct"/>
                  <w:vAlign w:val="center"/>
                </w:tcPr>
                <w:p w14:paraId="6FEF2155">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K413+755.0</w:t>
                  </w:r>
                </w:p>
              </w:tc>
              <w:tc>
                <w:tcPr>
                  <w:tcW w:w="729" w:type="pct"/>
                  <w:vAlign w:val="center"/>
                </w:tcPr>
                <w:p w14:paraId="366CAAD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机耕路</w:t>
                  </w:r>
                </w:p>
              </w:tc>
              <w:tc>
                <w:tcPr>
                  <w:tcW w:w="556" w:type="pct"/>
                  <w:vAlign w:val="center"/>
                </w:tcPr>
                <w:p w14:paraId="538F9E92">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右T</w:t>
                  </w:r>
                </w:p>
              </w:tc>
              <w:tc>
                <w:tcPr>
                  <w:tcW w:w="329" w:type="pct"/>
                  <w:vAlign w:val="center"/>
                </w:tcPr>
                <w:p w14:paraId="37EAA1E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w:t>
                  </w:r>
                </w:p>
              </w:tc>
              <w:tc>
                <w:tcPr>
                  <w:tcW w:w="425" w:type="pct"/>
                  <w:vAlign w:val="center"/>
                </w:tcPr>
                <w:p w14:paraId="6007813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396" w:type="pct"/>
                  <w:vAlign w:val="center"/>
                </w:tcPr>
                <w:p w14:paraId="3BF923E6">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491" w:type="pct"/>
                  <w:vAlign w:val="center"/>
                </w:tcPr>
                <w:p w14:paraId="3AA9C8AE">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沥青</w:t>
                  </w:r>
                </w:p>
              </w:tc>
              <w:tc>
                <w:tcPr>
                  <w:tcW w:w="353" w:type="pct"/>
                  <w:vAlign w:val="center"/>
                </w:tcPr>
                <w:p w14:paraId="48E4561C">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450" w:type="pct"/>
                  <w:vAlign w:val="center"/>
                </w:tcPr>
                <w:p w14:paraId="560794E9">
                  <w:pPr>
                    <w:pStyle w:val="65"/>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15</w:t>
                  </w:r>
                </w:p>
              </w:tc>
            </w:tr>
          </w:tbl>
          <w:p w14:paraId="3C3A5C01">
            <w:pPr>
              <w:pStyle w:val="76"/>
              <w:rPr>
                <w:rFonts w:hint="eastAsia" w:ascii="Times New Roman" w:hAnsi="Times New Roman" w:eastAsia="宋体" w:cs="Times New Roman"/>
                <w:color w:val="auto"/>
                <w:kern w:val="0"/>
                <w:sz w:val="24"/>
                <w:szCs w:val="24"/>
                <w:lang w:val="en-US" w:eastAsia="zh-CN" w:bidi="ar-SA"/>
              </w:rPr>
            </w:pPr>
            <w:r>
              <w:rPr>
                <w:rFonts w:hint="eastAsia"/>
                <w:color w:val="auto"/>
              </w:rPr>
              <w:t>8、</w:t>
            </w:r>
            <w:r>
              <w:rPr>
                <w:rFonts w:hint="eastAsia" w:ascii="Times New Roman" w:hAnsi="Times New Roman" w:eastAsia="宋体" w:cs="Times New Roman"/>
                <w:color w:val="auto"/>
                <w:kern w:val="0"/>
                <w:sz w:val="24"/>
                <w:szCs w:val="24"/>
                <w:lang w:val="en-US" w:eastAsia="zh-CN" w:bidi="ar-SA"/>
              </w:rPr>
              <w:t>养护道班</w:t>
            </w:r>
          </w:p>
          <w:p w14:paraId="003DB7AB">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本项目旧路沿线设有K380+700山里道班、K397+300果园道班。</w:t>
            </w:r>
          </w:p>
          <w:p w14:paraId="737AD2F1">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K380+700山里道班为砂石路面，设计对道班进行沥青路面改造。改造方案为20cm级配碎石+20cm4.5%水泥稳定级配碎石底基层+20cm4.5%水泥稳定级配碎石基层+5cmAC-16中粒式改性沥青混凝土</w:t>
            </w:r>
            <w:r>
              <w:rPr>
                <w:rFonts w:hint="eastAsia" w:cs="Times New Roman"/>
                <w:color w:val="auto"/>
                <w:kern w:val="0"/>
                <w:sz w:val="24"/>
                <w:szCs w:val="24"/>
                <w:lang w:val="en-US" w:eastAsia="zh-CN" w:bidi="ar-SA"/>
              </w:rPr>
              <w:t>，</w:t>
            </w:r>
            <w:r>
              <w:rPr>
                <w:rFonts w:hint="eastAsia" w:ascii="Times New Roman" w:hAnsi="Times New Roman" w:eastAsia="宋体" w:cs="Times New Roman"/>
                <w:color w:val="auto"/>
                <w:kern w:val="0"/>
                <w:sz w:val="24"/>
                <w:szCs w:val="24"/>
                <w:lang w:val="en-US" w:eastAsia="zh-CN" w:bidi="ar-SA"/>
              </w:rPr>
              <w:t>总面积约560</w:t>
            </w:r>
            <w:r>
              <w:rPr>
                <w:rFonts w:hint="eastAsia" w:cs="Times New Roman"/>
                <w:color w:val="auto"/>
                <w:kern w:val="0"/>
                <w:sz w:val="24"/>
                <w:szCs w:val="24"/>
                <w:lang w:val="en-US" w:eastAsia="zh-CN" w:bidi="ar-SA"/>
              </w:rPr>
              <w:t>m</w:t>
            </w:r>
            <w:r>
              <w:rPr>
                <w:rFonts w:hint="eastAsia"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w:t>
            </w:r>
          </w:p>
          <w:p w14:paraId="5BA8E93D">
            <w:pPr>
              <w:pStyle w:val="29"/>
              <w:ind w:firstLine="210"/>
              <w:jc w:val="center"/>
              <w:rPr>
                <w:rFonts w:ascii="Times New Roman" w:hAnsi="Times New Roman"/>
                <w:color w:val="auto"/>
              </w:rPr>
            </w:pPr>
            <w:r>
              <w:rPr>
                <w:rFonts w:ascii="Times New Roman" w:hAnsi="Times New Roman"/>
                <w:color w:val="auto"/>
              </w:rPr>
              <w:drawing>
                <wp:inline distT="0" distB="0" distL="0" distR="0">
                  <wp:extent cx="3194050" cy="2466340"/>
                  <wp:effectExtent l="0" t="0" r="6350" b="10160"/>
                  <wp:docPr id="1150551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551074" name="图片 1"/>
                          <pic:cNvPicPr>
                            <a:picLocks noChangeAspect="1"/>
                          </pic:cNvPicPr>
                        </pic:nvPicPr>
                        <pic:blipFill>
                          <a:blip r:embed="rId16"/>
                          <a:stretch>
                            <a:fillRect/>
                          </a:stretch>
                        </pic:blipFill>
                        <pic:spPr>
                          <a:xfrm>
                            <a:off x="0" y="0"/>
                            <a:ext cx="3194050" cy="2466340"/>
                          </a:xfrm>
                          <a:prstGeom prst="rect">
                            <a:avLst/>
                          </a:prstGeom>
                        </pic:spPr>
                      </pic:pic>
                    </a:graphicData>
                  </a:graphic>
                </wp:inline>
              </w:drawing>
            </w:r>
          </w:p>
          <w:p w14:paraId="4F0850DF">
            <w:pPr>
              <w:pStyle w:val="29"/>
              <w:ind w:firstLine="210"/>
              <w:jc w:val="center"/>
              <w:rPr>
                <w:rFonts w:hint="default" w:ascii="Times New Roman" w:hAnsi="Times New Roman" w:eastAsia="宋体"/>
                <w:color w:val="auto"/>
                <w:sz w:val="24"/>
                <w:szCs w:val="24"/>
                <w:lang w:val="en-US" w:eastAsia="zh-CN"/>
              </w:rPr>
            </w:pPr>
            <w:r>
              <w:rPr>
                <w:rFonts w:hint="eastAsia"/>
                <w:color w:val="auto"/>
                <w:sz w:val="24"/>
                <w:szCs w:val="24"/>
                <w:lang w:val="en-US" w:eastAsia="zh-CN"/>
              </w:rPr>
              <w:t>图2-3  山里道班位置图</w:t>
            </w:r>
          </w:p>
          <w:p w14:paraId="6F034BA1">
            <w:pPr>
              <w:ind w:firstLine="480" w:firstLineChars="200"/>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K397+300果园道班为水泥路面，改造方案为铣刨0.5cm后，加铺5cmAC-16中粒式改性沥青混凝土</w:t>
            </w:r>
            <w:r>
              <w:rPr>
                <w:rFonts w:hint="eastAsia" w:cs="Times New Roman"/>
                <w:color w:val="auto"/>
                <w:kern w:val="0"/>
                <w:sz w:val="24"/>
                <w:szCs w:val="24"/>
                <w:lang w:val="en-US" w:eastAsia="zh-CN" w:bidi="ar-SA"/>
              </w:rPr>
              <w:t>，</w:t>
            </w:r>
            <w:r>
              <w:rPr>
                <w:rFonts w:hint="eastAsia" w:ascii="Times New Roman" w:hAnsi="Times New Roman" w:eastAsia="宋体" w:cs="Times New Roman"/>
                <w:color w:val="auto"/>
                <w:kern w:val="0"/>
                <w:sz w:val="24"/>
                <w:szCs w:val="24"/>
                <w:lang w:val="en-US" w:eastAsia="zh-CN" w:bidi="ar-SA"/>
              </w:rPr>
              <w:t>总面积约2010</w:t>
            </w:r>
            <w:r>
              <w:rPr>
                <w:rFonts w:hint="eastAsia" w:cs="Times New Roman"/>
                <w:color w:val="auto"/>
                <w:kern w:val="0"/>
                <w:sz w:val="24"/>
                <w:szCs w:val="24"/>
                <w:lang w:val="en-US" w:eastAsia="zh-CN" w:bidi="ar-SA"/>
              </w:rPr>
              <w:t>m</w:t>
            </w:r>
            <w:r>
              <w:rPr>
                <w:rFonts w:hint="eastAsia" w:cs="Times New Roman"/>
                <w:color w:val="auto"/>
                <w:kern w:val="0"/>
                <w:sz w:val="24"/>
                <w:szCs w:val="24"/>
                <w:vertAlign w:val="superscript"/>
                <w:lang w:val="en-US" w:eastAsia="zh-CN" w:bidi="ar-SA"/>
              </w:rPr>
              <w:t>2</w:t>
            </w:r>
            <w:r>
              <w:rPr>
                <w:rFonts w:hint="eastAsia" w:ascii="Times New Roman" w:hAnsi="Times New Roman" w:eastAsia="宋体" w:cs="Times New Roman"/>
                <w:color w:val="auto"/>
                <w:kern w:val="0"/>
                <w:sz w:val="24"/>
                <w:szCs w:val="24"/>
                <w:lang w:val="en-US" w:eastAsia="zh-CN" w:bidi="ar-SA"/>
              </w:rPr>
              <w:t>。</w:t>
            </w:r>
          </w:p>
          <w:p w14:paraId="62E8D1B3">
            <w:pPr>
              <w:pStyle w:val="29"/>
              <w:jc w:val="center"/>
              <w:rPr>
                <w:rFonts w:ascii="Times New Roman" w:hAnsi="Times New Roman"/>
                <w:color w:val="auto"/>
              </w:rPr>
            </w:pPr>
            <w:r>
              <w:rPr>
                <w:rFonts w:ascii="Times New Roman" w:hAnsi="Times New Roman"/>
                <w:color w:val="auto"/>
              </w:rPr>
              <w:drawing>
                <wp:inline distT="0" distB="0" distL="0" distR="0">
                  <wp:extent cx="3149600" cy="2362200"/>
                  <wp:effectExtent l="0" t="0" r="12700" b="0"/>
                  <wp:docPr id="6191629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162982"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149600" cy="2362200"/>
                          </a:xfrm>
                          <a:prstGeom prst="rect">
                            <a:avLst/>
                          </a:prstGeom>
                          <a:noFill/>
                          <a:ln>
                            <a:noFill/>
                          </a:ln>
                        </pic:spPr>
                      </pic:pic>
                    </a:graphicData>
                  </a:graphic>
                </wp:inline>
              </w:drawing>
            </w:r>
          </w:p>
          <w:p w14:paraId="48ADE6A8">
            <w:pPr>
              <w:pStyle w:val="29"/>
              <w:ind w:firstLine="210"/>
              <w:jc w:val="center"/>
              <w:rPr>
                <w:rFonts w:hint="default" w:ascii="Times New Roman" w:hAnsi="Times New Roman" w:eastAsia="宋体"/>
                <w:color w:val="auto"/>
                <w:sz w:val="24"/>
                <w:szCs w:val="24"/>
                <w:lang w:val="en-US" w:eastAsia="zh-CN"/>
              </w:rPr>
            </w:pPr>
            <w:r>
              <w:rPr>
                <w:rFonts w:hint="eastAsia"/>
                <w:color w:val="auto"/>
                <w:sz w:val="24"/>
                <w:szCs w:val="24"/>
                <w:lang w:val="en-US" w:eastAsia="zh-CN"/>
              </w:rPr>
              <w:t>图2-4  果园道班现场照片</w:t>
            </w:r>
          </w:p>
          <w:p w14:paraId="07E4BED3">
            <w:pPr>
              <w:pStyle w:val="76"/>
              <w:rPr>
                <w:rFonts w:hint="eastAsia" w:ascii="Times New Roman" w:hAnsi="Times New Roman" w:eastAsia="宋体" w:cs="Times New Roman"/>
                <w:color w:val="auto"/>
              </w:rPr>
            </w:pPr>
            <w:r>
              <w:rPr>
                <w:rFonts w:hint="eastAsia" w:ascii="Times New Roman" w:hAnsi="Times New Roman" w:eastAsia="宋体" w:cs="Times New Roman"/>
                <w:color w:val="auto"/>
              </w:rPr>
              <w:t>9、既有客运停靠站雨棚更换工程</w:t>
            </w:r>
          </w:p>
          <w:p w14:paraId="603C4371">
            <w:pPr>
              <w:pStyle w:val="76"/>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lang w:val="en-US" w:eastAsia="zh-CN"/>
              </w:rPr>
              <w:t>项目沿线既有客运</w:t>
            </w:r>
            <w:r>
              <w:rPr>
                <w:rFonts w:hint="eastAsia" w:ascii="Times New Roman" w:hAnsi="Times New Roman" w:eastAsia="宋体" w:cs="Times New Roman"/>
                <w:color w:val="auto"/>
                <w:kern w:val="0"/>
                <w:sz w:val="24"/>
                <w:szCs w:val="24"/>
                <w:lang w:val="en-US" w:eastAsia="zh-CN" w:bidi="ar-SA"/>
              </w:rPr>
              <w:t>临停点较多，目前部分雨棚出现了不同程度的破损，设计共拆除更换雨棚10处。</w:t>
            </w:r>
          </w:p>
          <w:p w14:paraId="5E685DC4">
            <w:pPr>
              <w:pStyle w:val="76"/>
              <w:rPr>
                <w:rFonts w:hint="eastAsia"/>
                <w:color w:val="auto"/>
                <w:highlight w:val="none"/>
              </w:rPr>
            </w:pPr>
            <w:r>
              <w:rPr>
                <w:rFonts w:hint="eastAsia"/>
                <w:color w:val="auto"/>
                <w:highlight w:val="none"/>
              </w:rPr>
              <w:t>1</w:t>
            </w:r>
            <w:r>
              <w:rPr>
                <w:color w:val="auto"/>
                <w:highlight w:val="none"/>
              </w:rPr>
              <w:t>0</w:t>
            </w:r>
            <w:r>
              <w:rPr>
                <w:rFonts w:hint="eastAsia"/>
                <w:color w:val="auto"/>
                <w:highlight w:val="none"/>
              </w:rPr>
              <w:t>、工程占地、临时工程</w:t>
            </w:r>
          </w:p>
          <w:p w14:paraId="481D1C2C">
            <w:pPr>
              <w:pStyle w:val="76"/>
              <w:rPr>
                <w:color w:val="auto"/>
                <w:highlight w:val="none"/>
              </w:rPr>
            </w:pPr>
            <w:r>
              <w:rPr>
                <w:rFonts w:hint="eastAsia"/>
                <w:color w:val="auto"/>
                <w:highlight w:val="none"/>
              </w:rPr>
              <w:t>（1）永久占地</w:t>
            </w:r>
          </w:p>
          <w:p w14:paraId="68138B41">
            <w:pPr>
              <w:pStyle w:val="76"/>
              <w:rPr>
                <w:rFonts w:hint="eastAsia"/>
                <w:color w:val="auto"/>
                <w:highlight w:val="none"/>
              </w:rPr>
            </w:pPr>
            <w:r>
              <w:rPr>
                <w:rFonts w:hint="eastAsia"/>
                <w:color w:val="auto"/>
                <w:highlight w:val="none"/>
              </w:rPr>
              <w:t>本项目</w:t>
            </w:r>
            <w:r>
              <w:rPr>
                <w:rFonts w:hint="eastAsia"/>
                <w:color w:val="auto"/>
                <w:highlight w:val="none"/>
                <w:lang w:val="en-US" w:eastAsia="zh-CN"/>
              </w:rPr>
              <w:t>不新增永久占地</w:t>
            </w:r>
            <w:r>
              <w:rPr>
                <w:rFonts w:hint="eastAsia"/>
                <w:color w:val="auto"/>
                <w:highlight w:val="none"/>
              </w:rPr>
              <w:t>。</w:t>
            </w:r>
          </w:p>
          <w:p w14:paraId="1AB7E4A5">
            <w:pPr>
              <w:pStyle w:val="76"/>
              <w:rPr>
                <w:color w:val="auto"/>
              </w:rPr>
            </w:pPr>
            <w:r>
              <w:rPr>
                <w:rFonts w:hint="eastAsia"/>
                <w:color w:val="auto"/>
              </w:rPr>
              <w:t>（</w:t>
            </w:r>
            <w:r>
              <w:rPr>
                <w:color w:val="auto"/>
              </w:rPr>
              <w:t>2</w:t>
            </w:r>
            <w:r>
              <w:rPr>
                <w:rFonts w:hint="eastAsia"/>
                <w:color w:val="auto"/>
              </w:rPr>
              <w:t>）</w:t>
            </w:r>
            <w:r>
              <w:rPr>
                <w:color w:val="auto"/>
              </w:rPr>
              <w:t>临时占地</w:t>
            </w:r>
          </w:p>
          <w:p w14:paraId="02B1BFE8">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color w:val="auto"/>
                <w:highlight w:val="yellow"/>
                <w:lang w:eastAsia="zh-CN"/>
              </w:rPr>
            </w:pPr>
            <w:r>
              <w:rPr>
                <w:color w:val="auto"/>
              </w:rPr>
              <w:t>本项目</w:t>
            </w:r>
            <w:r>
              <w:rPr>
                <w:rFonts w:hint="eastAsia"/>
                <w:color w:val="auto"/>
                <w:lang w:val="en-US" w:eastAsia="zh-CN"/>
              </w:rPr>
              <w:t>不设置取土场、弃土场，</w:t>
            </w:r>
            <w:r>
              <w:rPr>
                <w:color w:val="auto"/>
              </w:rPr>
              <w:t>临时工程包括施工驻地</w:t>
            </w:r>
            <w:r>
              <w:rPr>
                <w:rFonts w:hint="eastAsia"/>
                <w:color w:val="auto"/>
              </w:rPr>
              <w:t>、</w:t>
            </w:r>
            <w:r>
              <w:rPr>
                <w:rFonts w:hint="eastAsia"/>
                <w:color w:val="auto"/>
                <w:lang w:val="en-US" w:eastAsia="zh-CN"/>
              </w:rPr>
              <w:t>沥青混凝土拌合站</w:t>
            </w:r>
            <w:r>
              <w:rPr>
                <w:rFonts w:hint="eastAsia"/>
                <w:color w:val="auto"/>
                <w:lang w:eastAsia="zh-CN"/>
              </w:rPr>
              <w:t>，</w:t>
            </w:r>
            <w:r>
              <w:rPr>
                <w:rFonts w:hint="eastAsia"/>
                <w:color w:val="auto"/>
              </w:rPr>
              <w:t>本项目</w:t>
            </w:r>
            <w:r>
              <w:rPr>
                <w:rFonts w:hint="eastAsia"/>
                <w:color w:val="auto"/>
                <w:highlight w:val="none"/>
              </w:rPr>
              <w:t>新增临时占地总面积为</w:t>
            </w:r>
            <w:r>
              <w:rPr>
                <w:rFonts w:hint="eastAsia"/>
                <w:color w:val="auto"/>
                <w:highlight w:val="none"/>
                <w:lang w:val="en-US" w:eastAsia="zh-CN"/>
              </w:rPr>
              <w:t>3.86</w:t>
            </w:r>
            <w:r>
              <w:rPr>
                <w:rFonts w:hint="eastAsia"/>
                <w:color w:val="auto"/>
                <w:highlight w:val="none"/>
              </w:rPr>
              <w:t>hm</w:t>
            </w:r>
            <w:r>
              <w:rPr>
                <w:rFonts w:hint="eastAsia"/>
                <w:color w:val="auto"/>
                <w:highlight w:val="none"/>
                <w:vertAlign w:val="superscript"/>
              </w:rPr>
              <w:t>2</w:t>
            </w:r>
            <w:r>
              <w:rPr>
                <w:rFonts w:hint="eastAsia"/>
                <w:color w:val="auto"/>
                <w:highlight w:val="none"/>
                <w:lang w:eastAsia="zh-CN"/>
              </w:rPr>
              <w:t>。</w:t>
            </w:r>
          </w:p>
          <w:p w14:paraId="4CBAE11C">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color w:val="auto"/>
              </w:rPr>
            </w:pPr>
            <w:r>
              <w:rPr>
                <w:rFonts w:hint="eastAsia"/>
                <w:color w:val="auto"/>
              </w:rPr>
              <w:fldChar w:fldCharType="begin"/>
            </w:r>
            <w:r>
              <w:rPr>
                <w:rFonts w:hint="eastAsia"/>
                <w:color w:val="auto"/>
              </w:rPr>
              <w:instrText xml:space="preserve"> = 1 \* GB3 \* MERGEFORMAT </w:instrText>
            </w:r>
            <w:r>
              <w:rPr>
                <w:rFonts w:hint="eastAsia"/>
                <w:color w:val="auto"/>
              </w:rPr>
              <w:fldChar w:fldCharType="separate"/>
            </w:r>
            <w:r>
              <w:rPr>
                <w:color w:val="auto"/>
              </w:rPr>
              <w:t>①</w:t>
            </w:r>
            <w:r>
              <w:rPr>
                <w:rFonts w:hint="eastAsia"/>
                <w:color w:val="auto"/>
              </w:rPr>
              <w:fldChar w:fldCharType="end"/>
            </w:r>
            <w:r>
              <w:rPr>
                <w:color w:val="auto"/>
              </w:rPr>
              <w:t>施工驻地</w:t>
            </w:r>
          </w:p>
          <w:p w14:paraId="1AE6F6B9">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color w:val="auto"/>
              </w:rPr>
            </w:pPr>
            <w:r>
              <w:rPr>
                <w:color w:val="auto"/>
              </w:rPr>
              <w:t>本项目</w:t>
            </w:r>
            <w:r>
              <w:rPr>
                <w:rFonts w:hint="eastAsia"/>
                <w:color w:val="auto"/>
              </w:rPr>
              <w:t>设置1处施工驻地，位于</w:t>
            </w:r>
            <w:r>
              <w:rPr>
                <w:rFonts w:hint="eastAsia"/>
                <w:color w:val="auto"/>
                <w:lang w:val="en-US" w:eastAsia="zh-CN"/>
              </w:rPr>
              <w:t>项目起点西南侧约7.2km处</w:t>
            </w:r>
            <w:r>
              <w:rPr>
                <w:rFonts w:hint="eastAsia"/>
                <w:color w:val="auto"/>
              </w:rPr>
              <w:t>，占地面积</w:t>
            </w:r>
            <w:r>
              <w:rPr>
                <w:rFonts w:hint="eastAsia"/>
                <w:color w:val="auto"/>
                <w:lang w:val="en-US" w:eastAsia="zh-CN"/>
              </w:rPr>
              <w:t>约2600</w:t>
            </w:r>
            <w:r>
              <w:rPr>
                <w:rFonts w:hint="eastAsia"/>
                <w:color w:val="auto"/>
              </w:rPr>
              <w:t>m</w:t>
            </w:r>
            <w:r>
              <w:rPr>
                <w:rFonts w:hint="eastAsia"/>
                <w:color w:val="auto"/>
                <w:vertAlign w:val="superscript"/>
              </w:rPr>
              <w:t>2</w:t>
            </w:r>
            <w:r>
              <w:rPr>
                <w:rFonts w:hint="eastAsia" w:cs="宋体"/>
                <w:color w:val="auto"/>
                <w:kern w:val="0"/>
                <w:lang w:bidi="ar"/>
              </w:rPr>
              <w:t>，</w:t>
            </w:r>
            <w:r>
              <w:rPr>
                <w:rFonts w:hint="eastAsia"/>
                <w:color w:val="auto"/>
              </w:rPr>
              <w:t>租赁现有闲置场地，</w:t>
            </w:r>
            <w:r>
              <w:rPr>
                <w:rFonts w:hint="eastAsia" w:cs="宋体"/>
                <w:color w:val="auto"/>
                <w:kern w:val="0"/>
                <w:lang w:bidi="ar"/>
              </w:rPr>
              <w:t>地类</w:t>
            </w:r>
            <w:r>
              <w:rPr>
                <w:rFonts w:hint="eastAsia"/>
                <w:color w:val="auto"/>
              </w:rPr>
              <w:t>为工业用地。</w:t>
            </w:r>
          </w:p>
          <w:p w14:paraId="4695616A">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color w:val="auto"/>
              </w:rPr>
            </w:pPr>
            <w:r>
              <w:rPr>
                <w:rFonts w:hint="eastAsia"/>
                <w:color w:val="auto"/>
              </w:rPr>
              <w:fldChar w:fldCharType="begin"/>
            </w:r>
            <w:r>
              <w:rPr>
                <w:rFonts w:hint="eastAsia"/>
                <w:color w:val="auto"/>
              </w:rPr>
              <w:instrText xml:space="preserve"> = 2 \* GB3 \* MERGEFORMAT </w:instrText>
            </w:r>
            <w:r>
              <w:rPr>
                <w:rFonts w:hint="eastAsia"/>
                <w:color w:val="auto"/>
              </w:rPr>
              <w:fldChar w:fldCharType="separate"/>
            </w:r>
            <w:r>
              <w:rPr>
                <w:color w:val="auto"/>
              </w:rPr>
              <w:t>②</w:t>
            </w:r>
            <w:r>
              <w:rPr>
                <w:rFonts w:hint="eastAsia"/>
                <w:color w:val="auto"/>
              </w:rPr>
              <w:fldChar w:fldCharType="end"/>
            </w:r>
            <w:r>
              <w:rPr>
                <w:rFonts w:hint="eastAsia"/>
                <w:color w:val="auto"/>
              </w:rPr>
              <w:t>拌合站</w:t>
            </w:r>
          </w:p>
          <w:p w14:paraId="58E173CC">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color w:val="auto"/>
              </w:rPr>
            </w:pPr>
            <w:r>
              <w:rPr>
                <w:color w:val="auto"/>
              </w:rPr>
              <w:t>本项目</w:t>
            </w:r>
            <w:r>
              <w:rPr>
                <w:rFonts w:hint="eastAsia"/>
                <w:color w:val="auto"/>
              </w:rPr>
              <w:t>设置1处</w:t>
            </w:r>
            <w:r>
              <w:rPr>
                <w:rFonts w:hint="eastAsia"/>
                <w:color w:val="auto"/>
                <w:lang w:val="en-US" w:eastAsia="zh-CN"/>
              </w:rPr>
              <w:t>沥青混凝土拌合站</w:t>
            </w:r>
            <w:r>
              <w:rPr>
                <w:rFonts w:hint="eastAsia"/>
                <w:color w:val="auto"/>
              </w:rPr>
              <w:t>。</w:t>
            </w:r>
          </w:p>
          <w:p w14:paraId="09241810">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color w:val="auto"/>
                <w:highlight w:val="yellow"/>
              </w:rPr>
            </w:pPr>
            <w:r>
              <w:rPr>
                <w:rFonts w:hint="eastAsia"/>
                <w:color w:val="auto"/>
                <w:highlight w:val="none"/>
                <w:lang w:val="en-US" w:eastAsia="zh-CN"/>
              </w:rPr>
              <w:t>沥青混凝土拌合站</w:t>
            </w:r>
            <w:r>
              <w:rPr>
                <w:rFonts w:hint="eastAsia"/>
                <w:color w:val="auto"/>
                <w:highlight w:val="none"/>
              </w:rPr>
              <w:t>位于</w:t>
            </w:r>
            <w:r>
              <w:rPr>
                <w:rFonts w:hint="eastAsia"/>
                <w:color w:val="auto"/>
              </w:rPr>
              <w:t>K</w:t>
            </w:r>
            <w:r>
              <w:rPr>
                <w:rFonts w:hint="eastAsia"/>
                <w:color w:val="auto"/>
                <w:lang w:val="en-US" w:eastAsia="zh-CN"/>
              </w:rPr>
              <w:t>381</w:t>
            </w:r>
            <w:r>
              <w:rPr>
                <w:color w:val="auto"/>
              </w:rPr>
              <w:t>+</w:t>
            </w:r>
            <w:r>
              <w:rPr>
                <w:rFonts w:hint="eastAsia"/>
                <w:color w:val="auto"/>
                <w:lang w:val="en-US" w:eastAsia="zh-CN"/>
              </w:rPr>
              <w:t>540</w:t>
            </w:r>
            <w:r>
              <w:rPr>
                <w:rFonts w:hint="eastAsia"/>
                <w:color w:val="auto"/>
              </w:rPr>
              <w:t>左</w:t>
            </w:r>
            <w:r>
              <w:rPr>
                <w:rFonts w:hint="eastAsia"/>
                <w:color w:val="auto"/>
                <w:lang w:val="en-US" w:eastAsia="zh-CN"/>
              </w:rPr>
              <w:t>0.38</w:t>
            </w:r>
            <w:r>
              <w:rPr>
                <w:rFonts w:hint="eastAsia"/>
                <w:color w:val="auto"/>
              </w:rPr>
              <w:t>km，占地面积</w:t>
            </w:r>
            <w:r>
              <w:rPr>
                <w:rFonts w:hint="eastAsia"/>
                <w:color w:val="auto"/>
                <w:lang w:val="en-US" w:eastAsia="zh-CN"/>
              </w:rPr>
              <w:t>约36</w:t>
            </w:r>
            <w:r>
              <w:rPr>
                <w:color w:val="auto"/>
              </w:rPr>
              <w:t>000</w:t>
            </w:r>
            <w:r>
              <w:rPr>
                <w:rFonts w:hint="eastAsia"/>
                <w:color w:val="auto"/>
              </w:rPr>
              <w:t>m</w:t>
            </w:r>
            <w:r>
              <w:rPr>
                <w:rFonts w:hint="eastAsia"/>
                <w:color w:val="auto"/>
                <w:vertAlign w:val="superscript"/>
              </w:rPr>
              <w:t>2</w:t>
            </w:r>
            <w:r>
              <w:rPr>
                <w:rFonts w:hint="eastAsia" w:cs="宋体"/>
                <w:color w:val="auto"/>
                <w:kern w:val="0"/>
                <w:lang w:bidi="ar"/>
              </w:rPr>
              <w:t>，</w:t>
            </w:r>
            <w:r>
              <w:rPr>
                <w:rFonts w:hint="eastAsia" w:cs="宋体"/>
                <w:color w:val="auto"/>
                <w:kern w:val="0"/>
                <w:lang w:val="en-US" w:eastAsia="zh-CN" w:bidi="ar"/>
              </w:rPr>
              <w:t>规模为</w:t>
            </w:r>
            <w:r>
              <w:rPr>
                <w:rFonts w:hint="eastAsia" w:cs="宋体"/>
                <w:color w:val="auto"/>
                <w:kern w:val="0"/>
                <w:lang w:bidi="ar"/>
              </w:rPr>
              <w:t>日产</w:t>
            </w:r>
            <w:r>
              <w:rPr>
                <w:rFonts w:hint="eastAsia" w:cs="宋体"/>
                <w:color w:val="auto"/>
                <w:kern w:val="0"/>
                <w:lang w:val="en-US" w:eastAsia="zh-CN" w:bidi="ar"/>
              </w:rPr>
              <w:t>沥青混凝土</w:t>
            </w:r>
            <w:r>
              <w:rPr>
                <w:rFonts w:hint="eastAsia" w:cs="宋体"/>
                <w:color w:val="auto"/>
                <w:kern w:val="0"/>
                <w:lang w:bidi="ar"/>
              </w:rPr>
              <w:t>2500t</w:t>
            </w:r>
            <w:r>
              <w:rPr>
                <w:rFonts w:hint="eastAsia" w:cs="宋体"/>
                <w:color w:val="auto"/>
                <w:kern w:val="0"/>
                <w:lang w:eastAsia="zh-CN" w:bidi="ar"/>
              </w:rPr>
              <w:t>，</w:t>
            </w:r>
            <w:r>
              <w:rPr>
                <w:rFonts w:hint="eastAsia" w:cs="宋体"/>
                <w:color w:val="auto"/>
                <w:kern w:val="0"/>
                <w:lang w:bidi="ar"/>
              </w:rPr>
              <w:t>地类为</w:t>
            </w:r>
            <w:r>
              <w:rPr>
                <w:rFonts w:hint="eastAsia" w:cs="宋体"/>
                <w:color w:val="auto"/>
                <w:kern w:val="0"/>
                <w:lang w:val="en-US" w:eastAsia="zh-CN" w:bidi="ar"/>
              </w:rPr>
              <w:t>工业用</w:t>
            </w:r>
            <w:r>
              <w:rPr>
                <w:rFonts w:hint="eastAsia"/>
                <w:color w:val="auto"/>
                <w:lang w:val="en-US" w:eastAsia="zh-CN"/>
              </w:rPr>
              <w:t>地</w:t>
            </w:r>
            <w:r>
              <w:rPr>
                <w:rFonts w:hint="eastAsia"/>
                <w:color w:val="auto"/>
              </w:rPr>
              <w:t>，300m范围内无居民居住区，</w:t>
            </w:r>
            <w:r>
              <w:rPr>
                <w:rFonts w:hint="eastAsia"/>
                <w:color w:val="auto"/>
                <w:lang w:val="en-US" w:eastAsia="zh-CN"/>
              </w:rPr>
              <w:t>本项目为租赁现有沥青混凝土拌合站</w:t>
            </w:r>
            <w:r>
              <w:rPr>
                <w:rFonts w:hint="eastAsia"/>
                <w:color w:val="auto"/>
              </w:rPr>
              <w:t>。</w:t>
            </w:r>
          </w:p>
          <w:p w14:paraId="59289E1F">
            <w:pPr>
              <w:pStyle w:val="76"/>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imes New Roman" w:hAnsi="Times New Roman"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11、</w:t>
            </w:r>
            <w:r>
              <w:rPr>
                <w:rFonts w:hint="eastAsia" w:ascii="Times New Roman" w:hAnsi="Times New Roman" w:eastAsia="宋体" w:cs="Times New Roman"/>
                <w:color w:val="auto"/>
                <w:kern w:val="0"/>
                <w:sz w:val="24"/>
                <w:szCs w:val="24"/>
                <w:lang w:val="en-US" w:eastAsia="zh-CN" w:bidi="ar-SA"/>
              </w:rPr>
              <w:t>绕行保通方案</w:t>
            </w:r>
          </w:p>
          <w:p w14:paraId="0F0209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本项目为路面改造工程，施工时不可避免的要进行道路封闭。</w:t>
            </w:r>
          </w:p>
          <w:p w14:paraId="358561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szCs w:val="24"/>
                <w:lang w:val="en-US" w:eastAsia="zh-CN" w:bidi="ar-SA"/>
              </w:rPr>
            </w:pPr>
            <w:r>
              <w:rPr>
                <w:rFonts w:hint="eastAsia" w:ascii="Times New Roman" w:hAnsi="Times New Roman" w:eastAsia="宋体" w:cs="Times New Roman"/>
                <w:color w:val="auto"/>
                <w:kern w:val="0"/>
                <w:sz w:val="24"/>
                <w:szCs w:val="24"/>
                <w:lang w:val="en-US" w:eastAsia="zh-CN" w:bidi="ar-SA"/>
              </w:rPr>
              <w:t>外业调查中对本项目的保通绕行道路进行了调查，经与地方政府沟通，确定了保通绕行方案。</w:t>
            </w:r>
          </w:p>
          <w:p w14:paraId="52B675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color w:val="auto"/>
                <w:kern w:val="0"/>
                <w:sz w:val="24"/>
                <w:szCs w:val="24"/>
                <w:lang w:val="zh-CN" w:eastAsia="zh-CN" w:bidi="ar-SA"/>
              </w:rPr>
            </w:pPr>
            <w:r>
              <w:rPr>
                <w:rFonts w:hint="eastAsia" w:ascii="Times New Roman" w:hAnsi="Times New Roman" w:eastAsia="宋体" w:cs="Times New Roman"/>
                <w:color w:val="auto"/>
                <w:kern w:val="0"/>
                <w:sz w:val="24"/>
                <w:szCs w:val="24"/>
                <w:lang w:val="en-US" w:eastAsia="zh-CN" w:bidi="ar-SA"/>
              </w:rPr>
              <w:t>本项目路线走向一直与密兴高速（S16）伴行，项目施工期间采用道路封闭方案施工，社会车辆可通过密兴高速（S16）绕行的方案，以保证过境车辆的通行。沿线居民可利用当地村道、乡道绕行。</w:t>
            </w:r>
            <w:bookmarkStart w:id="7" w:name="_Hlk157609205"/>
            <w:r>
              <w:rPr>
                <w:rFonts w:hint="eastAsia" w:ascii="Times New Roman" w:hAnsi="Times New Roman" w:eastAsia="宋体" w:cs="Times New Roman"/>
                <w:color w:val="auto"/>
                <w:kern w:val="0"/>
                <w:sz w:val="24"/>
                <w:szCs w:val="24"/>
                <w:lang w:val="en-US" w:eastAsia="zh-CN" w:bidi="ar-SA"/>
              </w:rPr>
              <w:t>对居民难以完全绕行路段，采用临时半幅交通导行的施工方案。</w:t>
            </w:r>
            <w:bookmarkEnd w:id="7"/>
            <w:r>
              <w:rPr>
                <w:rFonts w:hint="eastAsia" w:ascii="Times New Roman" w:hAnsi="Times New Roman" w:eastAsia="宋体" w:cs="Times New Roman"/>
                <w:color w:val="auto"/>
                <w:kern w:val="0"/>
                <w:sz w:val="24"/>
                <w:szCs w:val="24"/>
                <w:lang w:val="zh-CN" w:eastAsia="zh-CN" w:bidi="ar-SA"/>
              </w:rPr>
              <w:t>为更加清晰的引导过境车辆绕行，采用道路封闭提示标志牌，并在封闭路段起、终点位置设置警示灯护栏及道路施工标志牌，以保证行车安全性。</w:t>
            </w:r>
          </w:p>
          <w:p w14:paraId="1D8110F0">
            <w:pPr>
              <w:pStyle w:val="2"/>
              <w:rPr>
                <w:rFonts w:hint="eastAsia" w:ascii="Times New Roman" w:hAnsi="Times New Roman" w:eastAsia="宋体" w:cs="Times New Roman"/>
                <w:color w:val="auto"/>
                <w:kern w:val="0"/>
                <w:sz w:val="24"/>
                <w:szCs w:val="24"/>
                <w:lang w:val="zh-CN" w:eastAsia="zh-CN" w:bidi="ar-SA"/>
              </w:rPr>
            </w:pPr>
            <w:r>
              <w:rPr>
                <w:rFonts w:hint="eastAsia" w:ascii="Times New Roman" w:hAnsi="Times New Roman" w:eastAsia="宋体" w:cs="Times New Roman"/>
                <w:color w:val="auto"/>
                <w:kern w:val="0"/>
                <w:sz w:val="24"/>
                <w:szCs w:val="24"/>
                <w:lang w:val="en-US" w:eastAsia="zh-CN" w:bidi="ar-SA"/>
              </w:rPr>
              <w:drawing>
                <wp:anchor distT="0" distB="0" distL="0" distR="0" simplePos="0" relativeHeight="251660288" behindDoc="0" locked="0" layoutInCell="1" allowOverlap="1">
                  <wp:simplePos x="0" y="0"/>
                  <wp:positionH relativeFrom="column">
                    <wp:posOffset>596900</wp:posOffset>
                  </wp:positionH>
                  <wp:positionV relativeFrom="paragraph">
                    <wp:posOffset>26035</wp:posOffset>
                  </wp:positionV>
                  <wp:extent cx="3891280" cy="2936240"/>
                  <wp:effectExtent l="9525" t="9525" r="23495" b="26035"/>
                  <wp:wrapNone/>
                  <wp:docPr id="1699704284" name="图片 6" descr="F:\工作\密山项目\出版图纸\S1-1项目位置地理图\绕行图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704284" name="图片 6" descr="F:\工作\密山项目\出版图纸\S1-1项目位置地理图\绕行图 Model (1).jpg"/>
                          <pic:cNvPicPr>
                            <a:picLocks noChangeAspect="1" noChangeArrowheads="1"/>
                          </pic:cNvPicPr>
                        </pic:nvPicPr>
                        <pic:blipFill>
                          <a:blip r:embed="rId18"/>
                          <a:srcRect l="5694" t="2577" r="5698" b="2835"/>
                          <a:stretch>
                            <a:fillRect/>
                          </a:stretch>
                        </pic:blipFill>
                        <pic:spPr>
                          <a:xfrm>
                            <a:off x="0" y="0"/>
                            <a:ext cx="3891280" cy="2936240"/>
                          </a:xfrm>
                          <a:prstGeom prst="rect">
                            <a:avLst/>
                          </a:prstGeom>
                          <a:noFill/>
                          <a:ln w="9525">
                            <a:solidFill>
                              <a:schemeClr val="accent1"/>
                            </a:solidFill>
                            <a:miter lim="800000"/>
                            <a:headEnd/>
                            <a:tailEnd/>
                          </a:ln>
                        </pic:spPr>
                      </pic:pic>
                    </a:graphicData>
                  </a:graphic>
                </wp:anchor>
              </w:drawing>
            </w:r>
          </w:p>
          <w:p w14:paraId="4E92FE19">
            <w:pPr>
              <w:rPr>
                <w:rFonts w:hint="eastAsia" w:ascii="Times New Roman" w:hAnsi="Times New Roman" w:eastAsia="宋体" w:cs="Times New Roman"/>
                <w:color w:val="auto"/>
                <w:kern w:val="0"/>
                <w:sz w:val="24"/>
                <w:szCs w:val="24"/>
                <w:lang w:val="zh-CN" w:eastAsia="zh-CN" w:bidi="ar-SA"/>
              </w:rPr>
            </w:pPr>
          </w:p>
          <w:p w14:paraId="1F6E1277">
            <w:pPr>
              <w:pStyle w:val="2"/>
              <w:rPr>
                <w:rFonts w:hint="eastAsia"/>
                <w:color w:val="auto"/>
                <w:lang w:val="zh-CN" w:eastAsia="zh-CN"/>
              </w:rPr>
            </w:pPr>
          </w:p>
          <w:p w14:paraId="4515785D">
            <w:pPr>
              <w:ind w:firstLine="480" w:firstLineChars="200"/>
              <w:rPr>
                <w:rFonts w:hint="eastAsia" w:ascii="Times New Roman" w:hAnsi="Times New Roman" w:eastAsia="宋体" w:cs="Times New Roman"/>
                <w:color w:val="auto"/>
                <w:kern w:val="0"/>
                <w:sz w:val="24"/>
                <w:szCs w:val="24"/>
                <w:lang w:val="zh-CN" w:eastAsia="zh-CN" w:bidi="ar-SA"/>
              </w:rPr>
            </w:pPr>
          </w:p>
          <w:p w14:paraId="6D6487E8">
            <w:pPr>
              <w:ind w:firstLine="480" w:firstLineChars="200"/>
              <w:rPr>
                <w:rFonts w:hint="eastAsia" w:ascii="Times New Roman" w:hAnsi="Times New Roman" w:eastAsia="宋体" w:cs="Times New Roman"/>
                <w:color w:val="auto"/>
                <w:kern w:val="0"/>
                <w:sz w:val="24"/>
                <w:szCs w:val="24"/>
                <w:lang w:val="zh-CN" w:eastAsia="zh-CN" w:bidi="ar-SA"/>
              </w:rPr>
            </w:pPr>
          </w:p>
          <w:p w14:paraId="3E77F3FA">
            <w:pPr>
              <w:pStyle w:val="29"/>
              <w:rPr>
                <w:rFonts w:hint="eastAsia" w:ascii="Times New Roman" w:hAnsi="Times New Roman" w:eastAsia="宋体" w:cs="Times New Roman"/>
                <w:color w:val="auto"/>
                <w:kern w:val="0"/>
                <w:sz w:val="24"/>
                <w:szCs w:val="24"/>
                <w:lang w:val="zh-CN" w:eastAsia="zh-CN" w:bidi="ar-SA"/>
              </w:rPr>
            </w:pPr>
          </w:p>
          <w:p w14:paraId="5C605EE5">
            <w:pPr>
              <w:pStyle w:val="29"/>
              <w:rPr>
                <w:rFonts w:hint="eastAsia" w:ascii="Times New Roman" w:hAnsi="Times New Roman" w:eastAsia="宋体" w:cs="Times New Roman"/>
                <w:color w:val="auto"/>
                <w:kern w:val="0"/>
                <w:sz w:val="24"/>
                <w:szCs w:val="24"/>
                <w:lang w:val="zh-CN" w:eastAsia="zh-CN" w:bidi="ar-SA"/>
              </w:rPr>
            </w:pPr>
          </w:p>
          <w:p w14:paraId="47E74E38">
            <w:pPr>
              <w:pStyle w:val="29"/>
              <w:rPr>
                <w:rFonts w:hint="eastAsia" w:ascii="Times New Roman" w:hAnsi="Times New Roman" w:eastAsia="宋体" w:cs="Times New Roman"/>
                <w:color w:val="auto"/>
                <w:kern w:val="0"/>
                <w:sz w:val="24"/>
                <w:szCs w:val="24"/>
                <w:lang w:val="zh-CN" w:eastAsia="zh-CN" w:bidi="ar-SA"/>
              </w:rPr>
            </w:pPr>
          </w:p>
          <w:p w14:paraId="085BA97C">
            <w:pPr>
              <w:pStyle w:val="29"/>
              <w:rPr>
                <w:rFonts w:hint="eastAsia" w:ascii="Times New Roman" w:hAnsi="Times New Roman" w:eastAsia="宋体" w:cs="Times New Roman"/>
                <w:color w:val="auto"/>
                <w:kern w:val="0"/>
                <w:sz w:val="24"/>
                <w:szCs w:val="24"/>
                <w:lang w:val="zh-CN" w:eastAsia="zh-CN" w:bidi="ar-SA"/>
              </w:rPr>
            </w:pPr>
          </w:p>
          <w:p w14:paraId="51EE3828">
            <w:pPr>
              <w:ind w:firstLine="480" w:firstLineChars="200"/>
              <w:rPr>
                <w:rFonts w:ascii="Times New Roman" w:hAnsi="Times New Roman"/>
                <w:color w:val="auto"/>
              </w:rPr>
            </w:pPr>
          </w:p>
          <w:p w14:paraId="4BF0D161">
            <w:pPr>
              <w:pStyle w:val="29"/>
              <w:ind w:firstLine="210"/>
              <w:jc w:val="center"/>
              <w:rPr>
                <w:rFonts w:hint="default" w:ascii="Times New Roman" w:hAnsi="Times New Roman" w:eastAsia="宋体"/>
                <w:color w:val="auto"/>
                <w:sz w:val="24"/>
                <w:szCs w:val="24"/>
                <w:lang w:val="en-US" w:eastAsia="zh-CN"/>
              </w:rPr>
            </w:pPr>
            <w:r>
              <w:rPr>
                <w:rFonts w:hint="eastAsia"/>
                <w:color w:val="auto"/>
                <w:sz w:val="24"/>
                <w:szCs w:val="24"/>
                <w:lang w:val="en-US" w:eastAsia="zh-CN"/>
              </w:rPr>
              <w:t>图2-5  绕行保通方案示意图</w:t>
            </w:r>
          </w:p>
          <w:p w14:paraId="756DD376">
            <w:pPr>
              <w:tabs>
                <w:tab w:val="left" w:pos="1327"/>
              </w:tabs>
              <w:ind w:firstLine="480" w:firstLineChars="200"/>
              <w:rPr>
                <w:color w:val="auto"/>
              </w:rPr>
            </w:pPr>
            <w:r>
              <w:rPr>
                <w:color w:val="auto"/>
              </w:rPr>
              <w:t>1</w:t>
            </w:r>
            <w:r>
              <w:rPr>
                <w:rFonts w:hint="eastAsia"/>
                <w:color w:val="auto"/>
                <w:lang w:val="en-US" w:eastAsia="zh-CN"/>
              </w:rPr>
              <w:t>2</w:t>
            </w:r>
            <w:r>
              <w:rPr>
                <w:rFonts w:hint="eastAsia"/>
                <w:color w:val="auto"/>
              </w:rPr>
              <w:t>、</w:t>
            </w:r>
            <w:r>
              <w:rPr>
                <w:color w:val="auto"/>
              </w:rPr>
              <w:t>土石方平衡</w:t>
            </w:r>
          </w:p>
          <w:p w14:paraId="29B7598D">
            <w:pPr>
              <w:ind w:firstLine="480"/>
              <w:rPr>
                <w:rFonts w:hint="eastAsia"/>
                <w:color w:val="auto"/>
              </w:rPr>
            </w:pPr>
            <w:r>
              <w:rPr>
                <w:rFonts w:hint="eastAsia"/>
                <w:color w:val="auto"/>
                <w:lang w:val="en-US" w:eastAsia="zh-CN"/>
              </w:rPr>
              <w:t>本项目</w:t>
            </w:r>
            <w:r>
              <w:rPr>
                <w:rFonts w:hint="eastAsia" w:ascii="Times New Roman" w:hAnsi="Times New Roman" w:eastAsia="宋体" w:cs="Times New Roman"/>
                <w:color w:val="auto"/>
                <w:kern w:val="0"/>
                <w:sz w:val="24"/>
                <w:szCs w:val="24"/>
                <w:lang w:val="en-US" w:eastAsia="zh-CN" w:bidi="ar-SA"/>
              </w:rPr>
              <w:t>以路面改造为主，建设内容包括路面改造、路基排水工程局部维修、桥面改造、伸缩装置维修、搭板维修、标志、护栏等安全设施的维修等。不涉及土石方工程。</w:t>
            </w:r>
          </w:p>
        </w:tc>
      </w:tr>
      <w:tr w14:paraId="5ABE21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749" w:hRule="atLeast"/>
          <w:jc w:val="center"/>
        </w:trPr>
        <w:tc>
          <w:tcPr>
            <w:tcW w:w="382" w:type="dxa"/>
            <w:noWrap w:val="0"/>
            <w:vAlign w:val="center"/>
          </w:tcPr>
          <w:p w14:paraId="1CAE8370">
            <w:pPr>
              <w:adjustRightInd w:val="0"/>
              <w:snapToGrid w:val="0"/>
              <w:jc w:val="center"/>
              <w:rPr>
                <w:rFonts w:cs="宋体"/>
                <w:color w:val="auto"/>
                <w:kern w:val="21"/>
                <w:szCs w:val="21"/>
              </w:rPr>
            </w:pPr>
            <w:r>
              <w:rPr>
                <w:rFonts w:hint="eastAsia" w:cs="宋体"/>
                <w:color w:val="auto"/>
                <w:kern w:val="21"/>
                <w:szCs w:val="21"/>
              </w:rPr>
              <w:t>总平面及现场布置</w:t>
            </w:r>
          </w:p>
        </w:tc>
        <w:tc>
          <w:tcPr>
            <w:tcW w:w="8084" w:type="dxa"/>
            <w:noWrap w:val="0"/>
            <w:vAlign w:val="top"/>
          </w:tcPr>
          <w:p w14:paraId="605F48A4">
            <w:pPr>
              <w:pStyle w:val="76"/>
              <w:rPr>
                <w:rFonts w:hint="eastAsia"/>
                <w:color w:val="auto"/>
              </w:rPr>
            </w:pPr>
            <w:r>
              <w:rPr>
                <w:rFonts w:hint="eastAsia"/>
                <w:color w:val="auto"/>
              </w:rPr>
              <w:t>1、</w:t>
            </w:r>
            <w:r>
              <w:rPr>
                <w:color w:val="auto"/>
              </w:rPr>
              <w:t>路线方案</w:t>
            </w:r>
            <w:r>
              <w:rPr>
                <w:rFonts w:hint="eastAsia"/>
                <w:color w:val="auto"/>
              </w:rPr>
              <w:t>及主要控制点</w:t>
            </w:r>
          </w:p>
          <w:p w14:paraId="723602AD">
            <w:pPr>
              <w:pStyle w:val="76"/>
              <w:rPr>
                <w:color w:val="auto"/>
              </w:rPr>
            </w:pPr>
            <w:r>
              <w:rPr>
                <w:rFonts w:hint="eastAsia" w:ascii="Times New Roman" w:hAnsi="Times New Roman" w:eastAsia="宋体" w:cs="Times New Roman"/>
                <w:color w:val="auto"/>
                <w:kern w:val="0"/>
                <w:sz w:val="24"/>
                <w:szCs w:val="24"/>
                <w:lang w:val="en-US" w:eastAsia="zh-CN" w:bidi="ar-SA"/>
              </w:rPr>
              <w:t>项目起自省道名兴公路与鸡虎高速兴光互通匝道交叉处经知一镇、兴凯湖乡、兴隆岗村，止于密兴高速环岛处，全长44.954公里。起点</w:t>
            </w:r>
            <w:r>
              <w:rPr>
                <w:rFonts w:hint="eastAsia"/>
                <w:color w:val="auto"/>
              </w:rPr>
              <w:t>桩号K</w:t>
            </w:r>
            <w:r>
              <w:rPr>
                <w:rFonts w:hint="eastAsia"/>
                <w:color w:val="auto"/>
                <w:lang w:val="en-US" w:eastAsia="zh-CN"/>
              </w:rPr>
              <w:t>370</w:t>
            </w:r>
            <w:r>
              <w:rPr>
                <w:rFonts w:hint="eastAsia"/>
                <w:color w:val="auto"/>
              </w:rPr>
              <w:t>+</w:t>
            </w:r>
            <w:r>
              <w:rPr>
                <w:rFonts w:hint="eastAsia"/>
                <w:color w:val="auto"/>
                <w:lang w:val="en-US" w:eastAsia="zh-CN"/>
              </w:rPr>
              <w:t>000</w:t>
            </w:r>
            <w:r>
              <w:rPr>
                <w:rFonts w:hint="eastAsia"/>
                <w:color w:val="auto"/>
              </w:rPr>
              <w:t>，终点桩号K</w:t>
            </w:r>
            <w:r>
              <w:rPr>
                <w:rFonts w:eastAsia="宋体"/>
                <w:b w:val="0"/>
                <w:bCs/>
                <w:color w:val="auto"/>
                <w:lang w:val="zh-CN"/>
              </w:rPr>
              <w:t>414+953.7</w:t>
            </w:r>
            <w:r>
              <w:rPr>
                <w:rFonts w:hint="eastAsia"/>
                <w:color w:val="auto"/>
              </w:rPr>
              <w:t>。线路布置见附图</w:t>
            </w:r>
            <w:r>
              <w:rPr>
                <w:rFonts w:hint="eastAsia"/>
                <w:color w:val="auto"/>
                <w:lang w:val="en-US" w:eastAsia="zh-CN"/>
              </w:rPr>
              <w:t>3</w:t>
            </w:r>
            <w:r>
              <w:rPr>
                <w:rFonts w:hint="eastAsia"/>
                <w:color w:val="auto"/>
              </w:rPr>
              <w:t>。</w:t>
            </w:r>
          </w:p>
          <w:p w14:paraId="5A060BED">
            <w:pPr>
              <w:pStyle w:val="76"/>
              <w:rPr>
                <w:rFonts w:hint="eastAsia"/>
                <w:color w:val="auto"/>
              </w:rPr>
            </w:pPr>
            <w:r>
              <w:rPr>
                <w:rFonts w:hint="eastAsia"/>
                <w:color w:val="auto"/>
              </w:rPr>
              <w:t>2、现场布置</w:t>
            </w:r>
          </w:p>
          <w:p w14:paraId="14F160E6">
            <w:pPr>
              <w:pStyle w:val="76"/>
              <w:rPr>
                <w:color w:val="auto"/>
              </w:rPr>
            </w:pPr>
            <w:r>
              <w:rPr>
                <w:rFonts w:hint="eastAsia"/>
                <w:color w:val="auto"/>
              </w:rPr>
              <w:t>本项目</w:t>
            </w:r>
            <w:r>
              <w:rPr>
                <w:rFonts w:hint="eastAsia"/>
                <w:color w:val="auto"/>
                <w:lang w:val="en-US" w:eastAsia="zh-CN"/>
              </w:rPr>
              <w:t>不设表土堆土场、取土场和弃土场，</w:t>
            </w:r>
            <w:r>
              <w:rPr>
                <w:rFonts w:hint="eastAsia"/>
                <w:color w:val="auto"/>
              </w:rPr>
              <w:t>新增临时占地</w:t>
            </w:r>
            <w:r>
              <w:rPr>
                <w:rFonts w:hint="eastAsia"/>
                <w:color w:val="auto"/>
                <w:lang w:val="en-US" w:eastAsia="zh-CN"/>
              </w:rPr>
              <w:t>3.86</w:t>
            </w:r>
            <w:r>
              <w:rPr>
                <w:rFonts w:hint="eastAsia"/>
                <w:color w:val="auto"/>
              </w:rPr>
              <w:t>hm</w:t>
            </w:r>
            <w:r>
              <w:rPr>
                <w:rFonts w:hint="eastAsia"/>
                <w:color w:val="auto"/>
                <w:vertAlign w:val="superscript"/>
              </w:rPr>
              <w:t>2</w:t>
            </w:r>
            <w:r>
              <w:rPr>
                <w:rFonts w:hint="eastAsia"/>
                <w:color w:val="auto"/>
              </w:rPr>
              <w:t>，包括</w:t>
            </w:r>
            <w:r>
              <w:rPr>
                <w:rFonts w:hint="eastAsia"/>
                <w:color w:val="auto"/>
                <w:lang w:val="en-US" w:eastAsia="zh-CN"/>
              </w:rPr>
              <w:t>沥青混凝土拌合站</w:t>
            </w:r>
            <w:r>
              <w:rPr>
                <w:rFonts w:hint="eastAsia"/>
                <w:color w:val="auto"/>
              </w:rPr>
              <w:t>及施工驻地，</w:t>
            </w:r>
            <w:r>
              <w:rPr>
                <w:rFonts w:hint="eastAsia"/>
                <w:color w:val="auto"/>
                <w:lang w:val="en-US" w:eastAsia="zh-CN"/>
              </w:rPr>
              <w:t>本项目为租赁现有工业场地</w:t>
            </w:r>
            <w:r>
              <w:rPr>
                <w:rFonts w:hint="eastAsia"/>
                <w:color w:val="auto"/>
              </w:rPr>
              <w:t>。施工驻地及拌合站</w:t>
            </w:r>
            <w:r>
              <w:rPr>
                <w:color w:val="auto"/>
              </w:rPr>
              <w:t>布置</w:t>
            </w:r>
            <w:r>
              <w:rPr>
                <w:rFonts w:hint="eastAsia"/>
                <w:color w:val="auto"/>
              </w:rPr>
              <w:t>情况</w:t>
            </w:r>
            <w:r>
              <w:rPr>
                <w:color w:val="auto"/>
              </w:rPr>
              <w:t>见</w:t>
            </w:r>
            <w:r>
              <w:rPr>
                <w:rFonts w:hint="eastAsia"/>
                <w:color w:val="auto"/>
              </w:rPr>
              <w:t>表2-1</w:t>
            </w:r>
            <w:r>
              <w:rPr>
                <w:rFonts w:hint="eastAsia"/>
                <w:color w:val="auto"/>
                <w:lang w:val="en-US" w:eastAsia="zh-CN"/>
              </w:rPr>
              <w:t>0</w:t>
            </w:r>
            <w:r>
              <w:rPr>
                <w:color w:val="auto"/>
              </w:rPr>
              <w:t>。</w:t>
            </w:r>
          </w:p>
          <w:p w14:paraId="450FE017">
            <w:pPr>
              <w:pStyle w:val="72"/>
              <w:rPr>
                <w:rFonts w:hint="eastAsia" w:ascii="宋体" w:hAnsi="宋体" w:eastAsia="宋体" w:cs="宋体"/>
                <w:color w:val="auto"/>
              </w:rPr>
            </w:pPr>
            <w:r>
              <w:rPr>
                <w:rFonts w:hint="eastAsia" w:ascii="宋体" w:hAnsi="宋体" w:eastAsia="宋体" w:cs="宋体"/>
                <w:color w:val="auto"/>
              </w:rPr>
              <w:t>表2-1</w:t>
            </w:r>
            <w:r>
              <w:rPr>
                <w:rFonts w:hint="eastAsia" w:ascii="宋体" w:hAnsi="宋体" w:eastAsia="宋体" w:cs="宋体"/>
                <w:color w:val="auto"/>
                <w:lang w:val="en-US" w:eastAsia="zh-CN"/>
              </w:rPr>
              <w:t>0</w:t>
            </w:r>
            <w:r>
              <w:rPr>
                <w:rFonts w:hint="eastAsia" w:ascii="宋体" w:hAnsi="宋体" w:eastAsia="宋体" w:cs="宋体"/>
                <w:color w:val="auto"/>
              </w:rPr>
              <w:t xml:space="preserve">  本项目施工驻地设情况表</w:t>
            </w:r>
          </w:p>
          <w:tbl>
            <w:tblPr>
              <w:tblStyle w:val="31"/>
              <w:tblW w:w="7868" w:type="dxa"/>
              <w:jc w:val="center"/>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420"/>
              <w:gridCol w:w="619"/>
              <w:gridCol w:w="567"/>
              <w:gridCol w:w="567"/>
              <w:gridCol w:w="425"/>
              <w:gridCol w:w="708"/>
              <w:gridCol w:w="2277"/>
              <w:gridCol w:w="2285"/>
            </w:tblGrid>
            <w:tr w14:paraId="558E2740">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20" w:type="dxa"/>
                  <w:tcBorders>
                    <w:tl2br w:val="nil"/>
                    <w:tr2bl w:val="nil"/>
                  </w:tcBorders>
                  <w:noWrap/>
                  <w:tcMar>
                    <w:top w:w="15" w:type="dxa"/>
                    <w:left w:w="15" w:type="dxa"/>
                    <w:right w:w="15" w:type="dxa"/>
                  </w:tcMar>
                  <w:vAlign w:val="center"/>
                </w:tcPr>
                <w:p w14:paraId="5A453CEE">
                  <w:pPr>
                    <w:pStyle w:val="80"/>
                    <w:topLinePunct/>
                    <w:rPr>
                      <w:color w:val="auto"/>
                      <w:sz w:val="18"/>
                      <w:szCs w:val="18"/>
                    </w:rPr>
                  </w:pPr>
                  <w:r>
                    <w:rPr>
                      <w:color w:val="auto"/>
                      <w:sz w:val="18"/>
                      <w:szCs w:val="18"/>
                    </w:rPr>
                    <w:t>序号</w:t>
                  </w:r>
                </w:p>
              </w:tc>
              <w:tc>
                <w:tcPr>
                  <w:tcW w:w="619" w:type="dxa"/>
                  <w:tcBorders>
                    <w:tl2br w:val="nil"/>
                    <w:tr2bl w:val="nil"/>
                  </w:tcBorders>
                  <w:noWrap/>
                  <w:tcMar>
                    <w:top w:w="15" w:type="dxa"/>
                    <w:left w:w="15" w:type="dxa"/>
                    <w:right w:w="15" w:type="dxa"/>
                  </w:tcMar>
                  <w:vAlign w:val="center"/>
                </w:tcPr>
                <w:p w14:paraId="7AC211E2">
                  <w:pPr>
                    <w:pStyle w:val="80"/>
                    <w:topLinePunct/>
                    <w:rPr>
                      <w:color w:val="auto"/>
                      <w:sz w:val="18"/>
                      <w:szCs w:val="18"/>
                    </w:rPr>
                  </w:pPr>
                  <w:r>
                    <w:rPr>
                      <w:color w:val="auto"/>
                      <w:sz w:val="18"/>
                      <w:szCs w:val="18"/>
                    </w:rPr>
                    <w:t>工程名称</w:t>
                  </w:r>
                </w:p>
              </w:tc>
              <w:tc>
                <w:tcPr>
                  <w:tcW w:w="567" w:type="dxa"/>
                  <w:tcBorders>
                    <w:tl2br w:val="nil"/>
                    <w:tr2bl w:val="nil"/>
                  </w:tcBorders>
                  <w:noWrap/>
                  <w:tcMar>
                    <w:top w:w="15" w:type="dxa"/>
                    <w:left w:w="15" w:type="dxa"/>
                    <w:right w:w="15" w:type="dxa"/>
                  </w:tcMar>
                  <w:vAlign w:val="center"/>
                </w:tcPr>
                <w:p w14:paraId="48D72790">
                  <w:pPr>
                    <w:pStyle w:val="80"/>
                    <w:topLinePunct/>
                    <w:rPr>
                      <w:color w:val="auto"/>
                      <w:sz w:val="18"/>
                      <w:szCs w:val="18"/>
                    </w:rPr>
                  </w:pPr>
                  <w:r>
                    <w:rPr>
                      <w:color w:val="auto"/>
                      <w:sz w:val="18"/>
                      <w:szCs w:val="18"/>
                    </w:rPr>
                    <w:t>桩号位置</w:t>
                  </w:r>
                </w:p>
              </w:tc>
              <w:tc>
                <w:tcPr>
                  <w:tcW w:w="567" w:type="dxa"/>
                  <w:tcBorders>
                    <w:tl2br w:val="nil"/>
                    <w:tr2bl w:val="nil"/>
                  </w:tcBorders>
                  <w:noWrap/>
                  <w:tcMar>
                    <w:top w:w="15" w:type="dxa"/>
                    <w:left w:w="15" w:type="dxa"/>
                    <w:right w:w="15" w:type="dxa"/>
                  </w:tcMar>
                  <w:vAlign w:val="center"/>
                </w:tcPr>
                <w:p w14:paraId="0B7E9985">
                  <w:pPr>
                    <w:pStyle w:val="80"/>
                    <w:topLinePunct/>
                    <w:rPr>
                      <w:color w:val="auto"/>
                      <w:sz w:val="18"/>
                      <w:szCs w:val="18"/>
                    </w:rPr>
                  </w:pPr>
                  <w:r>
                    <w:rPr>
                      <w:color w:val="auto"/>
                      <w:sz w:val="18"/>
                      <w:szCs w:val="18"/>
                    </w:rPr>
                    <w:t>土地类型</w:t>
                  </w:r>
                </w:p>
              </w:tc>
              <w:tc>
                <w:tcPr>
                  <w:tcW w:w="425" w:type="dxa"/>
                  <w:tcBorders>
                    <w:tl2br w:val="nil"/>
                    <w:tr2bl w:val="nil"/>
                  </w:tcBorders>
                  <w:noWrap/>
                  <w:tcMar>
                    <w:top w:w="15" w:type="dxa"/>
                    <w:left w:w="15" w:type="dxa"/>
                    <w:right w:w="15" w:type="dxa"/>
                  </w:tcMar>
                  <w:vAlign w:val="center"/>
                </w:tcPr>
                <w:p w14:paraId="4F2C3036">
                  <w:pPr>
                    <w:pStyle w:val="80"/>
                    <w:topLinePunct/>
                    <w:rPr>
                      <w:color w:val="auto"/>
                      <w:sz w:val="18"/>
                      <w:szCs w:val="18"/>
                    </w:rPr>
                  </w:pPr>
                  <w:r>
                    <w:rPr>
                      <w:color w:val="auto"/>
                      <w:sz w:val="18"/>
                      <w:szCs w:val="18"/>
                    </w:rPr>
                    <w:t>面积</w:t>
                  </w:r>
                </w:p>
                <w:p w14:paraId="772EC06F">
                  <w:pPr>
                    <w:pStyle w:val="80"/>
                    <w:topLinePunct/>
                    <w:rPr>
                      <w:color w:val="auto"/>
                      <w:sz w:val="18"/>
                      <w:szCs w:val="18"/>
                    </w:rPr>
                  </w:pPr>
                  <w:r>
                    <w:rPr>
                      <w:color w:val="auto"/>
                      <w:sz w:val="18"/>
                      <w:szCs w:val="18"/>
                    </w:rPr>
                    <w:t>hm</w:t>
                  </w:r>
                  <w:r>
                    <w:rPr>
                      <w:color w:val="auto"/>
                      <w:sz w:val="18"/>
                      <w:szCs w:val="18"/>
                      <w:vertAlign w:val="superscript"/>
                    </w:rPr>
                    <w:t>2</w:t>
                  </w:r>
                </w:p>
              </w:tc>
              <w:tc>
                <w:tcPr>
                  <w:tcW w:w="708" w:type="dxa"/>
                  <w:tcBorders>
                    <w:tl2br w:val="nil"/>
                    <w:tr2bl w:val="nil"/>
                  </w:tcBorders>
                  <w:noWrap/>
                  <w:tcMar>
                    <w:top w:w="15" w:type="dxa"/>
                    <w:left w:w="15" w:type="dxa"/>
                    <w:right w:w="15" w:type="dxa"/>
                  </w:tcMar>
                  <w:vAlign w:val="center"/>
                </w:tcPr>
                <w:p w14:paraId="5E7C78A3">
                  <w:pPr>
                    <w:pStyle w:val="80"/>
                    <w:topLinePunct/>
                    <w:rPr>
                      <w:color w:val="auto"/>
                      <w:sz w:val="18"/>
                      <w:szCs w:val="18"/>
                    </w:rPr>
                  </w:pPr>
                  <w:r>
                    <w:rPr>
                      <w:color w:val="auto"/>
                      <w:sz w:val="18"/>
                      <w:szCs w:val="18"/>
                    </w:rPr>
                    <w:t>外环境关系</w:t>
                  </w:r>
                </w:p>
              </w:tc>
              <w:tc>
                <w:tcPr>
                  <w:tcW w:w="2277" w:type="dxa"/>
                  <w:tcBorders>
                    <w:tl2br w:val="nil"/>
                    <w:tr2bl w:val="nil"/>
                  </w:tcBorders>
                  <w:noWrap w:val="0"/>
                  <w:vAlign w:val="center"/>
                </w:tcPr>
                <w:p w14:paraId="6CAD0DD0">
                  <w:pPr>
                    <w:pStyle w:val="80"/>
                    <w:topLinePunct/>
                    <w:rPr>
                      <w:rFonts w:hint="eastAsia"/>
                      <w:color w:val="auto"/>
                      <w:sz w:val="18"/>
                      <w:szCs w:val="18"/>
                    </w:rPr>
                  </w:pPr>
                  <w:r>
                    <w:rPr>
                      <w:rFonts w:hint="eastAsia"/>
                      <w:color w:val="auto"/>
                      <w:sz w:val="18"/>
                      <w:szCs w:val="18"/>
                    </w:rPr>
                    <w:t>卫星图</w:t>
                  </w:r>
                </w:p>
              </w:tc>
              <w:tc>
                <w:tcPr>
                  <w:tcW w:w="2285" w:type="dxa"/>
                  <w:tcBorders>
                    <w:tl2br w:val="nil"/>
                    <w:tr2bl w:val="nil"/>
                  </w:tcBorders>
                  <w:noWrap w:val="0"/>
                  <w:vAlign w:val="center"/>
                </w:tcPr>
                <w:p w14:paraId="6193A515">
                  <w:pPr>
                    <w:pStyle w:val="80"/>
                    <w:topLinePunct/>
                    <w:rPr>
                      <w:color w:val="auto"/>
                      <w:sz w:val="18"/>
                      <w:szCs w:val="18"/>
                    </w:rPr>
                  </w:pPr>
                  <w:r>
                    <w:rPr>
                      <w:rFonts w:hint="eastAsia"/>
                      <w:color w:val="auto"/>
                      <w:sz w:val="18"/>
                      <w:szCs w:val="18"/>
                    </w:rPr>
                    <w:t>现状</w:t>
                  </w:r>
                </w:p>
              </w:tc>
            </w:tr>
            <w:tr w14:paraId="37829713">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20" w:type="dxa"/>
                  <w:tcBorders>
                    <w:tl2br w:val="nil"/>
                    <w:tr2bl w:val="nil"/>
                  </w:tcBorders>
                  <w:noWrap/>
                  <w:tcMar>
                    <w:top w:w="15" w:type="dxa"/>
                    <w:left w:w="15" w:type="dxa"/>
                    <w:right w:w="15" w:type="dxa"/>
                  </w:tcMar>
                  <w:vAlign w:val="center"/>
                </w:tcPr>
                <w:p w14:paraId="0C19FA5B">
                  <w:pPr>
                    <w:pStyle w:val="80"/>
                    <w:topLinePunct/>
                    <w:rPr>
                      <w:color w:val="auto"/>
                      <w:sz w:val="18"/>
                      <w:szCs w:val="18"/>
                    </w:rPr>
                  </w:pPr>
                  <w:r>
                    <w:rPr>
                      <w:color w:val="auto"/>
                      <w:sz w:val="18"/>
                      <w:szCs w:val="18"/>
                    </w:rPr>
                    <w:t>1</w:t>
                  </w:r>
                </w:p>
              </w:tc>
              <w:tc>
                <w:tcPr>
                  <w:tcW w:w="619" w:type="dxa"/>
                  <w:tcBorders>
                    <w:tl2br w:val="nil"/>
                    <w:tr2bl w:val="nil"/>
                  </w:tcBorders>
                  <w:noWrap/>
                  <w:tcMar>
                    <w:top w:w="15" w:type="dxa"/>
                    <w:left w:w="15" w:type="dxa"/>
                    <w:right w:w="15" w:type="dxa"/>
                  </w:tcMar>
                  <w:vAlign w:val="center"/>
                </w:tcPr>
                <w:p w14:paraId="2C87B708">
                  <w:pPr>
                    <w:pStyle w:val="80"/>
                    <w:topLinePunct/>
                    <w:rPr>
                      <w:rFonts w:hint="eastAsia"/>
                      <w:color w:val="auto"/>
                      <w:sz w:val="18"/>
                      <w:szCs w:val="18"/>
                    </w:rPr>
                  </w:pPr>
                  <w:r>
                    <w:rPr>
                      <w:color w:val="auto"/>
                      <w:sz w:val="18"/>
                      <w:szCs w:val="18"/>
                    </w:rPr>
                    <w:t>施工驻地</w:t>
                  </w:r>
                </w:p>
              </w:tc>
              <w:tc>
                <w:tcPr>
                  <w:tcW w:w="567" w:type="dxa"/>
                  <w:tcBorders>
                    <w:tl2br w:val="nil"/>
                    <w:tr2bl w:val="nil"/>
                  </w:tcBorders>
                  <w:noWrap/>
                  <w:tcMar>
                    <w:top w:w="15" w:type="dxa"/>
                    <w:left w:w="15" w:type="dxa"/>
                    <w:right w:w="15" w:type="dxa"/>
                  </w:tcMar>
                  <w:vAlign w:val="center"/>
                </w:tcPr>
                <w:p w14:paraId="5E2B4D66">
                  <w:pPr>
                    <w:pStyle w:val="80"/>
                    <w:topLinePunct/>
                    <w:rPr>
                      <w:rFonts w:hint="default" w:eastAsia="宋体"/>
                      <w:color w:val="auto"/>
                      <w:sz w:val="18"/>
                      <w:szCs w:val="18"/>
                      <w:lang w:val="en-US" w:eastAsia="zh-CN"/>
                    </w:rPr>
                  </w:pPr>
                  <w:r>
                    <w:rPr>
                      <w:rFonts w:hint="eastAsia"/>
                      <w:color w:val="auto"/>
                      <w:sz w:val="18"/>
                      <w:szCs w:val="18"/>
                    </w:rPr>
                    <w:t>K</w:t>
                  </w:r>
                  <w:r>
                    <w:rPr>
                      <w:rFonts w:hint="eastAsia"/>
                      <w:color w:val="auto"/>
                      <w:sz w:val="18"/>
                      <w:szCs w:val="18"/>
                      <w:lang w:val="en-US" w:eastAsia="zh-CN"/>
                    </w:rPr>
                    <w:t>370</w:t>
                  </w:r>
                </w:p>
                <w:p w14:paraId="62483FC6">
                  <w:pPr>
                    <w:pStyle w:val="80"/>
                    <w:topLinePunct/>
                    <w:rPr>
                      <w:color w:val="auto"/>
                      <w:sz w:val="18"/>
                      <w:szCs w:val="18"/>
                    </w:rPr>
                  </w:pPr>
                  <w:r>
                    <w:rPr>
                      <w:rFonts w:hint="eastAsia"/>
                      <w:color w:val="auto"/>
                      <w:sz w:val="18"/>
                      <w:szCs w:val="18"/>
                      <w:lang w:val="en-US" w:eastAsia="zh-CN"/>
                    </w:rPr>
                    <w:t>西南侧约7.2k</w:t>
                  </w:r>
                  <w:r>
                    <w:rPr>
                      <w:rFonts w:hint="eastAsia"/>
                      <w:color w:val="auto"/>
                      <w:sz w:val="18"/>
                      <w:szCs w:val="18"/>
                    </w:rPr>
                    <w:t>m</w:t>
                  </w:r>
                </w:p>
              </w:tc>
              <w:tc>
                <w:tcPr>
                  <w:tcW w:w="567" w:type="dxa"/>
                  <w:tcBorders>
                    <w:tl2br w:val="nil"/>
                    <w:tr2bl w:val="nil"/>
                  </w:tcBorders>
                  <w:noWrap/>
                  <w:tcMar>
                    <w:top w:w="15" w:type="dxa"/>
                    <w:left w:w="15" w:type="dxa"/>
                    <w:right w:w="15" w:type="dxa"/>
                  </w:tcMar>
                  <w:vAlign w:val="center"/>
                </w:tcPr>
                <w:p w14:paraId="37EADDB3">
                  <w:pPr>
                    <w:pStyle w:val="80"/>
                    <w:topLinePunct/>
                    <w:rPr>
                      <w:rFonts w:hint="eastAsia"/>
                      <w:color w:val="auto"/>
                      <w:sz w:val="18"/>
                      <w:szCs w:val="18"/>
                    </w:rPr>
                  </w:pPr>
                  <w:r>
                    <w:rPr>
                      <w:rFonts w:hint="eastAsia"/>
                      <w:color w:val="auto"/>
                      <w:sz w:val="18"/>
                      <w:szCs w:val="18"/>
                    </w:rPr>
                    <w:t>工业用地（</w:t>
                  </w:r>
                  <w:r>
                    <w:rPr>
                      <w:rFonts w:hint="eastAsia"/>
                      <w:color w:val="auto"/>
                      <w:sz w:val="18"/>
                      <w:szCs w:val="18"/>
                      <w:lang w:val="en-US" w:eastAsia="zh-CN"/>
                    </w:rPr>
                    <w:t>租赁</w:t>
                  </w:r>
                  <w:r>
                    <w:rPr>
                      <w:rFonts w:hint="eastAsia"/>
                      <w:color w:val="auto"/>
                      <w:sz w:val="18"/>
                      <w:szCs w:val="18"/>
                    </w:rPr>
                    <w:t>）</w:t>
                  </w:r>
                </w:p>
              </w:tc>
              <w:tc>
                <w:tcPr>
                  <w:tcW w:w="425" w:type="dxa"/>
                  <w:tcBorders>
                    <w:tl2br w:val="nil"/>
                    <w:tr2bl w:val="nil"/>
                  </w:tcBorders>
                  <w:noWrap/>
                  <w:tcMar>
                    <w:top w:w="15" w:type="dxa"/>
                    <w:left w:w="15" w:type="dxa"/>
                    <w:right w:w="15" w:type="dxa"/>
                  </w:tcMar>
                  <w:vAlign w:val="center"/>
                </w:tcPr>
                <w:p w14:paraId="72EFA605">
                  <w:pPr>
                    <w:pStyle w:val="80"/>
                    <w:topLinePunct/>
                    <w:rPr>
                      <w:rFonts w:hint="default" w:eastAsia="宋体"/>
                      <w:color w:val="auto"/>
                      <w:sz w:val="18"/>
                      <w:szCs w:val="18"/>
                      <w:lang w:val="en-US" w:eastAsia="zh-CN"/>
                    </w:rPr>
                  </w:pPr>
                  <w:r>
                    <w:rPr>
                      <w:rFonts w:hint="eastAsia"/>
                      <w:color w:val="auto"/>
                      <w:sz w:val="18"/>
                      <w:szCs w:val="18"/>
                      <w:lang w:val="en-US" w:eastAsia="zh-CN"/>
                    </w:rPr>
                    <w:t>0.26</w:t>
                  </w:r>
                </w:p>
              </w:tc>
              <w:tc>
                <w:tcPr>
                  <w:tcW w:w="708" w:type="dxa"/>
                  <w:tcBorders>
                    <w:tl2br w:val="nil"/>
                    <w:tr2bl w:val="nil"/>
                  </w:tcBorders>
                  <w:noWrap/>
                  <w:tcMar>
                    <w:top w:w="15" w:type="dxa"/>
                    <w:left w:w="15" w:type="dxa"/>
                    <w:right w:w="15" w:type="dxa"/>
                  </w:tcMar>
                  <w:vAlign w:val="center"/>
                </w:tcPr>
                <w:p w14:paraId="17B23377">
                  <w:pPr>
                    <w:pStyle w:val="80"/>
                    <w:topLinePunct/>
                    <w:rPr>
                      <w:rFonts w:hint="eastAsia" w:eastAsia="宋体"/>
                      <w:color w:val="auto"/>
                      <w:sz w:val="18"/>
                      <w:szCs w:val="18"/>
                      <w:lang w:val="en-US" w:eastAsia="zh-CN"/>
                    </w:rPr>
                  </w:pPr>
                  <w:r>
                    <w:rPr>
                      <w:rFonts w:hint="eastAsia"/>
                      <w:color w:val="auto"/>
                      <w:sz w:val="18"/>
                      <w:szCs w:val="18"/>
                    </w:rPr>
                    <w:t>西侧</w:t>
                  </w:r>
                  <w:r>
                    <w:rPr>
                      <w:rFonts w:hint="eastAsia"/>
                      <w:color w:val="auto"/>
                      <w:sz w:val="18"/>
                      <w:szCs w:val="18"/>
                      <w:lang w:val="en-US" w:eastAsia="zh-CN"/>
                    </w:rPr>
                    <w:t>为农田</w:t>
                  </w:r>
                  <w:r>
                    <w:rPr>
                      <w:rFonts w:hint="eastAsia"/>
                      <w:color w:val="auto"/>
                      <w:sz w:val="18"/>
                      <w:szCs w:val="18"/>
                    </w:rPr>
                    <w:t>，南侧为乡道，北侧为</w:t>
                  </w:r>
                  <w:r>
                    <w:rPr>
                      <w:rFonts w:hint="eastAsia"/>
                      <w:color w:val="auto"/>
                      <w:sz w:val="18"/>
                      <w:szCs w:val="18"/>
                      <w:lang w:val="en-US" w:eastAsia="zh-CN"/>
                    </w:rPr>
                    <w:t>工业企业</w:t>
                  </w:r>
                  <w:r>
                    <w:rPr>
                      <w:rFonts w:hint="eastAsia"/>
                      <w:color w:val="auto"/>
                      <w:sz w:val="18"/>
                      <w:szCs w:val="18"/>
                    </w:rPr>
                    <w:t>，东侧为</w:t>
                  </w:r>
                  <w:r>
                    <w:rPr>
                      <w:rFonts w:hint="eastAsia"/>
                      <w:color w:val="auto"/>
                      <w:sz w:val="18"/>
                      <w:szCs w:val="18"/>
                      <w:lang w:val="en-US" w:eastAsia="zh-CN"/>
                    </w:rPr>
                    <w:t>池塘</w:t>
                  </w:r>
                </w:p>
              </w:tc>
              <w:tc>
                <w:tcPr>
                  <w:tcW w:w="2277" w:type="dxa"/>
                  <w:tcBorders>
                    <w:tl2br w:val="nil"/>
                    <w:tr2bl w:val="nil"/>
                  </w:tcBorders>
                  <w:noWrap w:val="0"/>
                  <w:vAlign w:val="center"/>
                </w:tcPr>
                <w:p w14:paraId="442C2817">
                  <w:pPr>
                    <w:pStyle w:val="80"/>
                    <w:topLinePunct/>
                    <w:rPr>
                      <w:color w:val="auto"/>
                      <w:sz w:val="18"/>
                      <w:szCs w:val="18"/>
                    </w:rPr>
                  </w:pPr>
                  <w:r>
                    <w:rPr>
                      <w:color w:val="auto"/>
                    </w:rPr>
                    <w:drawing>
                      <wp:inline distT="0" distB="0" distL="114300" distR="114300">
                        <wp:extent cx="1436370" cy="1309370"/>
                        <wp:effectExtent l="0" t="0" r="11430" b="508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9"/>
                                <a:stretch>
                                  <a:fillRect/>
                                </a:stretch>
                              </pic:blipFill>
                              <pic:spPr>
                                <a:xfrm>
                                  <a:off x="0" y="0"/>
                                  <a:ext cx="1436370" cy="1309370"/>
                                </a:xfrm>
                                <a:prstGeom prst="rect">
                                  <a:avLst/>
                                </a:prstGeom>
                                <a:noFill/>
                                <a:ln>
                                  <a:noFill/>
                                </a:ln>
                              </pic:spPr>
                            </pic:pic>
                          </a:graphicData>
                        </a:graphic>
                      </wp:inline>
                    </w:drawing>
                  </w:r>
                </w:p>
              </w:tc>
              <w:tc>
                <w:tcPr>
                  <w:tcW w:w="2285" w:type="dxa"/>
                  <w:tcBorders>
                    <w:tl2br w:val="nil"/>
                    <w:tr2bl w:val="nil"/>
                  </w:tcBorders>
                  <w:noWrap w:val="0"/>
                  <w:vAlign w:val="center"/>
                </w:tcPr>
                <w:p w14:paraId="635ABE1E">
                  <w:pPr>
                    <w:pStyle w:val="80"/>
                    <w:topLinePunct/>
                    <w:rPr>
                      <w:rFonts w:hint="eastAsia" w:eastAsia="宋体"/>
                      <w:color w:val="auto"/>
                      <w:sz w:val="18"/>
                      <w:szCs w:val="18"/>
                      <w:lang w:eastAsia="zh-CN"/>
                    </w:rPr>
                  </w:pPr>
                  <w:r>
                    <w:rPr>
                      <w:rFonts w:hint="eastAsia" w:eastAsia="宋体"/>
                      <w:color w:val="auto"/>
                      <w:sz w:val="18"/>
                      <w:szCs w:val="18"/>
                      <w:lang w:eastAsia="zh-CN"/>
                    </w:rPr>
                    <w:drawing>
                      <wp:inline distT="0" distB="0" distL="114300" distR="114300">
                        <wp:extent cx="1426210" cy="802640"/>
                        <wp:effectExtent l="0" t="0" r="2540" b="16510"/>
                        <wp:docPr id="3" name="图片 3" descr="ef2646b06935b730c96e8c7346a55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f2646b06935b730c96e8c7346a5546d"/>
                                <pic:cNvPicPr>
                                  <a:picLocks noChangeAspect="1"/>
                                </pic:cNvPicPr>
                              </pic:nvPicPr>
                              <pic:blipFill>
                                <a:blip r:embed="rId20"/>
                                <a:stretch>
                                  <a:fillRect/>
                                </a:stretch>
                              </pic:blipFill>
                              <pic:spPr>
                                <a:xfrm>
                                  <a:off x="0" y="0"/>
                                  <a:ext cx="1426210" cy="802640"/>
                                </a:xfrm>
                                <a:prstGeom prst="rect">
                                  <a:avLst/>
                                </a:prstGeom>
                              </pic:spPr>
                            </pic:pic>
                          </a:graphicData>
                        </a:graphic>
                      </wp:inline>
                    </w:drawing>
                  </w:r>
                </w:p>
              </w:tc>
            </w:tr>
            <w:tr w14:paraId="25320693">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20" w:type="dxa"/>
                  <w:tcBorders>
                    <w:tl2br w:val="nil"/>
                    <w:tr2bl w:val="nil"/>
                  </w:tcBorders>
                  <w:noWrap/>
                  <w:tcMar>
                    <w:top w:w="15" w:type="dxa"/>
                    <w:left w:w="15" w:type="dxa"/>
                    <w:right w:w="15" w:type="dxa"/>
                  </w:tcMar>
                  <w:vAlign w:val="center"/>
                </w:tcPr>
                <w:p w14:paraId="60E70043">
                  <w:pPr>
                    <w:pStyle w:val="80"/>
                    <w:topLinePunct/>
                    <w:rPr>
                      <w:rFonts w:hint="eastAsia" w:eastAsia="宋体"/>
                      <w:color w:val="auto"/>
                      <w:sz w:val="18"/>
                      <w:szCs w:val="18"/>
                      <w:lang w:eastAsia="zh-CN"/>
                    </w:rPr>
                  </w:pPr>
                  <w:r>
                    <w:rPr>
                      <w:rFonts w:hint="eastAsia"/>
                      <w:color w:val="auto"/>
                      <w:sz w:val="18"/>
                      <w:szCs w:val="18"/>
                      <w:lang w:val="en-US" w:eastAsia="zh-CN"/>
                    </w:rPr>
                    <w:t>2</w:t>
                  </w:r>
                </w:p>
              </w:tc>
              <w:tc>
                <w:tcPr>
                  <w:tcW w:w="619" w:type="dxa"/>
                  <w:tcBorders>
                    <w:tl2br w:val="nil"/>
                    <w:tr2bl w:val="nil"/>
                  </w:tcBorders>
                  <w:noWrap/>
                  <w:tcMar>
                    <w:top w:w="15" w:type="dxa"/>
                    <w:left w:w="15" w:type="dxa"/>
                    <w:right w:w="15" w:type="dxa"/>
                  </w:tcMar>
                  <w:vAlign w:val="center"/>
                </w:tcPr>
                <w:p w14:paraId="079A4DFD">
                  <w:pPr>
                    <w:pStyle w:val="80"/>
                    <w:topLinePunct/>
                    <w:rPr>
                      <w:color w:val="auto"/>
                      <w:sz w:val="18"/>
                      <w:szCs w:val="18"/>
                    </w:rPr>
                  </w:pPr>
                  <w:r>
                    <w:rPr>
                      <w:rFonts w:hint="eastAsia"/>
                      <w:color w:val="auto"/>
                      <w:sz w:val="18"/>
                      <w:szCs w:val="18"/>
                      <w:lang w:val="en-US" w:eastAsia="zh-CN"/>
                    </w:rPr>
                    <w:t>面层</w:t>
                  </w:r>
                  <w:r>
                    <w:rPr>
                      <w:rFonts w:hint="eastAsia"/>
                      <w:color w:val="auto"/>
                      <w:sz w:val="18"/>
                      <w:szCs w:val="18"/>
                    </w:rPr>
                    <w:t>拌合站</w:t>
                  </w:r>
                </w:p>
              </w:tc>
              <w:tc>
                <w:tcPr>
                  <w:tcW w:w="567" w:type="dxa"/>
                  <w:tcBorders>
                    <w:tl2br w:val="nil"/>
                    <w:tr2bl w:val="nil"/>
                  </w:tcBorders>
                  <w:noWrap/>
                  <w:tcMar>
                    <w:top w:w="15" w:type="dxa"/>
                    <w:left w:w="15" w:type="dxa"/>
                    <w:right w:w="15" w:type="dxa"/>
                  </w:tcMar>
                  <w:vAlign w:val="center"/>
                </w:tcPr>
                <w:p w14:paraId="4EA8CBCF">
                  <w:pPr>
                    <w:pStyle w:val="80"/>
                    <w:topLinePunct/>
                    <w:rPr>
                      <w:rFonts w:hint="default" w:eastAsia="宋体"/>
                      <w:color w:val="auto"/>
                      <w:sz w:val="18"/>
                      <w:szCs w:val="18"/>
                      <w:lang w:val="en-US" w:eastAsia="zh-CN"/>
                    </w:rPr>
                  </w:pPr>
                  <w:r>
                    <w:rPr>
                      <w:rFonts w:hint="eastAsia"/>
                      <w:color w:val="auto"/>
                      <w:sz w:val="18"/>
                      <w:szCs w:val="18"/>
                    </w:rPr>
                    <w:t>K</w:t>
                  </w:r>
                  <w:r>
                    <w:rPr>
                      <w:rFonts w:hint="eastAsia"/>
                      <w:color w:val="auto"/>
                      <w:sz w:val="18"/>
                      <w:szCs w:val="18"/>
                      <w:lang w:val="en-US" w:eastAsia="zh-CN"/>
                    </w:rPr>
                    <w:t>381</w:t>
                  </w:r>
                  <w:r>
                    <w:rPr>
                      <w:rFonts w:hint="eastAsia"/>
                      <w:color w:val="auto"/>
                      <w:sz w:val="18"/>
                      <w:szCs w:val="18"/>
                    </w:rPr>
                    <w:t>+</w:t>
                  </w:r>
                  <w:r>
                    <w:rPr>
                      <w:rFonts w:hint="eastAsia"/>
                      <w:color w:val="auto"/>
                      <w:sz w:val="18"/>
                      <w:szCs w:val="18"/>
                      <w:lang w:val="en-US" w:eastAsia="zh-CN"/>
                    </w:rPr>
                    <w:t>540</w:t>
                  </w:r>
                </w:p>
                <w:p w14:paraId="33EBCA44">
                  <w:pPr>
                    <w:pStyle w:val="80"/>
                    <w:topLinePunct/>
                    <w:rPr>
                      <w:rFonts w:hint="eastAsia"/>
                      <w:color w:val="auto"/>
                      <w:sz w:val="18"/>
                      <w:szCs w:val="18"/>
                    </w:rPr>
                  </w:pPr>
                  <w:r>
                    <w:rPr>
                      <w:rFonts w:hint="eastAsia"/>
                      <w:color w:val="auto"/>
                      <w:sz w:val="18"/>
                      <w:szCs w:val="18"/>
                    </w:rPr>
                    <w:t>左0</w:t>
                  </w:r>
                  <w:r>
                    <w:rPr>
                      <w:color w:val="auto"/>
                      <w:sz w:val="18"/>
                      <w:szCs w:val="18"/>
                    </w:rPr>
                    <w:t>.</w:t>
                  </w:r>
                  <w:r>
                    <w:rPr>
                      <w:rFonts w:hint="eastAsia"/>
                      <w:color w:val="auto"/>
                      <w:sz w:val="18"/>
                      <w:szCs w:val="18"/>
                      <w:lang w:val="en-US" w:eastAsia="zh-CN"/>
                    </w:rPr>
                    <w:t>3</w:t>
                  </w:r>
                  <w:r>
                    <w:rPr>
                      <w:color w:val="auto"/>
                      <w:sz w:val="18"/>
                      <w:szCs w:val="18"/>
                    </w:rPr>
                    <w:t>8</w:t>
                  </w:r>
                  <w:r>
                    <w:rPr>
                      <w:rFonts w:hint="eastAsia"/>
                      <w:color w:val="auto"/>
                      <w:sz w:val="18"/>
                      <w:szCs w:val="18"/>
                    </w:rPr>
                    <w:t>km</w:t>
                  </w:r>
                </w:p>
              </w:tc>
              <w:tc>
                <w:tcPr>
                  <w:tcW w:w="567" w:type="dxa"/>
                  <w:tcBorders>
                    <w:tl2br w:val="nil"/>
                    <w:tr2bl w:val="nil"/>
                  </w:tcBorders>
                  <w:noWrap/>
                  <w:tcMar>
                    <w:top w:w="15" w:type="dxa"/>
                    <w:left w:w="15" w:type="dxa"/>
                    <w:right w:w="15" w:type="dxa"/>
                  </w:tcMar>
                  <w:vAlign w:val="center"/>
                </w:tcPr>
                <w:p w14:paraId="7D8AA08A">
                  <w:pPr>
                    <w:pStyle w:val="80"/>
                    <w:topLinePunct/>
                    <w:rPr>
                      <w:rFonts w:hint="default" w:eastAsia="宋体"/>
                      <w:color w:val="auto"/>
                      <w:sz w:val="18"/>
                      <w:szCs w:val="18"/>
                      <w:lang w:val="en-US" w:eastAsia="zh-CN"/>
                    </w:rPr>
                  </w:pPr>
                  <w:r>
                    <w:rPr>
                      <w:rFonts w:hint="eastAsia" w:cs="宋体"/>
                      <w:color w:val="auto"/>
                      <w:kern w:val="0"/>
                      <w:sz w:val="18"/>
                      <w:szCs w:val="18"/>
                      <w:lang w:val="en-US" w:eastAsia="zh-CN" w:bidi="ar"/>
                    </w:rPr>
                    <w:t>工业用地</w:t>
                  </w:r>
                  <w:r>
                    <w:rPr>
                      <w:rFonts w:hint="eastAsia"/>
                      <w:color w:val="auto"/>
                      <w:sz w:val="18"/>
                      <w:szCs w:val="18"/>
                    </w:rPr>
                    <w:t>（</w:t>
                  </w:r>
                  <w:r>
                    <w:rPr>
                      <w:rFonts w:hint="eastAsia"/>
                      <w:color w:val="auto"/>
                      <w:sz w:val="18"/>
                      <w:szCs w:val="18"/>
                      <w:lang w:val="en-US" w:eastAsia="zh-CN"/>
                    </w:rPr>
                    <w:t>租赁</w:t>
                  </w:r>
                  <w:r>
                    <w:rPr>
                      <w:rFonts w:hint="eastAsia"/>
                      <w:color w:val="auto"/>
                      <w:sz w:val="18"/>
                      <w:szCs w:val="18"/>
                    </w:rPr>
                    <w:t>）</w:t>
                  </w:r>
                </w:p>
              </w:tc>
              <w:tc>
                <w:tcPr>
                  <w:tcW w:w="425" w:type="dxa"/>
                  <w:tcBorders>
                    <w:tl2br w:val="nil"/>
                    <w:tr2bl w:val="nil"/>
                  </w:tcBorders>
                  <w:noWrap/>
                  <w:tcMar>
                    <w:top w:w="15" w:type="dxa"/>
                    <w:left w:w="15" w:type="dxa"/>
                    <w:right w:w="15" w:type="dxa"/>
                  </w:tcMar>
                  <w:vAlign w:val="center"/>
                </w:tcPr>
                <w:p w14:paraId="19565033">
                  <w:pPr>
                    <w:pStyle w:val="80"/>
                    <w:topLinePunct/>
                    <w:rPr>
                      <w:rFonts w:hint="default" w:eastAsia="宋体"/>
                      <w:color w:val="auto"/>
                      <w:sz w:val="18"/>
                      <w:szCs w:val="18"/>
                      <w:lang w:val="en-US" w:eastAsia="zh-CN"/>
                    </w:rPr>
                  </w:pPr>
                  <w:r>
                    <w:rPr>
                      <w:rFonts w:hint="eastAsia"/>
                      <w:color w:val="auto"/>
                      <w:sz w:val="18"/>
                      <w:szCs w:val="18"/>
                      <w:lang w:val="en-US" w:eastAsia="zh-CN"/>
                    </w:rPr>
                    <w:t>3.6</w:t>
                  </w:r>
                </w:p>
              </w:tc>
              <w:tc>
                <w:tcPr>
                  <w:tcW w:w="708" w:type="dxa"/>
                  <w:tcBorders>
                    <w:tl2br w:val="nil"/>
                    <w:tr2bl w:val="nil"/>
                  </w:tcBorders>
                  <w:noWrap/>
                  <w:tcMar>
                    <w:top w:w="15" w:type="dxa"/>
                    <w:left w:w="15" w:type="dxa"/>
                    <w:right w:w="15" w:type="dxa"/>
                  </w:tcMar>
                  <w:vAlign w:val="center"/>
                </w:tcPr>
                <w:p w14:paraId="4C3CD692">
                  <w:pPr>
                    <w:pStyle w:val="80"/>
                    <w:topLinePunct/>
                    <w:rPr>
                      <w:rFonts w:hint="eastAsia"/>
                      <w:color w:val="auto"/>
                      <w:sz w:val="18"/>
                      <w:szCs w:val="18"/>
                    </w:rPr>
                  </w:pPr>
                  <w:r>
                    <w:rPr>
                      <w:rFonts w:hint="eastAsia"/>
                      <w:color w:val="auto"/>
                      <w:sz w:val="18"/>
                      <w:szCs w:val="18"/>
                    </w:rPr>
                    <w:t>西侧为养殖户，其余方向为耕地，</w:t>
                  </w:r>
                  <w:r>
                    <w:rPr>
                      <w:rFonts w:hint="eastAsia"/>
                      <w:color w:val="auto"/>
                      <w:sz w:val="18"/>
                      <w:szCs w:val="18"/>
                      <w:lang w:val="en-US" w:eastAsia="zh-CN"/>
                    </w:rPr>
                    <w:t>3</w:t>
                  </w:r>
                  <w:r>
                    <w:rPr>
                      <w:color w:val="auto"/>
                      <w:sz w:val="18"/>
                      <w:szCs w:val="18"/>
                    </w:rPr>
                    <w:t>00</w:t>
                  </w:r>
                  <w:r>
                    <w:rPr>
                      <w:rFonts w:hint="eastAsia"/>
                      <w:color w:val="auto"/>
                      <w:sz w:val="18"/>
                      <w:szCs w:val="18"/>
                    </w:rPr>
                    <w:t>m范围内无居民</w:t>
                  </w:r>
                </w:p>
              </w:tc>
              <w:tc>
                <w:tcPr>
                  <w:tcW w:w="2277" w:type="dxa"/>
                  <w:tcBorders>
                    <w:tl2br w:val="nil"/>
                    <w:tr2bl w:val="nil"/>
                  </w:tcBorders>
                  <w:noWrap w:val="0"/>
                  <w:vAlign w:val="center"/>
                </w:tcPr>
                <w:p w14:paraId="5BAFE955">
                  <w:pPr>
                    <w:pStyle w:val="80"/>
                    <w:topLinePunct/>
                    <w:rPr>
                      <w:color w:val="auto"/>
                      <w:sz w:val="18"/>
                      <w:szCs w:val="18"/>
                    </w:rPr>
                  </w:pPr>
                  <w:r>
                    <w:rPr>
                      <w:color w:val="auto"/>
                    </w:rPr>
                    <w:drawing>
                      <wp:inline distT="0" distB="0" distL="114300" distR="114300">
                        <wp:extent cx="1438910" cy="1047750"/>
                        <wp:effectExtent l="0" t="0" r="889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1"/>
                                <a:stretch>
                                  <a:fillRect/>
                                </a:stretch>
                              </pic:blipFill>
                              <pic:spPr>
                                <a:xfrm>
                                  <a:off x="0" y="0"/>
                                  <a:ext cx="1438910" cy="1047750"/>
                                </a:xfrm>
                                <a:prstGeom prst="rect">
                                  <a:avLst/>
                                </a:prstGeom>
                                <a:noFill/>
                                <a:ln>
                                  <a:noFill/>
                                </a:ln>
                              </pic:spPr>
                            </pic:pic>
                          </a:graphicData>
                        </a:graphic>
                      </wp:inline>
                    </w:drawing>
                  </w:r>
                </w:p>
              </w:tc>
              <w:tc>
                <w:tcPr>
                  <w:tcW w:w="2285" w:type="dxa"/>
                  <w:tcBorders>
                    <w:tl2br w:val="nil"/>
                    <w:tr2bl w:val="nil"/>
                  </w:tcBorders>
                  <w:noWrap w:val="0"/>
                  <w:vAlign w:val="center"/>
                </w:tcPr>
                <w:p w14:paraId="657AC9CE">
                  <w:pPr>
                    <w:pStyle w:val="80"/>
                    <w:topLinePunct/>
                    <w:rPr>
                      <w:rFonts w:hint="eastAsia" w:eastAsia="宋体"/>
                      <w:color w:val="auto"/>
                      <w:sz w:val="18"/>
                      <w:szCs w:val="18"/>
                      <w:lang w:eastAsia="zh-CN"/>
                    </w:rPr>
                  </w:pPr>
                  <w:r>
                    <w:rPr>
                      <w:rFonts w:hint="eastAsia" w:eastAsia="宋体"/>
                      <w:color w:val="auto"/>
                      <w:sz w:val="18"/>
                      <w:szCs w:val="18"/>
                      <w:lang w:eastAsia="zh-CN"/>
                    </w:rPr>
                    <w:drawing>
                      <wp:inline distT="0" distB="0" distL="114300" distR="114300">
                        <wp:extent cx="1267460" cy="1164590"/>
                        <wp:effectExtent l="0" t="0" r="0" b="0"/>
                        <wp:docPr id="13" name="图片 13" descr="MVIMG_20250910_16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MVIMG_20250910_163747"/>
                                <pic:cNvPicPr>
                                  <a:picLocks noChangeAspect="1"/>
                                </pic:cNvPicPr>
                              </pic:nvPicPr>
                              <pic:blipFill>
                                <a:blip r:embed="rId22"/>
                                <a:srcRect l="11642" b="39110"/>
                                <a:stretch>
                                  <a:fillRect/>
                                </a:stretch>
                              </pic:blipFill>
                              <pic:spPr>
                                <a:xfrm>
                                  <a:off x="0" y="0"/>
                                  <a:ext cx="1267460" cy="1164590"/>
                                </a:xfrm>
                                <a:prstGeom prst="rect">
                                  <a:avLst/>
                                </a:prstGeom>
                              </pic:spPr>
                            </pic:pic>
                          </a:graphicData>
                        </a:graphic>
                      </wp:inline>
                    </w:drawing>
                  </w:r>
                </w:p>
              </w:tc>
            </w:tr>
          </w:tbl>
          <w:p w14:paraId="4CF6A6D8">
            <w:pPr>
              <w:pStyle w:val="76"/>
              <w:rPr>
                <w:rFonts w:hint="eastAsia"/>
                <w:color w:val="auto"/>
              </w:rPr>
            </w:pPr>
            <w:r>
              <w:rPr>
                <w:rFonts w:hint="eastAsia"/>
                <w:color w:val="auto"/>
              </w:rPr>
              <w:t>3、筑路材料来源及运输条件</w:t>
            </w:r>
          </w:p>
          <w:p w14:paraId="04AB5B02">
            <w:pPr>
              <w:pStyle w:val="76"/>
              <w:rPr>
                <w:color w:val="auto"/>
              </w:rPr>
            </w:pPr>
            <w:r>
              <w:rPr>
                <w:rFonts w:hint="eastAsia"/>
                <w:color w:val="auto"/>
              </w:rPr>
              <w:t>本项目筑路材料来源及运输条件，见表2-1</w:t>
            </w:r>
            <w:r>
              <w:rPr>
                <w:rFonts w:hint="eastAsia"/>
                <w:color w:val="auto"/>
                <w:lang w:val="en-US" w:eastAsia="zh-CN"/>
              </w:rPr>
              <w:t>1</w:t>
            </w:r>
            <w:r>
              <w:rPr>
                <w:rFonts w:hint="eastAsia"/>
                <w:color w:val="auto"/>
              </w:rPr>
              <w:t>。</w:t>
            </w:r>
          </w:p>
          <w:p w14:paraId="1EB36E01">
            <w:pPr>
              <w:pStyle w:val="72"/>
              <w:rPr>
                <w:rFonts w:hint="eastAsia" w:ascii="宋体" w:hAnsi="宋体" w:eastAsia="宋体" w:cs="宋体"/>
                <w:color w:val="auto"/>
              </w:rPr>
            </w:pPr>
            <w:r>
              <w:rPr>
                <w:rFonts w:hint="eastAsia" w:ascii="宋体" w:hAnsi="宋体" w:eastAsia="宋体" w:cs="宋体"/>
                <w:color w:val="auto"/>
              </w:rPr>
              <w:t>表2-1</w:t>
            </w:r>
            <w:r>
              <w:rPr>
                <w:rFonts w:hint="eastAsia" w:ascii="宋体" w:hAnsi="宋体" w:eastAsia="宋体" w:cs="宋体"/>
                <w:color w:val="auto"/>
                <w:lang w:val="en-US" w:eastAsia="zh-CN"/>
              </w:rPr>
              <w:t>1</w:t>
            </w:r>
            <w:r>
              <w:rPr>
                <w:rFonts w:hint="eastAsia" w:ascii="宋体" w:hAnsi="宋体" w:eastAsia="宋体" w:cs="宋体"/>
                <w:color w:val="auto"/>
              </w:rPr>
              <w:t xml:space="preserve">  沿线筑路材料料场情况一览表</w:t>
            </w:r>
          </w:p>
          <w:tbl>
            <w:tblPr>
              <w:tblStyle w:val="31"/>
              <w:tblW w:w="4998"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8"/>
              <w:gridCol w:w="1281"/>
              <w:gridCol w:w="4870"/>
              <w:gridCol w:w="866"/>
            </w:tblGrid>
            <w:tr w14:paraId="7C57843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539" w:type="pct"/>
                  <w:vMerge w:val="restart"/>
                  <w:tcBorders>
                    <w:tl2br w:val="nil"/>
                    <w:tr2bl w:val="nil"/>
                  </w:tcBorders>
                  <w:noWrap w:val="0"/>
                  <w:vAlign w:val="center"/>
                </w:tcPr>
                <w:p w14:paraId="3D32226D">
                  <w:pPr>
                    <w:overflowPunct w:val="0"/>
                    <w:spacing w:line="240" w:lineRule="auto"/>
                    <w:jc w:val="center"/>
                    <w:rPr>
                      <w:rFonts w:eastAsia="Calibri"/>
                      <w:color w:val="auto"/>
                      <w:sz w:val="21"/>
                      <w:szCs w:val="21"/>
                    </w:rPr>
                  </w:pPr>
                  <w:r>
                    <w:rPr>
                      <w:color w:val="auto"/>
                      <w:sz w:val="21"/>
                      <w:szCs w:val="21"/>
                    </w:rPr>
                    <w:t>材料名称</w:t>
                  </w:r>
                </w:p>
              </w:tc>
              <w:tc>
                <w:tcPr>
                  <w:tcW w:w="814" w:type="pct"/>
                  <w:vMerge w:val="restart"/>
                  <w:tcBorders>
                    <w:tl2br w:val="nil"/>
                    <w:tr2bl w:val="nil"/>
                  </w:tcBorders>
                  <w:noWrap w:val="0"/>
                  <w:vAlign w:val="center"/>
                </w:tcPr>
                <w:p w14:paraId="67C3C2E2">
                  <w:pPr>
                    <w:overflowPunct w:val="0"/>
                    <w:spacing w:line="240" w:lineRule="auto"/>
                    <w:jc w:val="center"/>
                    <w:rPr>
                      <w:color w:val="auto"/>
                      <w:sz w:val="21"/>
                      <w:szCs w:val="21"/>
                    </w:rPr>
                  </w:pPr>
                  <w:r>
                    <w:rPr>
                      <w:color w:val="auto"/>
                      <w:sz w:val="21"/>
                      <w:szCs w:val="21"/>
                    </w:rPr>
                    <w:t>料场</w:t>
                  </w:r>
                </w:p>
                <w:p w14:paraId="7DBA9494">
                  <w:pPr>
                    <w:overflowPunct w:val="0"/>
                    <w:spacing w:line="240" w:lineRule="auto"/>
                    <w:jc w:val="center"/>
                    <w:rPr>
                      <w:rFonts w:eastAsia="Calibri"/>
                      <w:color w:val="auto"/>
                      <w:sz w:val="21"/>
                      <w:szCs w:val="21"/>
                    </w:rPr>
                  </w:pPr>
                  <w:r>
                    <w:rPr>
                      <w:color w:val="auto"/>
                      <w:sz w:val="21"/>
                      <w:szCs w:val="21"/>
                    </w:rPr>
                    <w:t>名称</w:t>
                  </w:r>
                </w:p>
              </w:tc>
              <w:tc>
                <w:tcPr>
                  <w:tcW w:w="3095" w:type="pct"/>
                  <w:vMerge w:val="restart"/>
                  <w:tcBorders>
                    <w:tl2br w:val="nil"/>
                    <w:tr2bl w:val="nil"/>
                  </w:tcBorders>
                  <w:noWrap w:val="0"/>
                  <w:vAlign w:val="center"/>
                </w:tcPr>
                <w:p w14:paraId="7B477ABA">
                  <w:pPr>
                    <w:overflowPunct w:val="0"/>
                    <w:spacing w:line="240" w:lineRule="auto"/>
                    <w:jc w:val="center"/>
                    <w:rPr>
                      <w:rFonts w:eastAsia="Calibri"/>
                      <w:color w:val="auto"/>
                      <w:sz w:val="21"/>
                      <w:szCs w:val="21"/>
                    </w:rPr>
                  </w:pPr>
                  <w:r>
                    <w:rPr>
                      <w:color w:val="auto"/>
                      <w:sz w:val="21"/>
                      <w:szCs w:val="21"/>
                    </w:rPr>
                    <w:t>料场情况</w:t>
                  </w:r>
                </w:p>
              </w:tc>
              <w:tc>
                <w:tcPr>
                  <w:tcW w:w="550" w:type="pct"/>
                  <w:vMerge w:val="restart"/>
                  <w:tcBorders>
                    <w:tl2br w:val="nil"/>
                    <w:tr2bl w:val="nil"/>
                  </w:tcBorders>
                  <w:noWrap w:val="0"/>
                  <w:vAlign w:val="center"/>
                </w:tcPr>
                <w:p w14:paraId="3753FA22">
                  <w:pPr>
                    <w:overflowPunct w:val="0"/>
                    <w:spacing w:line="240" w:lineRule="auto"/>
                    <w:jc w:val="center"/>
                    <w:rPr>
                      <w:rFonts w:eastAsia="Calibri"/>
                      <w:color w:val="auto"/>
                      <w:sz w:val="21"/>
                      <w:szCs w:val="21"/>
                    </w:rPr>
                  </w:pPr>
                  <w:r>
                    <w:rPr>
                      <w:color w:val="auto"/>
                      <w:sz w:val="21"/>
                      <w:szCs w:val="21"/>
                    </w:rPr>
                    <w:t>运输方式</w:t>
                  </w:r>
                </w:p>
              </w:tc>
            </w:tr>
            <w:tr w14:paraId="3905CBA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539" w:type="pct"/>
                  <w:vMerge w:val="continue"/>
                  <w:tcBorders>
                    <w:tl2br w:val="nil"/>
                    <w:tr2bl w:val="nil"/>
                  </w:tcBorders>
                  <w:noWrap w:val="0"/>
                  <w:vAlign w:val="center"/>
                </w:tcPr>
                <w:p w14:paraId="1E19E45F">
                  <w:pPr>
                    <w:overflowPunct w:val="0"/>
                    <w:spacing w:line="240" w:lineRule="auto"/>
                    <w:jc w:val="center"/>
                    <w:rPr>
                      <w:color w:val="auto"/>
                      <w:sz w:val="21"/>
                      <w:szCs w:val="21"/>
                    </w:rPr>
                  </w:pPr>
                </w:p>
              </w:tc>
              <w:tc>
                <w:tcPr>
                  <w:tcW w:w="814" w:type="pct"/>
                  <w:vMerge w:val="continue"/>
                  <w:tcBorders>
                    <w:tl2br w:val="nil"/>
                    <w:tr2bl w:val="nil"/>
                  </w:tcBorders>
                  <w:noWrap w:val="0"/>
                  <w:vAlign w:val="center"/>
                </w:tcPr>
                <w:p w14:paraId="5F8C10CC">
                  <w:pPr>
                    <w:overflowPunct w:val="0"/>
                    <w:spacing w:line="240" w:lineRule="auto"/>
                    <w:jc w:val="center"/>
                    <w:rPr>
                      <w:color w:val="auto"/>
                      <w:sz w:val="21"/>
                      <w:szCs w:val="21"/>
                    </w:rPr>
                  </w:pPr>
                </w:p>
              </w:tc>
              <w:tc>
                <w:tcPr>
                  <w:tcW w:w="3095" w:type="pct"/>
                  <w:vMerge w:val="continue"/>
                  <w:tcBorders>
                    <w:tl2br w:val="nil"/>
                    <w:tr2bl w:val="nil"/>
                  </w:tcBorders>
                  <w:noWrap w:val="0"/>
                  <w:vAlign w:val="center"/>
                </w:tcPr>
                <w:p w14:paraId="7451C8BC">
                  <w:pPr>
                    <w:overflowPunct w:val="0"/>
                    <w:spacing w:line="240" w:lineRule="auto"/>
                    <w:jc w:val="center"/>
                    <w:rPr>
                      <w:color w:val="auto"/>
                      <w:sz w:val="21"/>
                      <w:szCs w:val="21"/>
                    </w:rPr>
                  </w:pPr>
                </w:p>
              </w:tc>
              <w:tc>
                <w:tcPr>
                  <w:tcW w:w="550" w:type="pct"/>
                  <w:vMerge w:val="continue"/>
                  <w:tcBorders>
                    <w:tl2br w:val="nil"/>
                    <w:tr2bl w:val="nil"/>
                  </w:tcBorders>
                  <w:noWrap w:val="0"/>
                  <w:vAlign w:val="center"/>
                </w:tcPr>
                <w:p w14:paraId="626DDFFF">
                  <w:pPr>
                    <w:overflowPunct w:val="0"/>
                    <w:spacing w:line="240" w:lineRule="auto"/>
                    <w:jc w:val="center"/>
                    <w:rPr>
                      <w:color w:val="auto"/>
                      <w:sz w:val="21"/>
                      <w:szCs w:val="21"/>
                    </w:rPr>
                  </w:pPr>
                </w:p>
              </w:tc>
            </w:tr>
            <w:tr w14:paraId="48D5B20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tl2br w:val="nil"/>
                    <w:tr2bl w:val="nil"/>
                  </w:tcBorders>
                  <w:noWrap w:val="0"/>
                  <w:vAlign w:val="center"/>
                </w:tcPr>
                <w:p w14:paraId="75F10D4B">
                  <w:pPr>
                    <w:overflowPunct w:val="0"/>
                    <w:spacing w:line="240" w:lineRule="auto"/>
                    <w:jc w:val="center"/>
                    <w:rPr>
                      <w:rFonts w:hint="eastAsia"/>
                      <w:color w:val="auto"/>
                      <w:sz w:val="21"/>
                      <w:szCs w:val="21"/>
                    </w:rPr>
                  </w:pPr>
                  <w:r>
                    <w:rPr>
                      <w:rFonts w:hint="eastAsia"/>
                      <w:color w:val="auto"/>
                      <w:sz w:val="21"/>
                      <w:szCs w:val="21"/>
                    </w:rPr>
                    <w:t>砂料</w:t>
                  </w:r>
                </w:p>
              </w:tc>
              <w:tc>
                <w:tcPr>
                  <w:tcW w:w="814" w:type="pct"/>
                  <w:tcBorders>
                    <w:tl2br w:val="nil"/>
                    <w:tr2bl w:val="nil"/>
                  </w:tcBorders>
                  <w:noWrap w:val="0"/>
                  <w:vAlign w:val="center"/>
                </w:tcPr>
                <w:p w14:paraId="7F5AF220">
                  <w:pPr>
                    <w:overflowPunct w:val="0"/>
                    <w:spacing w:line="240" w:lineRule="auto"/>
                    <w:jc w:val="center"/>
                    <w:rPr>
                      <w:color w:val="auto"/>
                      <w:sz w:val="21"/>
                      <w:szCs w:val="21"/>
                    </w:rPr>
                  </w:pPr>
                  <w:r>
                    <w:rPr>
                      <w:color w:val="auto"/>
                      <w:sz w:val="21"/>
                      <w:szCs w:val="21"/>
                      <w:lang w:val="zh-CN"/>
                    </w:rPr>
                    <w:t>虎林市八五〇农场砂场</w:t>
                  </w:r>
                </w:p>
              </w:tc>
              <w:tc>
                <w:tcPr>
                  <w:tcW w:w="3095" w:type="pct"/>
                  <w:tcBorders>
                    <w:tl2br w:val="nil"/>
                    <w:tr2bl w:val="nil"/>
                  </w:tcBorders>
                  <w:noWrap w:val="0"/>
                  <w:vAlign w:val="center"/>
                </w:tcPr>
                <w:p w14:paraId="395CD2A5">
                  <w:pPr>
                    <w:overflowPunct w:val="0"/>
                    <w:spacing w:line="240" w:lineRule="auto"/>
                    <w:jc w:val="center"/>
                    <w:rPr>
                      <w:rFonts w:hint="eastAsia"/>
                      <w:color w:val="auto"/>
                      <w:sz w:val="21"/>
                      <w:szCs w:val="21"/>
                    </w:rPr>
                  </w:pPr>
                  <w:r>
                    <w:rPr>
                      <w:color w:val="auto"/>
                      <w:sz w:val="21"/>
                      <w:szCs w:val="21"/>
                      <w:lang w:val="zh-CN"/>
                    </w:rPr>
                    <w:t>该砂场可生产天然砂砾及中粗砂，储量丰富，天然砂砾级配较好，砂质纯净，可用于路基处理、桥涵及排水、防护工程。该砂场近期曾用于G331密山段改造项目。</w:t>
                  </w:r>
                </w:p>
              </w:tc>
              <w:tc>
                <w:tcPr>
                  <w:tcW w:w="550" w:type="pct"/>
                  <w:tcBorders>
                    <w:tl2br w:val="nil"/>
                    <w:tr2bl w:val="nil"/>
                  </w:tcBorders>
                  <w:noWrap w:val="0"/>
                  <w:vAlign w:val="center"/>
                </w:tcPr>
                <w:p w14:paraId="64D519F4">
                  <w:pPr>
                    <w:overflowPunct w:val="0"/>
                    <w:spacing w:line="240" w:lineRule="auto"/>
                    <w:jc w:val="center"/>
                    <w:rPr>
                      <w:color w:val="auto"/>
                      <w:sz w:val="21"/>
                      <w:szCs w:val="21"/>
                    </w:rPr>
                  </w:pPr>
                  <w:r>
                    <w:rPr>
                      <w:color w:val="auto"/>
                      <w:sz w:val="21"/>
                      <w:szCs w:val="21"/>
                    </w:rPr>
                    <w:t>机械、汽运</w:t>
                  </w:r>
                </w:p>
              </w:tc>
            </w:tr>
            <w:tr w14:paraId="7FAA6FD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vMerge w:val="restart"/>
                  <w:tcBorders>
                    <w:tl2br w:val="nil"/>
                    <w:tr2bl w:val="nil"/>
                  </w:tcBorders>
                  <w:noWrap w:val="0"/>
                  <w:vAlign w:val="center"/>
                </w:tcPr>
                <w:p w14:paraId="4FF5BC70">
                  <w:pPr>
                    <w:overflowPunct w:val="0"/>
                    <w:spacing w:line="240" w:lineRule="auto"/>
                    <w:jc w:val="center"/>
                    <w:rPr>
                      <w:rFonts w:hint="eastAsia"/>
                      <w:color w:val="auto"/>
                      <w:sz w:val="21"/>
                      <w:szCs w:val="21"/>
                    </w:rPr>
                  </w:pPr>
                  <w:r>
                    <w:rPr>
                      <w:rFonts w:hint="eastAsia"/>
                      <w:color w:val="auto"/>
                      <w:sz w:val="21"/>
                      <w:szCs w:val="21"/>
                    </w:rPr>
                    <w:t>石料</w:t>
                  </w:r>
                </w:p>
              </w:tc>
              <w:tc>
                <w:tcPr>
                  <w:tcW w:w="814" w:type="pct"/>
                  <w:tcBorders>
                    <w:tl2br w:val="nil"/>
                    <w:tr2bl w:val="nil"/>
                  </w:tcBorders>
                  <w:noWrap w:val="0"/>
                  <w:vAlign w:val="center"/>
                </w:tcPr>
                <w:p w14:paraId="0C575347">
                  <w:pPr>
                    <w:overflowPunct w:val="0"/>
                    <w:spacing w:line="240" w:lineRule="auto"/>
                    <w:jc w:val="center"/>
                    <w:rPr>
                      <w:color w:val="auto"/>
                      <w:sz w:val="21"/>
                      <w:szCs w:val="21"/>
                    </w:rPr>
                  </w:pPr>
                  <w:r>
                    <w:rPr>
                      <w:color w:val="auto"/>
                      <w:sz w:val="21"/>
                      <w:szCs w:val="21"/>
                    </w:rPr>
                    <w:t>拓鑫采石场</w:t>
                  </w:r>
                </w:p>
              </w:tc>
              <w:tc>
                <w:tcPr>
                  <w:tcW w:w="3095" w:type="pct"/>
                  <w:tcBorders>
                    <w:tl2br w:val="nil"/>
                    <w:tr2bl w:val="nil"/>
                  </w:tcBorders>
                  <w:noWrap w:val="0"/>
                  <w:vAlign w:val="center"/>
                </w:tcPr>
                <w:p w14:paraId="4663E95C">
                  <w:pPr>
                    <w:overflowPunct w:val="0"/>
                    <w:spacing w:line="240" w:lineRule="auto"/>
                    <w:jc w:val="center"/>
                    <w:rPr>
                      <w:color w:val="auto"/>
                      <w:sz w:val="21"/>
                      <w:szCs w:val="21"/>
                    </w:rPr>
                  </w:pPr>
                  <w:r>
                    <w:rPr>
                      <w:color w:val="auto"/>
                      <w:sz w:val="21"/>
                      <w:szCs w:val="21"/>
                    </w:rPr>
                    <w:t>该石场位于密山市兴利村西2.5km，为安山岩，石质坚硬，强度较高，可产各种规格碎石和片、块石。可用于防护、排水、路面基层、底基层及桥涵工程。该石场近期曾用于G331密山段改造项目。</w:t>
                  </w:r>
                </w:p>
              </w:tc>
              <w:tc>
                <w:tcPr>
                  <w:tcW w:w="550" w:type="pct"/>
                  <w:tcBorders>
                    <w:tl2br w:val="nil"/>
                    <w:tr2bl w:val="nil"/>
                  </w:tcBorders>
                  <w:noWrap w:val="0"/>
                  <w:vAlign w:val="center"/>
                </w:tcPr>
                <w:p w14:paraId="0DA97C41">
                  <w:pPr>
                    <w:overflowPunct w:val="0"/>
                    <w:spacing w:line="240" w:lineRule="auto"/>
                    <w:jc w:val="center"/>
                    <w:rPr>
                      <w:color w:val="auto"/>
                      <w:sz w:val="21"/>
                      <w:szCs w:val="21"/>
                    </w:rPr>
                  </w:pPr>
                  <w:r>
                    <w:rPr>
                      <w:color w:val="auto"/>
                      <w:sz w:val="21"/>
                      <w:szCs w:val="21"/>
                    </w:rPr>
                    <w:t>机械、汽运</w:t>
                  </w:r>
                </w:p>
              </w:tc>
            </w:tr>
            <w:tr w14:paraId="1A723D1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vMerge w:val="continue"/>
                  <w:tcBorders>
                    <w:tl2br w:val="nil"/>
                    <w:tr2bl w:val="nil"/>
                  </w:tcBorders>
                  <w:noWrap w:val="0"/>
                  <w:vAlign w:val="center"/>
                </w:tcPr>
                <w:p w14:paraId="741DB84F">
                  <w:pPr>
                    <w:overflowPunct w:val="0"/>
                    <w:spacing w:line="240" w:lineRule="auto"/>
                    <w:jc w:val="center"/>
                    <w:rPr>
                      <w:rFonts w:hint="eastAsia"/>
                      <w:color w:val="auto"/>
                      <w:sz w:val="21"/>
                      <w:szCs w:val="21"/>
                    </w:rPr>
                  </w:pPr>
                </w:p>
              </w:tc>
              <w:tc>
                <w:tcPr>
                  <w:tcW w:w="814" w:type="pct"/>
                  <w:tcBorders>
                    <w:tl2br w:val="nil"/>
                    <w:tr2bl w:val="nil"/>
                  </w:tcBorders>
                  <w:noWrap w:val="0"/>
                  <w:vAlign w:val="center"/>
                </w:tcPr>
                <w:p w14:paraId="403C4148">
                  <w:pPr>
                    <w:overflowPunct w:val="0"/>
                    <w:spacing w:line="240" w:lineRule="auto"/>
                    <w:jc w:val="center"/>
                    <w:rPr>
                      <w:rFonts w:hint="eastAsia"/>
                      <w:color w:val="auto"/>
                      <w:sz w:val="21"/>
                      <w:szCs w:val="21"/>
                    </w:rPr>
                  </w:pPr>
                  <w:r>
                    <w:rPr>
                      <w:color w:val="auto"/>
                      <w:sz w:val="21"/>
                      <w:szCs w:val="21"/>
                    </w:rPr>
                    <w:t>永平采石场</w:t>
                  </w:r>
                </w:p>
              </w:tc>
              <w:tc>
                <w:tcPr>
                  <w:tcW w:w="3095" w:type="pct"/>
                  <w:tcBorders>
                    <w:tl2br w:val="nil"/>
                    <w:tr2bl w:val="nil"/>
                  </w:tcBorders>
                  <w:noWrap w:val="0"/>
                  <w:vAlign w:val="center"/>
                </w:tcPr>
                <w:p w14:paraId="0C83451C">
                  <w:pPr>
                    <w:overflowPunct w:val="0"/>
                    <w:spacing w:line="240" w:lineRule="auto"/>
                    <w:jc w:val="center"/>
                    <w:rPr>
                      <w:color w:val="auto"/>
                      <w:sz w:val="21"/>
                      <w:szCs w:val="21"/>
                    </w:rPr>
                  </w:pPr>
                  <w:r>
                    <w:rPr>
                      <w:color w:val="auto"/>
                      <w:sz w:val="21"/>
                      <w:szCs w:val="21"/>
                    </w:rPr>
                    <w:t>该石场位于永安镇永平村北2km，玄武岩，强度高，可生产各种规格的碎石、机制砂，产量大。可用于沥青混凝土路面工程。</w:t>
                  </w:r>
                </w:p>
              </w:tc>
              <w:tc>
                <w:tcPr>
                  <w:tcW w:w="550" w:type="pct"/>
                  <w:tcBorders>
                    <w:tl2br w:val="nil"/>
                    <w:tr2bl w:val="nil"/>
                  </w:tcBorders>
                  <w:noWrap w:val="0"/>
                  <w:vAlign w:val="center"/>
                </w:tcPr>
                <w:p w14:paraId="2BE7469C">
                  <w:pPr>
                    <w:overflowPunct w:val="0"/>
                    <w:spacing w:line="240" w:lineRule="auto"/>
                    <w:jc w:val="center"/>
                    <w:rPr>
                      <w:color w:val="auto"/>
                      <w:sz w:val="21"/>
                      <w:szCs w:val="21"/>
                    </w:rPr>
                  </w:pPr>
                  <w:r>
                    <w:rPr>
                      <w:color w:val="auto"/>
                      <w:sz w:val="21"/>
                      <w:szCs w:val="21"/>
                    </w:rPr>
                    <w:t>机械、汽运</w:t>
                  </w:r>
                </w:p>
              </w:tc>
            </w:tr>
            <w:tr w14:paraId="1D2BBF9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tl2br w:val="nil"/>
                    <w:tr2bl w:val="nil"/>
                  </w:tcBorders>
                  <w:noWrap w:val="0"/>
                  <w:vAlign w:val="center"/>
                </w:tcPr>
                <w:p w14:paraId="1E020146">
                  <w:pPr>
                    <w:overflowPunct w:val="0"/>
                    <w:spacing w:line="240" w:lineRule="auto"/>
                    <w:jc w:val="center"/>
                    <w:rPr>
                      <w:color w:val="auto"/>
                      <w:sz w:val="21"/>
                      <w:szCs w:val="21"/>
                    </w:rPr>
                  </w:pPr>
                  <w:r>
                    <w:rPr>
                      <w:color w:val="auto"/>
                      <w:sz w:val="21"/>
                      <w:szCs w:val="21"/>
                    </w:rPr>
                    <w:t>水泥</w:t>
                  </w:r>
                </w:p>
              </w:tc>
              <w:tc>
                <w:tcPr>
                  <w:tcW w:w="814" w:type="pct"/>
                  <w:tcBorders>
                    <w:tl2br w:val="nil"/>
                    <w:tr2bl w:val="nil"/>
                  </w:tcBorders>
                  <w:noWrap w:val="0"/>
                  <w:vAlign w:val="center"/>
                </w:tcPr>
                <w:p w14:paraId="38E321EB">
                  <w:pPr>
                    <w:overflowPunct w:val="0"/>
                    <w:spacing w:line="240" w:lineRule="auto"/>
                    <w:jc w:val="center"/>
                    <w:rPr>
                      <w:color w:val="auto"/>
                      <w:sz w:val="21"/>
                      <w:szCs w:val="21"/>
                    </w:rPr>
                  </w:pPr>
                  <w:r>
                    <w:rPr>
                      <w:color w:val="auto"/>
                      <w:sz w:val="21"/>
                      <w:szCs w:val="21"/>
                      <w:lang w:val="zh-CN"/>
                    </w:rPr>
                    <w:t>鸡西赛龙水泥有限公司</w:t>
                  </w:r>
                </w:p>
              </w:tc>
              <w:tc>
                <w:tcPr>
                  <w:tcW w:w="3095" w:type="pct"/>
                  <w:tcBorders>
                    <w:tl2br w:val="nil"/>
                    <w:tr2bl w:val="nil"/>
                  </w:tcBorders>
                  <w:noWrap w:val="0"/>
                  <w:vAlign w:val="center"/>
                </w:tcPr>
                <w:p w14:paraId="4DF60DD2">
                  <w:pPr>
                    <w:overflowPunct w:val="0"/>
                    <w:spacing w:line="240" w:lineRule="auto"/>
                    <w:jc w:val="center"/>
                    <w:rPr>
                      <w:rFonts w:hint="eastAsia"/>
                      <w:color w:val="auto"/>
                      <w:sz w:val="21"/>
                      <w:szCs w:val="21"/>
                    </w:rPr>
                  </w:pPr>
                  <w:r>
                    <w:rPr>
                      <w:rFonts w:hint="eastAsia"/>
                      <w:color w:val="auto"/>
                      <w:sz w:val="21"/>
                      <w:szCs w:val="21"/>
                      <w:lang w:val="en-US" w:eastAsia="zh-CN"/>
                    </w:rPr>
                    <w:t>该公司</w:t>
                  </w:r>
                  <w:r>
                    <w:rPr>
                      <w:color w:val="auto"/>
                      <w:sz w:val="21"/>
                      <w:szCs w:val="21"/>
                      <w:lang w:val="zh-CN"/>
                    </w:rPr>
                    <w:t>可生产符合国家标准的42.5、32.5水泥，可用于路基排水防护工程、路面基层、桥涵结构物工程。</w:t>
                  </w:r>
                </w:p>
              </w:tc>
              <w:tc>
                <w:tcPr>
                  <w:tcW w:w="550" w:type="pct"/>
                  <w:tcBorders>
                    <w:tl2br w:val="nil"/>
                    <w:tr2bl w:val="nil"/>
                  </w:tcBorders>
                  <w:noWrap w:val="0"/>
                  <w:vAlign w:val="center"/>
                </w:tcPr>
                <w:p w14:paraId="7A45BF37">
                  <w:pPr>
                    <w:overflowPunct w:val="0"/>
                    <w:spacing w:line="240" w:lineRule="auto"/>
                    <w:jc w:val="center"/>
                    <w:rPr>
                      <w:color w:val="auto"/>
                      <w:sz w:val="21"/>
                      <w:szCs w:val="21"/>
                    </w:rPr>
                  </w:pPr>
                  <w:r>
                    <w:rPr>
                      <w:color w:val="auto"/>
                      <w:sz w:val="21"/>
                      <w:szCs w:val="21"/>
                    </w:rPr>
                    <w:t>购买、</w:t>
                  </w:r>
                </w:p>
                <w:p w14:paraId="229B09B2">
                  <w:pPr>
                    <w:overflowPunct w:val="0"/>
                    <w:spacing w:line="240" w:lineRule="auto"/>
                    <w:jc w:val="center"/>
                    <w:rPr>
                      <w:color w:val="auto"/>
                      <w:sz w:val="21"/>
                      <w:szCs w:val="21"/>
                    </w:rPr>
                  </w:pPr>
                  <w:r>
                    <w:rPr>
                      <w:color w:val="auto"/>
                      <w:sz w:val="21"/>
                      <w:szCs w:val="21"/>
                    </w:rPr>
                    <w:t>汽运</w:t>
                  </w:r>
                </w:p>
              </w:tc>
            </w:tr>
            <w:tr w14:paraId="4FF0E4F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tl2br w:val="nil"/>
                    <w:tr2bl w:val="nil"/>
                  </w:tcBorders>
                  <w:noWrap w:val="0"/>
                  <w:vAlign w:val="center"/>
                </w:tcPr>
                <w:p w14:paraId="66955793">
                  <w:pPr>
                    <w:overflowPunct w:val="0"/>
                    <w:spacing w:line="240" w:lineRule="auto"/>
                    <w:jc w:val="center"/>
                    <w:rPr>
                      <w:color w:val="auto"/>
                      <w:sz w:val="21"/>
                      <w:szCs w:val="21"/>
                    </w:rPr>
                  </w:pPr>
                  <w:r>
                    <w:rPr>
                      <w:color w:val="auto"/>
                      <w:sz w:val="21"/>
                      <w:szCs w:val="21"/>
                    </w:rPr>
                    <w:t>沥青</w:t>
                  </w:r>
                </w:p>
              </w:tc>
              <w:tc>
                <w:tcPr>
                  <w:tcW w:w="814" w:type="pct"/>
                  <w:tcBorders>
                    <w:tl2br w:val="nil"/>
                    <w:tr2bl w:val="nil"/>
                  </w:tcBorders>
                  <w:noWrap w:val="0"/>
                  <w:vAlign w:val="center"/>
                </w:tcPr>
                <w:p w14:paraId="605FB4D1">
                  <w:pPr>
                    <w:overflowPunct w:val="0"/>
                    <w:spacing w:line="240" w:lineRule="auto"/>
                    <w:jc w:val="center"/>
                    <w:rPr>
                      <w:color w:val="auto"/>
                      <w:sz w:val="21"/>
                      <w:szCs w:val="21"/>
                    </w:rPr>
                  </w:pPr>
                  <w:r>
                    <w:rPr>
                      <w:rFonts w:hint="eastAsia"/>
                      <w:color w:val="auto"/>
                      <w:sz w:val="21"/>
                      <w:szCs w:val="21"/>
                    </w:rPr>
                    <w:t>辽宁盘锦</w:t>
                  </w:r>
                </w:p>
              </w:tc>
              <w:tc>
                <w:tcPr>
                  <w:tcW w:w="3095" w:type="pct"/>
                  <w:tcBorders>
                    <w:tl2br w:val="nil"/>
                    <w:tr2bl w:val="nil"/>
                  </w:tcBorders>
                  <w:noWrap w:val="0"/>
                  <w:vAlign w:val="center"/>
                </w:tcPr>
                <w:p w14:paraId="768640F8">
                  <w:pPr>
                    <w:overflowPunct w:val="0"/>
                    <w:spacing w:line="240" w:lineRule="auto"/>
                    <w:jc w:val="center"/>
                    <w:rPr>
                      <w:color w:val="auto"/>
                      <w:sz w:val="21"/>
                      <w:szCs w:val="21"/>
                    </w:rPr>
                  </w:pPr>
                  <w:r>
                    <w:rPr>
                      <w:rFonts w:hint="eastAsia"/>
                      <w:color w:val="auto"/>
                      <w:sz w:val="21"/>
                      <w:szCs w:val="21"/>
                    </w:rPr>
                    <w:t>该沥青储运站位于辽宁省盘锦市，站内现有500吨沥青储油罐7个，沥青年周转量3万吨以上。站内有铁路专用线，铁路、公路运输便利。</w:t>
                  </w:r>
                </w:p>
              </w:tc>
              <w:tc>
                <w:tcPr>
                  <w:tcW w:w="550" w:type="pct"/>
                  <w:tcBorders>
                    <w:tl2br w:val="nil"/>
                    <w:tr2bl w:val="nil"/>
                  </w:tcBorders>
                  <w:noWrap w:val="0"/>
                  <w:vAlign w:val="center"/>
                </w:tcPr>
                <w:p w14:paraId="3DB30DB7">
                  <w:pPr>
                    <w:overflowPunct w:val="0"/>
                    <w:spacing w:line="240" w:lineRule="auto"/>
                    <w:jc w:val="center"/>
                    <w:rPr>
                      <w:color w:val="auto"/>
                      <w:sz w:val="21"/>
                      <w:szCs w:val="21"/>
                    </w:rPr>
                  </w:pPr>
                  <w:r>
                    <w:rPr>
                      <w:color w:val="auto"/>
                      <w:sz w:val="21"/>
                      <w:szCs w:val="21"/>
                    </w:rPr>
                    <w:t>机械、火运、汽运</w:t>
                  </w:r>
                </w:p>
              </w:tc>
            </w:tr>
            <w:tr w14:paraId="4480EA8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tcBorders>
                    <w:tl2br w:val="nil"/>
                    <w:tr2bl w:val="nil"/>
                  </w:tcBorders>
                  <w:noWrap w:val="0"/>
                  <w:vAlign w:val="center"/>
                </w:tcPr>
                <w:p w14:paraId="535039AA">
                  <w:pPr>
                    <w:overflowPunct w:val="0"/>
                    <w:spacing w:line="240" w:lineRule="auto"/>
                    <w:jc w:val="center"/>
                    <w:rPr>
                      <w:color w:val="auto"/>
                      <w:sz w:val="21"/>
                      <w:szCs w:val="21"/>
                    </w:rPr>
                  </w:pPr>
                  <w:r>
                    <w:rPr>
                      <w:rFonts w:hint="eastAsia"/>
                      <w:color w:val="auto"/>
                      <w:sz w:val="21"/>
                      <w:szCs w:val="21"/>
                    </w:rPr>
                    <w:t>矿粉</w:t>
                  </w:r>
                </w:p>
              </w:tc>
              <w:tc>
                <w:tcPr>
                  <w:tcW w:w="814" w:type="pct"/>
                  <w:tcBorders>
                    <w:tl2br w:val="nil"/>
                    <w:tr2bl w:val="nil"/>
                  </w:tcBorders>
                  <w:noWrap w:val="0"/>
                  <w:vAlign w:val="center"/>
                </w:tcPr>
                <w:p w14:paraId="1C06F1C3">
                  <w:pPr>
                    <w:overflowPunct w:val="0"/>
                    <w:spacing w:line="240" w:lineRule="auto"/>
                    <w:jc w:val="center"/>
                    <w:rPr>
                      <w:rFonts w:hint="eastAsia"/>
                      <w:color w:val="auto"/>
                      <w:sz w:val="21"/>
                      <w:szCs w:val="21"/>
                    </w:rPr>
                  </w:pPr>
                  <w:r>
                    <w:rPr>
                      <w:color w:val="auto"/>
                      <w:sz w:val="21"/>
                      <w:szCs w:val="21"/>
                    </w:rPr>
                    <w:t>七台河勃利矿粉</w:t>
                  </w:r>
                </w:p>
              </w:tc>
              <w:tc>
                <w:tcPr>
                  <w:tcW w:w="3095" w:type="pct"/>
                  <w:tcBorders>
                    <w:tl2br w:val="nil"/>
                    <w:tr2bl w:val="nil"/>
                  </w:tcBorders>
                  <w:noWrap w:val="0"/>
                  <w:vAlign w:val="center"/>
                </w:tcPr>
                <w:p w14:paraId="51306084">
                  <w:pPr>
                    <w:keepNext w:val="0"/>
                    <w:keepLines w:val="0"/>
                    <w:pageBreakBefore w:val="0"/>
                    <w:widowControl w:val="0"/>
                    <w:kinsoku/>
                    <w:wordWrap/>
                    <w:overflowPunct w:val="0"/>
                    <w:topLinePunct w:val="0"/>
                    <w:autoSpaceDE/>
                    <w:autoSpaceDN/>
                    <w:bidi w:val="0"/>
                    <w:adjustRightInd w:val="0"/>
                    <w:snapToGrid/>
                    <w:spacing w:line="240" w:lineRule="auto"/>
                    <w:jc w:val="center"/>
                    <w:textAlignment w:val="auto"/>
                    <w:rPr>
                      <w:rFonts w:hint="eastAsia"/>
                      <w:color w:val="auto"/>
                      <w:sz w:val="21"/>
                      <w:szCs w:val="21"/>
                    </w:rPr>
                  </w:pPr>
                  <w:r>
                    <w:rPr>
                      <w:rFonts w:hint="eastAsia"/>
                      <w:color w:val="auto"/>
                      <w:sz w:val="21"/>
                      <w:szCs w:val="21"/>
                      <w:lang w:val="en-US" w:eastAsia="zh-CN"/>
                    </w:rPr>
                    <w:t>该企业</w:t>
                  </w:r>
                  <w:r>
                    <w:rPr>
                      <w:color w:val="auto"/>
                      <w:sz w:val="21"/>
                      <w:szCs w:val="21"/>
                      <w:lang w:val="zh-CN"/>
                    </w:rPr>
                    <w:t>所生产的矿粉干燥、洁净、不成团块，各项指标均满足沥青混凝土路面要求。</w:t>
                  </w:r>
                </w:p>
              </w:tc>
              <w:tc>
                <w:tcPr>
                  <w:tcW w:w="550" w:type="pct"/>
                  <w:tcBorders>
                    <w:tl2br w:val="nil"/>
                    <w:tr2bl w:val="nil"/>
                  </w:tcBorders>
                  <w:noWrap w:val="0"/>
                  <w:vAlign w:val="center"/>
                </w:tcPr>
                <w:p w14:paraId="4D3D4104">
                  <w:pPr>
                    <w:overflowPunct w:val="0"/>
                    <w:spacing w:line="240" w:lineRule="auto"/>
                    <w:jc w:val="center"/>
                    <w:rPr>
                      <w:color w:val="auto"/>
                      <w:sz w:val="21"/>
                      <w:szCs w:val="21"/>
                    </w:rPr>
                  </w:pPr>
                  <w:r>
                    <w:rPr>
                      <w:color w:val="auto"/>
                      <w:sz w:val="21"/>
                      <w:szCs w:val="21"/>
                    </w:rPr>
                    <w:t>机械、汽运</w:t>
                  </w:r>
                </w:p>
              </w:tc>
            </w:tr>
            <w:tr w14:paraId="713E4D3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39" w:type="pct"/>
                  <w:noWrap w:val="0"/>
                  <w:vAlign w:val="center"/>
                </w:tcPr>
                <w:p w14:paraId="07061A59">
                  <w:pPr>
                    <w:overflowPunct w:val="0"/>
                    <w:spacing w:line="240" w:lineRule="auto"/>
                    <w:jc w:val="center"/>
                    <w:rPr>
                      <w:rFonts w:hint="eastAsia"/>
                      <w:color w:val="auto"/>
                      <w:sz w:val="21"/>
                      <w:szCs w:val="21"/>
                    </w:rPr>
                  </w:pPr>
                  <w:r>
                    <w:rPr>
                      <w:rFonts w:hint="eastAsia"/>
                      <w:color w:val="auto"/>
                      <w:sz w:val="21"/>
                      <w:szCs w:val="21"/>
                    </w:rPr>
                    <w:t>钢材等材料</w:t>
                  </w:r>
                </w:p>
              </w:tc>
              <w:tc>
                <w:tcPr>
                  <w:tcW w:w="814" w:type="pct"/>
                  <w:noWrap w:val="0"/>
                  <w:vAlign w:val="center"/>
                </w:tcPr>
                <w:p w14:paraId="1BC9331E">
                  <w:pPr>
                    <w:overflowPunct w:val="0"/>
                    <w:spacing w:line="240" w:lineRule="auto"/>
                    <w:jc w:val="center"/>
                    <w:rPr>
                      <w:rFonts w:hint="eastAsia"/>
                      <w:color w:val="auto"/>
                      <w:sz w:val="21"/>
                      <w:szCs w:val="21"/>
                    </w:rPr>
                  </w:pPr>
                  <w:r>
                    <w:rPr>
                      <w:rFonts w:hint="eastAsia"/>
                      <w:color w:val="auto"/>
                      <w:sz w:val="21"/>
                      <w:szCs w:val="21"/>
                      <w:lang w:val="en-US" w:eastAsia="zh-CN"/>
                    </w:rPr>
                    <w:t>鸡西</w:t>
                  </w:r>
                  <w:r>
                    <w:rPr>
                      <w:rFonts w:hint="eastAsia"/>
                      <w:color w:val="auto"/>
                      <w:sz w:val="21"/>
                      <w:szCs w:val="21"/>
                    </w:rPr>
                    <w:t>及哈尔滨建材市场</w:t>
                  </w:r>
                </w:p>
              </w:tc>
              <w:tc>
                <w:tcPr>
                  <w:tcW w:w="3095" w:type="pct"/>
                  <w:noWrap w:val="0"/>
                  <w:vAlign w:val="center"/>
                </w:tcPr>
                <w:p w14:paraId="1C3A120B">
                  <w:pPr>
                    <w:overflowPunct w:val="0"/>
                    <w:spacing w:line="240" w:lineRule="auto"/>
                    <w:jc w:val="center"/>
                    <w:rPr>
                      <w:rFonts w:hint="eastAsia"/>
                      <w:color w:val="auto"/>
                      <w:sz w:val="21"/>
                      <w:szCs w:val="21"/>
                    </w:rPr>
                  </w:pPr>
                  <w:r>
                    <w:rPr>
                      <w:rFonts w:hint="eastAsia"/>
                      <w:color w:val="auto"/>
                      <w:sz w:val="21"/>
                      <w:szCs w:val="21"/>
                      <w:lang w:val="en-US" w:eastAsia="zh-CN"/>
                    </w:rPr>
                    <w:t>鸡西</w:t>
                  </w:r>
                  <w:r>
                    <w:rPr>
                      <w:rFonts w:hint="eastAsia"/>
                      <w:color w:val="auto"/>
                      <w:sz w:val="21"/>
                      <w:szCs w:val="21"/>
                    </w:rPr>
                    <w:t>及哈尔滨建材市场购买</w:t>
                  </w:r>
                </w:p>
              </w:tc>
              <w:tc>
                <w:tcPr>
                  <w:tcW w:w="550" w:type="pct"/>
                  <w:noWrap w:val="0"/>
                  <w:vAlign w:val="center"/>
                </w:tcPr>
                <w:p w14:paraId="7E1D2DD8">
                  <w:pPr>
                    <w:overflowPunct w:val="0"/>
                    <w:spacing w:line="240" w:lineRule="auto"/>
                    <w:jc w:val="center"/>
                    <w:rPr>
                      <w:color w:val="auto"/>
                      <w:sz w:val="21"/>
                      <w:szCs w:val="21"/>
                    </w:rPr>
                  </w:pPr>
                  <w:r>
                    <w:rPr>
                      <w:color w:val="auto"/>
                      <w:sz w:val="21"/>
                      <w:szCs w:val="21"/>
                    </w:rPr>
                    <w:t>机械、火运、汽运</w:t>
                  </w:r>
                </w:p>
              </w:tc>
            </w:tr>
          </w:tbl>
          <w:p w14:paraId="086D918B">
            <w:pPr>
              <w:pStyle w:val="14"/>
              <w:rPr>
                <w:rFonts w:hint="eastAsia"/>
                <w:color w:val="auto"/>
              </w:rPr>
            </w:pPr>
          </w:p>
        </w:tc>
      </w:tr>
      <w:tr w14:paraId="6EDD18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82" w:type="dxa"/>
            <w:noWrap w:val="0"/>
            <w:vAlign w:val="center"/>
          </w:tcPr>
          <w:p w14:paraId="601E9C77">
            <w:pPr>
              <w:adjustRightInd w:val="0"/>
              <w:snapToGrid w:val="0"/>
              <w:jc w:val="center"/>
              <w:rPr>
                <w:rFonts w:cs="宋体"/>
                <w:color w:val="auto"/>
                <w:kern w:val="21"/>
                <w:szCs w:val="21"/>
              </w:rPr>
            </w:pPr>
            <w:r>
              <w:rPr>
                <w:rFonts w:hint="eastAsia" w:cs="宋体"/>
                <w:color w:val="auto"/>
                <w:kern w:val="21"/>
                <w:szCs w:val="21"/>
              </w:rPr>
              <w:t>施工方案</w:t>
            </w:r>
          </w:p>
        </w:tc>
        <w:tc>
          <w:tcPr>
            <w:tcW w:w="8084" w:type="dxa"/>
            <w:noWrap w:val="0"/>
            <w:vAlign w:val="center"/>
          </w:tcPr>
          <w:p w14:paraId="16DAA780">
            <w:pPr>
              <w:pStyle w:val="76"/>
              <w:rPr>
                <w:rFonts w:hint="eastAsia"/>
                <w:color w:val="auto"/>
              </w:rPr>
            </w:pPr>
            <w:r>
              <w:rPr>
                <w:rFonts w:hint="eastAsia"/>
                <w:color w:val="auto"/>
              </w:rPr>
              <w:t>1、施工时序及</w:t>
            </w:r>
            <w:r>
              <w:rPr>
                <w:color w:val="auto"/>
              </w:rPr>
              <w:t>施工</w:t>
            </w:r>
            <w:r>
              <w:rPr>
                <w:rFonts w:hint="eastAsia"/>
                <w:color w:val="auto"/>
              </w:rPr>
              <w:t>工期</w:t>
            </w:r>
          </w:p>
          <w:p w14:paraId="4795CE8B">
            <w:pPr>
              <w:pStyle w:val="76"/>
              <w:rPr>
                <w:rFonts w:hint="eastAsia"/>
                <w:color w:val="auto"/>
              </w:rPr>
            </w:pPr>
            <w:r>
              <w:rPr>
                <w:rFonts w:hint="eastAsia"/>
                <w:color w:val="auto"/>
              </w:rPr>
              <w:t>本项目施工时序为原有路面拆除、平整，</w:t>
            </w:r>
            <w:r>
              <w:rPr>
                <w:color w:val="auto"/>
              </w:rPr>
              <w:t>路面先基层、后面层施工。</w:t>
            </w:r>
          </w:p>
          <w:p w14:paraId="2E105074">
            <w:pPr>
              <w:pStyle w:val="76"/>
              <w:rPr>
                <w:color w:val="auto"/>
                <w:highlight w:val="none"/>
              </w:rPr>
            </w:pPr>
            <w:r>
              <w:rPr>
                <w:color w:val="auto"/>
                <w:highlight w:val="none"/>
              </w:rPr>
              <w:t>本</w:t>
            </w:r>
            <w:r>
              <w:rPr>
                <w:rFonts w:hint="eastAsia"/>
                <w:color w:val="auto"/>
                <w:highlight w:val="none"/>
              </w:rPr>
              <w:t>项目施工工期从2</w:t>
            </w:r>
            <w:r>
              <w:rPr>
                <w:color w:val="auto"/>
                <w:highlight w:val="none"/>
              </w:rPr>
              <w:t>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w:t>
            </w:r>
            <w:r>
              <w:rPr>
                <w:rFonts w:hint="eastAsia"/>
                <w:color w:val="auto"/>
                <w:highlight w:val="none"/>
              </w:rPr>
              <w:t>月开始，</w:t>
            </w:r>
            <w:r>
              <w:rPr>
                <w:rFonts w:hint="eastAsia"/>
                <w:color w:val="auto"/>
                <w:highlight w:val="none"/>
                <w:lang w:val="en-US" w:eastAsia="zh-CN"/>
              </w:rPr>
              <w:t>路面拆除</w:t>
            </w:r>
            <w:r>
              <w:rPr>
                <w:color w:val="auto"/>
                <w:highlight w:val="none"/>
              </w:rPr>
              <w:t>工程为202</w:t>
            </w:r>
            <w:r>
              <w:rPr>
                <w:rFonts w:hint="eastAsia"/>
                <w:color w:val="auto"/>
                <w:highlight w:val="none"/>
                <w:lang w:val="en-US" w:eastAsia="zh-CN"/>
              </w:rPr>
              <w:t>6</w:t>
            </w:r>
            <w:r>
              <w:rPr>
                <w:color w:val="auto"/>
                <w:highlight w:val="none"/>
              </w:rPr>
              <w:t>年</w:t>
            </w:r>
            <w:r>
              <w:rPr>
                <w:rFonts w:hint="eastAsia"/>
                <w:color w:val="auto"/>
                <w:highlight w:val="none"/>
                <w:lang w:val="en-US" w:eastAsia="zh-CN"/>
              </w:rPr>
              <w:t>4</w:t>
            </w:r>
            <w:r>
              <w:rPr>
                <w:color w:val="auto"/>
                <w:highlight w:val="none"/>
              </w:rPr>
              <w:t>月至202</w:t>
            </w:r>
            <w:r>
              <w:rPr>
                <w:rFonts w:hint="eastAsia"/>
                <w:color w:val="auto"/>
                <w:highlight w:val="none"/>
                <w:lang w:val="en-US" w:eastAsia="zh-CN"/>
              </w:rPr>
              <w:t>6</w:t>
            </w:r>
            <w:r>
              <w:rPr>
                <w:color w:val="auto"/>
                <w:highlight w:val="none"/>
              </w:rPr>
              <w:t>年</w:t>
            </w:r>
            <w:r>
              <w:rPr>
                <w:rFonts w:hint="eastAsia"/>
                <w:color w:val="auto"/>
                <w:highlight w:val="none"/>
                <w:lang w:val="en-US" w:eastAsia="zh-CN"/>
              </w:rPr>
              <w:t>5</w:t>
            </w:r>
            <w:r>
              <w:rPr>
                <w:rFonts w:hint="eastAsia"/>
                <w:color w:val="auto"/>
                <w:highlight w:val="none"/>
              </w:rPr>
              <w:t>月，路面</w:t>
            </w:r>
            <w:r>
              <w:rPr>
                <w:rFonts w:hint="eastAsia"/>
                <w:color w:val="auto"/>
                <w:highlight w:val="none"/>
                <w:lang w:val="en-US" w:eastAsia="zh-CN"/>
              </w:rPr>
              <w:t>浇筑</w:t>
            </w:r>
            <w:r>
              <w:rPr>
                <w:rFonts w:hint="eastAsia"/>
                <w:color w:val="auto"/>
                <w:highlight w:val="none"/>
              </w:rPr>
              <w:t>工程为202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6</w:t>
            </w:r>
            <w:r>
              <w:rPr>
                <w:rFonts w:hint="eastAsia"/>
                <w:color w:val="auto"/>
                <w:highlight w:val="none"/>
              </w:rPr>
              <w:t>月，桥涵工程工期为202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4-5</w:t>
            </w:r>
            <w:r>
              <w:rPr>
                <w:rFonts w:hint="eastAsia"/>
                <w:color w:val="auto"/>
                <w:highlight w:val="none"/>
              </w:rPr>
              <w:t>月，其中桥涵维修锥坡砌体</w:t>
            </w:r>
            <w:r>
              <w:rPr>
                <w:rFonts w:hint="eastAsia"/>
                <w:color w:val="auto"/>
                <w:highlight w:val="none"/>
                <w:lang w:val="en-US" w:eastAsia="zh-CN"/>
              </w:rPr>
              <w:t>和</w:t>
            </w:r>
            <w:r>
              <w:rPr>
                <w:rFonts w:hint="eastAsia"/>
                <w:color w:val="auto"/>
                <w:highlight w:val="none"/>
              </w:rPr>
              <w:t>侧脚施工选在枯水期和非灌溉期施工，交叉工程、绿化工程、交通工程</w:t>
            </w:r>
            <w:r>
              <w:rPr>
                <w:rFonts w:hint="eastAsia"/>
                <w:color w:val="auto"/>
                <w:highlight w:val="none"/>
                <w:lang w:val="en-US" w:eastAsia="zh-CN"/>
              </w:rPr>
              <w:t>等施工</w:t>
            </w:r>
            <w:r>
              <w:rPr>
                <w:rFonts w:hint="eastAsia"/>
                <w:color w:val="auto"/>
                <w:highlight w:val="none"/>
              </w:rPr>
              <w:t>期为2</w:t>
            </w:r>
            <w:r>
              <w:rPr>
                <w:color w:val="auto"/>
                <w:highlight w:val="none"/>
              </w:rPr>
              <w:t>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6</w:t>
            </w:r>
            <w:r>
              <w:rPr>
                <w:rFonts w:hint="eastAsia"/>
                <w:color w:val="auto"/>
                <w:highlight w:val="none"/>
              </w:rPr>
              <w:t>月。</w:t>
            </w:r>
          </w:p>
          <w:p w14:paraId="54DDD436">
            <w:pPr>
              <w:pStyle w:val="76"/>
              <w:rPr>
                <w:rFonts w:hint="eastAsia"/>
                <w:color w:val="auto"/>
              </w:rPr>
            </w:pPr>
            <w:r>
              <w:rPr>
                <w:rFonts w:hint="eastAsia"/>
                <w:color w:val="auto"/>
              </w:rPr>
              <w:t>2、施工工艺</w:t>
            </w:r>
          </w:p>
          <w:p w14:paraId="7E8F906F">
            <w:pPr>
              <w:pStyle w:val="76"/>
              <w:rPr>
                <w:color w:val="auto"/>
              </w:rPr>
            </w:pPr>
            <w:r>
              <w:rPr>
                <w:rFonts w:hint="eastAsia"/>
                <w:color w:val="auto"/>
              </w:rPr>
              <w:t>（1）公路工程</w:t>
            </w:r>
          </w:p>
          <w:p w14:paraId="56B69AC9">
            <w:pPr>
              <w:pStyle w:val="76"/>
              <w:rPr>
                <w:rFonts w:hint="eastAsia"/>
                <w:color w:val="auto"/>
              </w:rPr>
            </w:pPr>
            <w:r>
              <w:rPr>
                <w:rFonts w:hint="eastAsia"/>
                <w:color w:val="auto"/>
              </w:rPr>
              <w:t>工程建设过程中路基工程将首先开工，路面及交通设施等工程后续跟进，各类工程因其作业方式不同，所产生污染物种类和数量也有所差异。</w:t>
            </w:r>
          </w:p>
          <w:p w14:paraId="58DB82CE">
            <w:pPr>
              <w:adjustRightInd w:val="0"/>
              <w:snapToGrid w:val="0"/>
              <w:jc w:val="center"/>
              <w:rPr>
                <w:rFonts w:hint="eastAsia" w:eastAsia="宋体" w:cs="宋体"/>
                <w:bCs/>
                <w:color w:val="auto"/>
                <w:kern w:val="21"/>
                <w:szCs w:val="21"/>
                <w:lang w:eastAsia="zh-CN"/>
              </w:rPr>
            </w:pPr>
            <w:r>
              <w:rPr>
                <w:rFonts w:hint="eastAsia" w:eastAsia="宋体" w:cs="宋体"/>
                <w:bCs/>
                <w:color w:val="auto"/>
                <w:kern w:val="21"/>
                <w:szCs w:val="21"/>
                <w:lang w:eastAsia="zh-CN"/>
              </w:rPr>
              <w:drawing>
                <wp:inline distT="0" distB="0" distL="114300" distR="114300">
                  <wp:extent cx="4991735" cy="3037205"/>
                  <wp:effectExtent l="0" t="0" r="18415" b="10795"/>
                  <wp:docPr id="10" name="图片 10" descr="kappframework-aQGlv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kappframework-aQGlvo(1)(1)"/>
                          <pic:cNvPicPr>
                            <a:picLocks noChangeAspect="1"/>
                          </pic:cNvPicPr>
                        </pic:nvPicPr>
                        <pic:blipFill>
                          <a:blip r:embed="rId23"/>
                          <a:stretch>
                            <a:fillRect/>
                          </a:stretch>
                        </pic:blipFill>
                        <pic:spPr>
                          <a:xfrm>
                            <a:off x="0" y="0"/>
                            <a:ext cx="4991735" cy="3037205"/>
                          </a:xfrm>
                          <a:prstGeom prst="rect">
                            <a:avLst/>
                          </a:prstGeom>
                        </pic:spPr>
                      </pic:pic>
                    </a:graphicData>
                  </a:graphic>
                </wp:inline>
              </w:drawing>
            </w:r>
          </w:p>
          <w:p w14:paraId="25CD53BF">
            <w:pPr>
              <w:pStyle w:val="72"/>
              <w:rPr>
                <w:rFonts w:hint="eastAsia" w:ascii="宋体" w:hAnsi="宋体" w:eastAsia="宋体" w:cs="宋体"/>
                <w:color w:val="auto"/>
              </w:rPr>
            </w:pPr>
            <w:r>
              <w:rPr>
                <w:rFonts w:hint="eastAsia" w:ascii="宋体" w:hAnsi="宋体" w:eastAsia="宋体" w:cs="宋体"/>
                <w:color w:val="auto"/>
              </w:rPr>
              <w:t>图2-</w:t>
            </w:r>
            <w:r>
              <w:rPr>
                <w:rFonts w:hint="eastAsia" w:ascii="宋体" w:hAnsi="宋体" w:eastAsia="宋体" w:cs="宋体"/>
                <w:color w:val="auto"/>
                <w:lang w:val="en-US" w:eastAsia="zh-CN"/>
              </w:rPr>
              <w:t>6</w:t>
            </w:r>
            <w:r>
              <w:rPr>
                <w:rFonts w:hint="eastAsia" w:ascii="宋体" w:hAnsi="宋体" w:eastAsia="宋体" w:cs="宋体"/>
                <w:color w:val="auto"/>
              </w:rPr>
              <w:t xml:space="preserve"> </w:t>
            </w:r>
            <w:r>
              <w:rPr>
                <w:rFonts w:hint="eastAsia" w:ascii="宋体" w:hAnsi="宋体" w:eastAsia="宋体" w:cs="宋体"/>
                <w:color w:val="auto"/>
                <w:lang w:val="en-US" w:eastAsia="zh-CN"/>
              </w:rPr>
              <w:t xml:space="preserve"> </w:t>
            </w:r>
            <w:r>
              <w:rPr>
                <w:rFonts w:hint="eastAsia" w:ascii="宋体" w:hAnsi="宋体" w:eastAsia="宋体" w:cs="宋体"/>
                <w:color w:val="auto"/>
              </w:rPr>
              <w:t>公路工程主要工艺流程示意图</w:t>
            </w:r>
          </w:p>
          <w:p w14:paraId="0812619C">
            <w:pPr>
              <w:ind w:firstLine="480" w:firstLineChars="200"/>
              <w:rPr>
                <w:rFonts w:hint="eastAsia" w:cs="宋体"/>
                <w:bCs/>
                <w:color w:val="auto"/>
                <w:kern w:val="21"/>
                <w:szCs w:val="21"/>
              </w:rPr>
            </w:pPr>
            <w:r>
              <w:rPr>
                <w:rFonts w:hint="eastAsia" w:cs="宋体"/>
                <w:bCs/>
                <w:color w:val="auto"/>
                <w:kern w:val="21"/>
                <w:szCs w:val="21"/>
              </w:rPr>
              <w:t>①路基施工工艺</w:t>
            </w:r>
          </w:p>
          <w:p w14:paraId="34392E3E">
            <w:pPr>
              <w:ind w:firstLine="480" w:firstLineChars="200"/>
              <w:rPr>
                <w:rFonts w:hint="eastAsia" w:cs="宋体"/>
                <w:bCs/>
                <w:color w:val="auto"/>
                <w:kern w:val="21"/>
                <w:szCs w:val="21"/>
              </w:rPr>
            </w:pPr>
            <w:r>
              <w:rPr>
                <w:rFonts w:hint="eastAsia" w:cs="宋体"/>
                <w:bCs/>
                <w:color w:val="auto"/>
                <w:kern w:val="21"/>
                <w:szCs w:val="21"/>
              </w:rPr>
              <w:t>a.场地清理</w:t>
            </w:r>
          </w:p>
          <w:p w14:paraId="2FEF2FB7">
            <w:pPr>
              <w:ind w:firstLine="480" w:firstLineChars="200"/>
              <w:rPr>
                <w:rFonts w:hint="eastAsia" w:cs="宋体"/>
                <w:bCs/>
                <w:color w:val="auto"/>
                <w:kern w:val="21"/>
                <w:szCs w:val="21"/>
              </w:rPr>
            </w:pPr>
            <w:r>
              <w:rPr>
                <w:rFonts w:hint="eastAsia"/>
                <w:color w:val="auto"/>
              </w:rPr>
              <w:t>本项目路面全部直接破碎作为路基，下挖宽度为旧路坡脚至路基宽度范围内，</w:t>
            </w:r>
            <w:r>
              <w:rPr>
                <w:rFonts w:hint="eastAsia"/>
                <w:color w:val="auto"/>
                <w:lang w:val="en-US" w:eastAsia="zh-CN"/>
              </w:rPr>
              <w:t>开挖范围不超过原有路基范围，不涉及旁边的地表植被，不破坏道路旁边的土地；施工</w:t>
            </w:r>
            <w:r>
              <w:rPr>
                <w:rFonts w:hint="eastAsia"/>
                <w:color w:val="auto"/>
              </w:rPr>
              <w:t>挖除后对基底进行碾压，</w:t>
            </w:r>
            <w:r>
              <w:rPr>
                <w:rFonts w:hint="eastAsia" w:cs="宋体"/>
                <w:bCs/>
                <w:color w:val="auto"/>
                <w:kern w:val="21"/>
                <w:szCs w:val="21"/>
                <w:highlight w:val="none"/>
              </w:rPr>
              <w:t>路基施工</w:t>
            </w:r>
            <w:r>
              <w:rPr>
                <w:rFonts w:hint="eastAsia" w:cs="宋体"/>
                <w:bCs/>
                <w:color w:val="auto"/>
                <w:kern w:val="21"/>
                <w:szCs w:val="21"/>
                <w:highlight w:val="none"/>
                <w:lang w:val="en-US" w:eastAsia="zh-CN"/>
              </w:rPr>
              <w:t>不会造成旁边</w:t>
            </w:r>
            <w:r>
              <w:rPr>
                <w:rFonts w:hint="eastAsia" w:cs="宋体"/>
                <w:bCs/>
                <w:color w:val="auto"/>
                <w:kern w:val="21"/>
                <w:szCs w:val="21"/>
                <w:highlight w:val="none"/>
              </w:rPr>
              <w:t>农作物、</w:t>
            </w:r>
            <w:r>
              <w:rPr>
                <w:rFonts w:hint="eastAsia" w:cs="宋体"/>
                <w:bCs/>
                <w:color w:val="auto"/>
                <w:kern w:val="21"/>
                <w:szCs w:val="21"/>
                <w:highlight w:val="none"/>
                <w:lang w:val="en-US" w:eastAsia="zh-CN"/>
              </w:rPr>
              <w:t>或</w:t>
            </w:r>
            <w:r>
              <w:rPr>
                <w:rFonts w:hint="eastAsia" w:cs="宋体"/>
                <w:bCs/>
                <w:color w:val="auto"/>
                <w:kern w:val="21"/>
                <w:szCs w:val="21"/>
                <w:highlight w:val="none"/>
              </w:rPr>
              <w:t>林地等植被</w:t>
            </w:r>
            <w:r>
              <w:rPr>
                <w:rFonts w:hint="eastAsia" w:cs="宋体"/>
                <w:bCs/>
                <w:color w:val="auto"/>
                <w:kern w:val="21"/>
                <w:szCs w:val="21"/>
                <w:highlight w:val="none"/>
                <w:lang w:val="en-US" w:eastAsia="zh-CN"/>
              </w:rPr>
              <w:t>破坏</w:t>
            </w:r>
            <w:r>
              <w:rPr>
                <w:rFonts w:hint="eastAsia" w:cs="宋体"/>
                <w:bCs/>
                <w:color w:val="auto"/>
                <w:kern w:val="21"/>
                <w:szCs w:val="21"/>
              </w:rPr>
              <w:t>，</w:t>
            </w:r>
            <w:r>
              <w:rPr>
                <w:rFonts w:hint="eastAsia" w:cs="宋体"/>
                <w:bCs/>
                <w:color w:val="auto"/>
                <w:kern w:val="21"/>
                <w:szCs w:val="21"/>
                <w:lang w:val="en-US" w:eastAsia="zh-CN"/>
              </w:rPr>
              <w:t>路基施工主要</w:t>
            </w:r>
            <w:r>
              <w:rPr>
                <w:rFonts w:hint="eastAsia" w:cs="宋体"/>
                <w:bCs/>
                <w:color w:val="auto"/>
                <w:kern w:val="21"/>
                <w:szCs w:val="21"/>
              </w:rPr>
              <w:t>造成</w:t>
            </w:r>
            <w:r>
              <w:rPr>
                <w:rFonts w:hint="eastAsia" w:cs="宋体"/>
                <w:bCs/>
                <w:color w:val="auto"/>
                <w:kern w:val="21"/>
                <w:szCs w:val="21"/>
                <w:lang w:val="en-US" w:eastAsia="zh-CN"/>
              </w:rPr>
              <w:t>施工范围内</w:t>
            </w:r>
            <w:r>
              <w:rPr>
                <w:rFonts w:hint="eastAsia" w:cs="宋体"/>
                <w:bCs/>
                <w:color w:val="auto"/>
                <w:kern w:val="21"/>
                <w:szCs w:val="21"/>
              </w:rPr>
              <w:t>水土流失。路基清理过程中伴随着施工机械噪声和扬尘将对处于沿线两侧敏感点产生影响，应采取一定措施将影响程度降至最低。</w:t>
            </w:r>
          </w:p>
          <w:p w14:paraId="233E2F9D">
            <w:pPr>
              <w:ind w:firstLine="480" w:firstLineChars="200"/>
              <w:rPr>
                <w:rFonts w:hint="default" w:eastAsia="宋体" w:cs="宋体"/>
                <w:bCs/>
                <w:color w:val="auto"/>
                <w:kern w:val="21"/>
                <w:szCs w:val="21"/>
                <w:lang w:val="en-US" w:eastAsia="zh-CN"/>
              </w:rPr>
            </w:pPr>
            <w:r>
              <w:rPr>
                <w:rFonts w:hint="eastAsia" w:cs="宋体"/>
                <w:bCs/>
                <w:color w:val="auto"/>
                <w:kern w:val="21"/>
                <w:szCs w:val="21"/>
              </w:rPr>
              <w:t>b.路</w:t>
            </w:r>
            <w:r>
              <w:rPr>
                <w:rFonts w:hint="eastAsia" w:cs="宋体"/>
                <w:bCs/>
                <w:color w:val="auto"/>
                <w:kern w:val="21"/>
                <w:szCs w:val="21"/>
                <w:lang w:val="en-US" w:eastAsia="zh-CN"/>
              </w:rPr>
              <w:t>床平整</w:t>
            </w:r>
          </w:p>
          <w:p w14:paraId="37EFA0D6">
            <w:pPr>
              <w:ind w:firstLine="480" w:firstLineChars="200"/>
              <w:rPr>
                <w:rFonts w:hint="eastAsia" w:cs="宋体"/>
                <w:bCs/>
                <w:color w:val="auto"/>
                <w:kern w:val="21"/>
                <w:szCs w:val="21"/>
              </w:rPr>
            </w:pPr>
            <w:r>
              <w:rPr>
                <w:rFonts w:hint="eastAsia" w:cs="宋体"/>
                <w:bCs/>
                <w:color w:val="auto"/>
                <w:kern w:val="21"/>
                <w:szCs w:val="21"/>
              </w:rPr>
              <w:t>路</w:t>
            </w:r>
            <w:r>
              <w:rPr>
                <w:rFonts w:hint="eastAsia" w:cs="宋体"/>
                <w:bCs/>
                <w:color w:val="auto"/>
                <w:kern w:val="21"/>
                <w:szCs w:val="21"/>
                <w:lang w:val="en-US" w:eastAsia="zh-CN"/>
              </w:rPr>
              <w:t>面</w:t>
            </w:r>
            <w:r>
              <w:rPr>
                <w:rFonts w:hint="eastAsia" w:cs="宋体"/>
                <w:bCs/>
                <w:color w:val="auto"/>
                <w:kern w:val="21"/>
                <w:szCs w:val="21"/>
              </w:rPr>
              <w:t>开挖</w:t>
            </w:r>
            <w:r>
              <w:rPr>
                <w:rFonts w:hint="eastAsia" w:cs="宋体"/>
                <w:bCs/>
                <w:color w:val="auto"/>
                <w:kern w:val="21"/>
                <w:szCs w:val="21"/>
                <w:lang w:val="en-US" w:eastAsia="zh-CN"/>
              </w:rPr>
              <w:t>后进行平整、填筑，</w:t>
            </w:r>
            <w:r>
              <w:rPr>
                <w:rFonts w:hint="eastAsia" w:cs="宋体"/>
                <w:bCs/>
                <w:color w:val="auto"/>
                <w:kern w:val="21"/>
                <w:szCs w:val="21"/>
              </w:rPr>
              <w:t>填筑材料在运输和施工过程中将会产生机械施工噪声与扬尘，将对公路两侧敏感点产生影响。</w:t>
            </w:r>
          </w:p>
          <w:p w14:paraId="33F87D83">
            <w:pPr>
              <w:ind w:firstLine="480" w:firstLineChars="200"/>
              <w:rPr>
                <w:rFonts w:hint="eastAsia" w:cs="宋体"/>
                <w:bCs/>
                <w:color w:val="auto"/>
                <w:kern w:val="21"/>
                <w:szCs w:val="21"/>
              </w:rPr>
            </w:pPr>
            <w:r>
              <w:rPr>
                <w:rFonts w:hint="eastAsia" w:cs="宋体"/>
                <w:bCs/>
                <w:color w:val="auto"/>
                <w:kern w:val="21"/>
                <w:szCs w:val="21"/>
              </w:rPr>
              <w:t>②路面施工工艺</w:t>
            </w:r>
          </w:p>
          <w:p w14:paraId="12C9A5B3">
            <w:pPr>
              <w:ind w:firstLine="480" w:firstLineChars="200"/>
              <w:rPr>
                <w:rFonts w:hint="eastAsia" w:cs="宋体"/>
                <w:bCs/>
                <w:color w:val="auto"/>
                <w:kern w:val="21"/>
                <w:szCs w:val="21"/>
              </w:rPr>
            </w:pPr>
            <w:r>
              <w:rPr>
                <w:rFonts w:hint="eastAsia" w:cs="宋体"/>
                <w:bCs/>
                <w:color w:val="auto"/>
                <w:kern w:val="21"/>
                <w:szCs w:val="21"/>
              </w:rPr>
              <w:t>路面施工严格按照《公路路面基层施工技术细则》（JTGT F20-2015）有关规定进行施工。本项目旧路采用打裂旧路面、加铺沥青混凝土面层处理，旧路路面拆除后</w:t>
            </w:r>
            <w:r>
              <w:rPr>
                <w:rFonts w:hint="eastAsia"/>
                <w:color w:val="auto"/>
                <w:kern w:val="21"/>
                <w:szCs w:val="21"/>
              </w:rPr>
              <w:t>回用路</w:t>
            </w:r>
            <w:r>
              <w:rPr>
                <w:rFonts w:hint="eastAsia"/>
                <w:color w:val="auto"/>
                <w:kern w:val="21"/>
                <w:szCs w:val="21"/>
                <w:lang w:val="en-US" w:eastAsia="zh-CN"/>
              </w:rPr>
              <w:t>面</w:t>
            </w:r>
            <w:r>
              <w:rPr>
                <w:rFonts w:hint="eastAsia"/>
                <w:color w:val="auto"/>
                <w:kern w:val="21"/>
                <w:szCs w:val="21"/>
              </w:rPr>
              <w:t>填筑。</w:t>
            </w:r>
          </w:p>
          <w:p w14:paraId="7F6B309B">
            <w:pPr>
              <w:numPr>
                <w:ilvl w:val="0"/>
                <w:numId w:val="3"/>
              </w:numPr>
              <w:ind w:firstLine="480" w:firstLineChars="200"/>
              <w:rPr>
                <w:rFonts w:hint="eastAsia" w:cs="宋体"/>
                <w:bCs/>
                <w:color w:val="auto"/>
                <w:kern w:val="21"/>
                <w:szCs w:val="21"/>
              </w:rPr>
            </w:pPr>
            <w:r>
              <w:rPr>
                <w:rFonts w:hint="eastAsia" w:cs="宋体"/>
                <w:bCs/>
                <w:color w:val="auto"/>
                <w:kern w:val="21"/>
                <w:szCs w:val="21"/>
              </w:rPr>
              <w:t>桥涵工程</w:t>
            </w:r>
          </w:p>
          <w:p w14:paraId="1C6FBC96">
            <w:pPr>
              <w:widowControl w:val="0"/>
              <w:numPr>
                <w:ilvl w:val="0"/>
                <w:numId w:val="0"/>
              </w:numPr>
              <w:spacing w:line="360" w:lineRule="auto"/>
              <w:jc w:val="both"/>
              <w:rPr>
                <w:rFonts w:hint="eastAsia" w:cs="宋体"/>
                <w:bCs/>
                <w:color w:val="auto"/>
                <w:kern w:val="21"/>
                <w:szCs w:val="21"/>
              </w:rPr>
            </w:pPr>
            <w:r>
              <w:rPr>
                <w:rFonts w:hint="eastAsia" w:eastAsia="宋体" w:cs="宋体"/>
                <w:bCs/>
                <w:color w:val="auto"/>
                <w:kern w:val="21"/>
                <w:szCs w:val="21"/>
                <w:lang w:eastAsia="zh-CN"/>
              </w:rPr>
              <w:drawing>
                <wp:inline distT="0" distB="0" distL="114300" distR="114300">
                  <wp:extent cx="4867275" cy="1047750"/>
                  <wp:effectExtent l="0" t="0" r="0" b="0"/>
                  <wp:docPr id="4" name="图片 4" descr="ef84443842c5da571f15704cd61ee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f84443842c5da571f15704cd61eeeac"/>
                          <pic:cNvPicPr>
                            <a:picLocks noChangeAspect="1"/>
                          </pic:cNvPicPr>
                        </pic:nvPicPr>
                        <pic:blipFill>
                          <a:blip r:embed="rId24"/>
                          <a:stretch>
                            <a:fillRect/>
                          </a:stretch>
                        </pic:blipFill>
                        <pic:spPr>
                          <a:xfrm>
                            <a:off x="0" y="0"/>
                            <a:ext cx="4867275" cy="1047750"/>
                          </a:xfrm>
                          <a:prstGeom prst="rect">
                            <a:avLst/>
                          </a:prstGeom>
                        </pic:spPr>
                      </pic:pic>
                    </a:graphicData>
                  </a:graphic>
                </wp:inline>
              </w:drawing>
            </w:r>
          </w:p>
          <w:p w14:paraId="19B294C4">
            <w:pPr>
              <w:pStyle w:val="72"/>
              <w:rPr>
                <w:rFonts w:hint="eastAsia" w:ascii="宋体" w:hAnsi="宋体" w:eastAsia="宋体" w:cs="宋体"/>
                <w:color w:val="auto"/>
              </w:rPr>
            </w:pPr>
            <w:r>
              <w:rPr>
                <w:rFonts w:hint="eastAsia" w:ascii="宋体" w:hAnsi="宋体" w:eastAsia="宋体" w:cs="宋体"/>
                <w:color w:val="auto"/>
              </w:rPr>
              <w:t>图2-</w:t>
            </w:r>
            <w:r>
              <w:rPr>
                <w:rFonts w:hint="eastAsia" w:ascii="宋体" w:hAnsi="宋体" w:eastAsia="宋体" w:cs="宋体"/>
                <w:color w:val="auto"/>
                <w:lang w:val="en-US" w:eastAsia="zh-CN"/>
              </w:rPr>
              <w:t>7</w:t>
            </w:r>
            <w:r>
              <w:rPr>
                <w:rFonts w:hint="eastAsia" w:ascii="宋体" w:hAnsi="宋体" w:eastAsia="宋体" w:cs="宋体"/>
                <w:color w:val="auto"/>
              </w:rPr>
              <w:t xml:space="preserve"> </w:t>
            </w:r>
            <w:r>
              <w:rPr>
                <w:rFonts w:hint="eastAsia" w:ascii="宋体" w:hAnsi="宋体" w:eastAsia="宋体" w:cs="宋体"/>
                <w:color w:val="auto"/>
                <w:lang w:val="en-US" w:eastAsia="zh-CN"/>
              </w:rPr>
              <w:t xml:space="preserve"> 桥梁和涵洞</w:t>
            </w:r>
            <w:r>
              <w:rPr>
                <w:rFonts w:hint="eastAsia" w:ascii="宋体" w:hAnsi="宋体" w:eastAsia="宋体" w:cs="宋体"/>
                <w:color w:val="auto"/>
              </w:rPr>
              <w:t>工程主要工艺流程示意图</w:t>
            </w:r>
          </w:p>
          <w:p w14:paraId="634B687C">
            <w:pPr>
              <w:ind w:firstLine="480" w:firstLineChars="200"/>
              <w:rPr>
                <w:color w:val="auto"/>
              </w:rPr>
            </w:pPr>
            <w:r>
              <w:rPr>
                <w:rFonts w:hint="eastAsia" w:cs="宋体"/>
                <w:bCs/>
                <w:color w:val="auto"/>
                <w:kern w:val="21"/>
                <w:szCs w:val="21"/>
              </w:rPr>
              <w:t>本项目</w:t>
            </w:r>
            <w:r>
              <w:rPr>
                <w:rFonts w:hint="eastAsia" w:cs="宋体"/>
                <w:bCs/>
                <w:color w:val="auto"/>
                <w:kern w:val="21"/>
                <w:szCs w:val="21"/>
                <w:lang w:val="en-US" w:eastAsia="zh-CN"/>
              </w:rPr>
              <w:t>桥梁工程主要为维修搭板、桥面铺装、拆除重建护栏、更换伸缩装置、</w:t>
            </w:r>
            <w:r>
              <w:rPr>
                <w:rFonts w:hint="eastAsia" w:cs="宋体"/>
                <w:bCs/>
                <w:color w:val="auto"/>
                <w:kern w:val="21"/>
                <w:szCs w:val="21"/>
              </w:rPr>
              <w:t>维修锥坡砌体</w:t>
            </w:r>
            <w:r>
              <w:rPr>
                <w:rFonts w:hint="eastAsia" w:cs="宋体"/>
                <w:bCs/>
                <w:color w:val="auto"/>
                <w:kern w:val="21"/>
                <w:szCs w:val="21"/>
                <w:lang w:val="en-US" w:eastAsia="zh-CN"/>
              </w:rPr>
              <w:t>和</w:t>
            </w:r>
            <w:r>
              <w:rPr>
                <w:rFonts w:hint="eastAsia" w:cs="宋体"/>
                <w:bCs/>
                <w:color w:val="auto"/>
                <w:kern w:val="21"/>
                <w:szCs w:val="21"/>
              </w:rPr>
              <w:t>侧脚</w:t>
            </w:r>
            <w:r>
              <w:rPr>
                <w:rFonts w:hint="eastAsia" w:cs="宋体"/>
                <w:bCs/>
                <w:color w:val="auto"/>
                <w:kern w:val="21"/>
                <w:szCs w:val="21"/>
                <w:lang w:eastAsia="zh-CN"/>
              </w:rPr>
              <w:t>、</w:t>
            </w:r>
            <w:r>
              <w:rPr>
                <w:rFonts w:hint="eastAsia" w:cs="宋体"/>
                <w:bCs/>
                <w:color w:val="auto"/>
                <w:kern w:val="21"/>
                <w:szCs w:val="21"/>
              </w:rPr>
              <w:t>维修防撞墙</w:t>
            </w:r>
            <w:r>
              <w:rPr>
                <w:rFonts w:hint="eastAsia" w:cs="宋体"/>
                <w:bCs/>
                <w:color w:val="auto"/>
                <w:kern w:val="21"/>
                <w:szCs w:val="21"/>
                <w:lang w:val="en-US" w:eastAsia="zh-CN"/>
              </w:rPr>
              <w:t>等，不涉及桥梁拆除、桥墩工程</w:t>
            </w:r>
            <w:r>
              <w:rPr>
                <w:rFonts w:hint="eastAsia" w:cs="宋体"/>
                <w:bCs/>
                <w:color w:val="auto"/>
                <w:kern w:val="21"/>
                <w:szCs w:val="21"/>
                <w:lang w:eastAsia="zh-CN"/>
              </w:rPr>
              <w:t>。</w:t>
            </w:r>
            <w:r>
              <w:rPr>
                <w:rFonts w:hint="eastAsia" w:cs="宋体"/>
                <w:bCs/>
                <w:color w:val="auto"/>
                <w:kern w:val="21"/>
                <w:szCs w:val="21"/>
                <w:lang w:val="en-US" w:eastAsia="zh-CN"/>
              </w:rPr>
              <w:t>仅进行</w:t>
            </w:r>
            <w:r>
              <w:rPr>
                <w:rFonts w:hint="eastAsia" w:cs="宋体"/>
                <w:bCs/>
                <w:color w:val="auto"/>
                <w:kern w:val="21"/>
                <w:szCs w:val="21"/>
              </w:rPr>
              <w:t>维修锥坡砌体</w:t>
            </w:r>
            <w:r>
              <w:rPr>
                <w:rFonts w:hint="eastAsia" w:cs="宋体"/>
                <w:bCs/>
                <w:color w:val="auto"/>
                <w:kern w:val="21"/>
                <w:szCs w:val="21"/>
                <w:lang w:val="en-US" w:eastAsia="zh-CN"/>
              </w:rPr>
              <w:t>和</w:t>
            </w:r>
            <w:r>
              <w:rPr>
                <w:rFonts w:hint="eastAsia" w:cs="宋体"/>
                <w:bCs/>
                <w:color w:val="auto"/>
                <w:kern w:val="21"/>
                <w:szCs w:val="21"/>
              </w:rPr>
              <w:t>侧脚</w:t>
            </w:r>
            <w:r>
              <w:rPr>
                <w:rFonts w:hint="eastAsia" w:cs="宋体"/>
                <w:bCs/>
                <w:color w:val="auto"/>
                <w:kern w:val="21"/>
                <w:szCs w:val="21"/>
                <w:lang w:val="en-US" w:eastAsia="zh-CN"/>
              </w:rPr>
              <w:t>，</w:t>
            </w:r>
            <w:r>
              <w:rPr>
                <w:rFonts w:hint="eastAsia" w:cs="宋体"/>
                <w:bCs/>
                <w:color w:val="auto"/>
                <w:kern w:val="21"/>
                <w:szCs w:val="21"/>
              </w:rPr>
              <w:t>选择枯水期施工，</w:t>
            </w:r>
            <w:r>
              <w:rPr>
                <w:rFonts w:hint="eastAsia" w:cs="宋体"/>
                <w:bCs/>
                <w:color w:val="auto"/>
                <w:kern w:val="21"/>
                <w:szCs w:val="21"/>
                <w:lang w:val="en-US" w:eastAsia="zh-CN"/>
              </w:rPr>
              <w:t>减少</w:t>
            </w:r>
            <w:r>
              <w:rPr>
                <w:rFonts w:hint="eastAsia" w:cs="宋体"/>
                <w:bCs/>
                <w:color w:val="auto"/>
                <w:kern w:val="21"/>
                <w:szCs w:val="21"/>
              </w:rPr>
              <w:t>水体扰动</w:t>
            </w:r>
            <w:r>
              <w:rPr>
                <w:rFonts w:hint="eastAsia" w:cs="宋体"/>
                <w:bCs/>
                <w:color w:val="auto"/>
                <w:kern w:val="21"/>
                <w:szCs w:val="21"/>
                <w:lang w:eastAsia="zh-CN"/>
              </w:rPr>
              <w:t>，</w:t>
            </w:r>
            <w:r>
              <w:rPr>
                <w:rFonts w:hint="eastAsia" w:cs="宋体"/>
                <w:bCs/>
                <w:color w:val="auto"/>
                <w:kern w:val="21"/>
                <w:szCs w:val="21"/>
                <w:lang w:val="en-US" w:eastAsia="zh-CN"/>
              </w:rPr>
              <w:t>施工过程中主要产生扬尘、施工噪声，施工</w:t>
            </w:r>
            <w:r>
              <w:rPr>
                <w:rFonts w:hint="eastAsia" w:cs="宋体"/>
                <w:bCs/>
                <w:color w:val="auto"/>
                <w:kern w:val="21"/>
                <w:szCs w:val="21"/>
              </w:rPr>
              <w:t>导致水体中悬浮物增加。</w:t>
            </w:r>
            <w:r>
              <w:rPr>
                <w:color w:val="auto"/>
              </w:rPr>
              <w:t>桥面铺装采用两层铺设，桥面采用沥青混凝土铺装，下层采用钢筋混凝土，在钢筋网上浇筑混凝土由于混凝土洒落会造成桥面污染；上层沥青混凝土面层在铺设过程中会产生沥青烟气。</w:t>
            </w:r>
          </w:p>
          <w:p w14:paraId="3360139A">
            <w:pPr>
              <w:ind w:firstLine="480" w:firstLineChars="200"/>
              <w:rPr>
                <w:rFonts w:hint="eastAsia" w:cs="宋体"/>
                <w:color w:val="auto"/>
                <w:kern w:val="21"/>
                <w:szCs w:val="21"/>
              </w:rPr>
            </w:pPr>
            <w:r>
              <w:rPr>
                <w:rFonts w:hint="eastAsia"/>
                <w:color w:val="auto"/>
                <w:lang w:val="en-US" w:eastAsia="zh-CN"/>
              </w:rPr>
              <w:t>本项目</w:t>
            </w:r>
            <w:r>
              <w:rPr>
                <w:color w:val="auto"/>
                <w:lang w:val="zh-CN"/>
              </w:rPr>
              <w:t>维修利用圆管涵6道、维修利用盖板涵9道、维修利用箱涵1道</w:t>
            </w:r>
            <w:r>
              <w:rPr>
                <w:rFonts w:hint="eastAsia"/>
                <w:color w:val="auto"/>
                <w:lang w:val="zh-CN"/>
              </w:rPr>
              <w:t>、</w:t>
            </w:r>
            <w:r>
              <w:rPr>
                <w:color w:val="auto"/>
                <w:lang w:val="zh-CN"/>
              </w:rPr>
              <w:t>拆除重建圆管涵4道</w:t>
            </w:r>
            <w:r>
              <w:rPr>
                <w:rFonts w:hint="eastAsia"/>
                <w:color w:val="auto"/>
                <w:lang w:val="zh-CN"/>
              </w:rPr>
              <w:t>，</w:t>
            </w:r>
            <w:r>
              <w:rPr>
                <w:rFonts w:hint="eastAsia"/>
                <w:color w:val="auto"/>
                <w:lang w:val="en-US" w:eastAsia="zh-CN"/>
              </w:rPr>
              <w:t>涵洞工程施工过程中主要产生扬尘、施工噪声。</w:t>
            </w:r>
          </w:p>
        </w:tc>
      </w:tr>
      <w:tr w14:paraId="19D165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82" w:type="dxa"/>
            <w:noWrap w:val="0"/>
            <w:vAlign w:val="center"/>
          </w:tcPr>
          <w:p w14:paraId="3F7F9F6C">
            <w:pPr>
              <w:adjustRightInd w:val="0"/>
              <w:snapToGrid w:val="0"/>
              <w:jc w:val="center"/>
              <w:rPr>
                <w:rFonts w:cs="宋体"/>
                <w:color w:val="auto"/>
                <w:kern w:val="21"/>
                <w:szCs w:val="21"/>
              </w:rPr>
            </w:pPr>
            <w:r>
              <w:rPr>
                <w:rFonts w:hint="eastAsia" w:cs="宋体"/>
                <w:color w:val="auto"/>
                <w:kern w:val="21"/>
                <w:szCs w:val="21"/>
              </w:rPr>
              <w:t>其他</w:t>
            </w:r>
          </w:p>
        </w:tc>
        <w:tc>
          <w:tcPr>
            <w:tcW w:w="8084" w:type="dxa"/>
            <w:noWrap w:val="0"/>
            <w:vAlign w:val="top"/>
          </w:tcPr>
          <w:p w14:paraId="7A6C67A2">
            <w:pPr>
              <w:ind w:firstLine="480" w:firstLineChars="200"/>
              <w:jc w:val="left"/>
              <w:rPr>
                <w:rFonts w:hint="eastAsia"/>
                <w:color w:val="auto"/>
                <w:lang w:val="en-US" w:eastAsia="zh-CN"/>
              </w:rPr>
            </w:pPr>
          </w:p>
          <w:p w14:paraId="7D111866">
            <w:pPr>
              <w:pStyle w:val="2"/>
              <w:rPr>
                <w:rFonts w:hint="eastAsia"/>
                <w:color w:val="auto"/>
                <w:lang w:val="en-US" w:eastAsia="zh-CN"/>
              </w:rPr>
            </w:pPr>
          </w:p>
          <w:p w14:paraId="1D14ECD3">
            <w:pPr>
              <w:rPr>
                <w:rFonts w:hint="eastAsia"/>
                <w:color w:val="auto"/>
                <w:lang w:val="en-US" w:eastAsia="zh-CN"/>
              </w:rPr>
            </w:pPr>
          </w:p>
          <w:p w14:paraId="61E506FC">
            <w:pPr>
              <w:ind w:firstLine="480" w:firstLineChars="200"/>
              <w:jc w:val="left"/>
              <w:rPr>
                <w:rFonts w:hint="eastAsia"/>
                <w:color w:val="auto"/>
                <w:lang w:val="en-US" w:eastAsia="zh-CN"/>
              </w:rPr>
            </w:pPr>
          </w:p>
          <w:p w14:paraId="4FA2922B">
            <w:pPr>
              <w:ind w:firstLine="480" w:firstLineChars="200"/>
              <w:jc w:val="left"/>
              <w:rPr>
                <w:rFonts w:hint="eastAsia"/>
                <w:color w:val="auto"/>
                <w:lang w:val="en-US" w:eastAsia="zh-CN"/>
              </w:rPr>
            </w:pPr>
            <w:r>
              <w:rPr>
                <w:rFonts w:hint="eastAsia"/>
                <w:color w:val="auto"/>
                <w:lang w:val="en-US" w:eastAsia="zh-CN"/>
              </w:rPr>
              <w:t>无</w:t>
            </w:r>
          </w:p>
          <w:p w14:paraId="2B359D98">
            <w:pPr>
              <w:ind w:firstLine="480" w:firstLineChars="200"/>
              <w:jc w:val="left"/>
              <w:rPr>
                <w:rFonts w:hint="eastAsia"/>
                <w:color w:val="auto"/>
                <w:lang w:val="en-US" w:eastAsia="zh-CN"/>
              </w:rPr>
            </w:pPr>
          </w:p>
          <w:p w14:paraId="33BAF724">
            <w:pPr>
              <w:ind w:firstLine="480" w:firstLineChars="200"/>
              <w:jc w:val="left"/>
              <w:rPr>
                <w:rFonts w:hint="eastAsia"/>
                <w:color w:val="auto"/>
                <w:lang w:val="en-US" w:eastAsia="zh-CN"/>
              </w:rPr>
            </w:pPr>
          </w:p>
          <w:p w14:paraId="10D17ECE">
            <w:pPr>
              <w:pStyle w:val="2"/>
              <w:rPr>
                <w:rFonts w:hint="eastAsia"/>
                <w:color w:val="auto"/>
                <w:lang w:val="en-US" w:eastAsia="zh-CN"/>
              </w:rPr>
            </w:pPr>
          </w:p>
          <w:p w14:paraId="4A540F35">
            <w:pPr>
              <w:rPr>
                <w:rFonts w:hint="eastAsia"/>
                <w:color w:val="auto"/>
                <w:lang w:val="en-US" w:eastAsia="zh-CN"/>
              </w:rPr>
            </w:pPr>
          </w:p>
          <w:p w14:paraId="2428EC9B">
            <w:pPr>
              <w:pStyle w:val="2"/>
              <w:rPr>
                <w:rFonts w:hint="eastAsia"/>
                <w:color w:val="auto"/>
                <w:lang w:val="en-US" w:eastAsia="zh-CN"/>
              </w:rPr>
            </w:pPr>
          </w:p>
          <w:p w14:paraId="1E3DD853">
            <w:pPr>
              <w:rPr>
                <w:rFonts w:hint="eastAsia"/>
                <w:color w:val="auto"/>
                <w:lang w:val="en-US" w:eastAsia="zh-CN"/>
              </w:rPr>
            </w:pPr>
          </w:p>
          <w:p w14:paraId="2D3381A7">
            <w:pPr>
              <w:ind w:firstLine="480" w:firstLineChars="200"/>
              <w:jc w:val="left"/>
              <w:rPr>
                <w:rFonts w:hint="eastAsia"/>
                <w:color w:val="auto"/>
                <w:lang w:val="en-US" w:eastAsia="zh-CN"/>
              </w:rPr>
            </w:pPr>
          </w:p>
          <w:p w14:paraId="19596EAC">
            <w:pPr>
              <w:ind w:firstLine="480" w:firstLineChars="200"/>
              <w:jc w:val="left"/>
              <w:rPr>
                <w:rFonts w:hint="default"/>
                <w:color w:val="auto"/>
                <w:lang w:val="en-US" w:eastAsia="zh-CN"/>
              </w:rPr>
            </w:pPr>
          </w:p>
        </w:tc>
      </w:tr>
    </w:tbl>
    <w:p w14:paraId="37F30998">
      <w:pPr>
        <w:pStyle w:val="26"/>
        <w:spacing w:before="0" w:beforeAutospacing="0" w:after="120" w:afterLines="50" w:afterAutospacing="0"/>
        <w:jc w:val="center"/>
        <w:outlineLvl w:val="0"/>
        <w:rPr>
          <w:rFonts w:eastAsia="仿宋_GB2312"/>
          <w:b/>
          <w:bCs/>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11AC0DBA">
      <w:pPr>
        <w:pStyle w:val="26"/>
        <w:spacing w:before="0" w:beforeAutospacing="0" w:after="156" w:afterLines="50" w:afterAutospacing="0"/>
        <w:jc w:val="center"/>
        <w:outlineLvl w:val="0"/>
        <w:rPr>
          <w:rFonts w:ascii="黑体" w:hAnsi="黑体" w:eastAsia="黑体"/>
          <w:snapToGrid w:val="0"/>
          <w:color w:val="auto"/>
          <w:kern w:val="21"/>
          <w:sz w:val="30"/>
          <w:szCs w:val="30"/>
        </w:rPr>
      </w:pPr>
      <w:bookmarkStart w:id="8" w:name="_Toc9504"/>
      <w:r>
        <w:rPr>
          <w:rFonts w:hint="eastAsia" w:ascii="黑体" w:hAnsi="黑体" w:eastAsia="黑体"/>
          <w:snapToGrid w:val="0"/>
          <w:color w:val="auto"/>
          <w:kern w:val="21"/>
          <w:sz w:val="30"/>
          <w:szCs w:val="30"/>
        </w:rPr>
        <w:t>三、生态环境现状、保护目标及评价标准</w:t>
      </w:r>
      <w:bookmarkEnd w:id="8"/>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38"/>
        <w:gridCol w:w="7681"/>
      </w:tblGrid>
      <w:tr w14:paraId="1978A0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8" w:type="dxa"/>
            <w:noWrap w:val="0"/>
            <w:vAlign w:val="center"/>
          </w:tcPr>
          <w:p w14:paraId="2AA87224">
            <w:pPr>
              <w:adjustRightInd w:val="0"/>
              <w:snapToGrid w:val="0"/>
              <w:jc w:val="center"/>
              <w:rPr>
                <w:color w:val="auto"/>
                <w:kern w:val="0"/>
              </w:rPr>
            </w:pPr>
            <w:r>
              <w:rPr>
                <w:color w:val="auto"/>
                <w:kern w:val="0"/>
              </w:rPr>
              <w:t>生态环境现状</w:t>
            </w:r>
          </w:p>
        </w:tc>
        <w:tc>
          <w:tcPr>
            <w:tcW w:w="7681" w:type="dxa"/>
            <w:noWrap w:val="0"/>
            <w:vAlign w:val="center"/>
          </w:tcPr>
          <w:p w14:paraId="20C59903">
            <w:pPr>
              <w:pStyle w:val="76"/>
              <w:rPr>
                <w:color w:val="auto"/>
              </w:rPr>
            </w:pPr>
            <w:r>
              <w:rPr>
                <w:rFonts w:hint="eastAsia"/>
                <w:color w:val="auto"/>
              </w:rPr>
              <w:t>1、</w:t>
            </w:r>
            <w:r>
              <w:rPr>
                <w:color w:val="auto"/>
              </w:rPr>
              <w:t>主体功能区规划和生态功能区划情况</w:t>
            </w:r>
          </w:p>
          <w:p w14:paraId="716B9A28">
            <w:pPr>
              <w:pStyle w:val="76"/>
              <w:rPr>
                <w:color w:val="auto"/>
              </w:rPr>
            </w:pPr>
            <w:r>
              <w:rPr>
                <w:rFonts w:hint="eastAsia"/>
                <w:color w:val="auto"/>
              </w:rPr>
              <w:t>（1）</w:t>
            </w:r>
            <w:r>
              <w:rPr>
                <w:color w:val="auto"/>
              </w:rPr>
              <w:t>主体功能区</w:t>
            </w:r>
            <w:bookmarkStart w:id="21" w:name="_GoBack"/>
            <w:bookmarkEnd w:id="21"/>
            <w:r>
              <w:rPr>
                <w:color w:val="auto"/>
              </w:rPr>
              <w:t>规划</w:t>
            </w:r>
          </w:p>
          <w:p w14:paraId="0121EDFD">
            <w:pPr>
              <w:pStyle w:val="76"/>
              <w:rPr>
                <w:rFonts w:hint="eastAsia"/>
                <w:color w:val="auto"/>
              </w:rPr>
            </w:pPr>
            <w:r>
              <w:rPr>
                <w:rFonts w:hint="eastAsia"/>
                <w:color w:val="auto"/>
              </w:rPr>
              <w:t>根据《黑龙江省主体功能区规划》，项目区属于三江平原湿地生态功能区，属于限制开发区域的国家重点生态功能区，为生物多样性维护型（主要指濒危珍稀动植物分布较集中、具有典型代表性生态系统的区域）。三江平原湿地生态功能区包括同江市、富锦市、抚远县、饶河县、虎林市、密山市、绥滨县等7个县（市）及位于上述区域内的森工、农垦系统所属局、场，区域总面积4.80万平方公里，占全省总面积的10%。该区域天然水域和原始湿地面积大，水生和湿地生态系统类型多样，在蓄洪防洪、抗旱、调节局部地区气候、维护生物多样性、控制土壤侵蚀等方面具有重要作用。</w:t>
            </w:r>
          </w:p>
          <w:p w14:paraId="35E2F07E">
            <w:pPr>
              <w:pStyle w:val="76"/>
              <w:rPr>
                <w:rFonts w:hint="eastAsia"/>
                <w:color w:val="auto"/>
              </w:rPr>
            </w:pPr>
            <w:r>
              <w:rPr>
                <w:rFonts w:hint="eastAsia"/>
                <w:color w:val="auto"/>
              </w:rPr>
              <w:t>功能定位：以提供生态产品为主，保障生态安全的重要区域，人与自然和谐相处的示范区。</w:t>
            </w:r>
          </w:p>
          <w:p w14:paraId="6B89445E">
            <w:pPr>
              <w:pStyle w:val="76"/>
              <w:rPr>
                <w:rFonts w:hint="eastAsia"/>
                <w:color w:val="auto"/>
              </w:rPr>
            </w:pPr>
            <w:r>
              <w:rPr>
                <w:rFonts w:hint="eastAsia"/>
                <w:color w:val="auto"/>
              </w:rPr>
              <w:t>发展方向：</w:t>
            </w:r>
            <w:r>
              <w:rPr>
                <w:rFonts w:hint="eastAsia"/>
                <w:color w:val="auto"/>
              </w:rPr>
              <mc:AlternateContent>
                <mc:Choice Requires="wps">
                  <w:drawing>
                    <wp:anchor distT="0" distB="0" distL="114300" distR="114300" simplePos="0" relativeHeight="251661312" behindDoc="0" locked="0" layoutInCell="1" allowOverlap="1">
                      <wp:simplePos x="0" y="0"/>
                      <wp:positionH relativeFrom="column">
                        <wp:posOffset>8934450</wp:posOffset>
                      </wp:positionH>
                      <wp:positionV relativeFrom="paragraph">
                        <wp:posOffset>2324100</wp:posOffset>
                      </wp:positionV>
                      <wp:extent cx="2084705" cy="891540"/>
                      <wp:effectExtent l="0" t="0" r="10795" b="3810"/>
                      <wp:wrapNone/>
                      <wp:docPr id="14" name="矩形 6"/>
                      <wp:cNvGraphicFramePr/>
                      <a:graphic xmlns:a="http://schemas.openxmlformats.org/drawingml/2006/main">
                        <a:graphicData uri="http://schemas.microsoft.com/office/word/2010/wordprocessingShape">
                          <wps:wsp>
                            <wps:cNvSpPr/>
                            <wps:spPr>
                              <a:xfrm>
                                <a:off x="0" y="0"/>
                                <a:ext cx="2084705" cy="891540"/>
                              </a:xfrm>
                              <a:prstGeom prst="rect">
                                <a:avLst/>
                              </a:prstGeom>
                              <a:solidFill>
                                <a:srgbClr val="FFFFFF"/>
                              </a:solidFill>
                              <a:ln>
                                <a:noFill/>
                              </a:ln>
                            </wps:spPr>
                            <wps:txbx>
                              <w:txbxContent>
                                <w:p w14:paraId="4525C0BF">
                                  <w:pPr>
                                    <w:ind w:firstLine="480"/>
                                    <w:rPr>
                                      <w:rFonts w:hint="eastAsia"/>
                                    </w:rPr>
                                  </w:pPr>
                                  <w:r>
                                    <w:rPr>
                                      <w:rFonts w:hint="eastAsia"/>
                                    </w:rPr>
                                    <w:t>生物多样性维护型生态功能区主要是濒危珍惜动植物分布较集中、具有典型代表性生态系统的区域。</w:t>
                                  </w:r>
                                </w:p>
                              </w:txbxContent>
                            </wps:txbx>
                            <wps:bodyPr wrap="square" upright="1"/>
                          </wps:wsp>
                        </a:graphicData>
                      </a:graphic>
                    </wp:anchor>
                  </w:drawing>
                </mc:Choice>
                <mc:Fallback>
                  <w:pict>
                    <v:rect id="矩形 6" o:spid="_x0000_s1026" o:spt="1" style="position:absolute;left:0pt;margin-left:703.5pt;margin-top:183pt;height:70.2pt;width:164.15pt;z-index:251661312;mso-width-relative:page;mso-height-relative:page;" fillcolor="#FFFFFF" filled="t" stroked="f" coordsize="21600,21600" o:gfxdata="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3IFMNkAAAANAQAADwAAAAAAAAABACAAAAAiAAAAZHJzL2Rvd25y&#10;ZXYueG1sUEsBAhQAFAAAAAgAh07iQGo/DRrEAQAAeQMAAA4AAAAAAAAAAQAgAAAAKAEAAGRycy9l&#10;Mm9Eb2MueG1sUEsFBgAAAAAGAAYAWQEAAF4FAAAAAA==&#10;">
                      <v:fill on="t" focussize="0,0"/>
                      <v:stroke on="f"/>
                      <v:imagedata o:title=""/>
                      <o:lock v:ext="edit" aspectratio="f"/>
                      <v:textbox>
                        <w:txbxContent>
                          <w:p w14:paraId="4525C0BF">
                            <w:pPr>
                              <w:ind w:firstLine="480"/>
                              <w:rPr>
                                <w:rFonts w:hint="eastAsia"/>
                              </w:rPr>
                            </w:pPr>
                            <w:r>
                              <w:rPr>
                                <w:rFonts w:hint="eastAsia"/>
                              </w:rPr>
                              <w:t>生物多样性维护型生态功能区主要是濒危珍惜动植物分布较集中、具有典型代表性生态系统的区域。</w:t>
                            </w:r>
                          </w:p>
                        </w:txbxContent>
                      </v:textbox>
                    </v:rect>
                  </w:pict>
                </mc:Fallback>
              </mc:AlternateContent>
            </w:r>
            <w:r>
              <w:rPr>
                <w:rFonts w:hint="eastAsia"/>
                <w:color w:val="auto"/>
              </w:rPr>
              <w:t>——生物多样性维护型生态功能区。禁止对野生动植物进行滥捕滥采，保持和恢复野生动植物物种和种群的平衡，实现野生动植物资源的良性循环和永续利用；加强防御外来物种入侵的能力，防止外来有害物种对生态系统的侵害；保护自然生态系统与重要物种栖息地，防止生态建设导致栖息环境的改变；扩大保护范围，降低城市建设强度，改善水域及湿地环境。该区域中农业产粮大县（市、区），应在保护生态的前提下，积极发展农业生产，努力提高粮食产量，保障国家粮食安全和食品安全，增加农民收入。</w:t>
            </w:r>
          </w:p>
          <w:p w14:paraId="16A5BE32">
            <w:pPr>
              <w:widowControl/>
              <w:spacing w:line="440" w:lineRule="exact"/>
              <w:ind w:firstLine="480"/>
              <w:jc w:val="left"/>
              <w:rPr>
                <w:smallCaps w:val="0"/>
                <w:color w:val="auto"/>
                <w:szCs w:val="24"/>
                <w:lang w:bidi="ar"/>
              </w:rPr>
            </w:pPr>
            <w:r>
              <w:rPr>
                <w:rFonts w:hint="eastAsia"/>
                <w:color w:val="auto"/>
              </w:rPr>
              <w:t>本项目属于《</w:t>
            </w:r>
            <w:r>
              <w:rPr>
                <w:rFonts w:hint="eastAsia"/>
                <w:color w:val="auto"/>
                <w:lang w:val="zh-CN" w:eastAsia="zh-CN"/>
              </w:rPr>
              <w:t>黑龙江省省道网规划</w:t>
            </w:r>
            <w:r>
              <w:rPr>
                <w:rFonts w:hint="eastAsia"/>
                <w:color w:val="auto"/>
              </w:rPr>
              <w:t>》中提到的</w:t>
            </w:r>
            <w:r>
              <w:rPr>
                <w:rFonts w:hint="eastAsia"/>
                <w:color w:val="auto"/>
                <w:lang w:val="en-US" w:eastAsia="zh-CN"/>
              </w:rPr>
              <w:t>省道</w:t>
            </w:r>
            <w:r>
              <w:rPr>
                <w:rFonts w:hint="eastAsia"/>
                <w:color w:val="auto"/>
              </w:rPr>
              <w:t>，</w:t>
            </w:r>
            <w:r>
              <w:rPr>
                <w:smallCaps w:val="0"/>
                <w:color w:val="auto"/>
              </w:rPr>
              <w:t>项目为</w:t>
            </w:r>
            <w:r>
              <w:rPr>
                <w:rFonts w:hint="eastAsia"/>
                <w:smallCaps w:val="0"/>
                <w:color w:val="auto"/>
                <w:lang w:val="en-US" w:eastAsia="zh-CN"/>
              </w:rPr>
              <w:t>道路改造工程</w:t>
            </w:r>
            <w:r>
              <w:rPr>
                <w:rFonts w:hint="eastAsia"/>
                <w:smallCaps w:val="0"/>
                <w:color w:val="auto"/>
                <w:szCs w:val="24"/>
                <w:lang w:bidi="ar"/>
              </w:rPr>
              <w:t>，</w:t>
            </w:r>
            <w:r>
              <w:rPr>
                <w:rFonts w:hint="eastAsia"/>
                <w:smallCaps w:val="0"/>
                <w:color w:val="auto"/>
                <w:szCs w:val="24"/>
                <w:lang w:val="en-US" w:eastAsia="zh-CN" w:bidi="ar"/>
              </w:rPr>
              <w:t>主要对原有道路进行路面改造</w:t>
            </w:r>
            <w:r>
              <w:rPr>
                <w:rFonts w:hint="eastAsia"/>
                <w:smallCaps w:val="0"/>
                <w:color w:val="auto"/>
                <w:szCs w:val="24"/>
                <w:lang w:bidi="ar"/>
              </w:rPr>
              <w:t>，</w:t>
            </w:r>
            <w:r>
              <w:rPr>
                <w:rFonts w:hint="eastAsia"/>
                <w:smallCaps w:val="0"/>
                <w:color w:val="auto"/>
                <w:szCs w:val="24"/>
                <w:lang w:val="en-US" w:eastAsia="zh-CN" w:bidi="ar"/>
              </w:rPr>
              <w:t>项目</w:t>
            </w:r>
            <w:r>
              <w:rPr>
                <w:color w:val="auto"/>
              </w:rPr>
              <w:t>运行将改善区域交通环境，</w:t>
            </w:r>
            <w:r>
              <w:rPr>
                <w:rFonts w:hint="eastAsia"/>
                <w:smallCaps w:val="0"/>
                <w:color w:val="auto"/>
                <w:szCs w:val="24"/>
                <w:lang w:bidi="ar"/>
              </w:rPr>
              <w:t>有利于密山市农业</w:t>
            </w:r>
            <w:r>
              <w:rPr>
                <w:rFonts w:hint="eastAsia"/>
                <w:smallCaps w:val="0"/>
                <w:color w:val="auto"/>
                <w:szCs w:val="24"/>
                <w:lang w:eastAsia="zh-CN" w:bidi="ar"/>
              </w:rPr>
              <w:t>、</w:t>
            </w:r>
            <w:r>
              <w:rPr>
                <w:rFonts w:hint="eastAsia"/>
                <w:smallCaps w:val="0"/>
                <w:color w:val="auto"/>
                <w:szCs w:val="24"/>
                <w:lang w:val="en-US" w:eastAsia="zh-CN" w:bidi="ar"/>
              </w:rPr>
              <w:t>旅游业</w:t>
            </w:r>
            <w:r>
              <w:rPr>
                <w:rFonts w:hint="eastAsia"/>
                <w:smallCaps w:val="0"/>
                <w:color w:val="auto"/>
                <w:szCs w:val="24"/>
                <w:lang w:bidi="ar"/>
              </w:rPr>
              <w:t>的发展；同时，</w:t>
            </w:r>
            <w:r>
              <w:rPr>
                <w:rFonts w:hint="eastAsia"/>
                <w:smallCaps w:val="0"/>
                <w:color w:val="auto"/>
                <w:szCs w:val="24"/>
                <w:lang w:val="en-US" w:eastAsia="zh-CN" w:bidi="ar"/>
              </w:rPr>
              <w:t>项目</w:t>
            </w:r>
            <w:r>
              <w:rPr>
                <w:rFonts w:hint="eastAsia"/>
                <w:smallCaps w:val="0"/>
                <w:color w:val="auto"/>
                <w:szCs w:val="24"/>
                <w:lang w:bidi="ar"/>
              </w:rPr>
              <w:t>施工生产生活区不在自然保护区、生态红线等环境敏感区内，</w:t>
            </w:r>
            <w:r>
              <w:rPr>
                <w:rFonts w:hint="eastAsia"/>
                <w:smallCaps w:val="0"/>
                <w:color w:val="auto"/>
                <w:szCs w:val="24"/>
                <w:lang w:val="en-US" w:eastAsia="zh-CN" w:bidi="ar"/>
              </w:rPr>
              <w:t>项目不新增占地</w:t>
            </w:r>
            <w:r>
              <w:rPr>
                <w:rFonts w:hint="eastAsia"/>
                <w:smallCaps w:val="0"/>
                <w:color w:val="auto"/>
                <w:szCs w:val="24"/>
                <w:lang w:bidi="ar"/>
              </w:rPr>
              <w:t>。</w:t>
            </w:r>
            <w:r>
              <w:rPr>
                <w:rFonts w:hint="eastAsia" w:ascii="Times New Roman" w:hAnsi="Times New Roman" w:eastAsia="宋体" w:cs="Times New Roman"/>
                <w:smallCaps w:val="0"/>
                <w:color w:val="auto"/>
                <w:szCs w:val="24"/>
                <w:lang w:val="en-US" w:eastAsia="zh-CN" w:bidi="ar"/>
              </w:rPr>
              <w:t>同时根据黑龙江兴凯湖国家地质公园管理委员会出具的“关于《关于省道名山至兴凯湖公路兴光至兴凯湖博物馆段路面改造工程占用黑龙江兴凯湖国家地质公园的请示》的复函”（见附件3），黑龙江兴凯湖国家地质公园管理委员会同意本工程建设。</w:t>
            </w:r>
            <w:r>
              <w:rPr>
                <w:rFonts w:hint="eastAsia"/>
                <w:smallCaps w:val="0"/>
                <w:color w:val="auto"/>
                <w:szCs w:val="24"/>
                <w:lang w:bidi="ar"/>
              </w:rPr>
              <w:t>综上，</w:t>
            </w:r>
            <w:r>
              <w:rPr>
                <w:smallCaps w:val="0"/>
                <w:color w:val="auto"/>
                <w:szCs w:val="24"/>
                <w:lang w:bidi="ar"/>
              </w:rPr>
              <w:t>本次工程建设与《黑龙江主体功能区规划》的相关要求是相符合的。</w:t>
            </w:r>
          </w:p>
          <w:p w14:paraId="75D8C5C1">
            <w:pPr>
              <w:pStyle w:val="76"/>
              <w:rPr>
                <w:color w:val="auto"/>
              </w:rPr>
            </w:pPr>
            <w:r>
              <w:rPr>
                <w:rFonts w:hint="eastAsia"/>
                <w:color w:val="auto"/>
              </w:rPr>
              <w:t>（2）</w:t>
            </w:r>
            <w:r>
              <w:rPr>
                <w:color w:val="auto"/>
              </w:rPr>
              <w:t>生态功能区划</w:t>
            </w:r>
          </w:p>
          <w:p w14:paraId="601A0295">
            <w:pPr>
              <w:pStyle w:val="76"/>
              <w:rPr>
                <w:color w:val="auto"/>
              </w:rPr>
            </w:pPr>
            <w:r>
              <w:rPr>
                <w:color w:val="auto"/>
              </w:rPr>
              <w:t>根据《</w:t>
            </w:r>
            <w:r>
              <w:rPr>
                <w:rFonts w:hint="eastAsia"/>
                <w:color w:val="auto"/>
              </w:rPr>
              <w:t>黑龙江省生态功能区划</w:t>
            </w:r>
            <w:r>
              <w:rPr>
                <w:color w:val="auto"/>
              </w:rPr>
              <w:t>》，</w:t>
            </w:r>
            <w:r>
              <w:rPr>
                <w:rFonts w:hint="eastAsia"/>
                <w:smallCaps w:val="0"/>
                <w:color w:val="auto"/>
                <w:szCs w:val="24"/>
                <w:lang w:bidi="ar"/>
              </w:rPr>
              <w:t>本工程位于I—3—3—2兴凯湖农、牧、渔业与湿地及生物多样性保护生态功能区，主要生态环境问题为湖泊水体有潜在富营养化的趋势；湿地保护区被耕地包围，湿地生态功能衰退；生态环境敏感性为该区东南部边缘地区生物多样性敏感性为极敏感，高度敏感性地区所占面积较大；主要生态系统服务功能为土壤保持、生物多样性保护、自然人文景观保护、农牧渔生产、旅游；主要保护措施与发展方向为加强保护区建设，以减少人为因素对其影响，改善周围湿地质量</w:t>
            </w:r>
            <w:r>
              <w:rPr>
                <w:rFonts w:hint="eastAsia"/>
                <w:smallCaps w:val="0"/>
                <w:color w:val="auto"/>
                <w:szCs w:val="24"/>
                <w:lang w:eastAsia="zh-CN" w:bidi="ar"/>
              </w:rPr>
              <w:t>，</w:t>
            </w:r>
            <w:r>
              <w:rPr>
                <w:rFonts w:hint="eastAsia"/>
                <w:smallCaps w:val="0"/>
                <w:color w:val="auto"/>
                <w:szCs w:val="24"/>
                <w:lang w:bidi="ar"/>
              </w:rPr>
              <w:t>科学发展农牧渔业。</w:t>
            </w:r>
          </w:p>
          <w:p w14:paraId="18750F8D">
            <w:pPr>
              <w:ind w:firstLine="480"/>
              <w:rPr>
                <w:smallCaps w:val="0"/>
                <w:color w:val="auto"/>
                <w:shd w:val="clear" w:color="auto" w:fill="FFFFFF"/>
              </w:rPr>
            </w:pPr>
            <w:r>
              <w:rPr>
                <w:rFonts w:hint="eastAsia"/>
                <w:smallCaps w:val="0"/>
                <w:color w:val="auto"/>
                <w:shd w:val="clear" w:color="auto" w:fill="FFFFFF"/>
              </w:rPr>
              <w:t>本工程</w:t>
            </w:r>
            <w:r>
              <w:rPr>
                <w:smallCaps w:val="0"/>
                <w:color w:val="auto"/>
              </w:rPr>
              <w:t>为</w:t>
            </w:r>
            <w:r>
              <w:rPr>
                <w:rFonts w:hint="eastAsia"/>
                <w:smallCaps w:val="0"/>
                <w:color w:val="auto"/>
                <w:lang w:val="en-US" w:eastAsia="zh-CN"/>
              </w:rPr>
              <w:t>道路改造工程</w:t>
            </w:r>
            <w:r>
              <w:rPr>
                <w:rFonts w:hint="eastAsia"/>
                <w:smallCaps w:val="0"/>
                <w:color w:val="auto"/>
                <w:szCs w:val="24"/>
                <w:lang w:bidi="ar"/>
              </w:rPr>
              <w:t>，</w:t>
            </w:r>
            <w:r>
              <w:rPr>
                <w:rFonts w:hint="eastAsia"/>
                <w:smallCaps w:val="0"/>
                <w:color w:val="auto"/>
                <w:szCs w:val="24"/>
                <w:lang w:val="en-US" w:eastAsia="zh-CN" w:bidi="ar"/>
              </w:rPr>
              <w:t>主要对原有道路进行路面改造</w:t>
            </w:r>
            <w:r>
              <w:rPr>
                <w:rFonts w:hint="eastAsia"/>
                <w:smallCaps w:val="0"/>
                <w:color w:val="auto"/>
                <w:szCs w:val="24"/>
                <w:lang w:bidi="ar"/>
              </w:rPr>
              <w:t>，</w:t>
            </w:r>
            <w:r>
              <w:rPr>
                <w:rFonts w:hint="eastAsia"/>
                <w:smallCaps w:val="0"/>
                <w:color w:val="auto"/>
                <w:szCs w:val="24"/>
                <w:lang w:val="en-US" w:eastAsia="zh-CN" w:bidi="ar"/>
              </w:rPr>
              <w:t>项目</w:t>
            </w:r>
            <w:r>
              <w:rPr>
                <w:color w:val="auto"/>
              </w:rPr>
              <w:t>运行将改善区域交通环境，</w:t>
            </w:r>
            <w:r>
              <w:rPr>
                <w:rFonts w:hint="eastAsia"/>
                <w:smallCaps w:val="0"/>
                <w:color w:val="auto"/>
                <w:szCs w:val="24"/>
                <w:lang w:bidi="ar"/>
              </w:rPr>
              <w:t>有利于密山市农业</w:t>
            </w:r>
            <w:r>
              <w:rPr>
                <w:rFonts w:hint="eastAsia"/>
                <w:smallCaps w:val="0"/>
                <w:color w:val="auto"/>
                <w:szCs w:val="24"/>
                <w:lang w:eastAsia="zh-CN" w:bidi="ar"/>
              </w:rPr>
              <w:t>、</w:t>
            </w:r>
            <w:r>
              <w:rPr>
                <w:rFonts w:hint="eastAsia"/>
                <w:smallCaps w:val="0"/>
                <w:color w:val="auto"/>
                <w:szCs w:val="24"/>
                <w:lang w:val="en-US" w:eastAsia="zh-CN" w:bidi="ar"/>
              </w:rPr>
              <w:t>旅游业</w:t>
            </w:r>
            <w:r>
              <w:rPr>
                <w:rFonts w:hint="eastAsia"/>
                <w:smallCaps w:val="0"/>
                <w:color w:val="auto"/>
                <w:szCs w:val="24"/>
                <w:lang w:bidi="ar"/>
              </w:rPr>
              <w:t>的发展</w:t>
            </w:r>
            <w:r>
              <w:rPr>
                <w:rFonts w:hint="eastAsia"/>
                <w:smallCaps w:val="0"/>
                <w:color w:val="auto"/>
                <w:szCs w:val="24"/>
                <w:lang w:eastAsia="zh-CN" w:bidi="ar"/>
              </w:rPr>
              <w:t>。</w:t>
            </w:r>
            <w:r>
              <w:rPr>
                <w:rFonts w:hint="eastAsia"/>
                <w:smallCaps w:val="0"/>
                <w:color w:val="auto"/>
                <w:szCs w:val="24"/>
                <w:lang w:val="en-US" w:eastAsia="zh-CN" w:bidi="ar"/>
              </w:rPr>
              <w:t>项目不新增永久占地，项目运行对区域生态环境影响较小</w:t>
            </w:r>
            <w:r>
              <w:rPr>
                <w:rFonts w:hint="eastAsia"/>
                <w:smallCaps w:val="0"/>
                <w:color w:val="auto"/>
                <w:shd w:val="clear" w:color="auto" w:fill="FFFFFF"/>
              </w:rPr>
              <w:t>，不会对生态功能产生显著影响。因此，本工程建设与《黑龙江省生态功能区划》相符合。</w:t>
            </w:r>
          </w:p>
          <w:p w14:paraId="47509AF2">
            <w:pPr>
              <w:pStyle w:val="76"/>
              <w:rPr>
                <w:color w:val="auto"/>
              </w:rPr>
            </w:pPr>
            <w:r>
              <w:rPr>
                <w:rFonts w:hint="eastAsia"/>
                <w:color w:val="auto"/>
              </w:rPr>
              <w:t>2、</w:t>
            </w:r>
            <w:r>
              <w:rPr>
                <w:color w:val="auto"/>
              </w:rPr>
              <w:t>生态环境现状</w:t>
            </w:r>
          </w:p>
          <w:p w14:paraId="17801757">
            <w:pPr>
              <w:keepNext w:val="0"/>
              <w:keepLines w:val="0"/>
              <w:pageBreakBefore w:val="0"/>
              <w:widowControl w:val="0"/>
              <w:kinsoku/>
              <w:wordWrap/>
              <w:overflowPunct/>
              <w:topLinePunct w:val="0"/>
              <w:autoSpaceDE w:val="0"/>
              <w:autoSpaceDN w:val="0"/>
              <w:bidi w:val="0"/>
              <w:adjustRightInd w:val="0"/>
              <w:snapToGrid/>
              <w:spacing w:line="360" w:lineRule="auto"/>
              <w:ind w:firstLine="480" w:firstLineChars="200"/>
              <w:textAlignment w:val="auto"/>
              <w:rPr>
                <w:rFonts w:hint="eastAsia" w:ascii="Times New Roman" w:hAnsi="Times New Roman" w:eastAsia="宋体" w:cs="Times New Roman"/>
                <w:color w:val="auto"/>
                <w:kern w:val="0"/>
                <w:sz w:val="24"/>
              </w:rPr>
            </w:pPr>
            <w:r>
              <w:rPr>
                <w:rFonts w:hint="eastAsia" w:ascii="Times New Roman" w:hAnsi="Times New Roman" w:eastAsia="宋体" w:cs="Times New Roman"/>
                <w:color w:val="auto"/>
              </w:rPr>
              <w:t>本项目评价区域以农田、森林生态系统为主，评价区高植被覆盖区域植被主要为</w:t>
            </w:r>
            <w:r>
              <w:rPr>
                <w:rFonts w:hint="eastAsia" w:ascii="Times New Roman" w:hAnsi="Times New Roman" w:eastAsia="宋体" w:cs="Times New Roman"/>
                <w:color w:val="auto"/>
                <w:lang w:val="en-US" w:eastAsia="zh-CN"/>
              </w:rPr>
              <w:t>蒙古栎、山杨、白桦</w:t>
            </w:r>
            <w:r>
              <w:rPr>
                <w:rFonts w:hint="eastAsia" w:ascii="Times New Roman" w:hAnsi="Times New Roman" w:eastAsia="宋体" w:cs="Times New Roman"/>
                <w:color w:val="auto"/>
              </w:rPr>
              <w:t>等森林植被覆盖区，低植被覆盖区域为沿线建设用地以及居民集中建设用地，与人类活动密切相关，总体来说，评价区内植被覆盖度</w:t>
            </w:r>
            <w:r>
              <w:rPr>
                <w:rFonts w:hint="eastAsia"/>
                <w:color w:val="auto"/>
              </w:rPr>
              <w:t>都比较高。</w:t>
            </w:r>
            <w:r>
              <w:rPr>
                <w:color w:val="auto"/>
                <w:kern w:val="0"/>
                <w:sz w:val="24"/>
              </w:rPr>
              <w:t>评价区最主要的植物群落</w:t>
            </w:r>
            <w:r>
              <w:rPr>
                <w:rFonts w:hint="eastAsia"/>
                <w:color w:val="auto"/>
                <w:kern w:val="0"/>
                <w:sz w:val="24"/>
                <w:lang w:val="en-US" w:eastAsia="zh-CN"/>
              </w:rPr>
              <w:t>以蒙古栎、山杨、白桦等为主</w:t>
            </w:r>
            <w:r>
              <w:rPr>
                <w:color w:val="auto"/>
                <w:kern w:val="0"/>
                <w:sz w:val="24"/>
              </w:rPr>
              <w:t>，是评估区的优势乔木林物种，广泛分布的</w:t>
            </w:r>
            <w:r>
              <w:rPr>
                <w:rFonts w:hint="eastAsia"/>
                <w:color w:val="auto"/>
                <w:kern w:val="0"/>
                <w:sz w:val="24"/>
                <w:lang w:val="en-US" w:eastAsia="zh-CN"/>
              </w:rPr>
              <w:t>蒙古栎</w:t>
            </w:r>
            <w:r>
              <w:rPr>
                <w:color w:val="auto"/>
                <w:kern w:val="0"/>
                <w:sz w:val="24"/>
              </w:rPr>
              <w:t>在其繁茂生长时创造了透光的枯枝层以及近于中性的土壤反应等特定的林下环境，在这种特定的群落环境中，有小部分灌木的生长，灌木种类及数量都非常少。在此之下，根据不同的地理位置会生长多种多样的草本，主要是以</w:t>
            </w:r>
            <w:r>
              <w:rPr>
                <w:rFonts w:hint="eastAsia"/>
                <w:color w:val="auto"/>
                <w:kern w:val="0"/>
                <w:sz w:val="24"/>
              </w:rPr>
              <w:t>瘤囊苔草</w:t>
            </w:r>
            <w:r>
              <w:rPr>
                <w:rFonts w:hint="eastAsia"/>
                <w:color w:val="auto"/>
                <w:kern w:val="0"/>
                <w:sz w:val="24"/>
                <w:lang w:val="en-US" w:eastAsia="zh-CN"/>
              </w:rPr>
              <w:t>等</w:t>
            </w:r>
            <w:r>
              <w:rPr>
                <w:color w:val="auto"/>
                <w:kern w:val="0"/>
                <w:sz w:val="24"/>
              </w:rPr>
              <w:t>为优势种的草本层。经查阅资料、实地调查及走访得知，区域内森林资源主要为天然次生林</w:t>
            </w:r>
            <w:r>
              <w:rPr>
                <w:rFonts w:hint="eastAsia"/>
                <w:color w:val="auto"/>
                <w:kern w:val="0"/>
                <w:sz w:val="24"/>
              </w:rPr>
              <w:t>，</w:t>
            </w:r>
            <w:r>
              <w:rPr>
                <w:color w:val="auto"/>
                <w:kern w:val="0"/>
                <w:sz w:val="24"/>
              </w:rPr>
              <w:t>评价区人为扰动较严重，</w:t>
            </w:r>
            <w:r>
              <w:rPr>
                <w:rFonts w:hint="eastAsia"/>
                <w:color w:val="auto"/>
                <w:kern w:val="0"/>
                <w:sz w:val="24"/>
                <w:lang w:val="en-US" w:eastAsia="zh-CN"/>
              </w:rPr>
              <w:t>主要为人工杨树林，分布于道路两侧，且有人工落叶松林和人工樟子松林分布，</w:t>
            </w:r>
            <w:r>
              <w:rPr>
                <w:rFonts w:hint="eastAsia" w:ascii="Times New Roman" w:hAnsi="Times New Roman" w:eastAsia="宋体" w:cs="Times New Roman"/>
                <w:color w:val="auto"/>
                <w:kern w:val="0"/>
                <w:sz w:val="24"/>
                <w:lang w:val="en-US" w:eastAsia="zh-CN"/>
              </w:rPr>
              <w:t>自然植被</w:t>
            </w:r>
            <w:r>
              <w:rPr>
                <w:rFonts w:hint="eastAsia" w:ascii="Times New Roman" w:hAnsi="Times New Roman" w:eastAsia="宋体" w:cs="Times New Roman"/>
                <w:color w:val="auto"/>
                <w:kern w:val="0"/>
                <w:sz w:val="24"/>
              </w:rPr>
              <w:t>区域内野生植物均为当地常见物种。区域植物物种均为本地种，不涉及外来入侵物种</w:t>
            </w:r>
            <w:r>
              <w:rPr>
                <w:rFonts w:hint="eastAsia" w:ascii="Times New Roman" w:hAnsi="Times New Roman" w:eastAsia="宋体" w:cs="Times New Roman"/>
                <w:color w:val="auto"/>
                <w:kern w:val="0"/>
                <w:sz w:val="24"/>
                <w:lang w:eastAsia="zh-CN"/>
              </w:rPr>
              <w:t>。</w:t>
            </w:r>
            <w:r>
              <w:rPr>
                <w:rFonts w:hint="eastAsia" w:ascii="Times New Roman" w:hAnsi="Times New Roman" w:eastAsia="宋体" w:cs="Times New Roman"/>
                <w:color w:val="auto"/>
                <w:kern w:val="0"/>
                <w:sz w:val="24"/>
                <w:lang w:val="en-US" w:eastAsia="zh-CN"/>
              </w:rPr>
              <w:t>根据查阅资料，本</w:t>
            </w:r>
            <w:r>
              <w:rPr>
                <w:rFonts w:hint="eastAsia" w:ascii="Times New Roman" w:hAnsi="Times New Roman" w:eastAsia="宋体" w:cs="Times New Roman"/>
                <w:color w:val="auto"/>
                <w:kern w:val="0"/>
                <w:sz w:val="24"/>
              </w:rPr>
              <w:t>评价区内未发现国家</w:t>
            </w:r>
            <w:r>
              <w:rPr>
                <w:rFonts w:hint="eastAsia" w:ascii="Times New Roman" w:hAnsi="Times New Roman" w:eastAsia="宋体" w:cs="Times New Roman"/>
                <w:color w:val="auto"/>
                <w:kern w:val="0"/>
                <w:sz w:val="24"/>
                <w:lang w:val="en-US" w:eastAsia="zh-CN"/>
              </w:rPr>
              <w:t>和地方</w:t>
            </w:r>
            <w:r>
              <w:rPr>
                <w:rFonts w:hint="eastAsia" w:ascii="Times New Roman" w:hAnsi="Times New Roman" w:eastAsia="宋体" w:cs="Times New Roman"/>
                <w:color w:val="auto"/>
                <w:kern w:val="0"/>
                <w:sz w:val="24"/>
              </w:rPr>
              <w:t>重点保护野生植物。</w:t>
            </w:r>
          </w:p>
          <w:p w14:paraId="1B8004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rPr>
            </w:pPr>
            <w:r>
              <w:rPr>
                <w:color w:val="auto"/>
              </w:rPr>
              <w:t>陆生生态环境影响评价范围内有野生植物</w:t>
            </w:r>
            <w:r>
              <w:rPr>
                <w:color w:val="auto"/>
                <w:sz w:val="24"/>
              </w:rPr>
              <w:t>植物</w:t>
            </w:r>
            <w:r>
              <w:rPr>
                <w:rFonts w:hint="eastAsia"/>
                <w:color w:val="auto"/>
                <w:sz w:val="24"/>
              </w:rPr>
              <w:t>2</w:t>
            </w:r>
            <w:r>
              <w:rPr>
                <w:color w:val="auto"/>
                <w:sz w:val="24"/>
              </w:rPr>
              <w:t>门</w:t>
            </w:r>
            <w:r>
              <w:rPr>
                <w:rFonts w:hint="eastAsia"/>
                <w:color w:val="auto"/>
                <w:sz w:val="24"/>
              </w:rPr>
              <w:t>3</w:t>
            </w:r>
            <w:r>
              <w:rPr>
                <w:color w:val="auto"/>
                <w:sz w:val="24"/>
              </w:rPr>
              <w:t>纲</w:t>
            </w:r>
            <w:r>
              <w:rPr>
                <w:rFonts w:hint="eastAsia"/>
                <w:color w:val="auto"/>
                <w:sz w:val="24"/>
                <w:lang w:val="en-US" w:eastAsia="zh-CN"/>
              </w:rPr>
              <w:t>17</w:t>
            </w:r>
            <w:r>
              <w:rPr>
                <w:color w:val="auto"/>
                <w:sz w:val="24"/>
              </w:rPr>
              <w:t>科</w:t>
            </w:r>
            <w:r>
              <w:rPr>
                <w:rFonts w:hint="eastAsia"/>
                <w:color w:val="auto"/>
                <w:sz w:val="24"/>
                <w:lang w:val="en-US" w:eastAsia="zh-CN"/>
              </w:rPr>
              <w:t>22</w:t>
            </w:r>
            <w:r>
              <w:rPr>
                <w:color w:val="auto"/>
                <w:sz w:val="24"/>
              </w:rPr>
              <w:t>属3</w:t>
            </w:r>
            <w:r>
              <w:rPr>
                <w:rFonts w:hint="eastAsia"/>
                <w:color w:val="auto"/>
                <w:sz w:val="24"/>
                <w:lang w:val="en-US" w:eastAsia="zh-CN"/>
              </w:rPr>
              <w:t>0</w:t>
            </w:r>
            <w:r>
              <w:rPr>
                <w:color w:val="auto"/>
                <w:sz w:val="24"/>
              </w:rPr>
              <w:t>种</w:t>
            </w:r>
            <w:r>
              <w:rPr>
                <w:rFonts w:hint="eastAsia"/>
                <w:color w:val="auto"/>
              </w:rPr>
              <w:t>。</w:t>
            </w:r>
            <w:r>
              <w:rPr>
                <w:rFonts w:ascii="Times New Roman" w:hAnsi="Times New Roman" w:eastAsia="宋体" w:cs="Times New Roman"/>
                <w:color w:val="auto"/>
                <w:sz w:val="24"/>
                <w:szCs w:val="24"/>
              </w:rPr>
              <w:t>经现场调</w:t>
            </w:r>
            <w:r>
              <w:rPr>
                <w:color w:val="auto"/>
                <w:sz w:val="24"/>
                <w:szCs w:val="24"/>
              </w:rPr>
              <w:t>查和资料访问，发现评价范围内</w:t>
            </w:r>
            <w:r>
              <w:rPr>
                <w:rFonts w:hint="eastAsia"/>
                <w:color w:val="auto"/>
                <w:sz w:val="24"/>
                <w:szCs w:val="24"/>
                <w:lang w:val="en-US" w:eastAsia="zh-CN"/>
              </w:rPr>
              <w:t>无</w:t>
            </w:r>
            <w:r>
              <w:rPr>
                <w:color w:val="auto"/>
                <w:sz w:val="24"/>
                <w:szCs w:val="24"/>
              </w:rPr>
              <w:t>国家重点保护野生动物</w:t>
            </w:r>
            <w:r>
              <w:rPr>
                <w:rFonts w:hint="eastAsia"/>
                <w:color w:val="auto"/>
                <w:sz w:val="24"/>
                <w:szCs w:val="24"/>
                <w:lang w:val="en-US" w:eastAsia="zh-CN"/>
              </w:rPr>
              <w:t>分布</w:t>
            </w:r>
            <w:r>
              <w:rPr>
                <w:color w:val="auto"/>
                <w:sz w:val="24"/>
                <w:szCs w:val="24"/>
              </w:rPr>
              <w:t>，评价范围内</w:t>
            </w:r>
            <w:r>
              <w:rPr>
                <w:rFonts w:hint="eastAsia"/>
                <w:color w:val="auto"/>
                <w:sz w:val="24"/>
                <w:szCs w:val="24"/>
                <w:lang w:val="en-US" w:eastAsia="zh-CN"/>
              </w:rPr>
              <w:t>有</w:t>
            </w:r>
            <w:r>
              <w:rPr>
                <w:color w:val="auto"/>
                <w:sz w:val="24"/>
                <w:szCs w:val="24"/>
              </w:rPr>
              <w:t>黑龙江省重点保护野生动物</w:t>
            </w:r>
            <w:r>
              <w:rPr>
                <w:rFonts w:hint="eastAsia"/>
                <w:color w:val="auto"/>
                <w:sz w:val="24"/>
                <w:szCs w:val="24"/>
                <w:lang w:val="en-US" w:eastAsia="zh-CN"/>
              </w:rPr>
              <w:t>2</w:t>
            </w:r>
            <w:r>
              <w:rPr>
                <w:color w:val="auto"/>
                <w:sz w:val="24"/>
                <w:szCs w:val="24"/>
              </w:rPr>
              <w:t>种</w:t>
            </w:r>
            <w:r>
              <w:rPr>
                <w:rFonts w:hint="eastAsia"/>
                <w:color w:val="auto"/>
                <w:sz w:val="24"/>
                <w:szCs w:val="24"/>
                <w:lang w:eastAsia="zh-CN"/>
              </w:rPr>
              <w:t>，</w:t>
            </w:r>
            <w:r>
              <w:rPr>
                <w:rFonts w:hint="eastAsia"/>
                <w:color w:val="auto"/>
                <w:sz w:val="24"/>
                <w:szCs w:val="24"/>
                <w:lang w:val="en-US" w:eastAsia="zh-CN"/>
              </w:rPr>
              <w:t>为松鼠和灰喜鹊</w:t>
            </w:r>
            <w:r>
              <w:rPr>
                <w:color w:val="auto"/>
                <w:sz w:val="24"/>
                <w:szCs w:val="24"/>
              </w:rPr>
              <w:t>。</w:t>
            </w:r>
            <w:r>
              <w:rPr>
                <w:rFonts w:hint="eastAsia"/>
                <w:color w:val="auto"/>
                <w:lang w:val="en-US" w:eastAsia="zh-CN"/>
              </w:rPr>
              <w:t>评价范围内</w:t>
            </w:r>
            <w:r>
              <w:rPr>
                <w:color w:val="auto"/>
              </w:rPr>
              <w:t>虽然评价范围内分布有重要野生动植物，评价范围内仅偶见重要野生动物物种，在工程占地范围内未发现重要野生植物及重要野生动物栖息地分布。</w:t>
            </w:r>
            <w:r>
              <w:rPr>
                <w:rFonts w:hint="eastAsia"/>
                <w:color w:val="auto"/>
              </w:rPr>
              <w:t>评价范围内的农田、</w:t>
            </w:r>
            <w:r>
              <w:rPr>
                <w:rFonts w:hint="eastAsia"/>
                <w:color w:val="auto"/>
                <w:lang w:val="en-US" w:eastAsia="zh-CN"/>
              </w:rPr>
              <w:t>森林</w:t>
            </w:r>
            <w:r>
              <w:rPr>
                <w:rFonts w:hint="eastAsia"/>
                <w:color w:val="auto"/>
              </w:rPr>
              <w:t>生态系统占据主导地位。</w:t>
            </w:r>
          </w:p>
          <w:p w14:paraId="4E121DD0">
            <w:pPr>
              <w:rPr>
                <w:color w:val="auto"/>
              </w:rPr>
            </w:pPr>
            <w:r>
              <w:rPr>
                <w:rFonts w:hint="eastAsia"/>
                <w:color w:val="auto"/>
              </w:rPr>
              <w:t>森林生态系统作为环境资源拼块中的稳定性元素类型，对生态环境系统的完整性和稳定性有一定调控能力，总体上看，评价范围内生态系统生产力较稳定。项目区无珍稀保护动物栖息地，调查范围内交通车流量较多，村屯人员活动较频繁，无大型野生保护动物活动，涉及的动物主要为农田常见小型动物如田鼠等，工程占地范围内没有保护动物的分布也没有这些动物的栖息地，因通过资料收集和走访当地居民发现的评价区内保护动物都是零星偶然出现在远离道路的评价范围内，工程建设对保护动物生境影响较小。综上所述，本次评价范围内生态系统的功能具有一定的完整性、稳定性及可持续发展性，有一定的抗干扰性。在本项目建设过程中，只要采取一些必要的环境保护措施及一些生态环境恢复性措施，对其整个生态系统的稳定不会产生明显的影响。</w:t>
            </w:r>
          </w:p>
          <w:p w14:paraId="69BD5172">
            <w:pPr>
              <w:pStyle w:val="76"/>
              <w:rPr>
                <w:color w:val="auto"/>
              </w:rPr>
            </w:pPr>
            <w:r>
              <w:rPr>
                <w:color w:val="auto"/>
              </w:rPr>
              <w:t>详细生态环境现状详见《生态专项评价报告》。</w:t>
            </w:r>
          </w:p>
          <w:p w14:paraId="4F33F821">
            <w:pPr>
              <w:pStyle w:val="76"/>
              <w:rPr>
                <w:color w:val="auto"/>
              </w:rPr>
            </w:pPr>
            <w:r>
              <w:rPr>
                <w:rFonts w:hint="eastAsia"/>
                <w:color w:val="auto"/>
              </w:rPr>
              <w:t>3、</w:t>
            </w:r>
            <w:r>
              <w:rPr>
                <w:color w:val="auto"/>
              </w:rPr>
              <w:t>环境空气质量现状</w:t>
            </w:r>
          </w:p>
          <w:p w14:paraId="73161083">
            <w:pPr>
              <w:keepNext w:val="0"/>
              <w:keepLines w:val="0"/>
              <w:pageBreakBefore w:val="0"/>
              <w:widowControl w:val="0"/>
              <w:numPr>
                <w:ilvl w:val="0"/>
                <w:numId w:val="0"/>
              </w:numPr>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sz w:val="24"/>
                <w:szCs w:val="32"/>
                <w:highlight w:val="none"/>
                <w:lang w:val="en-US" w:eastAsia="zh-CN"/>
              </w:rPr>
            </w:pPr>
            <w:bookmarkStart w:id="9" w:name="_Toc398834925"/>
            <w:bookmarkStart w:id="10" w:name="_Toc387015835"/>
            <w:bookmarkStart w:id="11" w:name="_Toc375552407"/>
            <w:bookmarkStart w:id="12" w:name="_Toc406416466"/>
            <w:r>
              <w:rPr>
                <w:rFonts w:hint="default" w:ascii="Times New Roman" w:hAnsi="Times New Roman" w:eastAsia="宋体" w:cs="Times New Roman"/>
                <w:color w:val="auto"/>
                <w:sz w:val="24"/>
                <w:szCs w:val="32"/>
                <w:highlight w:val="none"/>
                <w:lang w:val="en-US" w:eastAsia="zh-CN"/>
              </w:rPr>
              <w:t>根据《202</w:t>
            </w:r>
            <w:r>
              <w:rPr>
                <w:rFonts w:hint="default" w:ascii="Times New Roman" w:hAnsi="Times New Roman" w:cs="Times New Roman"/>
                <w:color w:val="auto"/>
                <w:sz w:val="24"/>
                <w:szCs w:val="32"/>
                <w:highlight w:val="none"/>
                <w:lang w:val="en-US" w:eastAsia="zh-CN"/>
              </w:rPr>
              <w:t>4</w:t>
            </w:r>
            <w:r>
              <w:rPr>
                <w:rFonts w:hint="default" w:ascii="Times New Roman" w:hAnsi="Times New Roman" w:eastAsia="宋体" w:cs="Times New Roman"/>
                <w:color w:val="auto"/>
                <w:sz w:val="24"/>
                <w:szCs w:val="32"/>
                <w:highlight w:val="none"/>
                <w:lang w:val="en-US" w:eastAsia="zh-CN"/>
              </w:rPr>
              <w:t>年黑龙江省生态环境质量状况》，鸡西市空气质量级别达二级标准，达标天数为34</w:t>
            </w:r>
            <w:r>
              <w:rPr>
                <w:rFonts w:hint="default" w:ascii="Times New Roman" w:hAnsi="Times New Roman" w:cs="Times New Roman"/>
                <w:color w:val="auto"/>
                <w:sz w:val="24"/>
                <w:szCs w:val="32"/>
                <w:highlight w:val="none"/>
                <w:lang w:val="en-US" w:eastAsia="zh-CN"/>
              </w:rPr>
              <w:t>8</w:t>
            </w:r>
            <w:r>
              <w:rPr>
                <w:rFonts w:hint="default" w:ascii="Times New Roman" w:hAnsi="Times New Roman" w:eastAsia="宋体" w:cs="Times New Roman"/>
                <w:color w:val="auto"/>
                <w:sz w:val="24"/>
                <w:szCs w:val="32"/>
                <w:highlight w:val="none"/>
                <w:lang w:val="en-US" w:eastAsia="zh-CN"/>
              </w:rPr>
              <w:t>天（9</w:t>
            </w:r>
            <w:r>
              <w:rPr>
                <w:rFonts w:hint="default" w:ascii="Times New Roman" w:hAnsi="Times New Roman" w:cs="Times New Roman"/>
                <w:color w:val="auto"/>
                <w:sz w:val="24"/>
                <w:szCs w:val="32"/>
                <w:highlight w:val="none"/>
                <w:lang w:val="en-US" w:eastAsia="zh-CN"/>
              </w:rPr>
              <w:t>5.1</w:t>
            </w:r>
            <w:r>
              <w:rPr>
                <w:rFonts w:hint="default" w:ascii="Times New Roman" w:hAnsi="Times New Roman" w:eastAsia="宋体" w:cs="Times New Roman"/>
                <w:color w:val="auto"/>
                <w:sz w:val="24"/>
                <w:szCs w:val="32"/>
                <w:highlight w:val="none"/>
                <w:lang w:val="en-US" w:eastAsia="zh-CN"/>
              </w:rPr>
              <w:t>%）。PM</w:t>
            </w:r>
            <w:r>
              <w:rPr>
                <w:rFonts w:hint="default" w:ascii="Times New Roman" w:hAnsi="Times New Roman" w:eastAsia="宋体" w:cs="Times New Roman"/>
                <w:color w:val="auto"/>
                <w:sz w:val="24"/>
                <w:szCs w:val="32"/>
                <w:highlight w:val="none"/>
                <w:vertAlign w:val="subscript"/>
                <w:lang w:val="en-US" w:eastAsia="zh-CN"/>
              </w:rPr>
              <w:t>2.5</w:t>
            </w:r>
            <w:r>
              <w:rPr>
                <w:rFonts w:hint="default" w:ascii="Times New Roman" w:hAnsi="Times New Roman" w:eastAsia="宋体" w:cs="Times New Roman"/>
                <w:color w:val="auto"/>
                <w:sz w:val="24"/>
                <w:szCs w:val="32"/>
                <w:highlight w:val="none"/>
                <w:lang w:val="en-US" w:eastAsia="zh-CN"/>
              </w:rPr>
              <w:t>、PM</w:t>
            </w:r>
            <w:r>
              <w:rPr>
                <w:rFonts w:hint="default" w:ascii="Times New Roman" w:hAnsi="Times New Roman" w:eastAsia="宋体" w:cs="Times New Roman"/>
                <w:color w:val="auto"/>
                <w:sz w:val="24"/>
                <w:szCs w:val="32"/>
                <w:highlight w:val="none"/>
                <w:vertAlign w:val="subscript"/>
                <w:lang w:val="en-US" w:eastAsia="zh-CN"/>
              </w:rPr>
              <w:t>10</w:t>
            </w:r>
            <w:r>
              <w:rPr>
                <w:rFonts w:hint="default" w:ascii="Times New Roman" w:hAnsi="Times New Roman" w:eastAsia="宋体" w:cs="Times New Roman"/>
                <w:color w:val="auto"/>
                <w:sz w:val="24"/>
                <w:szCs w:val="32"/>
                <w:highlight w:val="none"/>
                <w:lang w:val="en-US" w:eastAsia="zh-CN"/>
              </w:rPr>
              <w:t>、SO</w:t>
            </w:r>
            <w:r>
              <w:rPr>
                <w:rFonts w:hint="default" w:ascii="Times New Roman" w:hAnsi="Times New Roman" w:eastAsia="宋体" w:cs="Times New Roman"/>
                <w:color w:val="auto"/>
                <w:sz w:val="24"/>
                <w:szCs w:val="32"/>
                <w:highlight w:val="none"/>
                <w:vertAlign w:val="subscript"/>
                <w:lang w:val="en-US" w:eastAsia="zh-CN"/>
              </w:rPr>
              <w:t>2</w:t>
            </w:r>
            <w:r>
              <w:rPr>
                <w:rFonts w:hint="default" w:ascii="Times New Roman" w:hAnsi="Times New Roman" w:eastAsia="宋体" w:cs="Times New Roman"/>
                <w:color w:val="auto"/>
                <w:sz w:val="24"/>
                <w:szCs w:val="32"/>
                <w:highlight w:val="none"/>
                <w:lang w:val="en-US" w:eastAsia="zh-CN"/>
              </w:rPr>
              <w:t>、NO</w:t>
            </w:r>
            <w:r>
              <w:rPr>
                <w:rFonts w:hint="default" w:ascii="Times New Roman" w:hAnsi="Times New Roman" w:eastAsia="宋体" w:cs="Times New Roman"/>
                <w:color w:val="auto"/>
                <w:sz w:val="24"/>
                <w:szCs w:val="32"/>
                <w:highlight w:val="none"/>
                <w:vertAlign w:val="subscript"/>
                <w:lang w:val="en-US" w:eastAsia="zh-CN"/>
              </w:rPr>
              <w:t>2</w:t>
            </w:r>
            <w:r>
              <w:rPr>
                <w:rFonts w:hint="default" w:ascii="Times New Roman" w:hAnsi="Times New Roman" w:eastAsia="宋体" w:cs="Times New Roman"/>
                <w:color w:val="auto"/>
                <w:sz w:val="24"/>
                <w:szCs w:val="32"/>
                <w:highlight w:val="none"/>
                <w:lang w:val="en-US" w:eastAsia="zh-CN"/>
              </w:rPr>
              <w:t>、CO-95per和O</w:t>
            </w:r>
            <w:r>
              <w:rPr>
                <w:rFonts w:hint="default" w:ascii="Times New Roman" w:hAnsi="Times New Roman" w:eastAsia="宋体" w:cs="Times New Roman"/>
                <w:color w:val="auto"/>
                <w:sz w:val="24"/>
                <w:szCs w:val="32"/>
                <w:highlight w:val="none"/>
                <w:vertAlign w:val="subscript"/>
                <w:lang w:val="en-US" w:eastAsia="zh-CN"/>
              </w:rPr>
              <w:t>3</w:t>
            </w:r>
            <w:r>
              <w:rPr>
                <w:rFonts w:hint="default" w:ascii="Times New Roman" w:hAnsi="Times New Roman" w:eastAsia="宋体" w:cs="Times New Roman"/>
                <w:color w:val="auto"/>
                <w:sz w:val="24"/>
                <w:szCs w:val="32"/>
                <w:highlight w:val="none"/>
                <w:lang w:val="en-US" w:eastAsia="zh-CN"/>
              </w:rPr>
              <w:t>-8h-90per年均浓度分别为2</w:t>
            </w:r>
            <w:r>
              <w:rPr>
                <w:rFonts w:hint="default" w:ascii="Times New Roman" w:hAnsi="Times New Roman" w:cs="Times New Roman"/>
                <w:color w:val="auto"/>
                <w:sz w:val="24"/>
                <w:szCs w:val="32"/>
                <w:highlight w:val="none"/>
                <w:lang w:val="en-US" w:eastAsia="zh-CN"/>
              </w:rPr>
              <w:t>7</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w:t>
            </w:r>
            <w:r>
              <w:rPr>
                <w:rFonts w:hint="default" w:ascii="Times New Roman" w:hAnsi="Times New Roman" w:cs="Times New Roman"/>
                <w:color w:val="auto"/>
                <w:sz w:val="24"/>
                <w:szCs w:val="32"/>
                <w:highlight w:val="none"/>
                <w:lang w:val="en-US" w:eastAsia="zh-CN"/>
              </w:rPr>
              <w:t>46</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、8μg/m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w:t>
            </w:r>
            <w:r>
              <w:rPr>
                <w:rFonts w:hint="default" w:ascii="Times New Roman" w:hAnsi="Times New Roman" w:cs="Times New Roman"/>
                <w:color w:val="auto"/>
                <w:sz w:val="24"/>
                <w:szCs w:val="32"/>
                <w:highlight w:val="none"/>
                <w:lang w:val="en-US" w:eastAsia="zh-CN"/>
              </w:rPr>
              <w:t>17</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、1.0mg/m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和9</w:t>
            </w:r>
            <w:r>
              <w:rPr>
                <w:rFonts w:hint="default" w:ascii="Times New Roman" w:hAnsi="Times New Roman" w:cs="Times New Roman"/>
                <w:color w:val="auto"/>
                <w:sz w:val="24"/>
                <w:szCs w:val="32"/>
                <w:highlight w:val="none"/>
                <w:lang w:val="en-US" w:eastAsia="zh-CN"/>
              </w:rPr>
              <w:t>0</w:t>
            </w:r>
            <w:r>
              <w:rPr>
                <w:rFonts w:hint="default" w:ascii="Times New Roman" w:hAnsi="Times New Roman" w:eastAsia="宋体" w:cs="Times New Roman"/>
                <w:color w:val="auto"/>
                <w:sz w:val="24"/>
                <w:szCs w:val="32"/>
                <w:highlight w:val="none"/>
                <w:lang w:val="en-US" w:eastAsia="zh-CN"/>
              </w:rPr>
              <w:t>μg/m</w:t>
            </w:r>
            <w:r>
              <w:rPr>
                <w:rFonts w:hint="default" w:ascii="Times New Roman" w:hAnsi="Times New Roman" w:eastAsia="宋体" w:cs="Times New Roman"/>
                <w:color w:val="auto"/>
                <w:sz w:val="24"/>
                <w:szCs w:val="32"/>
                <w:highlight w:val="none"/>
                <w:vertAlign w:val="superscript"/>
                <w:lang w:val="en-US" w:eastAsia="zh-CN"/>
              </w:rPr>
              <w:t>3</w:t>
            </w:r>
            <w:r>
              <w:rPr>
                <w:rFonts w:hint="default" w:ascii="Times New Roman" w:hAnsi="Times New Roman" w:eastAsia="宋体" w:cs="Times New Roman"/>
                <w:color w:val="auto"/>
                <w:sz w:val="24"/>
                <w:szCs w:val="32"/>
                <w:highlight w:val="none"/>
                <w:lang w:val="en-US" w:eastAsia="zh-CN"/>
              </w:rPr>
              <w:t>。</w:t>
            </w:r>
          </w:p>
          <w:p w14:paraId="762BE807">
            <w:pPr>
              <w:keepNext w:val="0"/>
              <w:keepLines w:val="0"/>
              <w:pageBreakBefore w:val="0"/>
              <w:widowControl w:val="0"/>
              <w:numPr>
                <w:ilvl w:val="0"/>
                <w:numId w:val="0"/>
              </w:numPr>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sz w:val="24"/>
                <w:szCs w:val="32"/>
                <w:highlight w:val="none"/>
                <w:lang w:val="en-US" w:eastAsia="zh-CN"/>
              </w:rPr>
            </w:pPr>
            <w:r>
              <w:rPr>
                <w:rFonts w:hint="default" w:ascii="Times New Roman" w:hAnsi="Times New Roman" w:eastAsia="宋体" w:cs="Times New Roman"/>
                <w:color w:val="auto"/>
                <w:sz w:val="24"/>
                <w:szCs w:val="32"/>
                <w:highlight w:val="none"/>
                <w:lang w:val="en-US" w:eastAsia="zh-CN"/>
              </w:rPr>
              <w:t>本项目区域空气质量现状评价见下表。</w:t>
            </w:r>
          </w:p>
          <w:p w14:paraId="149AC29E">
            <w:pPr>
              <w:keepNext w:val="0"/>
              <w:keepLines w:val="0"/>
              <w:pageBreakBefore w:val="0"/>
              <w:widowControl w:val="0"/>
              <w:numPr>
                <w:ilvl w:val="0"/>
                <w:numId w:val="0"/>
              </w:numPr>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sz w:val="24"/>
                <w:szCs w:val="32"/>
                <w:highlight w:val="none"/>
                <w:lang w:val="en-US" w:eastAsia="zh-CN"/>
              </w:rPr>
            </w:pPr>
          </w:p>
          <w:p w14:paraId="3B1DB033">
            <w:pPr>
              <w:keepNext w:val="0"/>
              <w:keepLines w:val="0"/>
              <w:pageBreakBefore w:val="0"/>
              <w:widowControl w:val="0"/>
              <w:numPr>
                <w:ilvl w:val="0"/>
                <w:numId w:val="0"/>
              </w:numPr>
              <w:kinsoku/>
              <w:wordWrap/>
              <w:overflowPunct/>
              <w:topLinePunct w:val="0"/>
              <w:autoSpaceDE/>
              <w:autoSpaceDN/>
              <w:bidi w:val="0"/>
              <w:adjustRightInd/>
              <w:snapToGrid/>
              <w:spacing w:line="460" w:lineRule="exact"/>
              <w:ind w:firstLine="480" w:firstLineChars="200"/>
              <w:textAlignment w:val="auto"/>
              <w:rPr>
                <w:rFonts w:hint="default" w:ascii="Times New Roman" w:hAnsi="Times New Roman" w:eastAsia="宋体" w:cs="Times New Roman"/>
                <w:color w:val="auto"/>
                <w:sz w:val="24"/>
                <w:szCs w:val="32"/>
                <w:highlight w:val="none"/>
                <w:lang w:val="en-US" w:eastAsia="zh-CN"/>
              </w:rPr>
            </w:pPr>
          </w:p>
          <w:p w14:paraId="447CCB54">
            <w:pPr>
              <w:keepNext w:val="0"/>
              <w:keepLines w:val="0"/>
              <w:pageBreakBefore w:val="0"/>
              <w:widowControl w:val="0"/>
              <w:kinsoku/>
              <w:wordWrap w:val="0"/>
              <w:overflowPunct/>
              <w:topLinePunct w:val="0"/>
              <w:autoSpaceDE w:val="0"/>
              <w:autoSpaceDN w:val="0"/>
              <w:bidi w:val="0"/>
              <w:adjustRightInd/>
              <w:snapToGrid/>
              <w:spacing w:line="460" w:lineRule="exact"/>
              <w:ind w:left="0" w:leftChars="0" w:right="0" w:rightChars="0" w:firstLine="0" w:firstLineChars="0"/>
              <w:jc w:val="center"/>
              <w:textAlignment w:val="auto"/>
              <w:rPr>
                <w:rFonts w:hint="default" w:ascii="Times New Roman" w:hAnsi="Times New Roman" w:eastAsia="宋体" w:cs="Times New Roman"/>
                <w:b w:val="0"/>
                <w:bCs w:val="0"/>
                <w:color w:val="auto"/>
                <w:sz w:val="21"/>
                <w:szCs w:val="21"/>
              </w:rPr>
            </w:pPr>
            <w:r>
              <w:rPr>
                <w:rFonts w:hint="default" w:ascii="Times New Roman" w:hAnsi="Times New Roman" w:eastAsia="宋体" w:cs="Times New Roman"/>
                <w:b w:val="0"/>
                <w:bCs w:val="0"/>
                <w:color w:val="auto"/>
                <w:sz w:val="24"/>
                <w:szCs w:val="24"/>
              </w:rPr>
              <w:t>表</w:t>
            </w:r>
            <w:r>
              <w:rPr>
                <w:rFonts w:hint="default" w:ascii="Times New Roman" w:hAnsi="Times New Roman" w:eastAsia="宋体" w:cs="Times New Roman"/>
                <w:b w:val="0"/>
                <w:bCs w:val="0"/>
                <w:color w:val="auto"/>
                <w:sz w:val="24"/>
                <w:szCs w:val="24"/>
                <w:lang w:val="en-US" w:eastAsia="zh-CN"/>
              </w:rPr>
              <w:t>3-</w:t>
            </w:r>
            <w:r>
              <w:rPr>
                <w:rFonts w:hint="eastAsia" w:ascii="Times New Roman" w:hAnsi="Times New Roman" w:eastAsia="宋体" w:cs="Times New Roman"/>
                <w:b w:val="0"/>
                <w:bCs w:val="0"/>
                <w:color w:val="auto"/>
                <w:sz w:val="24"/>
                <w:szCs w:val="24"/>
                <w:lang w:val="en-US" w:eastAsia="zh-CN"/>
              </w:rPr>
              <w:t>1</w:t>
            </w:r>
            <w:r>
              <w:rPr>
                <w:rFonts w:hint="default" w:ascii="Times New Roman" w:hAnsi="Times New Roman" w:eastAsia="宋体" w:cs="Times New Roman"/>
                <w:b w:val="0"/>
                <w:bCs w:val="0"/>
                <w:color w:val="auto"/>
                <w:sz w:val="24"/>
                <w:szCs w:val="24"/>
                <w:lang w:val="en-US" w:eastAsia="zh-CN"/>
              </w:rPr>
              <w:t xml:space="preserve">  202</w:t>
            </w:r>
            <w:r>
              <w:rPr>
                <w:rFonts w:hint="default" w:ascii="Times New Roman" w:hAnsi="Times New Roman" w:cs="Times New Roman"/>
                <w:b w:val="0"/>
                <w:bCs w:val="0"/>
                <w:color w:val="auto"/>
                <w:sz w:val="24"/>
                <w:szCs w:val="24"/>
                <w:lang w:val="en-US" w:eastAsia="zh-CN"/>
              </w:rPr>
              <w:t>4</w:t>
            </w:r>
            <w:r>
              <w:rPr>
                <w:rFonts w:hint="default" w:ascii="Times New Roman" w:hAnsi="Times New Roman" w:eastAsia="宋体" w:cs="Times New Roman"/>
                <w:b w:val="0"/>
                <w:bCs w:val="0"/>
                <w:color w:val="auto"/>
                <w:sz w:val="24"/>
                <w:szCs w:val="24"/>
              </w:rPr>
              <w:t>年区域空气质量现状评价表</w:t>
            </w:r>
          </w:p>
          <w:tbl>
            <w:tblPr>
              <w:tblStyle w:val="31"/>
              <w:tblW w:w="4969"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10"/>
              <w:gridCol w:w="2307"/>
              <w:gridCol w:w="1069"/>
              <w:gridCol w:w="1069"/>
              <w:gridCol w:w="906"/>
              <w:gridCol w:w="958"/>
            </w:tblGrid>
            <w:tr w14:paraId="357BB06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0" w:hRule="atLeast"/>
                <w:jc w:val="center"/>
              </w:trPr>
              <w:tc>
                <w:tcPr>
                  <w:tcW w:w="748" w:type="pct"/>
                  <w:tcBorders>
                    <w:tl2br w:val="nil"/>
                    <w:tr2bl w:val="nil"/>
                  </w:tcBorders>
                  <w:noWrap w:val="0"/>
                  <w:vAlign w:val="center"/>
                </w:tcPr>
                <w:p w14:paraId="67CEBB77">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污染物</w:t>
                  </w:r>
                </w:p>
              </w:tc>
              <w:tc>
                <w:tcPr>
                  <w:tcW w:w="1554" w:type="pct"/>
                  <w:tcBorders>
                    <w:tl2br w:val="nil"/>
                    <w:tr2bl w:val="nil"/>
                  </w:tcBorders>
                  <w:noWrap w:val="0"/>
                  <w:vAlign w:val="center"/>
                </w:tcPr>
                <w:p w14:paraId="43C5232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年评价指标</w:t>
                  </w:r>
                </w:p>
              </w:tc>
              <w:tc>
                <w:tcPr>
                  <w:tcW w:w="720" w:type="pct"/>
                  <w:tcBorders>
                    <w:tl2br w:val="nil"/>
                    <w:tr2bl w:val="nil"/>
                  </w:tcBorders>
                  <w:noWrap w:val="0"/>
                  <w:vAlign w:val="center"/>
                </w:tcPr>
                <w:p w14:paraId="7C8BCB3D">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现状浓度</w:t>
                  </w:r>
                </w:p>
                <w:p w14:paraId="1D9AADD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（μg/m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w:t>
                  </w:r>
                </w:p>
              </w:tc>
              <w:tc>
                <w:tcPr>
                  <w:tcW w:w="720" w:type="pct"/>
                  <w:tcBorders>
                    <w:tl2br w:val="nil"/>
                    <w:tr2bl w:val="nil"/>
                  </w:tcBorders>
                  <w:noWrap w:val="0"/>
                  <w:vAlign w:val="center"/>
                </w:tcPr>
                <w:p w14:paraId="74752C3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标准值</w:t>
                  </w:r>
                  <w:r>
                    <w:rPr>
                      <w:rFonts w:hint="default" w:ascii="Times New Roman" w:hAnsi="Times New Roman" w:cs="Times New Roman"/>
                      <w:color w:val="auto"/>
                      <w:sz w:val="21"/>
                      <w:szCs w:val="21"/>
                      <w:lang w:val="en-US" w:eastAsia="zh-CN"/>
                    </w:rPr>
                    <w:t>（μg/m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w:t>
                  </w:r>
                </w:p>
              </w:tc>
              <w:tc>
                <w:tcPr>
                  <w:tcW w:w="610" w:type="pct"/>
                  <w:tcBorders>
                    <w:tl2br w:val="nil"/>
                    <w:tr2bl w:val="nil"/>
                  </w:tcBorders>
                  <w:noWrap w:val="0"/>
                  <w:vAlign w:val="center"/>
                </w:tcPr>
                <w:p w14:paraId="5A51CE08">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rPr>
                    <w:t>占标率</w:t>
                  </w:r>
                  <w:r>
                    <w:rPr>
                      <w:rFonts w:hint="default" w:ascii="Times New Roman" w:hAnsi="Times New Roman" w:cs="Times New Roman"/>
                      <w:color w:val="auto"/>
                      <w:sz w:val="21"/>
                      <w:szCs w:val="21"/>
                      <w:lang w:val="en-US" w:eastAsia="zh-CN"/>
                    </w:rPr>
                    <w:t>(%)</w:t>
                  </w:r>
                </w:p>
              </w:tc>
              <w:tc>
                <w:tcPr>
                  <w:tcW w:w="645" w:type="pct"/>
                  <w:tcBorders>
                    <w:tl2br w:val="nil"/>
                    <w:tr2bl w:val="nil"/>
                  </w:tcBorders>
                  <w:noWrap w:val="0"/>
                  <w:vAlign w:val="center"/>
                </w:tcPr>
                <w:p w14:paraId="62F3FAD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p w14:paraId="567189AD">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情况</w:t>
                  </w:r>
                </w:p>
              </w:tc>
            </w:tr>
            <w:tr w14:paraId="6409FFA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58E1E5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PM</w:t>
                  </w:r>
                  <w:r>
                    <w:rPr>
                      <w:rFonts w:hint="default" w:ascii="Times New Roman" w:hAnsi="Times New Roman" w:cs="Times New Roman"/>
                      <w:color w:val="auto"/>
                      <w:sz w:val="21"/>
                      <w:szCs w:val="21"/>
                      <w:vertAlign w:val="subscript"/>
                    </w:rPr>
                    <w:t>2.5</w:t>
                  </w:r>
                </w:p>
              </w:tc>
              <w:tc>
                <w:tcPr>
                  <w:tcW w:w="1554" w:type="pct"/>
                  <w:tcBorders>
                    <w:tl2br w:val="nil"/>
                    <w:tr2bl w:val="nil"/>
                  </w:tcBorders>
                  <w:noWrap w:val="0"/>
                  <w:vAlign w:val="center"/>
                </w:tcPr>
                <w:p w14:paraId="56553054">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EAF5BA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28</w:t>
                  </w:r>
                </w:p>
              </w:tc>
              <w:tc>
                <w:tcPr>
                  <w:tcW w:w="720" w:type="pct"/>
                  <w:tcBorders>
                    <w:tl2br w:val="nil"/>
                    <w:tr2bl w:val="nil"/>
                  </w:tcBorders>
                  <w:noWrap w:val="0"/>
                  <w:vAlign w:val="center"/>
                </w:tcPr>
                <w:p w14:paraId="529D6D8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35</w:t>
                  </w:r>
                </w:p>
              </w:tc>
              <w:tc>
                <w:tcPr>
                  <w:tcW w:w="610" w:type="pct"/>
                  <w:tcBorders>
                    <w:tl2br w:val="nil"/>
                    <w:tr2bl w:val="nil"/>
                  </w:tcBorders>
                  <w:noWrap w:val="0"/>
                  <w:vAlign w:val="center"/>
                </w:tcPr>
                <w:p w14:paraId="10E40A6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80.0</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11E6D5A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0F5FF1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0A29E7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PM</w:t>
                  </w:r>
                  <w:r>
                    <w:rPr>
                      <w:rFonts w:hint="default" w:ascii="Times New Roman" w:hAnsi="Times New Roman" w:cs="Times New Roman"/>
                      <w:color w:val="auto"/>
                      <w:sz w:val="21"/>
                      <w:szCs w:val="21"/>
                      <w:vertAlign w:val="subscript"/>
                    </w:rPr>
                    <w:t>10</w:t>
                  </w:r>
                </w:p>
              </w:tc>
              <w:tc>
                <w:tcPr>
                  <w:tcW w:w="1554" w:type="pct"/>
                  <w:tcBorders>
                    <w:tl2br w:val="nil"/>
                    <w:tr2bl w:val="nil"/>
                  </w:tcBorders>
                  <w:noWrap w:val="0"/>
                  <w:vAlign w:val="center"/>
                </w:tcPr>
                <w:p w14:paraId="20897CA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23D9886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46</w:t>
                  </w:r>
                </w:p>
              </w:tc>
              <w:tc>
                <w:tcPr>
                  <w:tcW w:w="720" w:type="pct"/>
                  <w:tcBorders>
                    <w:tl2br w:val="nil"/>
                    <w:tr2bl w:val="nil"/>
                  </w:tcBorders>
                  <w:noWrap w:val="0"/>
                  <w:vAlign w:val="center"/>
                </w:tcPr>
                <w:p w14:paraId="0727789E">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70</w:t>
                  </w:r>
                </w:p>
              </w:tc>
              <w:tc>
                <w:tcPr>
                  <w:tcW w:w="610" w:type="pct"/>
                  <w:tcBorders>
                    <w:tl2br w:val="nil"/>
                    <w:tr2bl w:val="nil"/>
                  </w:tcBorders>
                  <w:noWrap w:val="0"/>
                  <w:vAlign w:val="center"/>
                </w:tcPr>
                <w:p w14:paraId="11506580">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61.4</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6D0EA8E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4431B48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B1D7AB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NO</w:t>
                  </w:r>
                  <w:r>
                    <w:rPr>
                      <w:rFonts w:hint="default" w:ascii="Times New Roman" w:hAnsi="Times New Roman" w:cs="Times New Roman"/>
                      <w:color w:val="auto"/>
                      <w:sz w:val="21"/>
                      <w:szCs w:val="21"/>
                      <w:vertAlign w:val="subscript"/>
                    </w:rPr>
                    <w:t>2</w:t>
                  </w:r>
                </w:p>
              </w:tc>
              <w:tc>
                <w:tcPr>
                  <w:tcW w:w="1554" w:type="pct"/>
                  <w:tcBorders>
                    <w:tl2br w:val="nil"/>
                    <w:tr2bl w:val="nil"/>
                  </w:tcBorders>
                  <w:noWrap w:val="0"/>
                  <w:vAlign w:val="center"/>
                </w:tcPr>
                <w:p w14:paraId="4F487838">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CAC8CA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17</w:t>
                  </w:r>
                </w:p>
              </w:tc>
              <w:tc>
                <w:tcPr>
                  <w:tcW w:w="720" w:type="pct"/>
                  <w:tcBorders>
                    <w:tl2br w:val="nil"/>
                    <w:tr2bl w:val="nil"/>
                  </w:tcBorders>
                  <w:noWrap w:val="0"/>
                  <w:vAlign w:val="center"/>
                </w:tcPr>
                <w:p w14:paraId="30C18D3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40</w:t>
                  </w:r>
                </w:p>
              </w:tc>
              <w:tc>
                <w:tcPr>
                  <w:tcW w:w="610" w:type="pct"/>
                  <w:tcBorders>
                    <w:tl2br w:val="nil"/>
                    <w:tr2bl w:val="nil"/>
                  </w:tcBorders>
                  <w:noWrap w:val="0"/>
                  <w:vAlign w:val="center"/>
                </w:tcPr>
                <w:p w14:paraId="2AC954DE">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50.0</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360ECB8F">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0FB48F3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14363909">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SO</w:t>
                  </w:r>
                  <w:r>
                    <w:rPr>
                      <w:rFonts w:hint="default" w:ascii="Times New Roman" w:hAnsi="Times New Roman" w:cs="Times New Roman"/>
                      <w:color w:val="auto"/>
                      <w:sz w:val="21"/>
                      <w:szCs w:val="21"/>
                      <w:vertAlign w:val="subscript"/>
                    </w:rPr>
                    <w:t>2</w:t>
                  </w:r>
                </w:p>
              </w:tc>
              <w:tc>
                <w:tcPr>
                  <w:tcW w:w="1554" w:type="pct"/>
                  <w:tcBorders>
                    <w:tl2br w:val="nil"/>
                    <w:tr2bl w:val="nil"/>
                  </w:tcBorders>
                  <w:noWrap w:val="0"/>
                  <w:vAlign w:val="center"/>
                </w:tcPr>
                <w:p w14:paraId="7976535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年平均质量浓度</w:t>
                  </w:r>
                </w:p>
              </w:tc>
              <w:tc>
                <w:tcPr>
                  <w:tcW w:w="720" w:type="pct"/>
                  <w:tcBorders>
                    <w:tl2br w:val="nil"/>
                    <w:tr2bl w:val="nil"/>
                  </w:tcBorders>
                  <w:noWrap w:val="0"/>
                  <w:vAlign w:val="center"/>
                </w:tcPr>
                <w:p w14:paraId="517D06DF">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8</w:t>
                  </w:r>
                </w:p>
              </w:tc>
              <w:tc>
                <w:tcPr>
                  <w:tcW w:w="720" w:type="pct"/>
                  <w:tcBorders>
                    <w:tl2br w:val="nil"/>
                    <w:tr2bl w:val="nil"/>
                  </w:tcBorders>
                  <w:noWrap w:val="0"/>
                  <w:vAlign w:val="center"/>
                </w:tcPr>
                <w:p w14:paraId="76108B2A">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60</w:t>
                  </w:r>
                </w:p>
              </w:tc>
              <w:tc>
                <w:tcPr>
                  <w:tcW w:w="610" w:type="pct"/>
                  <w:tcBorders>
                    <w:tl2br w:val="nil"/>
                    <w:tr2bl w:val="nil"/>
                  </w:tcBorders>
                  <w:noWrap w:val="0"/>
                  <w:vAlign w:val="center"/>
                </w:tcPr>
                <w:p w14:paraId="3391D48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13.3</w:t>
                  </w:r>
                  <w:r>
                    <w:rPr>
                      <w:rFonts w:hint="default" w:ascii="Times New Roman" w:hAnsi="Times New Roman" w:cs="Times New Roman"/>
                      <w:color w:val="auto"/>
                      <w:sz w:val="21"/>
                      <w:szCs w:val="21"/>
                    </w:rPr>
                    <w:t>%</w:t>
                  </w:r>
                </w:p>
              </w:tc>
              <w:tc>
                <w:tcPr>
                  <w:tcW w:w="645" w:type="pct"/>
                  <w:tcBorders>
                    <w:tl2br w:val="nil"/>
                    <w:tr2bl w:val="nil"/>
                  </w:tcBorders>
                  <w:noWrap w:val="0"/>
                  <w:vAlign w:val="center"/>
                </w:tcPr>
                <w:p w14:paraId="028C7A8B">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18185D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8" w:type="pct"/>
                  <w:tcBorders>
                    <w:tl2br w:val="nil"/>
                    <w:tr2bl w:val="nil"/>
                  </w:tcBorders>
                  <w:noWrap w:val="0"/>
                  <w:vAlign w:val="center"/>
                </w:tcPr>
                <w:p w14:paraId="4035F188">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CO</w:t>
                  </w:r>
                </w:p>
              </w:tc>
              <w:tc>
                <w:tcPr>
                  <w:tcW w:w="1554" w:type="pct"/>
                  <w:tcBorders>
                    <w:tl2br w:val="nil"/>
                    <w:tr2bl w:val="nil"/>
                  </w:tcBorders>
                  <w:noWrap w:val="0"/>
                  <w:vAlign w:val="center"/>
                </w:tcPr>
                <w:p w14:paraId="43E6B071">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百分位数24h平均浓度</w:t>
                  </w:r>
                </w:p>
              </w:tc>
              <w:tc>
                <w:tcPr>
                  <w:tcW w:w="720" w:type="pct"/>
                  <w:tcBorders>
                    <w:tl2br w:val="nil"/>
                    <w:tr2bl w:val="nil"/>
                  </w:tcBorders>
                  <w:noWrap w:val="0"/>
                  <w:vAlign w:val="center"/>
                </w:tcPr>
                <w:p w14:paraId="1091807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1000</w:t>
                  </w:r>
                </w:p>
              </w:tc>
              <w:tc>
                <w:tcPr>
                  <w:tcW w:w="720" w:type="pct"/>
                  <w:tcBorders>
                    <w:tl2br w:val="nil"/>
                    <w:tr2bl w:val="nil"/>
                  </w:tcBorders>
                  <w:noWrap w:val="0"/>
                  <w:vAlign w:val="center"/>
                </w:tcPr>
                <w:p w14:paraId="2A36714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4000</w:t>
                  </w:r>
                </w:p>
              </w:tc>
              <w:tc>
                <w:tcPr>
                  <w:tcW w:w="610" w:type="pct"/>
                  <w:tcBorders>
                    <w:tl2br w:val="nil"/>
                    <w:tr2bl w:val="nil"/>
                  </w:tcBorders>
                  <w:noWrap w:val="0"/>
                  <w:vAlign w:val="center"/>
                </w:tcPr>
                <w:p w14:paraId="7035523D">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25.0</w:t>
                  </w:r>
                </w:p>
              </w:tc>
              <w:tc>
                <w:tcPr>
                  <w:tcW w:w="645" w:type="pct"/>
                  <w:tcBorders>
                    <w:tl2br w:val="nil"/>
                    <w:tr2bl w:val="nil"/>
                  </w:tcBorders>
                  <w:noWrap w:val="0"/>
                  <w:vAlign w:val="center"/>
                </w:tcPr>
                <w:p w14:paraId="2DF8BE86">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r w14:paraId="12B9E64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48" w:type="pct"/>
                  <w:tcBorders>
                    <w:tl2br w:val="nil"/>
                    <w:tr2bl w:val="nil"/>
                  </w:tcBorders>
                  <w:noWrap w:val="0"/>
                  <w:vAlign w:val="center"/>
                </w:tcPr>
                <w:p w14:paraId="1597FB53">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O</w:t>
                  </w:r>
                  <w:r>
                    <w:rPr>
                      <w:rFonts w:hint="default" w:ascii="Times New Roman" w:hAnsi="Times New Roman" w:cs="Times New Roman"/>
                      <w:color w:val="auto"/>
                      <w:sz w:val="21"/>
                      <w:szCs w:val="21"/>
                      <w:vertAlign w:val="subscript"/>
                      <w:lang w:val="en-US" w:eastAsia="zh-CN"/>
                    </w:rPr>
                    <w:t>3</w:t>
                  </w:r>
                </w:p>
              </w:tc>
              <w:tc>
                <w:tcPr>
                  <w:tcW w:w="1554" w:type="pct"/>
                  <w:tcBorders>
                    <w:tl2br w:val="nil"/>
                    <w:tr2bl w:val="nil"/>
                  </w:tcBorders>
                  <w:noWrap w:val="0"/>
                  <w:vAlign w:val="center"/>
                </w:tcPr>
                <w:p w14:paraId="26BBEA92">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百分位数8h平均浓度</w:t>
                  </w:r>
                </w:p>
              </w:tc>
              <w:tc>
                <w:tcPr>
                  <w:tcW w:w="720" w:type="pct"/>
                  <w:tcBorders>
                    <w:tl2br w:val="nil"/>
                    <w:tr2bl w:val="nil"/>
                  </w:tcBorders>
                  <w:noWrap w:val="0"/>
                  <w:vAlign w:val="center"/>
                </w:tcPr>
                <w:p w14:paraId="223D6E61">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90</w:t>
                  </w:r>
                </w:p>
              </w:tc>
              <w:tc>
                <w:tcPr>
                  <w:tcW w:w="720" w:type="pct"/>
                  <w:tcBorders>
                    <w:tl2br w:val="nil"/>
                    <w:tr2bl w:val="nil"/>
                  </w:tcBorders>
                  <w:noWrap w:val="0"/>
                  <w:vAlign w:val="center"/>
                </w:tcPr>
                <w:p w14:paraId="0A1A0AEF">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160</w:t>
                  </w:r>
                </w:p>
              </w:tc>
              <w:tc>
                <w:tcPr>
                  <w:tcW w:w="610" w:type="pct"/>
                  <w:tcBorders>
                    <w:tl2br w:val="nil"/>
                    <w:tr2bl w:val="nil"/>
                  </w:tcBorders>
                  <w:noWrap w:val="0"/>
                  <w:vAlign w:val="center"/>
                </w:tcPr>
                <w:p w14:paraId="3A02EEB2">
                  <w:pPr>
                    <w:spacing w:line="240" w:lineRule="auto"/>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56.3</w:t>
                  </w:r>
                </w:p>
              </w:tc>
              <w:tc>
                <w:tcPr>
                  <w:tcW w:w="645" w:type="pct"/>
                  <w:tcBorders>
                    <w:tl2br w:val="nil"/>
                    <w:tr2bl w:val="nil"/>
                  </w:tcBorders>
                  <w:noWrap w:val="0"/>
                  <w:vAlign w:val="center"/>
                </w:tcPr>
                <w:p w14:paraId="0EEE212C">
                  <w:pPr>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达标</w:t>
                  </w:r>
                </w:p>
              </w:tc>
            </w:tr>
          </w:tbl>
          <w:p w14:paraId="33F0714C">
            <w:pPr>
              <w:pStyle w:val="76"/>
              <w:rPr>
                <w:color w:val="auto"/>
              </w:rPr>
            </w:pPr>
            <w:r>
              <w:rPr>
                <w:rFonts w:hint="eastAsia" w:cs="Times New Roman"/>
                <w:color w:val="auto"/>
                <w:sz w:val="24"/>
                <w:szCs w:val="32"/>
                <w:highlight w:val="none"/>
                <w:lang w:val="en-US" w:eastAsia="zh-CN"/>
              </w:rPr>
              <w:t>由上表可知</w:t>
            </w:r>
            <w:r>
              <w:rPr>
                <w:rFonts w:hint="default" w:ascii="Times New Roman" w:hAnsi="Times New Roman" w:eastAsia="宋体" w:cs="Times New Roman"/>
                <w:color w:val="auto"/>
                <w:sz w:val="24"/>
                <w:szCs w:val="32"/>
                <w:highlight w:val="none"/>
                <w:lang w:val="en-US" w:eastAsia="zh-CN"/>
              </w:rPr>
              <w:t>，鸡西地区为环境空气质量达标区。</w:t>
            </w:r>
          </w:p>
          <w:bookmarkEnd w:id="9"/>
          <w:bookmarkEnd w:id="10"/>
          <w:bookmarkEnd w:id="11"/>
          <w:bookmarkEnd w:id="12"/>
          <w:p w14:paraId="74BE16C0">
            <w:pPr>
              <w:pStyle w:val="76"/>
              <w:rPr>
                <w:color w:val="auto"/>
              </w:rPr>
            </w:pPr>
            <w:r>
              <w:rPr>
                <w:rFonts w:hint="eastAsia"/>
                <w:color w:val="auto"/>
              </w:rPr>
              <w:t>4、</w:t>
            </w:r>
            <w:r>
              <w:rPr>
                <w:color w:val="auto"/>
              </w:rPr>
              <w:t>地表水环境质量现状</w:t>
            </w:r>
          </w:p>
          <w:p w14:paraId="5897A418">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r>
              <w:rPr>
                <w:rFonts w:hint="eastAsia"/>
                <w:color w:val="auto"/>
                <w:sz w:val="24"/>
              </w:rPr>
              <w:t>本项目所在区域地表水体为穆棱河（</w:t>
            </w:r>
            <w:r>
              <w:rPr>
                <w:rFonts w:hint="eastAsia"/>
                <w:color w:val="auto"/>
                <w:sz w:val="24"/>
                <w:lang w:val="en-US" w:eastAsia="zh-CN"/>
              </w:rPr>
              <w:t>鸡古路西100m-凯北站</w:t>
            </w:r>
            <w:r>
              <w:rPr>
                <w:rFonts w:hint="eastAsia"/>
                <w:color w:val="auto"/>
                <w:sz w:val="24"/>
              </w:rPr>
              <w:t>），</w:t>
            </w:r>
            <w:r>
              <w:rPr>
                <w:rFonts w:hint="default" w:ascii="Times New Roman" w:hAnsi="Times New Roman" w:eastAsia="宋体" w:cs="Times New Roman"/>
                <w:color w:val="auto"/>
                <w:sz w:val="24"/>
                <w:szCs w:val="24"/>
                <w:highlight w:val="none"/>
              </w:rPr>
              <w:t>根据《水利部 国家发展和改革委员会 环境保护部关于印发全国重要江河湖泊水功能区划（2011-2030年）的通知》，</w:t>
            </w:r>
            <w:r>
              <w:rPr>
                <w:rFonts w:hint="eastAsia"/>
                <w:color w:val="auto"/>
                <w:sz w:val="24"/>
              </w:rPr>
              <w:t>穆棱河（</w:t>
            </w:r>
            <w:r>
              <w:rPr>
                <w:rFonts w:hint="eastAsia"/>
                <w:color w:val="auto"/>
                <w:sz w:val="24"/>
                <w:lang w:val="en-US" w:eastAsia="zh-CN"/>
              </w:rPr>
              <w:t>鸡古路西100m-凯北站</w:t>
            </w:r>
            <w:r>
              <w:rPr>
                <w:rFonts w:hint="eastAsia"/>
                <w:color w:val="auto"/>
                <w:sz w:val="24"/>
              </w:rPr>
              <w:t>）</w:t>
            </w:r>
            <w:r>
              <w:rPr>
                <w:rFonts w:hint="eastAsia"/>
                <w:color w:val="auto"/>
                <w:sz w:val="24"/>
                <w:lang w:val="en-US" w:eastAsia="zh-CN"/>
              </w:rPr>
              <w:t>属于农业用水区，</w:t>
            </w:r>
            <w:r>
              <w:rPr>
                <w:rFonts w:hint="default" w:ascii="Times New Roman" w:hAnsi="Times New Roman" w:eastAsia="宋体" w:cs="Times New Roman"/>
                <w:color w:val="auto"/>
                <w:sz w:val="24"/>
                <w:szCs w:val="24"/>
                <w:highlight w:val="none"/>
              </w:rPr>
              <w:t>规划水质目标为Ⅲ类水体</w:t>
            </w:r>
            <w:r>
              <w:rPr>
                <w:rFonts w:hint="eastAsia"/>
                <w:color w:val="auto"/>
                <w:sz w:val="24"/>
              </w:rPr>
              <w:t>，因此本项目区域地表水执行《地表水环境质量标准》（</w:t>
            </w:r>
            <w:r>
              <w:rPr>
                <w:color w:val="auto"/>
                <w:sz w:val="24"/>
              </w:rPr>
              <w:t>GB3838-2002</w:t>
            </w:r>
            <w:r>
              <w:rPr>
                <w:rFonts w:hint="eastAsia"/>
                <w:color w:val="auto"/>
                <w:sz w:val="24"/>
              </w:rPr>
              <w:t>）</w:t>
            </w:r>
            <w:r>
              <w:rPr>
                <w:color w:val="auto"/>
                <w:sz w:val="24"/>
              </w:rPr>
              <w:t>III</w:t>
            </w:r>
            <w:r>
              <w:rPr>
                <w:rFonts w:hint="eastAsia"/>
                <w:color w:val="auto"/>
                <w:sz w:val="24"/>
              </w:rPr>
              <w:t>类标准。</w:t>
            </w:r>
            <w:r>
              <w:rPr>
                <w:rFonts w:hint="default" w:ascii="Times New Roman" w:hAnsi="Times New Roman" w:eastAsia="宋体" w:cs="Times New Roman"/>
                <w:b w:val="0"/>
                <w:bCs w:val="0"/>
                <w:color w:val="auto"/>
                <w:spacing w:val="0"/>
                <w:sz w:val="24"/>
                <w:szCs w:val="24"/>
                <w:highlight w:val="none"/>
                <w:lang w:val="en-US" w:eastAsia="zh-CN"/>
              </w:rPr>
              <w:t>根据《2024年黑龙江省生态环境质量状况》</w:t>
            </w:r>
            <w:r>
              <w:rPr>
                <w:rFonts w:hint="eastAsia" w:cs="Times New Roman"/>
                <w:b w:val="0"/>
                <w:bCs w:val="0"/>
                <w:color w:val="auto"/>
                <w:spacing w:val="0"/>
                <w:sz w:val="24"/>
                <w:szCs w:val="24"/>
                <w:highlight w:val="none"/>
                <w:lang w:val="en-US" w:eastAsia="zh-CN"/>
              </w:rPr>
              <w:t>中全省地表水水质状况示意图，</w:t>
            </w:r>
            <w:r>
              <w:rPr>
                <w:rFonts w:hint="default" w:ascii="Times New Roman" w:hAnsi="Times New Roman" w:eastAsia="宋体" w:cs="Times New Roman"/>
                <w:b w:val="0"/>
                <w:bCs w:val="0"/>
                <w:color w:val="auto"/>
                <w:spacing w:val="0"/>
                <w:sz w:val="24"/>
                <w:szCs w:val="24"/>
                <w:highlight w:val="none"/>
                <w:lang w:val="en-US" w:eastAsia="zh-CN"/>
              </w:rPr>
              <w:t>穆棱河</w:t>
            </w:r>
            <w:r>
              <w:rPr>
                <w:rFonts w:hint="eastAsia" w:ascii="Times New Roman" w:hAnsi="Times New Roman" w:eastAsia="宋体" w:cs="Times New Roman"/>
                <w:b w:val="0"/>
                <w:bCs w:val="0"/>
                <w:color w:val="auto"/>
                <w:spacing w:val="0"/>
                <w:sz w:val="24"/>
                <w:szCs w:val="24"/>
                <w:highlight w:val="none"/>
                <w:lang w:val="en-US" w:eastAsia="zh-CN"/>
              </w:rPr>
              <w:t>现状水质类别为</w:t>
            </w:r>
            <w:r>
              <w:rPr>
                <w:rFonts w:hint="default" w:ascii="Times New Roman" w:hAnsi="Times New Roman" w:eastAsia="宋体" w:cs="Times New Roman"/>
                <w:color w:val="auto"/>
                <w:sz w:val="24"/>
                <w:szCs w:val="24"/>
                <w:highlight w:val="none"/>
              </w:rPr>
              <w:t>Ⅲ类水体</w:t>
            </w:r>
            <w:r>
              <w:rPr>
                <w:rFonts w:hint="eastAsia" w:ascii="Times New Roman" w:hAnsi="Times New Roman" w:eastAsia="宋体" w:cs="Times New Roman"/>
                <w:b w:val="0"/>
                <w:bCs w:val="0"/>
                <w:color w:val="auto"/>
                <w:spacing w:val="0"/>
                <w:sz w:val="24"/>
                <w:szCs w:val="24"/>
                <w:highlight w:val="none"/>
                <w:lang w:val="en-US" w:eastAsia="zh-CN"/>
              </w:rPr>
              <w:t>，</w:t>
            </w:r>
            <w:r>
              <w:rPr>
                <w:rFonts w:hint="default" w:ascii="Times New Roman" w:hAnsi="Times New Roman" w:eastAsia="宋体" w:cs="Times New Roman"/>
                <w:b w:val="0"/>
                <w:bCs w:val="0"/>
                <w:color w:val="auto"/>
                <w:spacing w:val="0"/>
                <w:sz w:val="24"/>
                <w:szCs w:val="24"/>
                <w:highlight w:val="none"/>
                <w:lang w:val="en-US" w:eastAsia="zh-CN"/>
              </w:rPr>
              <w:t>水质状况良好，符合其功能区水质要求。兴凯湖水质类别为IV类，属轻度污染，同比有所好转。营养状态指数为55.0，同比上升1.6，属轻度富营养，营养状态无明显变化。</w:t>
            </w:r>
            <w:r>
              <w:rPr>
                <w:rFonts w:hint="eastAsia" w:cs="Times New Roman"/>
                <w:b w:val="0"/>
                <w:bCs w:val="0"/>
                <w:color w:val="auto"/>
                <w:spacing w:val="0"/>
                <w:sz w:val="24"/>
                <w:szCs w:val="24"/>
                <w:highlight w:val="none"/>
                <w:lang w:val="en-US" w:eastAsia="zh-CN"/>
              </w:rPr>
              <w:t>全省地表水水质状况示意图见下图。</w:t>
            </w:r>
          </w:p>
          <w:p w14:paraId="28413EAE">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1CBFAF60">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4397AACE">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1B199573">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65EC5DB1">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316BF758">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520B40B7">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5CC2A7C3">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118109A0">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440A8FF8">
            <w:pPr>
              <w:widowControl/>
              <w:spacing w:line="440" w:lineRule="exact"/>
              <w:ind w:firstLine="480" w:firstLineChars="200"/>
              <w:jc w:val="left"/>
              <w:rPr>
                <w:rFonts w:hint="eastAsia" w:cs="Times New Roman"/>
                <w:b w:val="0"/>
                <w:bCs w:val="0"/>
                <w:color w:val="auto"/>
                <w:spacing w:val="0"/>
                <w:sz w:val="24"/>
                <w:szCs w:val="24"/>
                <w:highlight w:val="none"/>
                <w:lang w:val="en-US" w:eastAsia="zh-CN"/>
              </w:rPr>
            </w:pPr>
          </w:p>
          <w:p w14:paraId="47652242">
            <w:pPr>
              <w:pStyle w:val="76"/>
              <w:rPr>
                <w:rFonts w:hint="eastAsia" w:cs="Times New Roman"/>
                <w:b w:val="0"/>
                <w:bCs w:val="0"/>
                <w:color w:val="auto"/>
                <w:spacing w:val="0"/>
                <w:sz w:val="24"/>
                <w:szCs w:val="24"/>
                <w:highlight w:val="none"/>
                <w:lang w:val="en-US" w:eastAsia="zh-CN"/>
              </w:rPr>
            </w:pPr>
            <w:r>
              <w:rPr>
                <w:rFonts w:hint="default" w:ascii="Times New Roman" w:hAnsi="Times New Roman" w:eastAsia="宋体" w:cs="Times New Roman"/>
                <w:b w:val="0"/>
                <w:bCs w:val="0"/>
                <w:color w:val="auto"/>
                <w:spacing w:val="0"/>
                <w:sz w:val="24"/>
                <w:szCs w:val="24"/>
                <w:highlight w:val="none"/>
                <w:lang w:val="en-US" w:eastAsia="zh-CN"/>
              </w:rPr>
              <w:drawing>
                <wp:anchor distT="0" distB="0" distL="114300" distR="114300" simplePos="0" relativeHeight="251665408" behindDoc="0" locked="0" layoutInCell="1" allowOverlap="1">
                  <wp:simplePos x="0" y="0"/>
                  <wp:positionH relativeFrom="column">
                    <wp:posOffset>249555</wp:posOffset>
                  </wp:positionH>
                  <wp:positionV relativeFrom="paragraph">
                    <wp:posOffset>91440</wp:posOffset>
                  </wp:positionV>
                  <wp:extent cx="4008755" cy="4393565"/>
                  <wp:effectExtent l="0" t="0" r="10795" b="6985"/>
                  <wp:wrapNone/>
                  <wp:docPr id="53" name="图片 53" descr="93c3e492-d1d7-4115-8a54-fb1ca2818a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3c3e492-d1d7-4115-8a54-fb1ca2818ae6"/>
                          <pic:cNvPicPr>
                            <a:picLocks noChangeAspect="1"/>
                          </pic:cNvPicPr>
                        </pic:nvPicPr>
                        <pic:blipFill>
                          <a:blip r:embed="rId25"/>
                          <a:stretch>
                            <a:fillRect/>
                          </a:stretch>
                        </pic:blipFill>
                        <pic:spPr>
                          <a:xfrm>
                            <a:off x="0" y="0"/>
                            <a:ext cx="4008755" cy="4393565"/>
                          </a:xfrm>
                          <a:prstGeom prst="rect">
                            <a:avLst/>
                          </a:prstGeom>
                        </pic:spPr>
                      </pic:pic>
                    </a:graphicData>
                  </a:graphic>
                </wp:anchor>
              </w:drawing>
            </w:r>
          </w:p>
          <w:p w14:paraId="261BFB9D">
            <w:pPr>
              <w:pStyle w:val="76"/>
              <w:rPr>
                <w:rFonts w:hint="eastAsia" w:cs="Times New Roman"/>
                <w:b w:val="0"/>
                <w:bCs w:val="0"/>
                <w:color w:val="auto"/>
                <w:spacing w:val="0"/>
                <w:sz w:val="24"/>
                <w:szCs w:val="24"/>
                <w:highlight w:val="none"/>
                <w:lang w:val="en-US" w:eastAsia="zh-CN"/>
              </w:rPr>
            </w:pPr>
          </w:p>
          <w:p w14:paraId="278659D2">
            <w:pPr>
              <w:pStyle w:val="76"/>
              <w:rPr>
                <w:rFonts w:hint="eastAsia" w:cs="Times New Roman"/>
                <w:b w:val="0"/>
                <w:bCs w:val="0"/>
                <w:color w:val="auto"/>
                <w:spacing w:val="0"/>
                <w:sz w:val="24"/>
                <w:szCs w:val="24"/>
                <w:highlight w:val="none"/>
                <w:lang w:val="en-US" w:eastAsia="zh-CN"/>
              </w:rPr>
            </w:pPr>
          </w:p>
          <w:p w14:paraId="0FE20CC3">
            <w:pPr>
              <w:pStyle w:val="76"/>
              <w:rPr>
                <w:rFonts w:hint="eastAsia" w:cs="Times New Roman"/>
                <w:b w:val="0"/>
                <w:bCs w:val="0"/>
                <w:color w:val="auto"/>
                <w:spacing w:val="0"/>
                <w:sz w:val="24"/>
                <w:szCs w:val="24"/>
                <w:highlight w:val="none"/>
                <w:lang w:val="en-US" w:eastAsia="zh-CN"/>
              </w:rPr>
            </w:pPr>
          </w:p>
          <w:p w14:paraId="1F13B433">
            <w:pPr>
              <w:pStyle w:val="76"/>
              <w:rPr>
                <w:rFonts w:hint="eastAsia" w:cs="Times New Roman"/>
                <w:b w:val="0"/>
                <w:bCs w:val="0"/>
                <w:color w:val="auto"/>
                <w:spacing w:val="0"/>
                <w:sz w:val="24"/>
                <w:szCs w:val="24"/>
                <w:highlight w:val="none"/>
                <w:lang w:val="en-US" w:eastAsia="zh-CN"/>
              </w:rPr>
            </w:pPr>
          </w:p>
          <w:p w14:paraId="68D1D0DD">
            <w:pPr>
              <w:pStyle w:val="76"/>
              <w:rPr>
                <w:rFonts w:hint="eastAsia" w:cs="Times New Roman"/>
                <w:b w:val="0"/>
                <w:bCs w:val="0"/>
                <w:color w:val="auto"/>
                <w:spacing w:val="0"/>
                <w:sz w:val="24"/>
                <w:szCs w:val="24"/>
                <w:highlight w:val="none"/>
                <w:lang w:val="en-US" w:eastAsia="zh-CN"/>
              </w:rPr>
            </w:pPr>
          </w:p>
          <w:p w14:paraId="7423B286">
            <w:pPr>
              <w:pStyle w:val="76"/>
              <w:rPr>
                <w:rFonts w:hint="eastAsia" w:cs="Times New Roman"/>
                <w:b w:val="0"/>
                <w:bCs w:val="0"/>
                <w:color w:val="auto"/>
                <w:spacing w:val="0"/>
                <w:sz w:val="24"/>
                <w:szCs w:val="24"/>
                <w:highlight w:val="none"/>
                <w:lang w:val="en-US" w:eastAsia="zh-CN"/>
              </w:rPr>
            </w:pPr>
          </w:p>
          <w:p w14:paraId="35BB3F16">
            <w:pPr>
              <w:pStyle w:val="76"/>
              <w:rPr>
                <w:rFonts w:hint="eastAsia" w:cs="Times New Roman"/>
                <w:b w:val="0"/>
                <w:bCs w:val="0"/>
                <w:color w:val="auto"/>
                <w:spacing w:val="0"/>
                <w:sz w:val="24"/>
                <w:szCs w:val="24"/>
                <w:highlight w:val="none"/>
                <w:lang w:val="en-US" w:eastAsia="zh-CN"/>
              </w:rPr>
            </w:pPr>
          </w:p>
          <w:p w14:paraId="5C7470C7">
            <w:pPr>
              <w:pStyle w:val="76"/>
              <w:rPr>
                <w:rFonts w:hint="eastAsia" w:cs="Times New Roman"/>
                <w:b w:val="0"/>
                <w:bCs w:val="0"/>
                <w:color w:val="auto"/>
                <w:spacing w:val="0"/>
                <w:sz w:val="24"/>
                <w:szCs w:val="24"/>
                <w:highlight w:val="none"/>
                <w:lang w:val="en-US" w:eastAsia="zh-CN"/>
              </w:rPr>
            </w:pPr>
          </w:p>
          <w:p w14:paraId="7586FE6E">
            <w:pPr>
              <w:pStyle w:val="76"/>
              <w:rPr>
                <w:rFonts w:hint="eastAsia" w:cs="Times New Roman"/>
                <w:b w:val="0"/>
                <w:bCs w:val="0"/>
                <w:color w:val="auto"/>
                <w:spacing w:val="0"/>
                <w:sz w:val="24"/>
                <w:szCs w:val="24"/>
                <w:highlight w:val="none"/>
                <w:lang w:val="en-US" w:eastAsia="zh-CN"/>
              </w:rPr>
            </w:pPr>
          </w:p>
          <w:p w14:paraId="23BBCFD9">
            <w:pPr>
              <w:pStyle w:val="76"/>
              <w:rPr>
                <w:rFonts w:hint="eastAsia" w:cs="Times New Roman"/>
                <w:b w:val="0"/>
                <w:bCs w:val="0"/>
                <w:color w:val="auto"/>
                <w:spacing w:val="0"/>
                <w:sz w:val="24"/>
                <w:szCs w:val="24"/>
                <w:highlight w:val="none"/>
                <w:lang w:val="en-US" w:eastAsia="zh-CN"/>
              </w:rPr>
            </w:pPr>
          </w:p>
          <w:p w14:paraId="046ADA34">
            <w:pPr>
              <w:pStyle w:val="76"/>
              <w:rPr>
                <w:rFonts w:hint="eastAsia" w:cs="Times New Roman"/>
                <w:b w:val="0"/>
                <w:bCs w:val="0"/>
                <w:color w:val="auto"/>
                <w:spacing w:val="0"/>
                <w:sz w:val="24"/>
                <w:szCs w:val="24"/>
                <w:highlight w:val="none"/>
                <w:lang w:val="en-US" w:eastAsia="zh-CN"/>
              </w:rPr>
            </w:pPr>
          </w:p>
          <w:p w14:paraId="32272F07">
            <w:pPr>
              <w:pStyle w:val="76"/>
              <w:rPr>
                <w:rFonts w:hint="eastAsia" w:cs="Times New Roman"/>
                <w:b w:val="0"/>
                <w:bCs w:val="0"/>
                <w:color w:val="auto"/>
                <w:spacing w:val="0"/>
                <w:sz w:val="24"/>
                <w:szCs w:val="24"/>
                <w:highlight w:val="none"/>
                <w:lang w:val="en-US" w:eastAsia="zh-CN"/>
              </w:rPr>
            </w:pPr>
          </w:p>
          <w:p w14:paraId="22442B30">
            <w:pPr>
              <w:pStyle w:val="76"/>
              <w:rPr>
                <w:rFonts w:hint="eastAsia" w:cs="Times New Roman"/>
                <w:b w:val="0"/>
                <w:bCs w:val="0"/>
                <w:color w:val="auto"/>
                <w:spacing w:val="0"/>
                <w:sz w:val="24"/>
                <w:szCs w:val="24"/>
                <w:highlight w:val="none"/>
                <w:lang w:val="en-US" w:eastAsia="zh-CN"/>
              </w:rPr>
            </w:pPr>
          </w:p>
          <w:p w14:paraId="09481F2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b w:val="0"/>
                <w:bCs w:val="0"/>
                <w:color w:val="auto"/>
                <w:sz w:val="24"/>
                <w:szCs w:val="24"/>
                <w:highlight w:val="none"/>
                <w:lang w:val="en-US" w:eastAsia="zh-CN"/>
              </w:rPr>
            </w:pPr>
            <w:r>
              <w:rPr>
                <w:rFonts w:hint="eastAsia" w:cs="Times New Roman"/>
                <w:b w:val="0"/>
                <w:bCs w:val="0"/>
                <w:color w:val="auto"/>
                <w:spacing w:val="0"/>
                <w:sz w:val="24"/>
                <w:szCs w:val="24"/>
                <w:highlight w:val="none"/>
                <w:lang w:val="en-US" w:eastAsia="zh-CN"/>
              </w:rPr>
              <w:t>图3-1  全省地表水水质状况示意图</w:t>
            </w:r>
          </w:p>
          <w:p w14:paraId="3D699A97">
            <w:pPr>
              <w:pStyle w:val="76"/>
              <w:rPr>
                <w:color w:val="auto"/>
                <w:highlight w:val="none"/>
              </w:rPr>
            </w:pPr>
            <w:r>
              <w:rPr>
                <w:rFonts w:hint="eastAsia"/>
                <w:color w:val="auto"/>
                <w:highlight w:val="none"/>
              </w:rPr>
              <w:t>5、</w:t>
            </w:r>
            <w:r>
              <w:rPr>
                <w:color w:val="auto"/>
                <w:highlight w:val="none"/>
              </w:rPr>
              <w:t>声环境质量现状</w:t>
            </w:r>
          </w:p>
          <w:p w14:paraId="07A15887">
            <w:pPr>
              <w:pStyle w:val="76"/>
              <w:rPr>
                <w:color w:val="auto"/>
                <w:highlight w:val="none"/>
              </w:rPr>
            </w:pPr>
            <w:r>
              <w:rPr>
                <w:color w:val="auto"/>
                <w:highlight w:val="none"/>
              </w:rPr>
              <w:t>根据监测结果可知，</w:t>
            </w:r>
            <w:r>
              <w:rPr>
                <w:rFonts w:hint="eastAsia"/>
                <w:color w:val="auto"/>
                <w:highlight w:val="none"/>
                <w:lang w:val="en-US" w:eastAsia="zh-CN"/>
              </w:rPr>
              <w:t>项目路线</w:t>
            </w:r>
            <w:r>
              <w:rPr>
                <w:color w:val="auto"/>
                <w:highlight w:val="none"/>
              </w:rPr>
              <w:t>各监测点昼、夜间监测值均可满足《声环境质量标准》（GB 3096-2008）中2</w:t>
            </w:r>
            <w:r>
              <w:rPr>
                <w:rFonts w:hint="eastAsia"/>
                <w:color w:val="auto"/>
                <w:highlight w:val="none"/>
              </w:rPr>
              <w:t>、4a</w:t>
            </w:r>
            <w:r>
              <w:rPr>
                <w:color w:val="auto"/>
                <w:highlight w:val="none"/>
              </w:rPr>
              <w:t>类标准。</w:t>
            </w:r>
          </w:p>
          <w:p w14:paraId="0A583F78">
            <w:pPr>
              <w:pStyle w:val="76"/>
              <w:rPr>
                <w:rFonts w:hint="eastAsia"/>
                <w:color w:val="auto"/>
              </w:rPr>
            </w:pPr>
            <w:r>
              <w:rPr>
                <w:color w:val="auto"/>
                <w:highlight w:val="none"/>
              </w:rPr>
              <w:t>详细声环境质量现状详见《噪声专项评价报告》。</w:t>
            </w:r>
          </w:p>
        </w:tc>
      </w:tr>
      <w:tr w14:paraId="7D5A17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838" w:type="dxa"/>
            <w:noWrap w:val="0"/>
            <w:vAlign w:val="center"/>
          </w:tcPr>
          <w:p w14:paraId="134D2CE7">
            <w:pPr>
              <w:adjustRightInd w:val="0"/>
              <w:snapToGrid w:val="0"/>
              <w:jc w:val="center"/>
              <w:rPr>
                <w:color w:val="auto"/>
                <w:kern w:val="0"/>
              </w:rPr>
            </w:pPr>
            <w:r>
              <w:rPr>
                <w:bCs/>
                <w:color w:val="auto"/>
              </w:rPr>
              <w:t>与项目有关的原有环境污染和生态破坏问题</w:t>
            </w:r>
          </w:p>
        </w:tc>
        <w:tc>
          <w:tcPr>
            <w:tcW w:w="7681" w:type="dxa"/>
            <w:noWrap w:val="0"/>
            <w:vAlign w:val="center"/>
          </w:tcPr>
          <w:p w14:paraId="02A0E3C9">
            <w:pPr>
              <w:pStyle w:val="76"/>
              <w:rPr>
                <w:color w:val="auto"/>
              </w:rPr>
            </w:pPr>
            <w:r>
              <w:rPr>
                <w:rFonts w:hint="eastAsia"/>
                <w:color w:val="auto"/>
              </w:rPr>
              <w:t>1、</w:t>
            </w:r>
            <w:r>
              <w:rPr>
                <w:color w:val="auto"/>
              </w:rPr>
              <w:t>现有工程环保手续履行情况</w:t>
            </w:r>
          </w:p>
          <w:p w14:paraId="31AE12C2">
            <w:pPr>
              <w:pStyle w:val="76"/>
              <w:rPr>
                <w:rFonts w:hint="eastAsia"/>
                <w:color w:val="auto"/>
              </w:rPr>
            </w:pPr>
            <w:r>
              <w:rPr>
                <w:rFonts w:hint="eastAsia"/>
                <w:color w:val="auto"/>
              </w:rPr>
              <w:t>原有旧路于2011年在原三级路标准8.5m路基基础上帮宽扩建为二级公路标准，路基宽度12m，水泥混凝土路面，原三级路路面结构为22cm水泥混凝土面层+18cm水泥稳定（中粗砂+碎石）基层+18cm水泥稳定（中粗砂+碎石）底基层。帮宽侧路面结构为22cm水泥混凝土面层+20cm水泥稳定（中粗砂+碎石）基层+20cm水泥稳定（中粗砂+碎石）底基层。其中K370+000-K370+630段路基宽度16.5m，路面宽度15m；横断面布置形式为：行车道宽度2×3.5m，慢车道宽度2×3.5m，分隔带宽度0.5m，两侧硬路肩宽度2×0.25m，土路肩宽度2×0.75m。其余路段路基宽度12m，路面宽度10.5m，行车道宽度2×3.75m，两侧硬路肩宽度2×1.5m，土路肩宽度2×0.75m。行车道及硬路肩路拱横坡度为1.5%，土路肩路拱横坡度为3.0%。路段内K374+115-K375+039为2023年新建穆棱河滩桥及引道范围，长度924m，沥青混凝土路面，状况较好，完全利用。路面结构为5cmAC-16改性+7cmAC-20改性+32cm4.5%水泥稳定级配碎石+20cm4%水泥稳定级配碎石。</w:t>
            </w:r>
          </w:p>
          <w:p w14:paraId="2FCCD9F1">
            <w:pPr>
              <w:pStyle w:val="76"/>
              <w:rPr>
                <w:rFonts w:hint="eastAsia"/>
                <w:color w:val="auto"/>
              </w:rPr>
            </w:pPr>
            <w:r>
              <w:rPr>
                <w:rFonts w:hint="eastAsia"/>
                <w:color w:val="auto"/>
              </w:rPr>
              <w:t>路基边坡防护以植物为主，使用状况良好；边沟形式为土质梯形边沟为主。全线排水系统完善，</w:t>
            </w:r>
            <w:bookmarkStart w:id="13" w:name="_Hlk155344009"/>
            <w:r>
              <w:rPr>
                <w:rFonts w:hint="eastAsia"/>
                <w:color w:val="auto"/>
              </w:rPr>
              <w:t>局部路段土质排水沟有冲刷现象</w:t>
            </w:r>
            <w:bookmarkEnd w:id="13"/>
            <w:r>
              <w:rPr>
                <w:rFonts w:hint="eastAsia"/>
                <w:color w:val="auto"/>
              </w:rPr>
              <w:t>，路基几何形状规整，经多年沉降，较为稳定。</w:t>
            </w:r>
          </w:p>
          <w:p w14:paraId="6B87F057">
            <w:pPr>
              <w:pStyle w:val="76"/>
              <w:rPr>
                <w:rFonts w:hint="eastAsia"/>
                <w:color w:val="auto"/>
              </w:rPr>
            </w:pPr>
            <w:r>
              <w:rPr>
                <w:rFonts w:hint="eastAsia"/>
                <w:color w:val="auto"/>
              </w:rPr>
              <w:t>由于原有旧路修建较早，无环境影响评价、竣工环境保护验收等手续。根据&lt;&lt;关于建设项目"未批先建"违法行为法律适用问题的意见&gt;&gt;(环政法函[2018]31号):"行政处罚法(2017年修订)规定，违法行为在两年内未被发现的，不再给予行政处罚"。本项目涉及的原有旧路于2011年</w:t>
            </w:r>
            <w:r>
              <w:rPr>
                <w:rFonts w:hint="eastAsia"/>
                <w:color w:val="auto"/>
                <w:lang w:val="en-US" w:eastAsia="zh-CN"/>
              </w:rPr>
              <w:t>进行帮宽</w:t>
            </w:r>
            <w:r>
              <w:rPr>
                <w:rFonts w:hint="eastAsia"/>
                <w:color w:val="auto"/>
              </w:rPr>
              <w:t>，因此，对原有旧路无环境影响评价不予处罚。</w:t>
            </w:r>
          </w:p>
          <w:p w14:paraId="10BDA5EC">
            <w:pPr>
              <w:pStyle w:val="76"/>
              <w:rPr>
                <w:color w:val="auto"/>
              </w:rPr>
            </w:pPr>
            <w:r>
              <w:rPr>
                <w:rFonts w:hint="eastAsia"/>
                <w:color w:val="auto"/>
              </w:rPr>
              <w:t>2、</w:t>
            </w:r>
            <w:r>
              <w:rPr>
                <w:color w:val="auto"/>
              </w:rPr>
              <w:t>原有环境污染和生态破坏问题</w:t>
            </w:r>
          </w:p>
          <w:p w14:paraId="74E5F900">
            <w:pPr>
              <w:pStyle w:val="76"/>
              <w:rPr>
                <w:color w:val="auto"/>
              </w:rPr>
            </w:pPr>
            <w:r>
              <w:rPr>
                <w:rFonts w:hint="eastAsia"/>
                <w:color w:val="auto"/>
              </w:rPr>
              <w:t>（1）</w:t>
            </w:r>
            <w:r>
              <w:rPr>
                <w:color w:val="auto"/>
              </w:rPr>
              <w:t>生态</w:t>
            </w:r>
          </w:p>
          <w:p w14:paraId="571606DF">
            <w:pPr>
              <w:pStyle w:val="76"/>
              <w:rPr>
                <w:rFonts w:hint="eastAsia"/>
                <w:color w:val="auto"/>
              </w:rPr>
            </w:pPr>
            <w:r>
              <w:rPr>
                <w:color w:val="auto"/>
              </w:rPr>
              <w:t>经过现场踏查，原有旧路两侧主要为</w:t>
            </w:r>
            <w:r>
              <w:rPr>
                <w:rFonts w:hint="eastAsia"/>
                <w:color w:val="auto"/>
              </w:rPr>
              <w:t>林地、</w:t>
            </w:r>
            <w:r>
              <w:rPr>
                <w:color w:val="auto"/>
              </w:rPr>
              <w:t>农田、</w:t>
            </w:r>
            <w:r>
              <w:rPr>
                <w:rFonts w:hint="eastAsia"/>
                <w:color w:val="auto"/>
              </w:rPr>
              <w:t>住宅</w:t>
            </w:r>
            <w:r>
              <w:rPr>
                <w:color w:val="auto"/>
              </w:rPr>
              <w:t>等，原有道路已运行多年，受</w:t>
            </w:r>
            <w:r>
              <w:rPr>
                <w:rFonts w:ascii="Times New Roman" w:hAnsi="Times New Roman" w:eastAsia="宋体" w:cs="Times New Roman"/>
                <w:color w:val="auto"/>
              </w:rPr>
              <w:t>农田开垦及人类经济活动影响，区域内植物类型主要为</w:t>
            </w:r>
            <w:r>
              <w:rPr>
                <w:rFonts w:hint="eastAsia" w:ascii="Times New Roman" w:hAnsi="Times New Roman" w:eastAsia="宋体" w:cs="Times New Roman"/>
                <w:color w:val="auto"/>
                <w:lang w:val="en-US" w:eastAsia="zh-CN"/>
              </w:rPr>
              <w:t>耕地、道路两侧绿化，以及黑龙江兴凯湖国家地质公园</w:t>
            </w:r>
            <w:r>
              <w:rPr>
                <w:rFonts w:hint="eastAsia" w:ascii="Times New Roman" w:hAnsi="Times New Roman" w:eastAsia="宋体" w:cs="Times New Roman"/>
                <w:color w:val="auto"/>
              </w:rPr>
              <w:t>内的树木及其它段的</w:t>
            </w:r>
            <w:r>
              <w:rPr>
                <w:rFonts w:ascii="Times New Roman" w:hAnsi="Times New Roman" w:eastAsia="宋体" w:cs="Times New Roman"/>
                <w:color w:val="auto"/>
              </w:rPr>
              <w:t>道路</w:t>
            </w:r>
            <w:r>
              <w:rPr>
                <w:rFonts w:hint="eastAsia" w:ascii="Times New Roman" w:hAnsi="Times New Roman" w:eastAsia="宋体" w:cs="Times New Roman"/>
                <w:color w:val="auto"/>
              </w:rPr>
              <w:t>绿化植被</w:t>
            </w:r>
            <w:r>
              <w:rPr>
                <w:rFonts w:ascii="Times New Roman" w:hAnsi="Times New Roman" w:eastAsia="宋体" w:cs="Times New Roman"/>
                <w:color w:val="auto"/>
              </w:rPr>
              <w:t>等。原有旧</w:t>
            </w:r>
            <w:r>
              <w:rPr>
                <w:color w:val="auto"/>
              </w:rPr>
              <w:t>路两侧周边区域内鸟类较少营巢繁殖，项目沿线区域内主要分布动物为鸟类、小型哺乳动物等。无水土流失情况，无明显生态破坏问题，未发现明显环境问题。</w:t>
            </w:r>
          </w:p>
          <w:p w14:paraId="7C38B109">
            <w:pPr>
              <w:pStyle w:val="76"/>
              <w:rPr>
                <w:color w:val="auto"/>
              </w:rPr>
            </w:pPr>
            <w:r>
              <w:rPr>
                <w:rFonts w:hint="eastAsia"/>
                <w:color w:val="auto"/>
              </w:rPr>
              <w:t>（2）</w:t>
            </w:r>
            <w:r>
              <w:rPr>
                <w:color w:val="auto"/>
              </w:rPr>
              <w:t>废气</w:t>
            </w:r>
          </w:p>
          <w:p w14:paraId="4B511532">
            <w:pPr>
              <w:pStyle w:val="76"/>
              <w:rPr>
                <w:rFonts w:hint="eastAsia" w:eastAsia="宋体"/>
                <w:color w:val="auto"/>
                <w:lang w:val="en-US" w:eastAsia="zh-CN"/>
              </w:rPr>
            </w:pPr>
            <w:r>
              <w:rPr>
                <w:color w:val="auto"/>
              </w:rPr>
              <w:t>本项目</w:t>
            </w:r>
            <w:r>
              <w:rPr>
                <w:rFonts w:hint="eastAsia"/>
                <w:color w:val="auto"/>
              </w:rPr>
              <w:t>沿线设置2个道班，每个</w:t>
            </w:r>
            <w:r>
              <w:rPr>
                <w:rFonts w:hint="eastAsia"/>
                <w:color w:val="auto"/>
                <w:lang w:val="en-US" w:eastAsia="zh-CN"/>
              </w:rPr>
              <w:t>养护</w:t>
            </w:r>
            <w:r>
              <w:rPr>
                <w:rFonts w:hint="eastAsia"/>
                <w:color w:val="auto"/>
              </w:rPr>
              <w:t>道班有工作人员3个，不设置食堂，工作人员为附近居民，不在</w:t>
            </w:r>
            <w:r>
              <w:rPr>
                <w:rFonts w:hint="eastAsia"/>
                <w:color w:val="auto"/>
                <w:lang w:val="en-US" w:eastAsia="zh-CN"/>
              </w:rPr>
              <w:t>养护</w:t>
            </w:r>
            <w:r>
              <w:rPr>
                <w:rFonts w:hint="eastAsia"/>
                <w:color w:val="auto"/>
              </w:rPr>
              <w:t>道班内就餐</w:t>
            </w:r>
            <w:r>
              <w:rPr>
                <w:color w:val="auto"/>
              </w:rPr>
              <w:t>。</w:t>
            </w:r>
            <w:r>
              <w:rPr>
                <w:rFonts w:hint="eastAsia"/>
                <w:color w:val="auto"/>
              </w:rPr>
              <w:t>本项目运营期产生的废气主要为汽车尾气。</w:t>
            </w:r>
            <w:r>
              <w:rPr>
                <w:color w:val="auto"/>
              </w:rPr>
              <w:t>汽车尾气主要污染物为NO</w:t>
            </w:r>
            <w:r>
              <w:rPr>
                <w:color w:val="auto"/>
                <w:vertAlign w:val="subscript"/>
              </w:rPr>
              <w:t>2</w:t>
            </w:r>
            <w:r>
              <w:rPr>
                <w:color w:val="auto"/>
              </w:rPr>
              <w:t>、CO、THC等。</w:t>
            </w:r>
            <w:r>
              <w:rPr>
                <w:rFonts w:hint="eastAsia"/>
                <w:color w:val="auto"/>
              </w:rPr>
              <w:t>汽车尾气经扩散后</w:t>
            </w:r>
            <w:r>
              <w:rPr>
                <w:color w:val="auto"/>
              </w:rPr>
              <w:t>，对周围大气环境影响</w:t>
            </w:r>
            <w:r>
              <w:rPr>
                <w:rFonts w:hint="eastAsia"/>
                <w:color w:val="auto"/>
              </w:rPr>
              <w:t>不大，</w:t>
            </w:r>
            <w:r>
              <w:rPr>
                <w:color w:val="auto"/>
              </w:rPr>
              <w:t>未发现明显环境问题。</w:t>
            </w:r>
          </w:p>
          <w:p w14:paraId="5595F649">
            <w:pPr>
              <w:pStyle w:val="76"/>
              <w:rPr>
                <w:color w:val="auto"/>
              </w:rPr>
            </w:pPr>
            <w:r>
              <w:rPr>
                <w:rFonts w:hint="eastAsia"/>
                <w:color w:val="auto"/>
              </w:rPr>
              <w:t>（3）</w:t>
            </w:r>
            <w:r>
              <w:rPr>
                <w:color w:val="auto"/>
              </w:rPr>
              <w:t>废水</w:t>
            </w:r>
          </w:p>
          <w:p w14:paraId="2B471D0D">
            <w:pPr>
              <w:pStyle w:val="76"/>
              <w:rPr>
                <w:rFonts w:hint="default" w:eastAsia="宋体"/>
                <w:color w:val="auto"/>
                <w:lang w:val="en-US" w:eastAsia="zh-CN"/>
              </w:rPr>
            </w:pPr>
            <w:r>
              <w:rPr>
                <w:color w:val="auto"/>
              </w:rPr>
              <w:t>本项目设置养护道班</w:t>
            </w:r>
            <w:r>
              <w:rPr>
                <w:rFonts w:hint="eastAsia"/>
                <w:color w:val="auto"/>
              </w:rPr>
              <w:t>2</w:t>
            </w:r>
            <w:r>
              <w:rPr>
                <w:color w:val="auto"/>
              </w:rPr>
              <w:t>处，共有职工</w:t>
            </w:r>
            <w:r>
              <w:rPr>
                <w:rFonts w:hint="eastAsia"/>
                <w:color w:val="auto"/>
              </w:rPr>
              <w:t>6</w:t>
            </w:r>
            <w:r>
              <w:rPr>
                <w:color w:val="auto"/>
              </w:rPr>
              <w:t>人，运营期废水主要为员工生活污水，生活污水排入</w:t>
            </w:r>
            <w:r>
              <w:rPr>
                <w:rFonts w:hint="eastAsia"/>
                <w:color w:val="auto"/>
              </w:rPr>
              <w:t>防渗</w:t>
            </w:r>
            <w:r>
              <w:rPr>
                <w:color w:val="auto"/>
              </w:rPr>
              <w:t>化粪池，</w:t>
            </w:r>
            <w:r>
              <w:rPr>
                <w:rFonts w:hint="eastAsia"/>
                <w:color w:val="auto"/>
              </w:rPr>
              <w:t>定期</w:t>
            </w:r>
            <w:r>
              <w:rPr>
                <w:rFonts w:hint="eastAsia"/>
                <w:color w:val="auto"/>
                <w:lang w:val="en-US" w:eastAsia="zh-CN"/>
              </w:rPr>
              <w:t>清掏堆肥。</w:t>
            </w:r>
          </w:p>
          <w:p w14:paraId="3D577077">
            <w:pPr>
              <w:pStyle w:val="76"/>
              <w:rPr>
                <w:color w:val="auto"/>
              </w:rPr>
            </w:pPr>
            <w:r>
              <w:rPr>
                <w:color w:val="auto"/>
              </w:rPr>
              <w:t>原有旧路废水主要为路面径流污水，污染物主要为COD、SS等，污染物浓度受限于多种因素，如车流量、车辆类型、降雨强度等。原有</w:t>
            </w:r>
            <w:r>
              <w:rPr>
                <w:rFonts w:hint="eastAsia"/>
                <w:color w:val="auto"/>
              </w:rPr>
              <w:t>部分</w:t>
            </w:r>
            <w:r>
              <w:rPr>
                <w:color w:val="auto"/>
              </w:rPr>
              <w:t>旧路</w:t>
            </w:r>
            <w:r>
              <w:rPr>
                <w:rFonts w:hint="eastAsia"/>
                <w:color w:val="auto"/>
              </w:rPr>
              <w:t>设置有排水设施，原有道路以土质边沟及散排为主，排水较困难，整体使用状况一般。</w:t>
            </w:r>
          </w:p>
          <w:p w14:paraId="0346C31F">
            <w:pPr>
              <w:pStyle w:val="76"/>
              <w:rPr>
                <w:color w:val="auto"/>
              </w:rPr>
            </w:pPr>
            <w:r>
              <w:rPr>
                <w:color w:val="auto"/>
              </w:rPr>
              <w:t>（</w:t>
            </w:r>
            <w:r>
              <w:rPr>
                <w:rFonts w:hint="eastAsia"/>
                <w:color w:val="auto"/>
              </w:rPr>
              <w:t>4</w:t>
            </w:r>
            <w:r>
              <w:rPr>
                <w:color w:val="auto"/>
              </w:rPr>
              <w:t>）噪声</w:t>
            </w:r>
          </w:p>
          <w:p w14:paraId="7EAB40E8">
            <w:pPr>
              <w:pStyle w:val="76"/>
              <w:rPr>
                <w:color w:val="auto"/>
              </w:rPr>
            </w:pPr>
            <w:r>
              <w:rPr>
                <w:color w:val="auto"/>
              </w:rPr>
              <w:t>经过现场踏查，养护道班</w:t>
            </w:r>
            <w:r>
              <w:rPr>
                <w:rFonts w:hint="eastAsia"/>
                <w:color w:val="auto"/>
              </w:rPr>
              <w:t>水泵</w:t>
            </w:r>
            <w:r>
              <w:rPr>
                <w:color w:val="auto"/>
              </w:rPr>
              <w:t>运转产生噪声，</w:t>
            </w:r>
            <w:r>
              <w:rPr>
                <w:rFonts w:hint="eastAsia"/>
                <w:color w:val="auto"/>
              </w:rPr>
              <w:t>进出汽车</w:t>
            </w:r>
            <w:r>
              <w:rPr>
                <w:rFonts w:hint="eastAsia"/>
                <w:color w:val="auto"/>
                <w:lang w:val="en-US" w:eastAsia="zh-CN"/>
              </w:rPr>
              <w:t>产生噪声，</w:t>
            </w:r>
            <w:r>
              <w:rPr>
                <w:rFonts w:hint="eastAsia"/>
                <w:color w:val="auto"/>
              </w:rPr>
              <w:t>水泵</w:t>
            </w:r>
            <w:r>
              <w:rPr>
                <w:color w:val="auto"/>
              </w:rPr>
              <w:t>采取基础减振，养护道班</w:t>
            </w:r>
            <w:r>
              <w:rPr>
                <w:rFonts w:hint="eastAsia"/>
                <w:color w:val="auto"/>
              </w:rPr>
              <w:t>进出汽车属于低速（小于15km/h）行驶，辐射声级低于65dB(A)，经距离衰减，其厂界噪声能够满足《工业企业厂界环境噪声排放标准》（GB12348-2008）中2、4类标准，不会对周围环境产生影响。</w:t>
            </w:r>
          </w:p>
          <w:p w14:paraId="39B765E1">
            <w:pPr>
              <w:pStyle w:val="76"/>
              <w:rPr>
                <w:color w:val="auto"/>
              </w:rPr>
            </w:pPr>
            <w:r>
              <w:rPr>
                <w:color w:val="auto"/>
              </w:rPr>
              <w:t>原有旧路噪声主要为来往车辆产生的交通噪声，通过现状监测可知，原有旧路沿线两侧声功能区及各敏感点昼、夜间声环境均可以满足《声环境质量标准》（GB3096-2008）</w:t>
            </w:r>
            <w:r>
              <w:rPr>
                <w:rFonts w:hint="eastAsia"/>
                <w:color w:val="auto"/>
                <w:lang w:val="en-US" w:eastAsia="zh-CN"/>
              </w:rPr>
              <w:t>4a、</w:t>
            </w:r>
            <w:r>
              <w:rPr>
                <w:color w:val="auto"/>
              </w:rPr>
              <w:t>2类标准。原有旧路未发现明显环境问题。</w:t>
            </w:r>
          </w:p>
          <w:p w14:paraId="7398B55E">
            <w:pPr>
              <w:pStyle w:val="76"/>
              <w:rPr>
                <w:color w:val="auto"/>
              </w:rPr>
            </w:pPr>
            <w:r>
              <w:rPr>
                <w:rFonts w:hint="eastAsia"/>
                <w:color w:val="auto"/>
              </w:rPr>
              <w:t>3、现有旧路</w:t>
            </w:r>
            <w:r>
              <w:rPr>
                <w:color w:val="auto"/>
              </w:rPr>
              <w:t>存在的环保问题及“以新带老”措施</w:t>
            </w:r>
          </w:p>
          <w:p w14:paraId="5B7D3F55">
            <w:pPr>
              <w:pStyle w:val="76"/>
              <w:rPr>
                <w:rFonts w:hint="eastAsia"/>
                <w:color w:val="auto"/>
              </w:rPr>
            </w:pPr>
            <w:r>
              <w:rPr>
                <w:rFonts w:hint="eastAsia"/>
                <w:color w:val="auto"/>
              </w:rPr>
              <w:t>既有工程道路路况较差，桥涵受损严重，本次改建后</w:t>
            </w:r>
            <w:r>
              <w:rPr>
                <w:color w:val="auto"/>
              </w:rPr>
              <w:t>可充分发挥通行作用，消除因</w:t>
            </w:r>
            <w:r>
              <w:rPr>
                <w:rFonts w:hint="eastAsia"/>
                <w:color w:val="auto"/>
              </w:rPr>
              <w:t>本项目</w:t>
            </w:r>
            <w:r>
              <w:rPr>
                <w:color w:val="auto"/>
              </w:rPr>
              <w:t>建设而产生的分离和阻隔</w:t>
            </w:r>
            <w:r>
              <w:rPr>
                <w:rFonts w:hint="eastAsia"/>
                <w:color w:val="auto"/>
                <w:lang w:eastAsia="zh-CN"/>
              </w:rPr>
              <w:t>，</w:t>
            </w:r>
            <w:r>
              <w:rPr>
                <w:color w:val="auto"/>
              </w:rPr>
              <w:t>基本不会影响地面动物活动区域、迁移</w:t>
            </w:r>
            <w:r>
              <w:rPr>
                <w:rFonts w:hint="eastAsia"/>
                <w:color w:val="auto"/>
              </w:rPr>
              <w:t>途径</w:t>
            </w:r>
            <w:r>
              <w:rPr>
                <w:color w:val="auto"/>
              </w:rPr>
              <w:t>、栖息区域、觅食范围等</w:t>
            </w:r>
            <w:r>
              <w:rPr>
                <w:rFonts w:hint="eastAsia"/>
                <w:color w:val="auto"/>
              </w:rPr>
              <w:t>。</w:t>
            </w:r>
          </w:p>
          <w:p w14:paraId="7A982F63">
            <w:pPr>
              <w:pStyle w:val="76"/>
              <w:rPr>
                <w:rFonts w:hint="eastAsia"/>
                <w:color w:val="auto"/>
              </w:rPr>
            </w:pPr>
          </w:p>
          <w:p w14:paraId="47CB7A67">
            <w:pPr>
              <w:pStyle w:val="76"/>
              <w:rPr>
                <w:rFonts w:hint="eastAsia"/>
                <w:color w:val="auto"/>
              </w:rPr>
            </w:pPr>
          </w:p>
          <w:p w14:paraId="5424E8AA">
            <w:pPr>
              <w:pStyle w:val="76"/>
              <w:rPr>
                <w:rFonts w:hint="eastAsia"/>
                <w:color w:val="auto"/>
              </w:rPr>
            </w:pPr>
          </w:p>
          <w:p w14:paraId="2C10D0F4">
            <w:pPr>
              <w:pStyle w:val="76"/>
              <w:rPr>
                <w:rFonts w:hint="eastAsia"/>
                <w:color w:val="auto"/>
              </w:rPr>
            </w:pPr>
          </w:p>
          <w:p w14:paraId="172C6A48">
            <w:pPr>
              <w:pStyle w:val="76"/>
              <w:rPr>
                <w:rFonts w:hint="eastAsia"/>
                <w:color w:val="auto"/>
              </w:rPr>
            </w:pPr>
          </w:p>
        </w:tc>
      </w:tr>
      <w:tr w14:paraId="75FB9D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42" w:hRule="atLeast"/>
          <w:jc w:val="center"/>
        </w:trPr>
        <w:tc>
          <w:tcPr>
            <w:tcW w:w="838" w:type="dxa"/>
            <w:noWrap w:val="0"/>
            <w:vAlign w:val="center"/>
          </w:tcPr>
          <w:p w14:paraId="7C988DD2">
            <w:pPr>
              <w:adjustRightInd w:val="0"/>
              <w:snapToGrid w:val="0"/>
              <w:jc w:val="center"/>
              <w:rPr>
                <w:color w:val="auto"/>
                <w:kern w:val="0"/>
              </w:rPr>
            </w:pPr>
            <w:r>
              <w:rPr>
                <w:color w:val="auto"/>
                <w:kern w:val="0"/>
              </w:rPr>
              <w:t>生态环境保护目标</w:t>
            </w:r>
          </w:p>
        </w:tc>
        <w:tc>
          <w:tcPr>
            <w:tcW w:w="7681" w:type="dxa"/>
            <w:noWrap w:val="0"/>
            <w:vAlign w:val="center"/>
          </w:tcPr>
          <w:p w14:paraId="591330FD">
            <w:pPr>
              <w:ind w:firstLine="422"/>
              <w:rPr>
                <w:b/>
                <w:bCs/>
                <w:color w:val="auto"/>
              </w:rPr>
            </w:pPr>
            <w:r>
              <w:rPr>
                <w:b/>
                <w:bCs/>
                <w:color w:val="auto"/>
              </w:rPr>
              <w:t>1、</w:t>
            </w:r>
            <w:r>
              <w:rPr>
                <w:rFonts w:hint="eastAsia"/>
                <w:b/>
                <w:bCs/>
                <w:color w:val="auto"/>
              </w:rPr>
              <w:t>大气环境保护目标</w:t>
            </w:r>
          </w:p>
          <w:p w14:paraId="2A1F6D0D">
            <w:pPr>
              <w:ind w:firstLine="420"/>
              <w:rPr>
                <w:color w:val="auto"/>
              </w:rPr>
            </w:pPr>
            <w:r>
              <w:rPr>
                <w:rFonts w:hint="eastAsia"/>
                <w:color w:val="auto"/>
              </w:rPr>
              <w:t>根据《环境影响评价技术导则 公路建设项目》(HJ 1358-2024)，大气环境保护目标包括主要集中式排放源（如特长隧道洞口、长隧道洞口、通风井洞口、服务区）周围200m范围内的居住区、文化区和农村地区中人群较集中的区域。</w:t>
            </w:r>
          </w:p>
          <w:p w14:paraId="6A03CE7F">
            <w:pPr>
              <w:ind w:firstLine="420"/>
              <w:rPr>
                <w:color w:val="auto"/>
              </w:rPr>
            </w:pPr>
            <w:r>
              <w:rPr>
                <w:rFonts w:hint="eastAsia"/>
                <w:color w:val="auto"/>
              </w:rPr>
              <w:t>本项目无特长隧道洞口、长隧道洞口、通风井洞口、服务区等集中式排放源。经调查，本项目</w:t>
            </w:r>
            <w:r>
              <w:rPr>
                <w:rFonts w:hint="eastAsia"/>
                <w:color w:val="auto"/>
                <w:kern w:val="0"/>
                <w:lang w:bidi="ar"/>
              </w:rPr>
              <w:t>施工生产生活区</w:t>
            </w:r>
            <w:r>
              <w:rPr>
                <w:rFonts w:hint="eastAsia"/>
                <w:color w:val="auto"/>
              </w:rPr>
              <w:t>、</w:t>
            </w:r>
            <w:r>
              <w:rPr>
                <w:rFonts w:hint="eastAsia"/>
                <w:color w:val="auto"/>
                <w:lang w:val="en-US" w:eastAsia="zh-CN"/>
              </w:rPr>
              <w:t>沥青搅拌站</w:t>
            </w:r>
            <w:r>
              <w:rPr>
                <w:rFonts w:hint="eastAsia"/>
                <w:color w:val="auto"/>
              </w:rPr>
              <w:t>周围200m范围内无居住区、文化区和农村地区中人群较集中的区域。</w:t>
            </w:r>
          </w:p>
          <w:p w14:paraId="3036BB69">
            <w:pPr>
              <w:ind w:firstLine="420"/>
              <w:rPr>
                <w:color w:val="auto"/>
              </w:rPr>
            </w:pPr>
            <w:r>
              <w:rPr>
                <w:rFonts w:hint="eastAsia"/>
                <w:color w:val="auto"/>
              </w:rPr>
              <w:t>因此，本项目不设置大气环境保护目标。</w:t>
            </w:r>
          </w:p>
          <w:p w14:paraId="73C664AE">
            <w:pPr>
              <w:ind w:firstLine="422"/>
              <w:rPr>
                <w:b/>
                <w:bCs/>
                <w:color w:val="auto"/>
              </w:rPr>
            </w:pPr>
            <w:r>
              <w:rPr>
                <w:rFonts w:hint="eastAsia"/>
                <w:b/>
                <w:bCs/>
                <w:color w:val="auto"/>
              </w:rPr>
              <w:t>2、地表水保护目标</w:t>
            </w:r>
          </w:p>
          <w:p w14:paraId="2B88B6AD">
            <w:pPr>
              <w:ind w:firstLine="420"/>
              <w:rPr>
                <w:rFonts w:hint="eastAsia"/>
                <w:color w:val="auto"/>
                <w:sz w:val="24"/>
              </w:rPr>
            </w:pPr>
            <w:r>
              <w:rPr>
                <w:color w:val="auto"/>
              </w:rPr>
              <w:t>本项目</w:t>
            </w:r>
            <w:r>
              <w:rPr>
                <w:rFonts w:hint="eastAsia"/>
                <w:color w:val="auto"/>
                <w:lang w:val="en-US" w:eastAsia="zh-CN"/>
              </w:rPr>
              <w:t>跨越穆棱河、金银库河</w:t>
            </w:r>
            <w:r>
              <w:rPr>
                <w:color w:val="auto"/>
              </w:rPr>
              <w:t>，</w:t>
            </w:r>
            <w:r>
              <w:rPr>
                <w:rFonts w:hint="eastAsia"/>
                <w:color w:val="auto"/>
              </w:rPr>
              <w:t>根据《全国重要江河湖泊水功能区划（2011-2030年）（黑龙江省）》，</w:t>
            </w:r>
            <w:r>
              <w:rPr>
                <w:rFonts w:hint="eastAsia"/>
                <w:color w:val="auto"/>
                <w:sz w:val="24"/>
              </w:rPr>
              <w:t>穆棱河为</w:t>
            </w:r>
            <w:r>
              <w:rPr>
                <w:color w:val="auto"/>
                <w:sz w:val="24"/>
              </w:rPr>
              <w:t>III</w:t>
            </w:r>
            <w:r>
              <w:rPr>
                <w:rFonts w:hint="eastAsia"/>
                <w:color w:val="auto"/>
                <w:sz w:val="24"/>
              </w:rPr>
              <w:t>类水体功能，因此本项目区域地表水执行《地表水环境质量标准》（</w:t>
            </w:r>
            <w:r>
              <w:rPr>
                <w:color w:val="auto"/>
                <w:sz w:val="24"/>
              </w:rPr>
              <w:t>GB3838-2002</w:t>
            </w:r>
            <w:r>
              <w:rPr>
                <w:rFonts w:hint="eastAsia"/>
                <w:color w:val="auto"/>
                <w:sz w:val="24"/>
              </w:rPr>
              <w:t>）</w:t>
            </w:r>
            <w:r>
              <w:rPr>
                <w:color w:val="auto"/>
                <w:sz w:val="24"/>
              </w:rPr>
              <w:t>III</w:t>
            </w:r>
            <w:r>
              <w:rPr>
                <w:rFonts w:hint="eastAsia"/>
                <w:color w:val="auto"/>
                <w:sz w:val="24"/>
              </w:rPr>
              <w:t>类标准。</w:t>
            </w:r>
          </w:p>
          <w:p w14:paraId="49CF540F">
            <w:pPr>
              <w:ind w:firstLine="420"/>
              <w:rPr>
                <w:color w:val="auto"/>
              </w:rPr>
            </w:pPr>
            <w:r>
              <w:rPr>
                <w:rFonts w:hint="eastAsia"/>
                <w:color w:val="auto"/>
                <w:lang w:val="en-US" w:eastAsia="zh-CN"/>
              </w:rPr>
              <w:t>金银库河</w:t>
            </w:r>
            <w:r>
              <w:rPr>
                <w:rFonts w:hint="eastAsia"/>
                <w:color w:val="auto"/>
              </w:rPr>
              <w:t>无水体功能类别，</w:t>
            </w:r>
            <w:r>
              <w:rPr>
                <w:rFonts w:hint="eastAsia"/>
                <w:color w:val="auto"/>
                <w:lang w:val="en-US" w:eastAsia="zh-CN"/>
              </w:rPr>
              <w:t>金银库河</w:t>
            </w:r>
            <w:r>
              <w:rPr>
                <w:rFonts w:hint="eastAsia"/>
                <w:color w:val="auto"/>
              </w:rPr>
              <w:t>汇入</w:t>
            </w:r>
            <w:r>
              <w:rPr>
                <w:rFonts w:hint="eastAsia"/>
                <w:color w:val="auto"/>
                <w:lang w:val="en-US" w:eastAsia="zh-CN"/>
              </w:rPr>
              <w:t>大兴凯湖</w:t>
            </w:r>
            <w:r>
              <w:rPr>
                <w:rFonts w:hint="eastAsia"/>
                <w:color w:val="auto"/>
              </w:rPr>
              <w:t>，</w:t>
            </w:r>
            <w:r>
              <w:rPr>
                <w:rFonts w:hint="eastAsia"/>
                <w:color w:val="auto"/>
                <w:lang w:val="en-US" w:eastAsia="zh-CN"/>
              </w:rPr>
              <w:t>大兴凯湖无</w:t>
            </w:r>
            <w:r>
              <w:rPr>
                <w:rFonts w:hint="eastAsia"/>
                <w:color w:val="auto"/>
              </w:rPr>
              <w:t>水体功能类别，</w:t>
            </w:r>
            <w:r>
              <w:rPr>
                <w:rFonts w:hint="eastAsia"/>
                <w:color w:val="auto"/>
                <w:lang w:val="en-US" w:eastAsia="zh-CN"/>
              </w:rPr>
              <w:t>根据</w:t>
            </w:r>
            <w:r>
              <w:rPr>
                <w:rFonts w:hint="default" w:ascii="Times New Roman" w:hAnsi="Times New Roman" w:eastAsia="宋体" w:cs="Times New Roman"/>
                <w:color w:val="auto"/>
                <w:sz w:val="24"/>
                <w:szCs w:val="32"/>
                <w:highlight w:val="none"/>
                <w:lang w:val="en-US" w:eastAsia="zh-CN"/>
              </w:rPr>
              <w:t>《202</w:t>
            </w:r>
            <w:r>
              <w:rPr>
                <w:rFonts w:hint="default" w:ascii="Times New Roman" w:hAnsi="Times New Roman" w:cs="Times New Roman"/>
                <w:color w:val="auto"/>
                <w:sz w:val="24"/>
                <w:szCs w:val="32"/>
                <w:highlight w:val="none"/>
                <w:lang w:val="en-US" w:eastAsia="zh-CN"/>
              </w:rPr>
              <w:t>4</w:t>
            </w:r>
            <w:r>
              <w:rPr>
                <w:rFonts w:hint="default" w:ascii="Times New Roman" w:hAnsi="Times New Roman" w:eastAsia="宋体" w:cs="Times New Roman"/>
                <w:color w:val="auto"/>
                <w:sz w:val="24"/>
                <w:szCs w:val="32"/>
                <w:highlight w:val="none"/>
                <w:lang w:val="en-US" w:eastAsia="zh-CN"/>
              </w:rPr>
              <w:t>年黑龙江省生态环境质量状况》</w:t>
            </w:r>
            <w:r>
              <w:rPr>
                <w:rFonts w:hint="eastAsia" w:eastAsia="宋体"/>
                <w:color w:val="auto"/>
                <w:lang w:eastAsia="zh-CN"/>
              </w:rPr>
              <w:t>，</w:t>
            </w:r>
            <w:r>
              <w:rPr>
                <w:rFonts w:hint="default" w:ascii="Times New Roman" w:hAnsi="Times New Roman" w:eastAsia="宋体" w:cs="Times New Roman"/>
                <w:b w:val="0"/>
                <w:bCs w:val="0"/>
                <w:color w:val="auto"/>
                <w:spacing w:val="0"/>
                <w:sz w:val="24"/>
                <w:szCs w:val="24"/>
                <w:highlight w:val="none"/>
                <w:lang w:val="en-US" w:eastAsia="zh-CN"/>
              </w:rPr>
              <w:t>兴凯湖</w:t>
            </w:r>
            <w:r>
              <w:rPr>
                <w:rFonts w:hint="eastAsia" w:ascii="Times New Roman" w:hAnsi="Times New Roman" w:eastAsia="宋体" w:cs="Times New Roman"/>
                <w:b w:val="0"/>
                <w:bCs w:val="0"/>
                <w:color w:val="auto"/>
                <w:spacing w:val="0"/>
                <w:sz w:val="24"/>
                <w:szCs w:val="24"/>
                <w:highlight w:val="none"/>
                <w:lang w:val="en-US" w:eastAsia="zh-CN"/>
              </w:rPr>
              <w:t>现状</w:t>
            </w:r>
            <w:r>
              <w:rPr>
                <w:rFonts w:hint="default" w:ascii="Times New Roman" w:hAnsi="Times New Roman" w:eastAsia="宋体" w:cs="Times New Roman"/>
                <w:b w:val="0"/>
                <w:bCs w:val="0"/>
                <w:color w:val="auto"/>
                <w:spacing w:val="0"/>
                <w:sz w:val="24"/>
                <w:szCs w:val="24"/>
                <w:highlight w:val="none"/>
                <w:lang w:val="en-US" w:eastAsia="zh-CN"/>
              </w:rPr>
              <w:t>水质类别为IV类</w:t>
            </w:r>
            <w:r>
              <w:rPr>
                <w:rFonts w:hint="eastAsia"/>
                <w:color w:val="auto"/>
              </w:rPr>
              <w:t>。</w:t>
            </w:r>
          </w:p>
          <w:p w14:paraId="0836DB86">
            <w:pPr>
              <w:pStyle w:val="89"/>
              <w:spacing w:line="320" w:lineRule="exact"/>
              <w:ind w:firstLine="0" w:firstLineChars="0"/>
              <w:jc w:val="center"/>
              <w:rPr>
                <w:rFonts w:hint="eastAsia" w:ascii="宋体" w:hAnsi="宋体" w:eastAsia="宋体" w:cs="宋体"/>
                <w:b w:val="0"/>
                <w:bCs/>
                <w:color w:val="auto"/>
                <w:kern w:val="0"/>
                <w:sz w:val="24"/>
                <w:szCs w:val="24"/>
              </w:rPr>
            </w:pPr>
            <w:r>
              <w:rPr>
                <w:rFonts w:hint="eastAsia" w:ascii="宋体" w:hAnsi="宋体" w:eastAsia="宋体" w:cs="宋体"/>
                <w:b w:val="0"/>
                <w:bCs/>
                <w:color w:val="auto"/>
                <w:kern w:val="0"/>
                <w:sz w:val="24"/>
                <w:szCs w:val="24"/>
              </w:rPr>
              <w:t>表3-</w:t>
            </w:r>
            <w:r>
              <w:rPr>
                <w:rFonts w:hint="eastAsia" w:ascii="宋体" w:hAnsi="宋体" w:cs="宋体"/>
                <w:b w:val="0"/>
                <w:bCs/>
                <w:color w:val="auto"/>
                <w:kern w:val="0"/>
                <w:sz w:val="24"/>
                <w:szCs w:val="24"/>
                <w:lang w:val="en-US" w:eastAsia="zh-CN"/>
              </w:rPr>
              <w:t>1</w:t>
            </w:r>
            <w:r>
              <w:rPr>
                <w:rFonts w:hint="eastAsia" w:ascii="宋体" w:hAnsi="宋体" w:eastAsia="宋体" w:cs="宋体"/>
                <w:b w:val="0"/>
                <w:bCs/>
                <w:color w:val="auto"/>
                <w:kern w:val="0"/>
                <w:sz w:val="24"/>
                <w:szCs w:val="24"/>
              </w:rPr>
              <w:t xml:space="preserve">  地表水环境保护目标</w:t>
            </w:r>
          </w:p>
          <w:tbl>
            <w:tblPr>
              <w:tblStyle w:val="31"/>
              <w:tblW w:w="4997"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84"/>
              <w:gridCol w:w="1903"/>
              <w:gridCol w:w="1260"/>
              <w:gridCol w:w="1050"/>
              <w:gridCol w:w="2765"/>
            </w:tblGrid>
            <w:tr w14:paraId="27C9449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324" w:type="pct"/>
                  <w:tcBorders>
                    <w:tl2br w:val="nil"/>
                    <w:tr2bl w:val="nil"/>
                  </w:tcBorders>
                  <w:vAlign w:val="center"/>
                </w:tcPr>
                <w:p w14:paraId="06915293">
                  <w:pPr>
                    <w:pStyle w:val="90"/>
                    <w:spacing w:line="320" w:lineRule="exact"/>
                    <w:ind w:firstLine="0" w:firstLineChars="0"/>
                    <w:jc w:val="center"/>
                    <w:rPr>
                      <w:color w:val="auto"/>
                      <w:sz w:val="21"/>
                      <w:szCs w:val="21"/>
                    </w:rPr>
                  </w:pPr>
                  <w:r>
                    <w:rPr>
                      <w:rFonts w:hint="eastAsia"/>
                      <w:color w:val="auto"/>
                      <w:sz w:val="21"/>
                      <w:szCs w:val="21"/>
                    </w:rPr>
                    <w:t>序号</w:t>
                  </w:r>
                </w:p>
              </w:tc>
              <w:tc>
                <w:tcPr>
                  <w:tcW w:w="1275" w:type="pct"/>
                  <w:tcBorders>
                    <w:tl2br w:val="nil"/>
                    <w:tr2bl w:val="nil"/>
                  </w:tcBorders>
                  <w:vAlign w:val="center"/>
                </w:tcPr>
                <w:p w14:paraId="78CF0B5A">
                  <w:pPr>
                    <w:pStyle w:val="90"/>
                    <w:spacing w:line="320" w:lineRule="exact"/>
                    <w:ind w:firstLine="0" w:firstLineChars="0"/>
                    <w:jc w:val="center"/>
                    <w:rPr>
                      <w:color w:val="auto"/>
                      <w:sz w:val="21"/>
                      <w:szCs w:val="21"/>
                      <w:lang w:val="en-GB"/>
                    </w:rPr>
                  </w:pPr>
                  <w:r>
                    <w:rPr>
                      <w:rFonts w:hint="eastAsia"/>
                      <w:color w:val="auto"/>
                      <w:sz w:val="21"/>
                      <w:szCs w:val="21"/>
                      <w:lang w:val="en-GB"/>
                    </w:rPr>
                    <w:t>保护目标</w:t>
                  </w:r>
                </w:p>
              </w:tc>
              <w:tc>
                <w:tcPr>
                  <w:tcW w:w="844" w:type="pct"/>
                  <w:tcBorders>
                    <w:tl2br w:val="nil"/>
                    <w:tr2bl w:val="nil"/>
                  </w:tcBorders>
                  <w:vAlign w:val="center"/>
                </w:tcPr>
                <w:p w14:paraId="0AEE96F0">
                  <w:pPr>
                    <w:pStyle w:val="90"/>
                    <w:spacing w:line="320" w:lineRule="exact"/>
                    <w:ind w:firstLine="0" w:firstLineChars="0"/>
                    <w:jc w:val="center"/>
                    <w:rPr>
                      <w:color w:val="auto"/>
                      <w:sz w:val="21"/>
                      <w:szCs w:val="21"/>
                    </w:rPr>
                  </w:pPr>
                  <w:r>
                    <w:rPr>
                      <w:rFonts w:hint="eastAsia"/>
                      <w:color w:val="auto"/>
                      <w:sz w:val="21"/>
                      <w:szCs w:val="21"/>
                    </w:rPr>
                    <w:t>与工程位置关系</w:t>
                  </w:r>
                </w:p>
              </w:tc>
              <w:tc>
                <w:tcPr>
                  <w:tcW w:w="703" w:type="pct"/>
                  <w:tcBorders>
                    <w:tl2br w:val="nil"/>
                    <w:tr2bl w:val="nil"/>
                  </w:tcBorders>
                  <w:vAlign w:val="center"/>
                </w:tcPr>
                <w:p w14:paraId="34F59339">
                  <w:pPr>
                    <w:pStyle w:val="90"/>
                    <w:spacing w:line="320" w:lineRule="exact"/>
                    <w:ind w:firstLine="0" w:firstLineChars="0"/>
                    <w:jc w:val="center"/>
                    <w:rPr>
                      <w:color w:val="auto"/>
                      <w:sz w:val="21"/>
                      <w:szCs w:val="21"/>
                      <w:lang w:val="en-GB"/>
                    </w:rPr>
                  </w:pPr>
                  <w:r>
                    <w:rPr>
                      <w:rFonts w:hint="eastAsia"/>
                      <w:color w:val="auto"/>
                      <w:sz w:val="21"/>
                      <w:szCs w:val="21"/>
                      <w:lang w:val="en-GB"/>
                    </w:rPr>
                    <w:t>保护内容</w:t>
                  </w:r>
                </w:p>
              </w:tc>
              <w:tc>
                <w:tcPr>
                  <w:tcW w:w="1852" w:type="pct"/>
                  <w:tcBorders>
                    <w:tl2br w:val="nil"/>
                    <w:tr2bl w:val="nil"/>
                  </w:tcBorders>
                  <w:vAlign w:val="center"/>
                </w:tcPr>
                <w:p w14:paraId="00241463">
                  <w:pPr>
                    <w:pStyle w:val="90"/>
                    <w:spacing w:line="320" w:lineRule="exact"/>
                    <w:ind w:firstLine="0" w:firstLineChars="0"/>
                    <w:jc w:val="center"/>
                    <w:rPr>
                      <w:color w:val="auto"/>
                      <w:sz w:val="21"/>
                      <w:szCs w:val="21"/>
                      <w:lang w:val="en-GB"/>
                    </w:rPr>
                  </w:pPr>
                  <w:r>
                    <w:rPr>
                      <w:rFonts w:hint="eastAsia"/>
                      <w:color w:val="auto"/>
                      <w:sz w:val="21"/>
                      <w:szCs w:val="21"/>
                      <w:lang w:val="en-GB"/>
                    </w:rPr>
                    <w:t>功能区划</w:t>
                  </w:r>
                </w:p>
              </w:tc>
            </w:tr>
            <w:tr w14:paraId="6A6E631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324" w:type="pct"/>
                  <w:tcBorders>
                    <w:tl2br w:val="nil"/>
                    <w:tr2bl w:val="nil"/>
                  </w:tcBorders>
                  <w:vAlign w:val="center"/>
                </w:tcPr>
                <w:p w14:paraId="7217BFE7">
                  <w:pPr>
                    <w:pStyle w:val="90"/>
                    <w:spacing w:line="320" w:lineRule="exact"/>
                    <w:ind w:firstLine="0" w:firstLineChars="0"/>
                    <w:jc w:val="center"/>
                    <w:rPr>
                      <w:color w:val="auto"/>
                      <w:sz w:val="21"/>
                      <w:szCs w:val="21"/>
                    </w:rPr>
                  </w:pPr>
                  <w:r>
                    <w:rPr>
                      <w:rFonts w:hint="eastAsia"/>
                      <w:color w:val="auto"/>
                      <w:sz w:val="21"/>
                      <w:szCs w:val="21"/>
                    </w:rPr>
                    <w:t>1</w:t>
                  </w:r>
                </w:p>
              </w:tc>
              <w:tc>
                <w:tcPr>
                  <w:tcW w:w="1275" w:type="pct"/>
                  <w:tcBorders>
                    <w:tl2br w:val="nil"/>
                    <w:tr2bl w:val="nil"/>
                  </w:tcBorders>
                  <w:vAlign w:val="center"/>
                </w:tcPr>
                <w:p w14:paraId="2B7DEC52">
                  <w:pPr>
                    <w:pStyle w:val="90"/>
                    <w:spacing w:line="320" w:lineRule="exact"/>
                    <w:ind w:firstLine="0" w:firstLineChars="0"/>
                    <w:jc w:val="center"/>
                    <w:rPr>
                      <w:rFonts w:hint="eastAsia" w:eastAsia="宋体"/>
                      <w:color w:val="auto"/>
                      <w:sz w:val="21"/>
                      <w:szCs w:val="21"/>
                      <w:lang w:val="en-GB" w:eastAsia="zh-CN"/>
                    </w:rPr>
                  </w:pPr>
                  <w:r>
                    <w:rPr>
                      <w:rFonts w:hint="eastAsia"/>
                      <w:color w:val="auto"/>
                      <w:sz w:val="21"/>
                      <w:szCs w:val="21"/>
                      <w:lang w:val="en-US" w:eastAsia="zh-CN"/>
                    </w:rPr>
                    <w:t>穆棱河</w:t>
                  </w:r>
                </w:p>
              </w:tc>
              <w:tc>
                <w:tcPr>
                  <w:tcW w:w="844" w:type="pct"/>
                  <w:tcBorders>
                    <w:tl2br w:val="nil"/>
                    <w:tr2bl w:val="nil"/>
                  </w:tcBorders>
                  <w:vAlign w:val="center"/>
                </w:tcPr>
                <w:p w14:paraId="3D0C6FF3">
                  <w:pPr>
                    <w:pStyle w:val="90"/>
                    <w:spacing w:line="320" w:lineRule="exact"/>
                    <w:ind w:firstLine="0" w:firstLineChars="0"/>
                    <w:jc w:val="center"/>
                    <w:rPr>
                      <w:color w:val="auto"/>
                      <w:sz w:val="21"/>
                      <w:szCs w:val="21"/>
                    </w:rPr>
                  </w:pPr>
                  <w:r>
                    <w:rPr>
                      <w:rFonts w:hint="eastAsia"/>
                      <w:color w:val="auto"/>
                      <w:sz w:val="21"/>
                      <w:szCs w:val="21"/>
                    </w:rPr>
                    <w:t>跨越</w:t>
                  </w:r>
                </w:p>
              </w:tc>
              <w:tc>
                <w:tcPr>
                  <w:tcW w:w="703" w:type="pct"/>
                  <w:vMerge w:val="restart"/>
                  <w:tcBorders>
                    <w:tl2br w:val="nil"/>
                    <w:tr2bl w:val="nil"/>
                  </w:tcBorders>
                  <w:vAlign w:val="center"/>
                </w:tcPr>
                <w:p w14:paraId="7AD56D93">
                  <w:pPr>
                    <w:pStyle w:val="90"/>
                    <w:spacing w:line="320" w:lineRule="exact"/>
                    <w:ind w:firstLine="0" w:firstLineChars="0"/>
                    <w:jc w:val="center"/>
                    <w:rPr>
                      <w:color w:val="auto"/>
                      <w:sz w:val="21"/>
                      <w:szCs w:val="21"/>
                    </w:rPr>
                  </w:pPr>
                  <w:r>
                    <w:rPr>
                      <w:rFonts w:hint="eastAsia"/>
                      <w:color w:val="auto"/>
                      <w:sz w:val="21"/>
                      <w:szCs w:val="21"/>
                    </w:rPr>
                    <w:t>确保河流水质不受污染</w:t>
                  </w:r>
                </w:p>
              </w:tc>
              <w:tc>
                <w:tcPr>
                  <w:tcW w:w="1852" w:type="pct"/>
                  <w:tcBorders>
                    <w:tl2br w:val="nil"/>
                    <w:tr2bl w:val="nil"/>
                  </w:tcBorders>
                  <w:vAlign w:val="center"/>
                </w:tcPr>
                <w:p w14:paraId="29B7CDCD">
                  <w:pPr>
                    <w:pStyle w:val="90"/>
                    <w:spacing w:line="320" w:lineRule="exact"/>
                    <w:ind w:firstLine="0" w:firstLineChars="0"/>
                    <w:jc w:val="center"/>
                    <w:rPr>
                      <w:color w:val="auto"/>
                      <w:sz w:val="21"/>
                      <w:szCs w:val="21"/>
                    </w:rPr>
                  </w:pPr>
                  <w:r>
                    <w:rPr>
                      <w:rFonts w:hint="eastAsia"/>
                      <w:color w:val="auto"/>
                      <w:sz w:val="21"/>
                      <w:szCs w:val="21"/>
                    </w:rPr>
                    <w:t>参照参照《地表水环境质量标准》（GB3838-2002）Ⅲ类</w:t>
                  </w:r>
                </w:p>
              </w:tc>
            </w:tr>
            <w:tr w14:paraId="318814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324" w:type="pct"/>
                  <w:tcBorders>
                    <w:tl2br w:val="nil"/>
                    <w:tr2bl w:val="nil"/>
                  </w:tcBorders>
                  <w:vAlign w:val="center"/>
                </w:tcPr>
                <w:p w14:paraId="7032C2C6">
                  <w:pPr>
                    <w:pStyle w:val="90"/>
                    <w:spacing w:line="320" w:lineRule="exact"/>
                    <w:ind w:firstLine="0" w:firstLineChars="0"/>
                    <w:jc w:val="center"/>
                    <w:rPr>
                      <w:color w:val="auto"/>
                      <w:sz w:val="21"/>
                      <w:szCs w:val="21"/>
                    </w:rPr>
                  </w:pPr>
                  <w:r>
                    <w:rPr>
                      <w:rFonts w:hint="eastAsia"/>
                      <w:color w:val="auto"/>
                      <w:sz w:val="21"/>
                      <w:szCs w:val="21"/>
                    </w:rPr>
                    <w:t>2</w:t>
                  </w:r>
                </w:p>
              </w:tc>
              <w:tc>
                <w:tcPr>
                  <w:tcW w:w="1275" w:type="pct"/>
                  <w:tcBorders>
                    <w:tl2br w:val="nil"/>
                    <w:tr2bl w:val="nil"/>
                  </w:tcBorders>
                  <w:vAlign w:val="center"/>
                </w:tcPr>
                <w:p w14:paraId="13C57ED9">
                  <w:pPr>
                    <w:pStyle w:val="90"/>
                    <w:spacing w:line="320" w:lineRule="exact"/>
                    <w:ind w:firstLine="0" w:firstLineChars="0"/>
                    <w:jc w:val="center"/>
                    <w:rPr>
                      <w:rFonts w:hint="default" w:eastAsia="宋体"/>
                      <w:color w:val="auto"/>
                      <w:sz w:val="21"/>
                      <w:szCs w:val="21"/>
                      <w:lang w:val="en-US" w:eastAsia="zh-CN"/>
                    </w:rPr>
                  </w:pPr>
                  <w:r>
                    <w:rPr>
                      <w:rFonts w:hint="eastAsia"/>
                      <w:bCs/>
                      <w:color w:val="auto"/>
                      <w:sz w:val="21"/>
                      <w:szCs w:val="21"/>
                      <w:lang w:val="en-US" w:eastAsia="zh-CN"/>
                    </w:rPr>
                    <w:t>金银库河、兴凯湖</w:t>
                  </w:r>
                </w:p>
              </w:tc>
              <w:tc>
                <w:tcPr>
                  <w:tcW w:w="844" w:type="pct"/>
                  <w:tcBorders>
                    <w:tl2br w:val="nil"/>
                    <w:tr2bl w:val="nil"/>
                  </w:tcBorders>
                  <w:vAlign w:val="center"/>
                </w:tcPr>
                <w:p w14:paraId="27CA1D9D">
                  <w:pPr>
                    <w:pStyle w:val="90"/>
                    <w:spacing w:line="320" w:lineRule="exact"/>
                    <w:ind w:firstLine="0" w:firstLineChars="0"/>
                    <w:jc w:val="center"/>
                    <w:rPr>
                      <w:color w:val="auto"/>
                      <w:sz w:val="21"/>
                      <w:szCs w:val="21"/>
                    </w:rPr>
                  </w:pPr>
                  <w:r>
                    <w:rPr>
                      <w:rFonts w:hint="eastAsia"/>
                      <w:color w:val="auto"/>
                      <w:sz w:val="21"/>
                      <w:szCs w:val="21"/>
                    </w:rPr>
                    <w:t>跨越</w:t>
                  </w:r>
                </w:p>
              </w:tc>
              <w:tc>
                <w:tcPr>
                  <w:tcW w:w="703" w:type="pct"/>
                  <w:vMerge w:val="continue"/>
                  <w:tcBorders>
                    <w:tl2br w:val="nil"/>
                    <w:tr2bl w:val="nil"/>
                  </w:tcBorders>
                  <w:vAlign w:val="center"/>
                </w:tcPr>
                <w:p w14:paraId="294D0A56">
                  <w:pPr>
                    <w:pStyle w:val="90"/>
                    <w:spacing w:line="320" w:lineRule="exact"/>
                    <w:ind w:firstLine="0" w:firstLineChars="0"/>
                    <w:jc w:val="center"/>
                    <w:rPr>
                      <w:color w:val="auto"/>
                      <w:sz w:val="21"/>
                      <w:szCs w:val="21"/>
                    </w:rPr>
                  </w:pPr>
                </w:p>
              </w:tc>
              <w:tc>
                <w:tcPr>
                  <w:tcW w:w="1852" w:type="pct"/>
                  <w:tcBorders>
                    <w:tl2br w:val="nil"/>
                    <w:tr2bl w:val="nil"/>
                  </w:tcBorders>
                  <w:vAlign w:val="center"/>
                </w:tcPr>
                <w:p w14:paraId="24786A50">
                  <w:pPr>
                    <w:pStyle w:val="90"/>
                    <w:spacing w:line="320" w:lineRule="exact"/>
                    <w:ind w:firstLine="0" w:firstLineChars="0"/>
                    <w:jc w:val="center"/>
                    <w:rPr>
                      <w:color w:val="auto"/>
                      <w:sz w:val="21"/>
                      <w:szCs w:val="21"/>
                    </w:rPr>
                  </w:pPr>
                  <w:r>
                    <w:rPr>
                      <w:rFonts w:hint="eastAsia"/>
                      <w:color w:val="auto"/>
                      <w:sz w:val="21"/>
                      <w:szCs w:val="21"/>
                    </w:rPr>
                    <w:t>参照《地表水环境质量标准》（GB3838-2002）</w:t>
                  </w:r>
                  <w:r>
                    <w:rPr>
                      <w:rFonts w:hint="default" w:ascii="Times New Roman" w:hAnsi="Times New Roman" w:eastAsia="宋体" w:cs="Times New Roman"/>
                      <w:b w:val="0"/>
                      <w:bCs w:val="0"/>
                      <w:color w:val="auto"/>
                      <w:spacing w:val="0"/>
                      <w:sz w:val="21"/>
                      <w:szCs w:val="21"/>
                      <w:highlight w:val="none"/>
                      <w:lang w:val="en-US" w:eastAsia="zh-CN"/>
                    </w:rPr>
                    <w:t>IV</w:t>
                  </w:r>
                  <w:r>
                    <w:rPr>
                      <w:rFonts w:hint="eastAsia"/>
                      <w:color w:val="auto"/>
                      <w:sz w:val="21"/>
                      <w:szCs w:val="21"/>
                    </w:rPr>
                    <w:t>类</w:t>
                  </w:r>
                </w:p>
              </w:tc>
            </w:tr>
          </w:tbl>
          <w:p w14:paraId="3312EA2E">
            <w:pPr>
              <w:ind w:firstLine="422"/>
              <w:rPr>
                <w:b/>
                <w:bCs/>
                <w:color w:val="auto"/>
              </w:rPr>
            </w:pPr>
            <w:r>
              <w:rPr>
                <w:b/>
                <w:bCs/>
                <w:color w:val="auto"/>
              </w:rPr>
              <w:t>3、</w:t>
            </w:r>
            <w:r>
              <w:rPr>
                <w:rFonts w:hint="eastAsia"/>
                <w:b/>
                <w:bCs/>
                <w:color w:val="auto"/>
              </w:rPr>
              <w:t>地下水保护目标</w:t>
            </w:r>
          </w:p>
          <w:p w14:paraId="3B2D7E5C">
            <w:pPr>
              <w:ind w:firstLine="420"/>
              <w:jc w:val="left"/>
              <w:rPr>
                <w:color w:val="auto"/>
              </w:rPr>
            </w:pPr>
            <w:r>
              <w:rPr>
                <w:color w:val="auto"/>
              </w:rPr>
              <w:t>根据《环境影响评价技术导则 公路建设项目》（HJ1358-2024）：</w:t>
            </w:r>
            <w:r>
              <w:rPr>
                <w:rFonts w:hint="eastAsia"/>
                <w:color w:val="auto"/>
              </w:rPr>
              <w:t>“</w:t>
            </w:r>
            <w:r>
              <w:rPr>
                <w:color w:val="auto"/>
              </w:rPr>
              <w:t>7.2.4.2 其他区段，一般情况下不设置评价范围；当路中心线两侧各200m及两端各延长200m的范围与地下水饮用水水源保护区（或饮用水取水井）范围有空间交叠时应将整个水源保护区（饮用水取水井群区）纳入评价范围。</w:t>
            </w:r>
            <w:r>
              <w:rPr>
                <w:rFonts w:hint="eastAsia"/>
                <w:color w:val="auto"/>
              </w:rPr>
              <w:t>”</w:t>
            </w:r>
          </w:p>
          <w:p w14:paraId="790C957A">
            <w:pPr>
              <w:ind w:firstLine="420"/>
              <w:jc w:val="left"/>
              <w:rPr>
                <w:color w:val="auto"/>
              </w:rPr>
            </w:pPr>
            <w:r>
              <w:rPr>
                <w:rFonts w:hint="eastAsia"/>
                <w:color w:val="auto"/>
              </w:rPr>
              <w:t>通过《黑龙江省生态环境分区管控数据应用平台》查询，本项目</w:t>
            </w:r>
            <w:r>
              <w:rPr>
                <w:rFonts w:hint="eastAsia"/>
                <w:color w:val="auto"/>
                <w:lang w:val="en-US" w:eastAsia="zh-CN"/>
              </w:rPr>
              <w:t>周边</w:t>
            </w:r>
            <w:r>
              <w:rPr>
                <w:color w:val="auto"/>
              </w:rPr>
              <w:t>无地下水饮用水水源保护区</w:t>
            </w:r>
            <w:r>
              <w:rPr>
                <w:rFonts w:hint="eastAsia"/>
                <w:color w:val="auto"/>
              </w:rPr>
              <w:t>。</w:t>
            </w:r>
            <w:r>
              <w:rPr>
                <w:color w:val="auto"/>
              </w:rPr>
              <w:t>因此，本项目不设置地下水环境影响评价范围，本项目无地下水环境保护目标。</w:t>
            </w:r>
          </w:p>
          <w:p w14:paraId="2CE81D8F">
            <w:pPr>
              <w:ind w:firstLine="470"/>
              <w:rPr>
                <w:rFonts w:hint="default" w:eastAsia="宋体"/>
                <w:color w:val="auto"/>
                <w:lang w:val="en-US" w:eastAsia="zh-CN"/>
              </w:rPr>
            </w:pPr>
            <w:r>
              <w:rPr>
                <w:rFonts w:hint="eastAsia"/>
                <w:color w:val="auto"/>
                <w:lang w:eastAsia="zh-CN"/>
              </w:rPr>
              <w:t>（</w:t>
            </w:r>
            <w:r>
              <w:rPr>
                <w:rFonts w:hint="eastAsia"/>
                <w:color w:val="auto"/>
                <w:lang w:val="en-US" w:eastAsia="zh-CN"/>
              </w:rPr>
              <w:t>4</w:t>
            </w:r>
            <w:r>
              <w:rPr>
                <w:rFonts w:hint="eastAsia"/>
                <w:color w:val="auto"/>
                <w:lang w:eastAsia="zh-CN"/>
              </w:rPr>
              <w:t>）</w:t>
            </w:r>
            <w:r>
              <w:rPr>
                <w:rFonts w:hint="eastAsia"/>
                <w:color w:val="auto"/>
                <w:lang w:val="en-US" w:eastAsia="zh-CN"/>
              </w:rPr>
              <w:t>生态环境保护目标</w:t>
            </w:r>
          </w:p>
          <w:p w14:paraId="33C59C1F">
            <w:pPr>
              <w:ind w:firstLine="470"/>
              <w:rPr>
                <w:color w:val="auto"/>
              </w:rPr>
            </w:pPr>
            <w:r>
              <w:rPr>
                <w:rFonts w:hint="eastAsia"/>
                <w:color w:val="auto"/>
              </w:rPr>
              <w:t>根据</w:t>
            </w:r>
            <w:r>
              <w:rPr>
                <w:rFonts w:hint="eastAsia" w:ascii="Times New Roman" w:hAnsi="Times New Roman" w:eastAsia="宋体" w:cs="Times New Roman"/>
                <w:color w:val="auto"/>
                <w:kern w:val="0"/>
                <w:sz w:val="24"/>
                <w:szCs w:val="24"/>
                <w:lang w:val="en-US" w:eastAsia="zh-CN" w:bidi="ar-SA"/>
              </w:rPr>
              <w:t>密山市“三区三线”划定成果，</w:t>
            </w:r>
            <w:r>
              <w:rPr>
                <w:rFonts w:ascii="Times New Roman" w:hAnsi="Times New Roman" w:eastAsia="宋体" w:cs="Times New Roman"/>
                <w:color w:val="auto"/>
                <w:kern w:val="0"/>
                <w:sz w:val="24"/>
                <w:szCs w:val="24"/>
                <w:lang w:val="en-US" w:eastAsia="zh-CN" w:bidi="ar-SA"/>
              </w:rPr>
              <w:t>本项目评价范围内</w:t>
            </w:r>
            <w:r>
              <w:rPr>
                <w:rFonts w:hint="eastAsia" w:ascii="Times New Roman" w:hAnsi="Times New Roman" w:eastAsia="宋体" w:cs="Times New Roman"/>
                <w:color w:val="auto"/>
                <w:kern w:val="0"/>
                <w:sz w:val="24"/>
                <w:szCs w:val="24"/>
                <w:lang w:val="en-US" w:eastAsia="zh-CN" w:bidi="ar-SA"/>
              </w:rPr>
              <w:t>涉及自然保护区、风景名胜区、地质公园等自然保护地，项目K387+580-K388+600、K413+360-K</w:t>
            </w:r>
            <w:r>
              <w:rPr>
                <w:rFonts w:ascii="Times New Roman" w:hAnsi="Times New Roman" w:eastAsia="宋体" w:cs="Times New Roman"/>
                <w:color w:val="auto"/>
                <w:kern w:val="0"/>
                <w:sz w:val="24"/>
                <w:szCs w:val="24"/>
                <w:lang w:val="zh-CN" w:eastAsia="zh-CN" w:bidi="ar-SA"/>
              </w:rPr>
              <w:t>414+953.7</w:t>
            </w:r>
            <w:r>
              <w:rPr>
                <w:rFonts w:hint="eastAsia" w:ascii="Times New Roman" w:hAnsi="Times New Roman" w:eastAsia="宋体" w:cs="Times New Roman"/>
                <w:color w:val="auto"/>
                <w:kern w:val="0"/>
                <w:sz w:val="24"/>
                <w:szCs w:val="24"/>
                <w:lang w:val="en-US" w:eastAsia="zh-CN" w:bidi="ar-SA"/>
              </w:rPr>
              <w:t>段占用黑龙江兴凯湖国家地质公园，为国家级自然公园，项目不占用</w:t>
            </w:r>
            <w:r>
              <w:rPr>
                <w:rFonts w:ascii="Times New Roman" w:hAnsi="Times New Roman" w:eastAsia="宋体" w:cs="Times New Roman"/>
                <w:color w:val="auto"/>
                <w:kern w:val="0"/>
                <w:sz w:val="24"/>
                <w:szCs w:val="24"/>
                <w:lang w:val="en-US" w:eastAsia="zh-CN" w:bidi="ar-SA"/>
              </w:rPr>
              <w:t>黑龙江兴凯湖国家地质公园</w:t>
            </w:r>
            <w:r>
              <w:rPr>
                <w:rFonts w:hint="eastAsia" w:ascii="Times New Roman" w:hAnsi="Times New Roman" w:eastAsia="宋体" w:cs="Times New Roman"/>
                <w:color w:val="auto"/>
                <w:kern w:val="0"/>
                <w:sz w:val="24"/>
                <w:szCs w:val="24"/>
                <w:lang w:val="en-US" w:eastAsia="zh-CN" w:bidi="ar-SA"/>
              </w:rPr>
              <w:t>的保护区，不涉及重要生境</w:t>
            </w:r>
            <w:r>
              <w:rPr>
                <w:rFonts w:ascii="Times New Roman" w:hAnsi="Times New Roman" w:eastAsia="宋体" w:cs="Times New Roman"/>
                <w:color w:val="auto"/>
                <w:kern w:val="0"/>
                <w:sz w:val="24"/>
                <w:szCs w:val="24"/>
                <w:lang w:val="en-US" w:eastAsia="zh-CN" w:bidi="ar-SA"/>
              </w:rPr>
              <w:t>。</w:t>
            </w:r>
            <w:r>
              <w:rPr>
                <w:color w:val="auto"/>
              </w:rPr>
              <w:t>根据本项目的选址周围环境状况及其排污特点和环境影响特征，其主要环境保护目标详见表</w:t>
            </w:r>
            <w:r>
              <w:rPr>
                <w:rFonts w:hint="eastAsia"/>
                <w:color w:val="auto"/>
                <w:lang w:val="en-US" w:eastAsia="zh-CN"/>
              </w:rPr>
              <w:t>3-2</w:t>
            </w:r>
            <w:r>
              <w:rPr>
                <w:color w:val="auto"/>
              </w:rPr>
              <w:t>。</w:t>
            </w:r>
          </w:p>
          <w:p w14:paraId="6F6D6DE1">
            <w:pPr>
              <w:pStyle w:val="72"/>
              <w:spacing w:line="240" w:lineRule="auto"/>
              <w:rPr>
                <w:rFonts w:hint="eastAsia" w:ascii="宋体" w:hAnsi="宋体" w:eastAsia="宋体" w:cs="宋体"/>
                <w:color w:val="auto"/>
              </w:rPr>
            </w:pPr>
            <w:r>
              <w:rPr>
                <w:rFonts w:hint="eastAsia" w:ascii="宋体" w:hAnsi="宋体" w:eastAsia="宋体" w:cs="宋体"/>
                <w:color w:val="auto"/>
              </w:rPr>
              <w:t>表</w:t>
            </w:r>
            <w:r>
              <w:rPr>
                <w:rFonts w:hint="default" w:ascii="Times New Roman" w:hAnsi="Times New Roman" w:eastAsia="宋体" w:cs="Times New Roman"/>
                <w:color w:val="auto"/>
                <w:lang w:val="en-US" w:eastAsia="zh-CN"/>
              </w:rPr>
              <w:t>3-</w:t>
            </w:r>
            <w:r>
              <w:rPr>
                <w:rFonts w:hint="eastAsia" w:ascii="Times New Roman" w:hAnsi="Times New Roman" w:eastAsia="宋体" w:cs="Times New Roman"/>
                <w:color w:val="auto"/>
                <w:lang w:val="en-US" w:eastAsia="zh-CN"/>
              </w:rPr>
              <w:t>2</w:t>
            </w:r>
            <w:r>
              <w:rPr>
                <w:rFonts w:hint="default" w:ascii="Times New Roman" w:hAnsi="Times New Roman" w:eastAsia="宋体" w:cs="Times New Roman"/>
                <w:color w:val="auto"/>
                <w:lang w:val="en-US" w:eastAsia="zh-CN"/>
              </w:rPr>
              <w:t xml:space="preserve"> </w:t>
            </w:r>
            <w:r>
              <w:rPr>
                <w:rFonts w:hint="default" w:ascii="Times New Roman" w:hAnsi="Times New Roman" w:eastAsia="宋体" w:cs="Times New Roman"/>
                <w:color w:val="auto"/>
              </w:rPr>
              <w:t xml:space="preserve"> </w:t>
            </w:r>
            <w:r>
              <w:rPr>
                <w:rFonts w:hint="eastAsia" w:ascii="宋体" w:hAnsi="宋体" w:eastAsia="宋体" w:cs="宋体"/>
                <w:color w:val="auto"/>
              </w:rPr>
              <w:t>生态环境保护目标</w:t>
            </w:r>
          </w:p>
          <w:tbl>
            <w:tblPr>
              <w:tblStyle w:val="3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25"/>
              <w:gridCol w:w="1382"/>
              <w:gridCol w:w="2898"/>
              <w:gridCol w:w="2560"/>
            </w:tblGrid>
            <w:tr w14:paraId="4A99C49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6C8BC914">
                  <w:pPr>
                    <w:pStyle w:val="80"/>
                    <w:spacing w:line="240" w:lineRule="auto"/>
                    <w:rPr>
                      <w:color w:val="auto"/>
                    </w:rPr>
                  </w:pPr>
                  <w:r>
                    <w:rPr>
                      <w:color w:val="auto"/>
                    </w:rPr>
                    <w:t>序号</w:t>
                  </w:r>
                </w:p>
              </w:tc>
              <w:tc>
                <w:tcPr>
                  <w:tcW w:w="925" w:type="pct"/>
                  <w:tcBorders>
                    <w:tl2br w:val="nil"/>
                    <w:tr2bl w:val="nil"/>
                  </w:tcBorders>
                  <w:noWrap w:val="0"/>
                  <w:vAlign w:val="center"/>
                </w:tcPr>
                <w:p w14:paraId="44800ED4">
                  <w:pPr>
                    <w:pStyle w:val="80"/>
                    <w:spacing w:line="240" w:lineRule="auto"/>
                    <w:rPr>
                      <w:color w:val="auto"/>
                    </w:rPr>
                  </w:pPr>
                  <w:r>
                    <w:rPr>
                      <w:color w:val="auto"/>
                    </w:rPr>
                    <w:t>主要关注目标</w:t>
                  </w:r>
                </w:p>
              </w:tc>
              <w:tc>
                <w:tcPr>
                  <w:tcW w:w="1940" w:type="pct"/>
                  <w:tcBorders>
                    <w:tl2br w:val="nil"/>
                    <w:tr2bl w:val="nil"/>
                  </w:tcBorders>
                  <w:noWrap w:val="0"/>
                  <w:vAlign w:val="center"/>
                </w:tcPr>
                <w:p w14:paraId="5416F506">
                  <w:pPr>
                    <w:pStyle w:val="80"/>
                    <w:spacing w:line="240" w:lineRule="auto"/>
                    <w:rPr>
                      <w:color w:val="auto"/>
                    </w:rPr>
                  </w:pPr>
                  <w:r>
                    <w:rPr>
                      <w:color w:val="auto"/>
                    </w:rPr>
                    <w:t>位置及备注</w:t>
                  </w:r>
                </w:p>
              </w:tc>
              <w:tc>
                <w:tcPr>
                  <w:tcW w:w="1714" w:type="pct"/>
                  <w:tcBorders>
                    <w:tl2br w:val="nil"/>
                    <w:tr2bl w:val="nil"/>
                  </w:tcBorders>
                  <w:noWrap w:val="0"/>
                  <w:vAlign w:val="center"/>
                </w:tcPr>
                <w:p w14:paraId="111E628A">
                  <w:pPr>
                    <w:pStyle w:val="80"/>
                    <w:spacing w:line="240" w:lineRule="auto"/>
                    <w:rPr>
                      <w:color w:val="auto"/>
                    </w:rPr>
                  </w:pPr>
                  <w:r>
                    <w:rPr>
                      <w:color w:val="auto"/>
                    </w:rPr>
                    <w:t>主要保护内容</w:t>
                  </w:r>
                </w:p>
              </w:tc>
            </w:tr>
            <w:tr w14:paraId="47B64C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045A6139">
                  <w:pPr>
                    <w:pStyle w:val="80"/>
                    <w:spacing w:line="240" w:lineRule="auto"/>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1</w:t>
                  </w:r>
                </w:p>
              </w:tc>
              <w:tc>
                <w:tcPr>
                  <w:tcW w:w="925" w:type="pct"/>
                  <w:tcBorders>
                    <w:tl2br w:val="nil"/>
                    <w:tr2bl w:val="nil"/>
                  </w:tcBorders>
                  <w:noWrap w:val="0"/>
                  <w:vAlign w:val="center"/>
                </w:tcPr>
                <w:p w14:paraId="7603D4C9">
                  <w:pPr>
                    <w:pStyle w:val="76"/>
                    <w:spacing w:line="240" w:lineRule="auto"/>
                    <w:ind w:left="0" w:leftChars="0" w:firstLine="0" w:firstLineChars="0"/>
                    <w:jc w:val="center"/>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黑龙江兴凯湖国家地质公园</w:t>
                  </w:r>
                </w:p>
              </w:tc>
              <w:tc>
                <w:tcPr>
                  <w:tcW w:w="1940" w:type="pct"/>
                  <w:tcBorders>
                    <w:tl2br w:val="nil"/>
                    <w:tr2bl w:val="nil"/>
                  </w:tcBorders>
                  <w:noWrap w:val="0"/>
                  <w:vAlign w:val="center"/>
                </w:tcPr>
                <w:p w14:paraId="045B5D48">
                  <w:pPr>
                    <w:pStyle w:val="80"/>
                    <w:spacing w:line="240" w:lineRule="auto"/>
                    <w:rPr>
                      <w:rFonts w:hint="eastAsia" w:eastAsia="宋体"/>
                      <w:color w:val="auto"/>
                      <w:lang w:val="en-US" w:eastAsia="zh-CN"/>
                    </w:rPr>
                  </w:pPr>
                  <w:r>
                    <w:rPr>
                      <w:rFonts w:hint="eastAsia" w:ascii="Times New Roman" w:hAnsi="Times New Roman" w:eastAsia="宋体" w:cs="Times New Roman"/>
                      <w:color w:val="auto"/>
                      <w:lang w:val="en-US" w:eastAsia="zh-CN"/>
                    </w:rPr>
                    <w:t>K387+580-K388+600、K413+360-K</w:t>
                  </w:r>
                  <w:r>
                    <w:rPr>
                      <w:rFonts w:ascii="Times New Roman" w:hAnsi="Times New Roman" w:eastAsia="宋体" w:cs="Times New Roman"/>
                      <w:color w:val="auto"/>
                      <w:lang w:val="zh-CN"/>
                    </w:rPr>
                    <w:t>414+953.7</w:t>
                  </w:r>
                  <w:r>
                    <w:rPr>
                      <w:rFonts w:hint="eastAsia"/>
                      <w:color w:val="auto"/>
                    </w:rPr>
                    <w:t>段</w:t>
                  </w:r>
                  <w:r>
                    <w:rPr>
                      <w:rFonts w:hint="eastAsia"/>
                      <w:color w:val="auto"/>
                      <w:lang w:val="en-US" w:eastAsia="zh-CN"/>
                    </w:rPr>
                    <w:t>占用</w:t>
                  </w:r>
                </w:p>
              </w:tc>
              <w:tc>
                <w:tcPr>
                  <w:tcW w:w="1714" w:type="pct"/>
                  <w:vMerge w:val="restart"/>
                  <w:tcBorders>
                    <w:tl2br w:val="nil"/>
                    <w:tr2bl w:val="nil"/>
                  </w:tcBorders>
                  <w:noWrap w:val="0"/>
                  <w:vAlign w:val="center"/>
                </w:tcPr>
                <w:p w14:paraId="199C9B96">
                  <w:pPr>
                    <w:pStyle w:val="80"/>
                    <w:spacing w:line="240" w:lineRule="auto"/>
                    <w:rPr>
                      <w:color w:val="auto"/>
                    </w:rPr>
                  </w:pPr>
                  <w:r>
                    <w:rPr>
                      <w:color w:val="auto"/>
                    </w:rPr>
                    <w:t>保护沿线植被的覆盖率、生物量、群落完整，尽量减少水土流失</w:t>
                  </w:r>
                </w:p>
              </w:tc>
            </w:tr>
            <w:tr w14:paraId="1062ED2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59795957">
                  <w:pPr>
                    <w:pStyle w:val="80"/>
                    <w:spacing w:line="240" w:lineRule="auto"/>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2</w:t>
                  </w:r>
                </w:p>
              </w:tc>
              <w:tc>
                <w:tcPr>
                  <w:tcW w:w="925" w:type="pct"/>
                  <w:tcBorders>
                    <w:tl2br w:val="nil"/>
                    <w:tr2bl w:val="nil"/>
                  </w:tcBorders>
                  <w:noWrap w:val="0"/>
                  <w:vAlign w:val="center"/>
                </w:tcPr>
                <w:p w14:paraId="055569AB">
                  <w:pPr>
                    <w:pStyle w:val="76"/>
                    <w:spacing w:line="240" w:lineRule="auto"/>
                    <w:ind w:left="0" w:leftChars="0" w:firstLine="0" w:firstLineChars="0"/>
                    <w:jc w:val="center"/>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黑龙江兴凯湖国家级自然保护区</w:t>
                  </w:r>
                </w:p>
              </w:tc>
              <w:tc>
                <w:tcPr>
                  <w:tcW w:w="1940" w:type="pct"/>
                  <w:tcBorders>
                    <w:tl2br w:val="nil"/>
                    <w:tr2bl w:val="nil"/>
                  </w:tcBorders>
                  <w:noWrap w:val="0"/>
                  <w:vAlign w:val="center"/>
                </w:tcPr>
                <w:p w14:paraId="091B6EF8">
                  <w:pPr>
                    <w:pStyle w:val="80"/>
                    <w:spacing w:line="240" w:lineRule="auto"/>
                    <w:jc w:val="center"/>
                    <w:rPr>
                      <w:rFonts w:hint="default" w:ascii="Times New Roman" w:hAnsi="Times New Roman" w:eastAsia="宋体" w:cs="Times New Roman"/>
                      <w:color w:val="auto"/>
                      <w:lang w:val="en-US" w:eastAsia="zh-CN"/>
                    </w:rPr>
                  </w:pPr>
                  <w:r>
                    <w:rPr>
                      <w:rFonts w:hint="eastAsia" w:eastAsia="宋体" w:cs="Times New Roman"/>
                      <w:color w:val="auto"/>
                      <w:lang w:val="en-US" w:eastAsia="zh-CN"/>
                    </w:rPr>
                    <w:t>道路终点距离</w:t>
                  </w:r>
                  <w:r>
                    <w:rPr>
                      <w:rFonts w:hint="eastAsia" w:ascii="Times New Roman" w:hAnsi="Times New Roman" w:eastAsia="宋体" w:cs="Times New Roman"/>
                      <w:b w:val="0"/>
                      <w:bCs/>
                      <w:snapToGrid w:val="0"/>
                      <w:color w:val="auto"/>
                      <w:kern w:val="2"/>
                      <w:sz w:val="21"/>
                      <w:szCs w:val="21"/>
                      <w:lang w:val="en-US" w:eastAsia="zh-CN" w:bidi="ar-SA"/>
                    </w:rPr>
                    <w:t>黑龙江兴凯湖国家级自然保护区</w:t>
                  </w:r>
                  <w:r>
                    <w:rPr>
                      <w:rFonts w:hint="eastAsia" w:eastAsia="宋体" w:cs="Times New Roman"/>
                      <w:b w:val="0"/>
                      <w:bCs/>
                      <w:snapToGrid w:val="0"/>
                      <w:color w:val="auto"/>
                      <w:kern w:val="2"/>
                      <w:sz w:val="21"/>
                      <w:szCs w:val="21"/>
                      <w:lang w:val="en-US" w:eastAsia="zh-CN" w:bidi="ar-SA"/>
                    </w:rPr>
                    <w:t>最近距离约为380m</w:t>
                  </w:r>
                </w:p>
              </w:tc>
              <w:tc>
                <w:tcPr>
                  <w:tcW w:w="1714" w:type="pct"/>
                  <w:vMerge w:val="continue"/>
                  <w:tcBorders>
                    <w:tl2br w:val="nil"/>
                    <w:tr2bl w:val="nil"/>
                  </w:tcBorders>
                  <w:noWrap w:val="0"/>
                  <w:vAlign w:val="center"/>
                </w:tcPr>
                <w:p w14:paraId="1F1677F4">
                  <w:pPr>
                    <w:pStyle w:val="80"/>
                    <w:spacing w:line="240" w:lineRule="auto"/>
                    <w:rPr>
                      <w:color w:val="auto"/>
                    </w:rPr>
                  </w:pPr>
                </w:p>
              </w:tc>
            </w:tr>
            <w:tr w14:paraId="45318EF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5947476F">
                  <w:pPr>
                    <w:pStyle w:val="80"/>
                    <w:spacing w:line="240" w:lineRule="auto"/>
                    <w:rPr>
                      <w:rFonts w:hint="default" w:ascii="Times New Roman" w:hAnsi="Times New Roman" w:eastAsia="宋体" w:cs="Times New Roman"/>
                      <w:b w:val="0"/>
                      <w:bCs/>
                      <w:snapToGrid w:val="0"/>
                      <w:color w:val="auto"/>
                      <w:kern w:val="2"/>
                      <w:sz w:val="21"/>
                      <w:szCs w:val="21"/>
                      <w:lang w:val="en-US" w:eastAsia="zh-CN" w:bidi="ar-SA"/>
                    </w:rPr>
                  </w:pPr>
                  <w:r>
                    <w:rPr>
                      <w:rFonts w:hint="eastAsia" w:eastAsia="宋体" w:cs="Times New Roman"/>
                      <w:b w:val="0"/>
                      <w:bCs/>
                      <w:snapToGrid w:val="0"/>
                      <w:color w:val="auto"/>
                      <w:kern w:val="2"/>
                      <w:sz w:val="21"/>
                      <w:szCs w:val="21"/>
                      <w:lang w:val="en-US" w:eastAsia="zh-CN" w:bidi="ar-SA"/>
                    </w:rPr>
                    <w:t>3</w:t>
                  </w:r>
                </w:p>
              </w:tc>
              <w:tc>
                <w:tcPr>
                  <w:tcW w:w="925" w:type="pct"/>
                  <w:tcBorders>
                    <w:tl2br w:val="nil"/>
                    <w:tr2bl w:val="nil"/>
                  </w:tcBorders>
                  <w:noWrap w:val="0"/>
                  <w:vAlign w:val="center"/>
                </w:tcPr>
                <w:p w14:paraId="41A75860">
                  <w:pPr>
                    <w:pStyle w:val="76"/>
                    <w:spacing w:line="240" w:lineRule="auto"/>
                    <w:ind w:left="0" w:leftChars="0" w:firstLine="0" w:firstLineChars="0"/>
                    <w:jc w:val="center"/>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兴凯湖风景名胜区</w:t>
                  </w:r>
                </w:p>
              </w:tc>
              <w:tc>
                <w:tcPr>
                  <w:tcW w:w="1940" w:type="pct"/>
                  <w:tcBorders>
                    <w:tl2br w:val="nil"/>
                    <w:tr2bl w:val="nil"/>
                  </w:tcBorders>
                  <w:noWrap w:val="0"/>
                  <w:vAlign w:val="center"/>
                </w:tcPr>
                <w:p w14:paraId="193E9DF1">
                  <w:pPr>
                    <w:pStyle w:val="80"/>
                    <w:spacing w:line="240" w:lineRule="auto"/>
                    <w:rPr>
                      <w:rFonts w:hint="eastAsia" w:ascii="Times New Roman" w:hAnsi="Times New Roman" w:eastAsia="宋体" w:cs="Times New Roman"/>
                      <w:color w:val="auto"/>
                      <w:lang w:val="en-US" w:eastAsia="zh-CN"/>
                    </w:rPr>
                  </w:pPr>
                  <w:r>
                    <w:rPr>
                      <w:rFonts w:hint="eastAsia" w:eastAsia="宋体" w:cs="Times New Roman"/>
                      <w:color w:val="auto"/>
                      <w:lang w:val="en-US" w:eastAsia="zh-CN"/>
                    </w:rPr>
                    <w:t>道路终点距离</w:t>
                  </w:r>
                  <w:r>
                    <w:rPr>
                      <w:rFonts w:hint="eastAsia" w:ascii="Times New Roman" w:hAnsi="Times New Roman" w:eastAsia="宋体" w:cs="Times New Roman"/>
                      <w:b w:val="0"/>
                      <w:bCs/>
                      <w:snapToGrid w:val="0"/>
                      <w:color w:val="auto"/>
                      <w:kern w:val="2"/>
                      <w:sz w:val="21"/>
                      <w:szCs w:val="21"/>
                      <w:lang w:val="en-US" w:eastAsia="zh-CN" w:bidi="ar-SA"/>
                    </w:rPr>
                    <w:t>兴凯湖</w:t>
                  </w:r>
                  <w:r>
                    <w:rPr>
                      <w:rFonts w:hint="eastAsia" w:eastAsia="宋体" w:cs="Times New Roman"/>
                      <w:b w:val="0"/>
                      <w:bCs/>
                      <w:snapToGrid w:val="0"/>
                      <w:color w:val="auto"/>
                      <w:kern w:val="2"/>
                      <w:sz w:val="21"/>
                      <w:szCs w:val="21"/>
                      <w:lang w:val="en-US" w:eastAsia="zh-CN" w:bidi="ar-SA"/>
                    </w:rPr>
                    <w:t>风景名胜区最近距离约为190m</w:t>
                  </w:r>
                </w:p>
              </w:tc>
              <w:tc>
                <w:tcPr>
                  <w:tcW w:w="1714" w:type="pct"/>
                  <w:vMerge w:val="continue"/>
                  <w:tcBorders>
                    <w:tl2br w:val="nil"/>
                    <w:tr2bl w:val="nil"/>
                  </w:tcBorders>
                  <w:noWrap w:val="0"/>
                  <w:vAlign w:val="center"/>
                </w:tcPr>
                <w:p w14:paraId="53432D63">
                  <w:pPr>
                    <w:pStyle w:val="80"/>
                    <w:spacing w:line="240" w:lineRule="auto"/>
                    <w:rPr>
                      <w:color w:val="auto"/>
                    </w:rPr>
                  </w:pPr>
                </w:p>
              </w:tc>
            </w:tr>
            <w:tr w14:paraId="2708770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6E251C3E">
                  <w:pPr>
                    <w:pStyle w:val="80"/>
                    <w:spacing w:line="240" w:lineRule="auto"/>
                    <w:rPr>
                      <w:rFonts w:hint="default" w:ascii="Times New Roman" w:hAnsi="Times New Roman" w:eastAsia="宋体" w:cs="Times New Roman"/>
                      <w:b w:val="0"/>
                      <w:bCs/>
                      <w:snapToGrid w:val="0"/>
                      <w:color w:val="auto"/>
                      <w:kern w:val="2"/>
                      <w:sz w:val="21"/>
                      <w:szCs w:val="21"/>
                      <w:lang w:val="en-US" w:eastAsia="zh-CN" w:bidi="ar-SA"/>
                    </w:rPr>
                  </w:pPr>
                  <w:r>
                    <w:rPr>
                      <w:rFonts w:hint="eastAsia" w:eastAsia="宋体" w:cs="Times New Roman"/>
                      <w:b w:val="0"/>
                      <w:bCs/>
                      <w:snapToGrid w:val="0"/>
                      <w:color w:val="auto"/>
                      <w:kern w:val="2"/>
                      <w:sz w:val="21"/>
                      <w:szCs w:val="21"/>
                      <w:lang w:val="en-US" w:eastAsia="zh-CN" w:bidi="ar-SA"/>
                    </w:rPr>
                    <w:t>4</w:t>
                  </w:r>
                </w:p>
              </w:tc>
              <w:tc>
                <w:tcPr>
                  <w:tcW w:w="925" w:type="pct"/>
                  <w:tcBorders>
                    <w:tl2br w:val="nil"/>
                    <w:tr2bl w:val="nil"/>
                  </w:tcBorders>
                  <w:noWrap w:val="0"/>
                  <w:vAlign w:val="center"/>
                </w:tcPr>
                <w:p w14:paraId="52F31C16">
                  <w:pPr>
                    <w:pStyle w:val="76"/>
                    <w:spacing w:line="240" w:lineRule="auto"/>
                    <w:ind w:left="0" w:leftChars="0" w:firstLine="0" w:firstLineChars="0"/>
                    <w:jc w:val="center"/>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生态保护红线</w:t>
                  </w:r>
                </w:p>
              </w:tc>
              <w:tc>
                <w:tcPr>
                  <w:tcW w:w="1940" w:type="pct"/>
                  <w:tcBorders>
                    <w:tl2br w:val="nil"/>
                    <w:tr2bl w:val="nil"/>
                  </w:tcBorders>
                  <w:noWrap w:val="0"/>
                  <w:vAlign w:val="center"/>
                </w:tcPr>
                <w:p w14:paraId="2232708D">
                  <w:pPr>
                    <w:pStyle w:val="80"/>
                    <w:spacing w:line="240" w:lineRule="auto"/>
                    <w:rPr>
                      <w:rFonts w:hint="default" w:ascii="Times New Roman" w:hAnsi="Times New Roman" w:eastAsia="宋体" w:cs="Times New Roman"/>
                      <w:color w:val="auto"/>
                      <w:lang w:val="en-US" w:eastAsia="zh-CN"/>
                    </w:rPr>
                  </w:pPr>
                  <w:r>
                    <w:rPr>
                      <w:rFonts w:hint="eastAsia" w:eastAsia="宋体" w:cs="Times New Roman"/>
                      <w:color w:val="auto"/>
                      <w:lang w:val="en-US" w:eastAsia="zh-CN"/>
                    </w:rPr>
                    <w:t>K398+140路段距离生态红线较近，最近距离约为200m</w:t>
                  </w:r>
                </w:p>
              </w:tc>
              <w:tc>
                <w:tcPr>
                  <w:tcW w:w="1714" w:type="pct"/>
                  <w:vMerge w:val="continue"/>
                  <w:tcBorders>
                    <w:tl2br w:val="nil"/>
                    <w:tr2bl w:val="nil"/>
                  </w:tcBorders>
                  <w:noWrap w:val="0"/>
                  <w:vAlign w:val="center"/>
                </w:tcPr>
                <w:p w14:paraId="303ACEFA">
                  <w:pPr>
                    <w:pStyle w:val="80"/>
                    <w:spacing w:line="240" w:lineRule="auto"/>
                    <w:rPr>
                      <w:color w:val="auto"/>
                    </w:rPr>
                  </w:pPr>
                </w:p>
              </w:tc>
            </w:tr>
            <w:tr w14:paraId="3EF0E4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blHeader/>
                <w:jc w:val="center"/>
              </w:trPr>
              <w:tc>
                <w:tcPr>
                  <w:tcW w:w="419" w:type="pct"/>
                  <w:tcBorders>
                    <w:tl2br w:val="nil"/>
                    <w:tr2bl w:val="nil"/>
                  </w:tcBorders>
                  <w:noWrap w:val="0"/>
                  <w:vAlign w:val="center"/>
                </w:tcPr>
                <w:p w14:paraId="6E53A942">
                  <w:pPr>
                    <w:pStyle w:val="80"/>
                    <w:spacing w:line="240" w:lineRule="auto"/>
                    <w:rPr>
                      <w:rFonts w:hint="eastAsia" w:ascii="Times New Roman" w:hAnsi="Times New Roman" w:eastAsia="宋体" w:cs="Times New Roman"/>
                      <w:b w:val="0"/>
                      <w:bCs/>
                      <w:snapToGrid w:val="0"/>
                      <w:color w:val="auto"/>
                      <w:kern w:val="2"/>
                      <w:sz w:val="21"/>
                      <w:szCs w:val="21"/>
                      <w:lang w:val="en-US" w:eastAsia="zh-CN" w:bidi="ar-SA"/>
                    </w:rPr>
                  </w:pPr>
                  <w:r>
                    <w:rPr>
                      <w:rFonts w:hint="eastAsia" w:eastAsia="宋体" w:cs="Times New Roman"/>
                      <w:b w:val="0"/>
                      <w:bCs/>
                      <w:snapToGrid w:val="0"/>
                      <w:color w:val="auto"/>
                      <w:kern w:val="2"/>
                      <w:sz w:val="21"/>
                      <w:szCs w:val="21"/>
                      <w:lang w:val="en-US" w:eastAsia="zh-CN" w:bidi="ar-SA"/>
                    </w:rPr>
                    <w:t>5</w:t>
                  </w:r>
                </w:p>
              </w:tc>
              <w:tc>
                <w:tcPr>
                  <w:tcW w:w="925" w:type="pct"/>
                  <w:tcBorders>
                    <w:tl2br w:val="nil"/>
                    <w:tr2bl w:val="nil"/>
                  </w:tcBorders>
                  <w:noWrap w:val="0"/>
                  <w:vAlign w:val="center"/>
                </w:tcPr>
                <w:p w14:paraId="67B4BA28">
                  <w:pPr>
                    <w:pStyle w:val="80"/>
                    <w:spacing w:line="240" w:lineRule="auto"/>
                    <w:outlineLvl w:val="9"/>
                    <w:rPr>
                      <w:rFonts w:hint="eastAsia" w:ascii="Times New Roman" w:hAnsi="Times New Roman" w:eastAsia="宋体" w:cs="Times New Roman"/>
                      <w:b w:val="0"/>
                      <w:bCs/>
                      <w:snapToGrid w:val="0"/>
                      <w:color w:val="auto"/>
                      <w:kern w:val="2"/>
                      <w:sz w:val="21"/>
                      <w:szCs w:val="21"/>
                      <w:lang w:val="en-US" w:eastAsia="zh-CN" w:bidi="ar-SA"/>
                    </w:rPr>
                  </w:pPr>
                  <w:r>
                    <w:rPr>
                      <w:rFonts w:hint="eastAsia" w:ascii="Times New Roman" w:hAnsi="Times New Roman" w:eastAsia="宋体" w:cs="Times New Roman"/>
                      <w:b w:val="0"/>
                      <w:bCs/>
                      <w:snapToGrid w:val="0"/>
                      <w:color w:val="auto"/>
                      <w:kern w:val="2"/>
                      <w:sz w:val="21"/>
                      <w:szCs w:val="21"/>
                      <w:lang w:val="en-US" w:eastAsia="zh-CN" w:bidi="ar-SA"/>
                    </w:rPr>
                    <w:t>陆生生态系统</w:t>
                  </w:r>
                </w:p>
              </w:tc>
              <w:tc>
                <w:tcPr>
                  <w:tcW w:w="1940" w:type="pct"/>
                  <w:tcBorders>
                    <w:tl2br w:val="nil"/>
                    <w:tr2bl w:val="nil"/>
                  </w:tcBorders>
                  <w:noWrap w:val="0"/>
                  <w:vAlign w:val="center"/>
                </w:tcPr>
                <w:p w14:paraId="78564AEA">
                  <w:pPr>
                    <w:pStyle w:val="80"/>
                    <w:spacing w:line="240" w:lineRule="auto"/>
                    <w:rPr>
                      <w:rFonts w:hint="eastAsia"/>
                      <w:color w:val="auto"/>
                    </w:rPr>
                  </w:pPr>
                  <w:r>
                    <w:rPr>
                      <w:color w:val="auto"/>
                    </w:rPr>
                    <w:t>全线涉及</w:t>
                  </w:r>
                </w:p>
              </w:tc>
              <w:tc>
                <w:tcPr>
                  <w:tcW w:w="1714" w:type="pct"/>
                  <w:vMerge w:val="continue"/>
                  <w:tcBorders>
                    <w:tl2br w:val="nil"/>
                    <w:tr2bl w:val="nil"/>
                  </w:tcBorders>
                  <w:noWrap w:val="0"/>
                  <w:vAlign w:val="center"/>
                </w:tcPr>
                <w:p w14:paraId="77C5CECB">
                  <w:pPr>
                    <w:pStyle w:val="80"/>
                    <w:spacing w:line="240" w:lineRule="auto"/>
                    <w:rPr>
                      <w:color w:val="auto"/>
                    </w:rPr>
                  </w:pPr>
                </w:p>
              </w:tc>
            </w:tr>
            <w:tr w14:paraId="61AD7CB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trHeight w:val="397" w:hRule="atLeast"/>
                <w:tblHeader/>
                <w:jc w:val="center"/>
              </w:trPr>
              <w:tc>
                <w:tcPr>
                  <w:tcW w:w="419" w:type="pct"/>
                  <w:tcBorders>
                    <w:tl2br w:val="nil"/>
                    <w:tr2bl w:val="nil"/>
                  </w:tcBorders>
                  <w:noWrap w:val="0"/>
                  <w:vAlign w:val="center"/>
                </w:tcPr>
                <w:p w14:paraId="3541984C">
                  <w:pPr>
                    <w:pStyle w:val="80"/>
                    <w:spacing w:line="240" w:lineRule="auto"/>
                    <w:rPr>
                      <w:rFonts w:hint="eastAsia" w:eastAsia="宋体"/>
                      <w:color w:val="auto"/>
                      <w:lang w:eastAsia="zh-CN"/>
                    </w:rPr>
                  </w:pPr>
                  <w:r>
                    <w:rPr>
                      <w:rFonts w:hint="eastAsia"/>
                      <w:color w:val="auto"/>
                      <w:lang w:val="en-US" w:eastAsia="zh-CN"/>
                    </w:rPr>
                    <w:t>6</w:t>
                  </w:r>
                </w:p>
              </w:tc>
              <w:tc>
                <w:tcPr>
                  <w:tcW w:w="925" w:type="pct"/>
                  <w:tcBorders>
                    <w:tl2br w:val="nil"/>
                    <w:tr2bl w:val="nil"/>
                  </w:tcBorders>
                  <w:noWrap w:val="0"/>
                  <w:vAlign w:val="center"/>
                </w:tcPr>
                <w:p w14:paraId="0AAF848D">
                  <w:pPr>
                    <w:pStyle w:val="80"/>
                    <w:spacing w:line="240" w:lineRule="auto"/>
                    <w:rPr>
                      <w:color w:val="auto"/>
                    </w:rPr>
                  </w:pPr>
                  <w:r>
                    <w:rPr>
                      <w:color w:val="auto"/>
                    </w:rPr>
                    <w:t>景观</w:t>
                  </w:r>
                </w:p>
              </w:tc>
              <w:tc>
                <w:tcPr>
                  <w:tcW w:w="1940" w:type="pct"/>
                  <w:tcBorders>
                    <w:tl2br w:val="nil"/>
                    <w:tr2bl w:val="nil"/>
                  </w:tcBorders>
                  <w:noWrap w:val="0"/>
                  <w:vAlign w:val="center"/>
                </w:tcPr>
                <w:p w14:paraId="5896082F">
                  <w:pPr>
                    <w:pStyle w:val="80"/>
                    <w:spacing w:line="240" w:lineRule="auto"/>
                    <w:rPr>
                      <w:color w:val="auto"/>
                    </w:rPr>
                  </w:pPr>
                  <w:r>
                    <w:rPr>
                      <w:color w:val="auto"/>
                    </w:rPr>
                    <w:t>全线涉及</w:t>
                  </w:r>
                </w:p>
              </w:tc>
              <w:tc>
                <w:tcPr>
                  <w:tcW w:w="1714" w:type="pct"/>
                  <w:tcBorders>
                    <w:tl2br w:val="nil"/>
                    <w:tr2bl w:val="nil"/>
                  </w:tcBorders>
                  <w:noWrap w:val="0"/>
                  <w:vAlign w:val="center"/>
                </w:tcPr>
                <w:p w14:paraId="401C9B67">
                  <w:pPr>
                    <w:pStyle w:val="80"/>
                    <w:spacing w:line="240" w:lineRule="auto"/>
                    <w:rPr>
                      <w:color w:val="auto"/>
                    </w:rPr>
                  </w:pPr>
                  <w:r>
                    <w:rPr>
                      <w:color w:val="auto"/>
                    </w:rPr>
                    <w:t>线路保护措施与沿线景观的协调保护</w:t>
                  </w:r>
                </w:p>
              </w:tc>
            </w:tr>
          </w:tbl>
          <w:p w14:paraId="1E6DE7A1">
            <w:pPr>
              <w:pStyle w:val="76"/>
              <w:rPr>
                <w:color w:val="auto"/>
              </w:rPr>
            </w:pPr>
            <w:r>
              <w:rPr>
                <w:color w:val="auto"/>
              </w:rPr>
              <w:t>（</w:t>
            </w:r>
            <w:r>
              <w:rPr>
                <w:rFonts w:hint="eastAsia"/>
                <w:color w:val="auto"/>
                <w:lang w:val="en-US" w:eastAsia="zh-CN"/>
              </w:rPr>
              <w:t>5</w:t>
            </w:r>
            <w:r>
              <w:rPr>
                <w:color w:val="auto"/>
              </w:rPr>
              <w:t>）声环境</w:t>
            </w:r>
          </w:p>
          <w:p w14:paraId="3BB5212A">
            <w:pPr>
              <w:pStyle w:val="76"/>
              <w:rPr>
                <w:rFonts w:hint="eastAsia"/>
                <w:color w:val="auto"/>
              </w:rPr>
            </w:pPr>
            <w:r>
              <w:rPr>
                <w:color w:val="auto"/>
              </w:rPr>
              <w:t>本项目沿线声环境保护目标为公路中心线两侧200m范围内以居住、医疗卫生、文化、教育、科研、行政办公为主要功能的区域，通过对评价范围内人群分布等情况进行调查，确定为本项目评价范围内具有代表性的声环境主要环境保护目标情详见表</w:t>
            </w:r>
            <w:r>
              <w:rPr>
                <w:rFonts w:hint="eastAsia"/>
                <w:color w:val="auto"/>
              </w:rPr>
              <w:t>3-</w:t>
            </w:r>
            <w:r>
              <w:rPr>
                <w:rFonts w:hint="eastAsia"/>
                <w:color w:val="auto"/>
                <w:lang w:val="en-US" w:eastAsia="zh-CN"/>
              </w:rPr>
              <w:t>3</w:t>
            </w:r>
            <w:r>
              <w:rPr>
                <w:color w:val="auto"/>
              </w:rPr>
              <w:t>。</w:t>
            </w:r>
          </w:p>
        </w:tc>
      </w:tr>
    </w:tbl>
    <w:p w14:paraId="22536C74">
      <w:pPr>
        <w:rPr>
          <w:color w:val="auto"/>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14:paraId="41A70736">
      <w:pPr>
        <w:pStyle w:val="72"/>
        <w:rPr>
          <w:rFonts w:hint="eastAsia" w:ascii="宋体" w:hAnsi="宋体" w:eastAsia="宋体" w:cs="宋体"/>
          <w:color w:val="auto"/>
        </w:rPr>
      </w:pPr>
      <w:r>
        <w:rPr>
          <w:rFonts w:hint="eastAsia" w:ascii="宋体" w:hAnsi="宋体" w:eastAsia="宋体" w:cs="宋体"/>
          <w:color w:val="auto"/>
        </w:rPr>
        <w:t>表</w:t>
      </w:r>
      <w:r>
        <w:rPr>
          <w:rFonts w:hint="eastAsia" w:ascii="宋体" w:hAnsi="宋体" w:eastAsia="宋体" w:cs="宋体"/>
          <w:color w:val="auto"/>
          <w:lang w:val="en-US" w:eastAsia="zh-CN"/>
        </w:rPr>
        <w:t>3</w:t>
      </w:r>
      <w:r>
        <w:rPr>
          <w:rFonts w:hint="eastAsia" w:ascii="宋体" w:hAnsi="宋体" w:eastAsia="宋体" w:cs="宋体"/>
          <w:color w:val="auto"/>
        </w:rPr>
        <w:t>-</w:t>
      </w:r>
      <w:r>
        <w:rPr>
          <w:rFonts w:hint="eastAsia" w:ascii="宋体" w:hAnsi="宋体" w:eastAsia="宋体" w:cs="宋体"/>
          <w:color w:val="auto"/>
          <w:lang w:val="en-US" w:eastAsia="zh-CN"/>
        </w:rPr>
        <w:t>3</w:t>
      </w:r>
      <w:r>
        <w:rPr>
          <w:rFonts w:hint="eastAsia" w:ascii="宋体" w:hAnsi="宋体" w:eastAsia="宋体" w:cs="宋体"/>
          <w:color w:val="auto"/>
        </w:rPr>
        <w:t xml:space="preserve"> </w:t>
      </w:r>
      <w:r>
        <w:rPr>
          <w:rFonts w:hint="eastAsia" w:ascii="宋体" w:hAnsi="宋体" w:eastAsia="宋体" w:cs="宋体"/>
          <w:color w:val="auto"/>
          <w:lang w:val="en-US" w:eastAsia="zh-CN"/>
        </w:rPr>
        <w:t xml:space="preserve"> </w:t>
      </w:r>
      <w:r>
        <w:rPr>
          <w:rFonts w:hint="eastAsia" w:ascii="宋体" w:hAnsi="宋体" w:eastAsia="宋体" w:cs="宋体"/>
          <w:color w:val="auto"/>
        </w:rPr>
        <w:t>声环境保护目标表</w:t>
      </w:r>
    </w:p>
    <w:tbl>
      <w:tblPr>
        <w:tblStyle w:val="31"/>
        <w:tblW w:w="4998"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73"/>
        <w:gridCol w:w="651"/>
        <w:gridCol w:w="716"/>
        <w:gridCol w:w="372"/>
        <w:gridCol w:w="372"/>
        <w:gridCol w:w="502"/>
        <w:gridCol w:w="390"/>
        <w:gridCol w:w="491"/>
        <w:gridCol w:w="390"/>
        <w:gridCol w:w="445"/>
        <w:gridCol w:w="874"/>
        <w:gridCol w:w="4479"/>
        <w:gridCol w:w="4114"/>
      </w:tblGrid>
      <w:tr w14:paraId="18A40B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80" w:hRule="atLeast"/>
          <w:tblHeader/>
        </w:trPr>
        <w:tc>
          <w:tcPr>
            <w:tcW w:w="131" w:type="pct"/>
            <w:tcBorders>
              <w:tl2br w:val="nil"/>
              <w:tr2bl w:val="nil"/>
            </w:tcBorders>
            <w:noWrap w:val="0"/>
            <w:vAlign w:val="center"/>
          </w:tcPr>
          <w:p w14:paraId="1C0FC89A">
            <w:pPr>
              <w:pStyle w:val="68"/>
              <w:spacing w:line="240" w:lineRule="exact"/>
              <w:rPr>
                <w:color w:val="auto"/>
                <w:spacing w:val="-10"/>
                <w:sz w:val="18"/>
                <w:szCs w:val="18"/>
              </w:rPr>
            </w:pPr>
            <w:r>
              <w:rPr>
                <w:color w:val="auto"/>
                <w:spacing w:val="-10"/>
                <w:sz w:val="18"/>
                <w:szCs w:val="18"/>
              </w:rPr>
              <w:t>序号</w:t>
            </w:r>
          </w:p>
        </w:tc>
        <w:tc>
          <w:tcPr>
            <w:tcW w:w="229" w:type="pct"/>
            <w:tcBorders>
              <w:tl2br w:val="nil"/>
              <w:tr2bl w:val="nil"/>
            </w:tcBorders>
            <w:noWrap w:val="0"/>
            <w:vAlign w:val="center"/>
          </w:tcPr>
          <w:p w14:paraId="3C2576A0">
            <w:pPr>
              <w:pStyle w:val="68"/>
              <w:spacing w:line="240" w:lineRule="exact"/>
              <w:rPr>
                <w:color w:val="auto"/>
                <w:spacing w:val="-10"/>
                <w:sz w:val="18"/>
                <w:szCs w:val="18"/>
              </w:rPr>
            </w:pPr>
            <w:r>
              <w:rPr>
                <w:color w:val="auto"/>
                <w:spacing w:val="-10"/>
                <w:sz w:val="18"/>
                <w:szCs w:val="18"/>
              </w:rPr>
              <w:t>名称</w:t>
            </w:r>
          </w:p>
        </w:tc>
        <w:tc>
          <w:tcPr>
            <w:tcW w:w="252" w:type="pct"/>
            <w:tcBorders>
              <w:tl2br w:val="nil"/>
              <w:tr2bl w:val="nil"/>
            </w:tcBorders>
            <w:noWrap w:val="0"/>
            <w:vAlign w:val="center"/>
          </w:tcPr>
          <w:p w14:paraId="2187BC9F">
            <w:pPr>
              <w:pStyle w:val="68"/>
              <w:spacing w:line="240" w:lineRule="exact"/>
              <w:rPr>
                <w:color w:val="auto"/>
                <w:spacing w:val="-10"/>
                <w:sz w:val="18"/>
                <w:szCs w:val="18"/>
              </w:rPr>
            </w:pPr>
            <w:r>
              <w:rPr>
                <w:color w:val="auto"/>
                <w:spacing w:val="-10"/>
                <w:sz w:val="18"/>
                <w:szCs w:val="18"/>
              </w:rPr>
              <w:t>里程范围</w:t>
            </w:r>
          </w:p>
        </w:tc>
        <w:tc>
          <w:tcPr>
            <w:tcW w:w="131" w:type="pct"/>
            <w:tcBorders>
              <w:tl2br w:val="nil"/>
              <w:tr2bl w:val="nil"/>
            </w:tcBorders>
            <w:noWrap w:val="0"/>
            <w:vAlign w:val="center"/>
          </w:tcPr>
          <w:p w14:paraId="671EF726">
            <w:pPr>
              <w:pStyle w:val="68"/>
              <w:spacing w:line="240" w:lineRule="exact"/>
              <w:rPr>
                <w:color w:val="auto"/>
                <w:spacing w:val="-10"/>
                <w:sz w:val="18"/>
                <w:szCs w:val="18"/>
              </w:rPr>
            </w:pPr>
            <w:r>
              <w:rPr>
                <w:color w:val="auto"/>
                <w:spacing w:val="-10"/>
                <w:sz w:val="18"/>
                <w:szCs w:val="18"/>
              </w:rPr>
              <w:t>线路形式</w:t>
            </w:r>
          </w:p>
        </w:tc>
        <w:tc>
          <w:tcPr>
            <w:tcW w:w="131" w:type="pct"/>
            <w:tcBorders>
              <w:tl2br w:val="nil"/>
              <w:tr2bl w:val="nil"/>
            </w:tcBorders>
            <w:noWrap w:val="0"/>
            <w:vAlign w:val="center"/>
          </w:tcPr>
          <w:p w14:paraId="433F4615">
            <w:pPr>
              <w:pStyle w:val="68"/>
              <w:spacing w:line="240" w:lineRule="exact"/>
              <w:rPr>
                <w:color w:val="auto"/>
                <w:spacing w:val="-10"/>
                <w:sz w:val="18"/>
                <w:szCs w:val="18"/>
              </w:rPr>
            </w:pPr>
            <w:r>
              <w:rPr>
                <w:color w:val="auto"/>
                <w:spacing w:val="-10"/>
                <w:sz w:val="18"/>
                <w:szCs w:val="18"/>
              </w:rPr>
              <w:t>方位</w:t>
            </w:r>
          </w:p>
        </w:tc>
        <w:tc>
          <w:tcPr>
            <w:tcW w:w="177" w:type="pct"/>
            <w:tcBorders>
              <w:tl2br w:val="nil"/>
              <w:tr2bl w:val="nil"/>
            </w:tcBorders>
            <w:noWrap w:val="0"/>
            <w:vAlign w:val="center"/>
          </w:tcPr>
          <w:p w14:paraId="0DED1902">
            <w:pPr>
              <w:pStyle w:val="68"/>
              <w:spacing w:line="240" w:lineRule="exact"/>
              <w:rPr>
                <w:rFonts w:hint="eastAsia" w:ascii="Times New Roman" w:hAnsi="Times New Roman" w:eastAsia="宋体" w:cs="Times New Roman"/>
                <w:color w:val="auto"/>
                <w:spacing w:val="-10"/>
                <w:sz w:val="18"/>
                <w:szCs w:val="18"/>
              </w:rPr>
            </w:pPr>
            <w:r>
              <w:rPr>
                <w:rFonts w:hint="eastAsia" w:ascii="Times New Roman" w:hAnsi="Times New Roman" w:eastAsia="宋体" w:cs="Times New Roman"/>
                <w:color w:val="auto"/>
                <w:spacing w:val="-10"/>
                <w:sz w:val="18"/>
                <w:szCs w:val="18"/>
              </w:rPr>
              <w:t>与路面高差m</w:t>
            </w:r>
          </w:p>
        </w:tc>
        <w:tc>
          <w:tcPr>
            <w:tcW w:w="137" w:type="pct"/>
            <w:tcBorders>
              <w:tl2br w:val="nil"/>
              <w:tr2bl w:val="nil"/>
            </w:tcBorders>
            <w:noWrap w:val="0"/>
            <w:vAlign w:val="center"/>
          </w:tcPr>
          <w:p w14:paraId="534C8207">
            <w:pPr>
              <w:pStyle w:val="68"/>
              <w:spacing w:line="240" w:lineRule="exact"/>
              <w:rPr>
                <w:rFonts w:hint="eastAsia" w:ascii="Times New Roman" w:hAnsi="Times New Roman" w:eastAsia="宋体" w:cs="Times New Roman"/>
                <w:color w:val="auto"/>
                <w:spacing w:val="-10"/>
                <w:sz w:val="18"/>
                <w:szCs w:val="18"/>
              </w:rPr>
            </w:pPr>
            <w:r>
              <w:rPr>
                <w:rFonts w:hint="eastAsia" w:ascii="Times New Roman" w:hAnsi="Times New Roman" w:eastAsia="宋体" w:cs="Times New Roman"/>
                <w:color w:val="auto"/>
                <w:spacing w:val="-10"/>
                <w:sz w:val="18"/>
                <w:szCs w:val="18"/>
              </w:rPr>
              <w:t>距边界</w:t>
            </w:r>
            <w:r>
              <w:rPr>
                <w:rFonts w:hint="default" w:ascii="Times New Roman" w:hAnsi="Times New Roman" w:eastAsia="宋体" w:cs="Times New Roman"/>
                <w:color w:val="auto"/>
                <w:spacing w:val="-10"/>
                <w:sz w:val="18"/>
                <w:szCs w:val="18"/>
              </w:rPr>
              <w:t>（红线）</w:t>
            </w:r>
            <w:r>
              <w:rPr>
                <w:rFonts w:hint="eastAsia" w:ascii="Times New Roman" w:hAnsi="Times New Roman" w:eastAsia="宋体" w:cs="Times New Roman"/>
                <w:color w:val="auto"/>
                <w:spacing w:val="-10"/>
                <w:sz w:val="18"/>
                <w:szCs w:val="18"/>
              </w:rPr>
              <w:t>距离/m</w:t>
            </w:r>
          </w:p>
        </w:tc>
        <w:tc>
          <w:tcPr>
            <w:tcW w:w="173" w:type="pct"/>
            <w:tcBorders>
              <w:tl2br w:val="nil"/>
              <w:tr2bl w:val="nil"/>
            </w:tcBorders>
            <w:noWrap w:val="0"/>
            <w:vAlign w:val="center"/>
          </w:tcPr>
          <w:p w14:paraId="1B19BDE2">
            <w:pPr>
              <w:pStyle w:val="68"/>
              <w:spacing w:line="240" w:lineRule="exact"/>
              <w:rPr>
                <w:rFonts w:hint="eastAsia"/>
                <w:color w:val="auto"/>
                <w:spacing w:val="-10"/>
                <w:sz w:val="18"/>
                <w:szCs w:val="18"/>
              </w:rPr>
            </w:pPr>
            <w:r>
              <w:rPr>
                <w:rFonts w:hint="eastAsia"/>
                <w:color w:val="auto"/>
                <w:spacing w:val="-10"/>
                <w:sz w:val="18"/>
                <w:szCs w:val="18"/>
              </w:rPr>
              <w:t>距中心线距离/m</w:t>
            </w:r>
          </w:p>
        </w:tc>
        <w:tc>
          <w:tcPr>
            <w:tcW w:w="137" w:type="pct"/>
            <w:tcBorders>
              <w:tl2br w:val="nil"/>
              <w:tr2bl w:val="nil"/>
            </w:tcBorders>
            <w:noWrap w:val="0"/>
            <w:vAlign w:val="center"/>
          </w:tcPr>
          <w:p w14:paraId="39F04F74">
            <w:pPr>
              <w:pStyle w:val="68"/>
              <w:spacing w:line="240" w:lineRule="exact"/>
              <w:rPr>
                <w:color w:val="auto"/>
                <w:spacing w:val="-10"/>
                <w:sz w:val="18"/>
                <w:szCs w:val="18"/>
              </w:rPr>
            </w:pPr>
            <w:r>
              <w:rPr>
                <w:rFonts w:hint="eastAsia"/>
                <w:color w:val="auto"/>
                <w:spacing w:val="-10"/>
                <w:sz w:val="18"/>
                <w:szCs w:val="18"/>
              </w:rPr>
              <w:t>4a类</w:t>
            </w:r>
            <w:r>
              <w:rPr>
                <w:color w:val="auto"/>
                <w:spacing w:val="-10"/>
                <w:sz w:val="18"/>
                <w:szCs w:val="18"/>
              </w:rPr>
              <w:t>功能区户数</w:t>
            </w:r>
          </w:p>
        </w:tc>
        <w:tc>
          <w:tcPr>
            <w:tcW w:w="157" w:type="pct"/>
            <w:tcBorders>
              <w:tl2br w:val="nil"/>
              <w:tr2bl w:val="nil"/>
            </w:tcBorders>
            <w:noWrap w:val="0"/>
            <w:vAlign w:val="center"/>
          </w:tcPr>
          <w:p w14:paraId="6CF4BA14">
            <w:pPr>
              <w:pStyle w:val="68"/>
              <w:spacing w:line="240" w:lineRule="exact"/>
              <w:rPr>
                <w:color w:val="auto"/>
                <w:spacing w:val="-10"/>
                <w:sz w:val="18"/>
                <w:szCs w:val="18"/>
              </w:rPr>
            </w:pPr>
            <w:r>
              <w:rPr>
                <w:rFonts w:hint="eastAsia"/>
                <w:color w:val="auto"/>
                <w:spacing w:val="-10"/>
                <w:sz w:val="18"/>
                <w:szCs w:val="18"/>
              </w:rPr>
              <w:t>2类</w:t>
            </w:r>
            <w:r>
              <w:rPr>
                <w:color w:val="auto"/>
                <w:spacing w:val="-10"/>
                <w:sz w:val="18"/>
                <w:szCs w:val="18"/>
              </w:rPr>
              <w:t>功能区户数</w:t>
            </w:r>
          </w:p>
        </w:tc>
        <w:tc>
          <w:tcPr>
            <w:tcW w:w="308" w:type="pct"/>
            <w:tcBorders>
              <w:tl2br w:val="nil"/>
              <w:tr2bl w:val="nil"/>
            </w:tcBorders>
            <w:noWrap w:val="0"/>
            <w:vAlign w:val="center"/>
          </w:tcPr>
          <w:p w14:paraId="764002D5">
            <w:pPr>
              <w:pStyle w:val="68"/>
              <w:spacing w:line="240" w:lineRule="exact"/>
              <w:rPr>
                <w:rFonts w:hint="eastAsia"/>
                <w:color w:val="auto"/>
                <w:spacing w:val="-10"/>
                <w:sz w:val="18"/>
                <w:szCs w:val="18"/>
              </w:rPr>
            </w:pPr>
            <w:r>
              <w:rPr>
                <w:color w:val="auto"/>
                <w:spacing w:val="-10"/>
                <w:sz w:val="18"/>
                <w:szCs w:val="18"/>
              </w:rPr>
              <w:t>保护目标情况</w:t>
            </w:r>
          </w:p>
        </w:tc>
        <w:tc>
          <w:tcPr>
            <w:tcW w:w="1580" w:type="pct"/>
            <w:tcBorders>
              <w:tl2br w:val="nil"/>
              <w:tr2bl w:val="nil"/>
            </w:tcBorders>
            <w:noWrap w:val="0"/>
            <w:vAlign w:val="center"/>
          </w:tcPr>
          <w:p w14:paraId="46134733">
            <w:pPr>
              <w:pStyle w:val="68"/>
              <w:spacing w:line="240" w:lineRule="auto"/>
              <w:rPr>
                <w:rFonts w:hint="eastAsia"/>
                <w:color w:val="auto"/>
                <w:spacing w:val="-10"/>
                <w:sz w:val="18"/>
                <w:szCs w:val="18"/>
              </w:rPr>
            </w:pPr>
            <w:r>
              <w:rPr>
                <w:rFonts w:hint="eastAsia"/>
                <w:color w:val="auto"/>
                <w:spacing w:val="-10"/>
                <w:sz w:val="18"/>
                <w:szCs w:val="18"/>
              </w:rPr>
              <w:t>敏感点现场照片</w:t>
            </w:r>
          </w:p>
        </w:tc>
        <w:tc>
          <w:tcPr>
            <w:tcW w:w="1451" w:type="pct"/>
            <w:tcBorders>
              <w:tl2br w:val="nil"/>
              <w:tr2bl w:val="nil"/>
            </w:tcBorders>
            <w:noWrap w:val="0"/>
            <w:vAlign w:val="center"/>
          </w:tcPr>
          <w:p w14:paraId="60B9E6CA">
            <w:pPr>
              <w:pStyle w:val="68"/>
              <w:spacing w:line="240" w:lineRule="auto"/>
              <w:rPr>
                <w:color w:val="auto"/>
                <w:spacing w:val="-10"/>
                <w:sz w:val="18"/>
                <w:szCs w:val="18"/>
              </w:rPr>
            </w:pPr>
            <w:r>
              <w:rPr>
                <w:rFonts w:hint="eastAsia"/>
                <w:color w:val="auto"/>
                <w:spacing w:val="-10"/>
                <w:sz w:val="18"/>
                <w:szCs w:val="18"/>
              </w:rPr>
              <w:t>与线路位置图</w:t>
            </w:r>
          </w:p>
        </w:tc>
      </w:tr>
      <w:tr w14:paraId="39161C0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noWrap w:val="0"/>
            <w:vAlign w:val="center"/>
          </w:tcPr>
          <w:p w14:paraId="4024C3D8">
            <w:pPr>
              <w:pStyle w:val="68"/>
              <w:spacing w:line="240" w:lineRule="exact"/>
              <w:rPr>
                <w:color w:val="auto"/>
                <w:spacing w:val="-10"/>
                <w:sz w:val="18"/>
                <w:szCs w:val="18"/>
              </w:rPr>
            </w:pPr>
            <w:r>
              <w:rPr>
                <w:rFonts w:hint="eastAsia"/>
                <w:color w:val="auto"/>
                <w:spacing w:val="-10"/>
                <w:sz w:val="18"/>
                <w:szCs w:val="18"/>
              </w:rPr>
              <w:t>1</w:t>
            </w:r>
          </w:p>
        </w:tc>
        <w:tc>
          <w:tcPr>
            <w:tcW w:w="229" w:type="pct"/>
            <w:tcBorders>
              <w:tl2br w:val="nil"/>
              <w:tr2bl w:val="nil"/>
            </w:tcBorders>
            <w:noWrap w:val="0"/>
            <w:vAlign w:val="center"/>
          </w:tcPr>
          <w:p w14:paraId="1D6FD638">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幸福六组</w:t>
            </w:r>
          </w:p>
        </w:tc>
        <w:tc>
          <w:tcPr>
            <w:tcW w:w="252" w:type="pct"/>
            <w:tcBorders>
              <w:tl2br w:val="nil"/>
              <w:tr2bl w:val="nil"/>
            </w:tcBorders>
            <w:noWrap w:val="0"/>
            <w:vAlign w:val="center"/>
          </w:tcPr>
          <w:p w14:paraId="08335CA4">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371</w:t>
            </w:r>
            <w:r>
              <w:rPr>
                <w:rFonts w:hint="eastAsia"/>
                <w:color w:val="auto"/>
                <w:spacing w:val="-10"/>
                <w:sz w:val="18"/>
                <w:szCs w:val="18"/>
              </w:rPr>
              <w:t>+</w:t>
            </w:r>
            <w:r>
              <w:rPr>
                <w:rFonts w:hint="eastAsia"/>
                <w:color w:val="auto"/>
                <w:spacing w:val="-10"/>
                <w:sz w:val="18"/>
                <w:szCs w:val="18"/>
                <w:lang w:val="en-US" w:eastAsia="zh-CN"/>
              </w:rPr>
              <w:t>520</w:t>
            </w:r>
            <w:r>
              <w:rPr>
                <w:rFonts w:hint="eastAsia"/>
                <w:color w:val="auto"/>
                <w:spacing w:val="-10"/>
                <w:sz w:val="18"/>
                <w:szCs w:val="18"/>
              </w:rPr>
              <w:t>~</w:t>
            </w:r>
          </w:p>
          <w:p w14:paraId="533F311F">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571</w:t>
            </w:r>
            <w:r>
              <w:rPr>
                <w:rFonts w:hint="eastAsia"/>
                <w:color w:val="auto"/>
                <w:spacing w:val="-10"/>
                <w:sz w:val="18"/>
                <w:szCs w:val="18"/>
              </w:rPr>
              <w:t>+</w:t>
            </w:r>
            <w:r>
              <w:rPr>
                <w:rFonts w:hint="eastAsia"/>
                <w:color w:val="auto"/>
                <w:spacing w:val="-10"/>
                <w:sz w:val="18"/>
                <w:szCs w:val="18"/>
                <w:lang w:val="en-US" w:eastAsia="zh-CN"/>
              </w:rPr>
              <w:t>78</w:t>
            </w:r>
            <w:r>
              <w:rPr>
                <w:color w:val="auto"/>
                <w:spacing w:val="-10"/>
                <w:sz w:val="18"/>
                <w:szCs w:val="18"/>
              </w:rPr>
              <w:t>0</w:t>
            </w:r>
          </w:p>
        </w:tc>
        <w:tc>
          <w:tcPr>
            <w:tcW w:w="131" w:type="pct"/>
            <w:tcBorders>
              <w:tl2br w:val="nil"/>
              <w:tr2bl w:val="nil"/>
            </w:tcBorders>
            <w:noWrap w:val="0"/>
            <w:vAlign w:val="center"/>
          </w:tcPr>
          <w:p w14:paraId="38A3F868">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27093795">
            <w:pPr>
              <w:pStyle w:val="68"/>
              <w:spacing w:line="240" w:lineRule="exact"/>
              <w:jc w:val="both"/>
              <w:rPr>
                <w:color w:val="auto"/>
                <w:spacing w:val="-10"/>
                <w:sz w:val="18"/>
                <w:szCs w:val="18"/>
              </w:rPr>
            </w:pPr>
            <w:r>
              <w:rPr>
                <w:rFonts w:hint="eastAsia"/>
                <w:color w:val="auto"/>
                <w:spacing w:val="-10"/>
                <w:sz w:val="18"/>
                <w:szCs w:val="18"/>
                <w:lang w:val="en-US" w:eastAsia="zh-CN"/>
              </w:rPr>
              <w:t>左</w:t>
            </w:r>
            <w:r>
              <w:rPr>
                <w:rFonts w:hint="eastAsia"/>
                <w:color w:val="auto"/>
                <w:spacing w:val="-10"/>
                <w:sz w:val="18"/>
                <w:szCs w:val="18"/>
              </w:rPr>
              <w:t>侧</w:t>
            </w:r>
          </w:p>
        </w:tc>
        <w:tc>
          <w:tcPr>
            <w:tcW w:w="177" w:type="pct"/>
            <w:tcBorders>
              <w:tl2br w:val="nil"/>
              <w:tr2bl w:val="nil"/>
            </w:tcBorders>
            <w:noWrap w:val="0"/>
            <w:vAlign w:val="center"/>
          </w:tcPr>
          <w:p w14:paraId="01AE61BA">
            <w:pPr>
              <w:pStyle w:val="68"/>
              <w:spacing w:line="240" w:lineRule="exact"/>
              <w:rPr>
                <w:color w:val="auto"/>
                <w:spacing w:val="-10"/>
                <w:sz w:val="18"/>
                <w:szCs w:val="18"/>
              </w:rPr>
            </w:pPr>
            <w:r>
              <w:rPr>
                <w:rFonts w:hint="eastAsia"/>
                <w:color w:val="auto"/>
                <w:spacing w:val="-10"/>
                <w:sz w:val="18"/>
                <w:szCs w:val="18"/>
              </w:rPr>
              <w:t>0</w:t>
            </w:r>
            <w:r>
              <w:rPr>
                <w:color w:val="auto"/>
                <w:spacing w:val="-10"/>
                <w:sz w:val="18"/>
                <w:szCs w:val="18"/>
              </w:rPr>
              <w:t>.5-1</w:t>
            </w:r>
          </w:p>
        </w:tc>
        <w:tc>
          <w:tcPr>
            <w:tcW w:w="137" w:type="pct"/>
            <w:tcBorders>
              <w:tl2br w:val="nil"/>
              <w:tr2bl w:val="nil"/>
            </w:tcBorders>
            <w:noWrap w:val="0"/>
            <w:vAlign w:val="center"/>
          </w:tcPr>
          <w:p w14:paraId="19B0FC09">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65</w:t>
            </w:r>
          </w:p>
        </w:tc>
        <w:tc>
          <w:tcPr>
            <w:tcW w:w="173" w:type="pct"/>
            <w:tcBorders>
              <w:tl2br w:val="nil"/>
              <w:tr2bl w:val="nil"/>
            </w:tcBorders>
            <w:noWrap w:val="0"/>
            <w:vAlign w:val="center"/>
          </w:tcPr>
          <w:p w14:paraId="07CB3E52">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sz w:val="18"/>
                <w:szCs w:val="18"/>
                <w:lang w:val="en-US" w:eastAsia="zh-CN"/>
              </w:rPr>
            </w:pPr>
            <w:r>
              <w:rPr>
                <w:rFonts w:hint="eastAsia"/>
                <w:color w:val="auto"/>
                <w:spacing w:val="-10"/>
                <w:kern w:val="21"/>
                <w:sz w:val="18"/>
                <w:szCs w:val="18"/>
                <w:lang w:val="en-US" w:eastAsia="zh-CN"/>
              </w:rPr>
              <w:t>73.5</w:t>
            </w:r>
          </w:p>
        </w:tc>
        <w:tc>
          <w:tcPr>
            <w:tcW w:w="137" w:type="pct"/>
            <w:tcBorders>
              <w:tl2br w:val="nil"/>
              <w:tr2bl w:val="nil"/>
            </w:tcBorders>
            <w:noWrap w:val="0"/>
            <w:vAlign w:val="center"/>
          </w:tcPr>
          <w:p w14:paraId="1D835849">
            <w:pPr>
              <w:pStyle w:val="68"/>
              <w:spacing w:line="240" w:lineRule="exact"/>
              <w:rPr>
                <w:color w:val="auto"/>
                <w:spacing w:val="-10"/>
                <w:sz w:val="18"/>
                <w:szCs w:val="18"/>
              </w:rPr>
            </w:pPr>
            <w:r>
              <w:rPr>
                <w:rFonts w:hint="eastAsia"/>
                <w:color w:val="auto"/>
                <w:spacing w:val="-10"/>
                <w:sz w:val="18"/>
                <w:szCs w:val="18"/>
              </w:rPr>
              <w:t>/</w:t>
            </w:r>
          </w:p>
        </w:tc>
        <w:tc>
          <w:tcPr>
            <w:tcW w:w="157" w:type="pct"/>
            <w:tcBorders>
              <w:tl2br w:val="nil"/>
              <w:tr2bl w:val="nil"/>
            </w:tcBorders>
            <w:noWrap w:val="0"/>
            <w:vAlign w:val="center"/>
          </w:tcPr>
          <w:p w14:paraId="117FD79D">
            <w:pPr>
              <w:pStyle w:val="68"/>
              <w:spacing w:line="240" w:lineRule="exact"/>
              <w:rPr>
                <w:rFonts w:hint="eastAsia" w:eastAsia="宋体"/>
                <w:color w:val="auto"/>
                <w:spacing w:val="-10"/>
                <w:sz w:val="18"/>
                <w:szCs w:val="18"/>
                <w:lang w:val="en-US" w:eastAsia="zh-CN"/>
              </w:rPr>
            </w:pPr>
            <w:r>
              <w:rPr>
                <w:color w:val="auto"/>
                <w:spacing w:val="-10"/>
                <w:sz w:val="18"/>
                <w:szCs w:val="18"/>
              </w:rPr>
              <w:t>1</w:t>
            </w:r>
            <w:r>
              <w:rPr>
                <w:rFonts w:hint="eastAsia"/>
                <w:color w:val="auto"/>
                <w:spacing w:val="-10"/>
                <w:sz w:val="18"/>
                <w:szCs w:val="18"/>
                <w:lang w:val="en-US" w:eastAsia="zh-CN"/>
              </w:rPr>
              <w:t>2</w:t>
            </w:r>
          </w:p>
        </w:tc>
        <w:tc>
          <w:tcPr>
            <w:tcW w:w="308" w:type="pct"/>
            <w:tcBorders>
              <w:tl2br w:val="nil"/>
              <w:tr2bl w:val="nil"/>
            </w:tcBorders>
            <w:noWrap w:val="0"/>
            <w:vAlign w:val="center"/>
          </w:tcPr>
          <w:p w14:paraId="65B59308">
            <w:pPr>
              <w:pStyle w:val="68"/>
              <w:spacing w:line="240" w:lineRule="exact"/>
              <w:rPr>
                <w:rFonts w:hint="default" w:eastAsia="宋体"/>
                <w:color w:val="auto"/>
                <w:spacing w:val="-10"/>
                <w:sz w:val="18"/>
                <w:szCs w:val="18"/>
                <w:lang w:val="en-US" w:eastAsia="zh-CN"/>
              </w:rPr>
            </w:pP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南北朝向，</w:t>
            </w:r>
            <w:r>
              <w:rPr>
                <w:rFonts w:hint="eastAsia"/>
                <w:color w:val="auto"/>
                <w:spacing w:val="-10"/>
                <w:sz w:val="18"/>
                <w:szCs w:val="18"/>
              </w:rPr>
              <w:t>斜对</w:t>
            </w:r>
            <w:r>
              <w:rPr>
                <w:rFonts w:hint="eastAsia"/>
                <w:color w:val="auto"/>
                <w:spacing w:val="-10"/>
                <w:sz w:val="18"/>
                <w:szCs w:val="18"/>
                <w:lang w:val="en-US" w:eastAsia="zh-CN"/>
              </w:rPr>
              <w:t>道路</w:t>
            </w:r>
            <w:r>
              <w:rPr>
                <w:rFonts w:hint="eastAsia"/>
                <w:color w:val="auto"/>
                <w:spacing w:val="-10"/>
                <w:sz w:val="18"/>
                <w:szCs w:val="18"/>
              </w:rPr>
              <w:t>，</w:t>
            </w:r>
            <w:r>
              <w:rPr>
                <w:rFonts w:hint="eastAsia"/>
                <w:color w:val="auto"/>
                <w:spacing w:val="-10"/>
                <w:sz w:val="18"/>
                <w:szCs w:val="18"/>
                <w:lang w:val="en-US" w:eastAsia="zh-CN"/>
              </w:rPr>
              <w:t>居民房屋与公路之间有一条进村辅道，并有树林隔开</w:t>
            </w:r>
          </w:p>
        </w:tc>
        <w:tc>
          <w:tcPr>
            <w:tcW w:w="1580" w:type="pct"/>
            <w:tcBorders>
              <w:tl2br w:val="nil"/>
              <w:tr2bl w:val="nil"/>
            </w:tcBorders>
            <w:noWrap w:val="0"/>
            <w:vAlign w:val="center"/>
          </w:tcPr>
          <w:p w14:paraId="2A56CE77">
            <w:pPr>
              <w:pStyle w:val="68"/>
              <w:spacing w:line="240" w:lineRule="auto"/>
              <w:rPr>
                <w:rFonts w:hint="eastAsia" w:eastAsia="宋体"/>
                <w:color w:val="auto"/>
                <w:spacing w:val="-10"/>
                <w:sz w:val="18"/>
                <w:szCs w:val="18"/>
                <w:lang w:eastAsia="zh-CN"/>
              </w:rPr>
            </w:pPr>
            <w:r>
              <w:rPr>
                <w:rFonts w:hint="eastAsia" w:eastAsia="宋体"/>
                <w:color w:val="auto"/>
                <w:spacing w:val="-10"/>
                <w:sz w:val="18"/>
                <w:szCs w:val="18"/>
                <w:lang w:eastAsia="zh-CN"/>
              </w:rPr>
              <w:drawing>
                <wp:inline distT="0" distB="0" distL="114300" distR="114300">
                  <wp:extent cx="2720975" cy="2043430"/>
                  <wp:effectExtent l="0" t="0" r="3175" b="13970"/>
                  <wp:docPr id="24" name="图片 1" descr="MVIMG_20250910_165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MVIMG_20250910_165724"/>
                          <pic:cNvPicPr>
                            <a:picLocks noChangeAspect="1"/>
                          </pic:cNvPicPr>
                        </pic:nvPicPr>
                        <pic:blipFill>
                          <a:blip r:embed="rId26"/>
                          <a:stretch>
                            <a:fillRect/>
                          </a:stretch>
                        </pic:blipFill>
                        <pic:spPr>
                          <a:xfrm>
                            <a:off x="0" y="0"/>
                            <a:ext cx="2720975" cy="2043430"/>
                          </a:xfrm>
                          <a:prstGeom prst="rect">
                            <a:avLst/>
                          </a:prstGeom>
                          <a:noFill/>
                          <a:ln>
                            <a:noFill/>
                          </a:ln>
                        </pic:spPr>
                      </pic:pic>
                    </a:graphicData>
                  </a:graphic>
                </wp:inline>
              </w:drawing>
            </w:r>
          </w:p>
        </w:tc>
        <w:tc>
          <w:tcPr>
            <w:tcW w:w="1451" w:type="pct"/>
            <w:tcBorders>
              <w:tl2br w:val="nil"/>
              <w:tr2bl w:val="nil"/>
            </w:tcBorders>
            <w:noWrap w:val="0"/>
            <w:vAlign w:val="center"/>
          </w:tcPr>
          <w:p w14:paraId="319C9C8D">
            <w:pPr>
              <w:pStyle w:val="68"/>
              <w:spacing w:line="240" w:lineRule="auto"/>
              <w:rPr>
                <w:color w:val="auto"/>
                <w:spacing w:val="-10"/>
                <w:sz w:val="18"/>
                <w:szCs w:val="18"/>
              </w:rPr>
            </w:pPr>
            <w:r>
              <w:rPr>
                <w:color w:val="auto"/>
              </w:rPr>
              <w:drawing>
                <wp:inline distT="0" distB="0" distL="114300" distR="114300">
                  <wp:extent cx="2409825" cy="2030095"/>
                  <wp:effectExtent l="0" t="0" r="9525" b="825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7"/>
                          <a:stretch>
                            <a:fillRect/>
                          </a:stretch>
                        </pic:blipFill>
                        <pic:spPr>
                          <a:xfrm>
                            <a:off x="0" y="0"/>
                            <a:ext cx="2409825" cy="2030095"/>
                          </a:xfrm>
                          <a:prstGeom prst="rect">
                            <a:avLst/>
                          </a:prstGeom>
                          <a:noFill/>
                          <a:ln>
                            <a:noFill/>
                          </a:ln>
                        </pic:spPr>
                      </pic:pic>
                    </a:graphicData>
                  </a:graphic>
                </wp:inline>
              </w:drawing>
            </w:r>
          </w:p>
        </w:tc>
      </w:tr>
      <w:tr w14:paraId="376AAE6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51" w:hRule="atLeast"/>
        </w:trPr>
        <w:tc>
          <w:tcPr>
            <w:tcW w:w="131" w:type="pct"/>
            <w:tcBorders>
              <w:tl2br w:val="nil"/>
              <w:tr2bl w:val="nil"/>
            </w:tcBorders>
            <w:noWrap w:val="0"/>
            <w:vAlign w:val="center"/>
          </w:tcPr>
          <w:p w14:paraId="67C9D50A">
            <w:pPr>
              <w:pStyle w:val="68"/>
              <w:spacing w:line="240" w:lineRule="exact"/>
              <w:rPr>
                <w:rFonts w:hint="eastAsia"/>
                <w:color w:val="auto"/>
                <w:spacing w:val="-10"/>
                <w:sz w:val="18"/>
                <w:szCs w:val="18"/>
              </w:rPr>
            </w:pPr>
            <w:r>
              <w:rPr>
                <w:rFonts w:hint="eastAsia"/>
                <w:color w:val="auto"/>
                <w:spacing w:val="-10"/>
                <w:sz w:val="18"/>
                <w:szCs w:val="18"/>
              </w:rPr>
              <w:t>2</w:t>
            </w:r>
          </w:p>
        </w:tc>
        <w:tc>
          <w:tcPr>
            <w:tcW w:w="229" w:type="pct"/>
            <w:tcBorders>
              <w:tl2br w:val="nil"/>
              <w:tr2bl w:val="nil"/>
            </w:tcBorders>
            <w:noWrap w:val="0"/>
            <w:vAlign w:val="center"/>
          </w:tcPr>
          <w:p w14:paraId="01D8AD9B">
            <w:pPr>
              <w:pStyle w:val="80"/>
              <w:wordWrap/>
              <w:rPr>
                <w:rFonts w:hint="eastAsia" w:eastAsia="宋体"/>
                <w:color w:val="auto"/>
                <w:kern w:val="0"/>
                <w:sz w:val="18"/>
                <w:lang w:eastAsia="zh-CN"/>
              </w:rPr>
            </w:pPr>
            <w:r>
              <w:rPr>
                <w:rFonts w:hint="eastAsia"/>
                <w:color w:val="auto"/>
                <w:sz w:val="18"/>
                <w:lang w:val="en-US" w:eastAsia="zh-CN"/>
              </w:rPr>
              <w:t>知一镇</w:t>
            </w:r>
          </w:p>
        </w:tc>
        <w:tc>
          <w:tcPr>
            <w:tcW w:w="252" w:type="pct"/>
            <w:tcBorders>
              <w:tl2br w:val="nil"/>
              <w:tr2bl w:val="nil"/>
            </w:tcBorders>
            <w:noWrap w:val="0"/>
            <w:vAlign w:val="center"/>
          </w:tcPr>
          <w:p w14:paraId="30C041A6">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377</w:t>
            </w:r>
            <w:r>
              <w:rPr>
                <w:rFonts w:hint="eastAsia"/>
                <w:color w:val="auto"/>
                <w:spacing w:val="-10"/>
                <w:sz w:val="18"/>
                <w:szCs w:val="18"/>
              </w:rPr>
              <w:t>+</w:t>
            </w:r>
            <w:r>
              <w:rPr>
                <w:rFonts w:hint="eastAsia"/>
                <w:color w:val="auto"/>
                <w:spacing w:val="-10"/>
                <w:sz w:val="18"/>
                <w:szCs w:val="18"/>
                <w:lang w:val="en-US" w:eastAsia="zh-CN"/>
              </w:rPr>
              <w:t>9</w:t>
            </w:r>
            <w:r>
              <w:rPr>
                <w:color w:val="auto"/>
                <w:spacing w:val="-10"/>
                <w:sz w:val="18"/>
                <w:szCs w:val="18"/>
              </w:rPr>
              <w:t>70</w:t>
            </w:r>
            <w:r>
              <w:rPr>
                <w:rFonts w:hint="eastAsia"/>
                <w:color w:val="auto"/>
                <w:spacing w:val="-10"/>
                <w:sz w:val="18"/>
                <w:szCs w:val="18"/>
              </w:rPr>
              <w:t>~</w:t>
            </w:r>
          </w:p>
          <w:p w14:paraId="2BB86CE7">
            <w:pPr>
              <w:pStyle w:val="68"/>
              <w:spacing w:line="240" w:lineRule="exact"/>
              <w:rPr>
                <w:rFonts w:hint="eastAsia"/>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379</w:t>
            </w:r>
            <w:r>
              <w:rPr>
                <w:rFonts w:hint="eastAsia"/>
                <w:color w:val="auto"/>
                <w:spacing w:val="-10"/>
                <w:sz w:val="18"/>
                <w:szCs w:val="18"/>
              </w:rPr>
              <w:t>+</w:t>
            </w:r>
            <w:r>
              <w:rPr>
                <w:rFonts w:hint="eastAsia"/>
                <w:color w:val="auto"/>
                <w:spacing w:val="-10"/>
                <w:sz w:val="18"/>
                <w:szCs w:val="18"/>
                <w:lang w:val="en-US" w:eastAsia="zh-CN"/>
              </w:rPr>
              <w:t>8</w:t>
            </w:r>
            <w:r>
              <w:rPr>
                <w:color w:val="auto"/>
                <w:spacing w:val="-10"/>
                <w:sz w:val="18"/>
                <w:szCs w:val="18"/>
              </w:rPr>
              <w:t>60</w:t>
            </w:r>
          </w:p>
        </w:tc>
        <w:tc>
          <w:tcPr>
            <w:tcW w:w="131" w:type="pct"/>
            <w:tcBorders>
              <w:tl2br w:val="nil"/>
              <w:tr2bl w:val="nil"/>
            </w:tcBorders>
            <w:noWrap w:val="0"/>
            <w:vAlign w:val="center"/>
          </w:tcPr>
          <w:p w14:paraId="4376F483">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0049D589">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两侧</w:t>
            </w:r>
          </w:p>
        </w:tc>
        <w:tc>
          <w:tcPr>
            <w:tcW w:w="177" w:type="pct"/>
            <w:tcBorders>
              <w:tl2br w:val="nil"/>
              <w:tr2bl w:val="nil"/>
            </w:tcBorders>
            <w:noWrap w:val="0"/>
            <w:vAlign w:val="center"/>
          </w:tcPr>
          <w:p w14:paraId="6CD9BB06">
            <w:pPr>
              <w:pStyle w:val="68"/>
              <w:spacing w:line="240" w:lineRule="exact"/>
              <w:rPr>
                <w:rFonts w:hint="default"/>
                <w:color w:val="auto"/>
                <w:spacing w:val="-10"/>
                <w:sz w:val="18"/>
                <w:szCs w:val="18"/>
                <w:lang w:val="en-US"/>
              </w:rPr>
            </w:pPr>
            <w:r>
              <w:rPr>
                <w:rFonts w:hint="eastAsia"/>
                <w:color w:val="auto"/>
                <w:spacing w:val="-10"/>
                <w:sz w:val="18"/>
                <w:szCs w:val="18"/>
              </w:rPr>
              <w:t>0</w:t>
            </w:r>
            <w:r>
              <w:rPr>
                <w:color w:val="auto"/>
                <w:spacing w:val="-10"/>
                <w:sz w:val="18"/>
                <w:szCs w:val="18"/>
              </w:rPr>
              <w:t>.</w:t>
            </w:r>
            <w:r>
              <w:rPr>
                <w:rFonts w:hint="eastAsia"/>
                <w:color w:val="auto"/>
                <w:spacing w:val="-10"/>
                <w:sz w:val="18"/>
                <w:szCs w:val="18"/>
                <w:lang w:val="en-US" w:eastAsia="zh-CN"/>
              </w:rPr>
              <w:t>1-0.5</w:t>
            </w:r>
          </w:p>
        </w:tc>
        <w:tc>
          <w:tcPr>
            <w:tcW w:w="137" w:type="pct"/>
            <w:tcBorders>
              <w:tl2br w:val="nil"/>
              <w:tr2bl w:val="nil"/>
            </w:tcBorders>
            <w:noWrap w:val="0"/>
            <w:vAlign w:val="center"/>
          </w:tcPr>
          <w:p w14:paraId="26A84E33">
            <w:pPr>
              <w:widowControl/>
              <w:kinsoku w:val="0"/>
              <w:autoSpaceDE w:val="0"/>
              <w:autoSpaceDN w:val="0"/>
              <w:adjustRightInd w:val="0"/>
              <w:snapToGrid w:val="0"/>
              <w:spacing w:line="240" w:lineRule="exact"/>
              <w:ind w:firstLine="0" w:firstLineChars="0"/>
              <w:jc w:val="center"/>
              <w:textAlignment w:val="baseline"/>
              <w:rPr>
                <w:rFonts w:hint="eastAsia" w:eastAsia="宋体"/>
                <w:color w:val="auto"/>
                <w:spacing w:val="-10"/>
                <w:kern w:val="21"/>
                <w:sz w:val="18"/>
                <w:szCs w:val="18"/>
                <w:lang w:eastAsia="zh-CN"/>
              </w:rPr>
            </w:pPr>
            <w:r>
              <w:rPr>
                <w:rFonts w:hint="eastAsia"/>
                <w:color w:val="auto"/>
                <w:spacing w:val="-10"/>
                <w:kern w:val="21"/>
                <w:sz w:val="18"/>
                <w:szCs w:val="18"/>
                <w:lang w:val="en-US" w:eastAsia="zh-CN"/>
              </w:rPr>
              <w:t>8</w:t>
            </w:r>
          </w:p>
        </w:tc>
        <w:tc>
          <w:tcPr>
            <w:tcW w:w="173" w:type="pct"/>
            <w:tcBorders>
              <w:tl2br w:val="nil"/>
              <w:tr2bl w:val="nil"/>
            </w:tcBorders>
            <w:noWrap w:val="0"/>
            <w:vAlign w:val="center"/>
          </w:tcPr>
          <w:p w14:paraId="2A46DF68">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16.5</w:t>
            </w:r>
          </w:p>
        </w:tc>
        <w:tc>
          <w:tcPr>
            <w:tcW w:w="137" w:type="pct"/>
            <w:tcBorders>
              <w:tl2br w:val="nil"/>
              <w:tr2bl w:val="nil"/>
            </w:tcBorders>
            <w:noWrap w:val="0"/>
            <w:vAlign w:val="center"/>
          </w:tcPr>
          <w:p w14:paraId="41DC77E5">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69</w:t>
            </w:r>
          </w:p>
        </w:tc>
        <w:tc>
          <w:tcPr>
            <w:tcW w:w="157" w:type="pct"/>
            <w:tcBorders>
              <w:tl2br w:val="nil"/>
              <w:tr2bl w:val="nil"/>
            </w:tcBorders>
            <w:noWrap w:val="0"/>
            <w:vAlign w:val="center"/>
          </w:tcPr>
          <w:p w14:paraId="0325B019">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192</w:t>
            </w:r>
          </w:p>
        </w:tc>
        <w:tc>
          <w:tcPr>
            <w:tcW w:w="308" w:type="pct"/>
            <w:tcBorders>
              <w:tl2br w:val="nil"/>
              <w:tr2bl w:val="nil"/>
            </w:tcBorders>
            <w:noWrap w:val="0"/>
            <w:vAlign w:val="center"/>
          </w:tcPr>
          <w:p w14:paraId="362F623E">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两侧居民区与道路边界线的距离相同；大部分为一层砖混</w:t>
            </w:r>
            <w:r>
              <w:rPr>
                <w:rFonts w:hint="eastAsia"/>
                <w:color w:val="auto"/>
                <w:spacing w:val="-10"/>
                <w:sz w:val="18"/>
                <w:szCs w:val="18"/>
              </w:rPr>
              <w:t>，</w:t>
            </w:r>
            <w:r>
              <w:rPr>
                <w:rFonts w:hint="eastAsia"/>
                <w:color w:val="auto"/>
                <w:spacing w:val="-10"/>
                <w:sz w:val="18"/>
                <w:szCs w:val="18"/>
                <w:lang w:val="en-US" w:eastAsia="zh-CN"/>
              </w:rPr>
              <w:t>少部分临路建筑为2-3层，南北朝向，平行于道路</w:t>
            </w:r>
          </w:p>
        </w:tc>
        <w:tc>
          <w:tcPr>
            <w:tcW w:w="1580" w:type="pct"/>
            <w:tcBorders>
              <w:tl2br w:val="nil"/>
              <w:tr2bl w:val="nil"/>
            </w:tcBorders>
            <w:noWrap w:val="0"/>
            <w:vAlign w:val="center"/>
          </w:tcPr>
          <w:p w14:paraId="0748781E">
            <w:pPr>
              <w:pStyle w:val="68"/>
              <w:spacing w:line="240" w:lineRule="auto"/>
              <w:rPr>
                <w:color w:val="auto"/>
                <w:spacing w:val="-10"/>
                <w:sz w:val="18"/>
                <w:szCs w:val="18"/>
              </w:rPr>
            </w:pPr>
            <w:r>
              <w:rPr>
                <w:color w:val="auto"/>
              </w:rPr>
              <w:drawing>
                <wp:inline distT="0" distB="0" distL="114300" distR="114300">
                  <wp:extent cx="2401570" cy="1218565"/>
                  <wp:effectExtent l="0" t="0" r="17780" b="63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8"/>
                          <a:stretch>
                            <a:fillRect/>
                          </a:stretch>
                        </pic:blipFill>
                        <pic:spPr>
                          <a:xfrm>
                            <a:off x="0" y="0"/>
                            <a:ext cx="2401570" cy="1218565"/>
                          </a:xfrm>
                          <a:prstGeom prst="rect">
                            <a:avLst/>
                          </a:prstGeom>
                          <a:noFill/>
                          <a:ln>
                            <a:noFill/>
                          </a:ln>
                        </pic:spPr>
                      </pic:pic>
                    </a:graphicData>
                  </a:graphic>
                </wp:inline>
              </w:drawing>
            </w:r>
          </w:p>
        </w:tc>
        <w:tc>
          <w:tcPr>
            <w:tcW w:w="1451" w:type="pct"/>
            <w:tcBorders>
              <w:tl2br w:val="nil"/>
              <w:tr2bl w:val="nil"/>
            </w:tcBorders>
            <w:noWrap w:val="0"/>
            <w:vAlign w:val="center"/>
          </w:tcPr>
          <w:p w14:paraId="60753B42">
            <w:pPr>
              <w:pStyle w:val="68"/>
              <w:spacing w:line="240" w:lineRule="auto"/>
              <w:rPr>
                <w:color w:val="auto"/>
                <w:spacing w:val="-10"/>
                <w:sz w:val="18"/>
                <w:szCs w:val="18"/>
              </w:rPr>
            </w:pPr>
            <w:r>
              <w:rPr>
                <w:color w:val="auto"/>
              </w:rPr>
              <w:drawing>
                <wp:inline distT="0" distB="0" distL="114300" distR="114300">
                  <wp:extent cx="2485390" cy="1503680"/>
                  <wp:effectExtent l="0" t="0" r="10160" b="127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9"/>
                          <a:stretch>
                            <a:fillRect/>
                          </a:stretch>
                        </pic:blipFill>
                        <pic:spPr>
                          <a:xfrm>
                            <a:off x="0" y="0"/>
                            <a:ext cx="2485390" cy="1503680"/>
                          </a:xfrm>
                          <a:prstGeom prst="rect">
                            <a:avLst/>
                          </a:prstGeom>
                          <a:noFill/>
                          <a:ln>
                            <a:noFill/>
                          </a:ln>
                        </pic:spPr>
                      </pic:pic>
                    </a:graphicData>
                  </a:graphic>
                </wp:inline>
              </w:drawing>
            </w:r>
          </w:p>
        </w:tc>
      </w:tr>
      <w:tr w14:paraId="0935A9E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noWrap w:val="0"/>
            <w:vAlign w:val="center"/>
          </w:tcPr>
          <w:p w14:paraId="21DE1D39">
            <w:pPr>
              <w:pStyle w:val="68"/>
              <w:spacing w:line="240" w:lineRule="exact"/>
              <w:rPr>
                <w:rFonts w:hint="eastAsia"/>
                <w:color w:val="auto"/>
                <w:spacing w:val="-10"/>
                <w:sz w:val="18"/>
                <w:szCs w:val="18"/>
              </w:rPr>
            </w:pPr>
            <w:r>
              <w:rPr>
                <w:rFonts w:hint="eastAsia"/>
                <w:color w:val="auto"/>
                <w:spacing w:val="-10"/>
                <w:sz w:val="18"/>
                <w:szCs w:val="18"/>
              </w:rPr>
              <w:t>3</w:t>
            </w:r>
          </w:p>
        </w:tc>
        <w:tc>
          <w:tcPr>
            <w:tcW w:w="229" w:type="pct"/>
            <w:tcBorders>
              <w:tl2br w:val="nil"/>
              <w:tr2bl w:val="nil"/>
            </w:tcBorders>
            <w:noWrap w:val="0"/>
            <w:vAlign w:val="center"/>
          </w:tcPr>
          <w:p w14:paraId="4EA19995">
            <w:pPr>
              <w:pStyle w:val="80"/>
              <w:wordWrap/>
              <w:rPr>
                <w:rFonts w:hint="default" w:eastAsia="宋体"/>
                <w:color w:val="auto"/>
                <w:sz w:val="18"/>
                <w:lang w:val="en-US" w:eastAsia="zh-CN"/>
              </w:rPr>
            </w:pPr>
            <w:r>
              <w:rPr>
                <w:rFonts w:hint="eastAsia"/>
                <w:color w:val="auto"/>
                <w:sz w:val="18"/>
                <w:lang w:val="en-US" w:eastAsia="zh-CN"/>
              </w:rPr>
              <w:t>知一镇中学</w:t>
            </w:r>
          </w:p>
        </w:tc>
        <w:tc>
          <w:tcPr>
            <w:tcW w:w="252" w:type="pct"/>
            <w:tcBorders>
              <w:tl2br w:val="nil"/>
              <w:tr2bl w:val="nil"/>
            </w:tcBorders>
            <w:noWrap w:val="0"/>
            <w:vAlign w:val="center"/>
          </w:tcPr>
          <w:p w14:paraId="7E2F6861">
            <w:pPr>
              <w:pStyle w:val="68"/>
              <w:spacing w:line="240" w:lineRule="exact"/>
              <w:rPr>
                <w:rFonts w:hint="eastAsia"/>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379+100</w:t>
            </w:r>
          </w:p>
        </w:tc>
        <w:tc>
          <w:tcPr>
            <w:tcW w:w="131" w:type="pct"/>
            <w:tcBorders>
              <w:tl2br w:val="nil"/>
              <w:tr2bl w:val="nil"/>
            </w:tcBorders>
            <w:noWrap w:val="0"/>
            <w:vAlign w:val="center"/>
          </w:tcPr>
          <w:p w14:paraId="54F3B95D">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288E2524">
            <w:pPr>
              <w:pStyle w:val="68"/>
              <w:spacing w:line="240" w:lineRule="exact"/>
              <w:rPr>
                <w:rFonts w:hint="eastAsia"/>
                <w:color w:val="auto"/>
                <w:spacing w:val="-10"/>
                <w:sz w:val="18"/>
                <w:szCs w:val="18"/>
              </w:rPr>
            </w:pPr>
            <w:r>
              <w:rPr>
                <w:rFonts w:hint="eastAsia"/>
                <w:color w:val="auto"/>
                <w:spacing w:val="-10"/>
                <w:sz w:val="18"/>
                <w:szCs w:val="18"/>
                <w:lang w:val="en-US" w:eastAsia="zh-CN"/>
              </w:rPr>
              <w:t>左侧</w:t>
            </w:r>
          </w:p>
        </w:tc>
        <w:tc>
          <w:tcPr>
            <w:tcW w:w="177" w:type="pct"/>
            <w:tcBorders>
              <w:tl2br w:val="nil"/>
              <w:tr2bl w:val="nil"/>
            </w:tcBorders>
            <w:noWrap w:val="0"/>
            <w:vAlign w:val="center"/>
          </w:tcPr>
          <w:p w14:paraId="05D5BBD3">
            <w:pPr>
              <w:pStyle w:val="68"/>
              <w:spacing w:line="240" w:lineRule="exact"/>
              <w:rPr>
                <w:rFonts w:hint="eastAsia"/>
                <w:color w:val="auto"/>
                <w:spacing w:val="-10"/>
                <w:sz w:val="18"/>
                <w:szCs w:val="18"/>
              </w:rPr>
            </w:pPr>
            <w:r>
              <w:rPr>
                <w:color w:val="auto"/>
                <w:spacing w:val="-10"/>
                <w:sz w:val="18"/>
                <w:szCs w:val="18"/>
              </w:rPr>
              <w:t>0</w:t>
            </w:r>
          </w:p>
        </w:tc>
        <w:tc>
          <w:tcPr>
            <w:tcW w:w="137" w:type="pct"/>
            <w:tcBorders>
              <w:tl2br w:val="nil"/>
              <w:tr2bl w:val="nil"/>
            </w:tcBorders>
            <w:noWrap w:val="0"/>
            <w:vAlign w:val="center"/>
          </w:tcPr>
          <w:p w14:paraId="5585A825">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8</w:t>
            </w:r>
          </w:p>
        </w:tc>
        <w:tc>
          <w:tcPr>
            <w:tcW w:w="173" w:type="pct"/>
            <w:tcBorders>
              <w:tl2br w:val="nil"/>
              <w:tr2bl w:val="nil"/>
            </w:tcBorders>
            <w:noWrap w:val="0"/>
            <w:vAlign w:val="center"/>
          </w:tcPr>
          <w:p w14:paraId="0D5C6CC4">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16.5</w:t>
            </w:r>
          </w:p>
        </w:tc>
        <w:tc>
          <w:tcPr>
            <w:tcW w:w="137" w:type="pct"/>
            <w:tcBorders>
              <w:tl2br w:val="nil"/>
              <w:tr2bl w:val="nil"/>
            </w:tcBorders>
            <w:noWrap w:val="0"/>
            <w:vAlign w:val="center"/>
          </w:tcPr>
          <w:p w14:paraId="1CECD0BC">
            <w:pPr>
              <w:pStyle w:val="68"/>
              <w:spacing w:line="240" w:lineRule="exact"/>
              <w:rPr>
                <w:rFonts w:hint="eastAsia"/>
                <w:color w:val="auto"/>
                <w:spacing w:val="-10"/>
                <w:sz w:val="18"/>
                <w:szCs w:val="18"/>
              </w:rPr>
            </w:pPr>
            <w:r>
              <w:rPr>
                <w:rFonts w:hint="eastAsia"/>
                <w:color w:val="auto"/>
                <w:spacing w:val="-10"/>
                <w:sz w:val="18"/>
                <w:szCs w:val="18"/>
              </w:rPr>
              <w:t>0</w:t>
            </w:r>
          </w:p>
        </w:tc>
        <w:tc>
          <w:tcPr>
            <w:tcW w:w="157" w:type="pct"/>
            <w:tcBorders>
              <w:tl2br w:val="nil"/>
              <w:tr2bl w:val="nil"/>
            </w:tcBorders>
            <w:noWrap w:val="0"/>
            <w:vAlign w:val="center"/>
          </w:tcPr>
          <w:p w14:paraId="76DEB599">
            <w:pPr>
              <w:pStyle w:val="68"/>
              <w:spacing w:line="240" w:lineRule="exact"/>
              <w:rPr>
                <w:rFonts w:hint="eastAsia"/>
                <w:color w:val="auto"/>
                <w:spacing w:val="-10"/>
                <w:sz w:val="18"/>
                <w:szCs w:val="18"/>
              </w:rPr>
            </w:pPr>
            <w:r>
              <w:rPr>
                <w:rFonts w:hint="eastAsia"/>
                <w:color w:val="auto"/>
                <w:spacing w:val="-10"/>
                <w:sz w:val="18"/>
                <w:szCs w:val="18"/>
              </w:rPr>
              <w:t>0</w:t>
            </w:r>
          </w:p>
        </w:tc>
        <w:tc>
          <w:tcPr>
            <w:tcW w:w="308" w:type="pct"/>
            <w:tcBorders>
              <w:tl2br w:val="nil"/>
              <w:tr2bl w:val="nil"/>
            </w:tcBorders>
            <w:noWrap w:val="0"/>
            <w:vAlign w:val="center"/>
          </w:tcPr>
          <w:p w14:paraId="579A5722">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教学楼与公路之间有绿化带、操场等隔开，教学楼为3层，</w:t>
            </w:r>
            <w:r>
              <w:rPr>
                <w:rFonts w:hint="eastAsia" w:ascii="Times New Roman" w:hAnsi="Times New Roman" w:eastAsia="宋体" w:cs="Times New Roman"/>
                <w:color w:val="auto"/>
                <w:spacing w:val="-10"/>
                <w:sz w:val="18"/>
                <w:szCs w:val="18"/>
              </w:rPr>
              <w:t>砖混，</w:t>
            </w:r>
            <w:r>
              <w:rPr>
                <w:rFonts w:hint="eastAsia"/>
                <w:color w:val="auto"/>
                <w:spacing w:val="-10"/>
                <w:sz w:val="18"/>
                <w:szCs w:val="18"/>
                <w:lang w:val="en-US" w:eastAsia="zh-CN"/>
              </w:rPr>
              <w:t>为南北朝向，平行于道路</w:t>
            </w:r>
          </w:p>
        </w:tc>
        <w:tc>
          <w:tcPr>
            <w:tcW w:w="1580" w:type="pct"/>
            <w:tcBorders>
              <w:tl2br w:val="nil"/>
              <w:tr2bl w:val="nil"/>
            </w:tcBorders>
            <w:noWrap w:val="0"/>
            <w:vAlign w:val="center"/>
          </w:tcPr>
          <w:p w14:paraId="07196754">
            <w:pPr>
              <w:pStyle w:val="68"/>
              <w:spacing w:line="240" w:lineRule="auto"/>
              <w:rPr>
                <w:rFonts w:hint="eastAsia" w:eastAsia="宋体"/>
                <w:color w:val="auto"/>
                <w:spacing w:val="-10"/>
                <w:sz w:val="18"/>
                <w:szCs w:val="18"/>
                <w:lang w:eastAsia="zh-CN"/>
              </w:rPr>
            </w:pPr>
            <w:r>
              <w:rPr>
                <w:rFonts w:hint="eastAsia" w:eastAsia="宋体"/>
                <w:color w:val="auto"/>
                <w:spacing w:val="-10"/>
                <w:sz w:val="18"/>
                <w:szCs w:val="18"/>
                <w:lang w:eastAsia="zh-CN"/>
              </w:rPr>
              <w:drawing>
                <wp:inline distT="0" distB="0" distL="114300" distR="114300">
                  <wp:extent cx="2417445" cy="1812290"/>
                  <wp:effectExtent l="0" t="0" r="1905" b="16510"/>
                  <wp:docPr id="16" name="图片 5" descr="知一中学MVIMG_20250911_08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知一中学MVIMG_20250911_084551"/>
                          <pic:cNvPicPr>
                            <a:picLocks noChangeAspect="1"/>
                          </pic:cNvPicPr>
                        </pic:nvPicPr>
                        <pic:blipFill>
                          <a:blip r:embed="rId30"/>
                          <a:stretch>
                            <a:fillRect/>
                          </a:stretch>
                        </pic:blipFill>
                        <pic:spPr>
                          <a:xfrm>
                            <a:off x="0" y="0"/>
                            <a:ext cx="2417445" cy="1812290"/>
                          </a:xfrm>
                          <a:prstGeom prst="rect">
                            <a:avLst/>
                          </a:prstGeom>
                          <a:noFill/>
                          <a:ln>
                            <a:noFill/>
                          </a:ln>
                        </pic:spPr>
                      </pic:pic>
                    </a:graphicData>
                  </a:graphic>
                </wp:inline>
              </w:drawing>
            </w:r>
          </w:p>
        </w:tc>
        <w:tc>
          <w:tcPr>
            <w:tcW w:w="1451" w:type="pct"/>
            <w:tcBorders>
              <w:tl2br w:val="nil"/>
              <w:tr2bl w:val="nil"/>
            </w:tcBorders>
            <w:noWrap w:val="0"/>
            <w:vAlign w:val="center"/>
          </w:tcPr>
          <w:p w14:paraId="50BC7186">
            <w:pPr>
              <w:pStyle w:val="68"/>
              <w:spacing w:line="240" w:lineRule="auto"/>
              <w:rPr>
                <w:color w:val="auto"/>
                <w:spacing w:val="-10"/>
                <w:sz w:val="18"/>
                <w:szCs w:val="18"/>
              </w:rPr>
            </w:pPr>
            <w:r>
              <w:rPr>
                <w:color w:val="auto"/>
                <w:sz w:val="24"/>
              </w:rPr>
              <mc:AlternateContent>
                <mc:Choice Requires="wps">
                  <w:drawing>
                    <wp:anchor distT="0" distB="0" distL="114300" distR="114300" simplePos="0" relativeHeight="251662336" behindDoc="0" locked="0" layoutInCell="1" allowOverlap="1">
                      <wp:simplePos x="0" y="0"/>
                      <wp:positionH relativeFrom="column">
                        <wp:posOffset>493395</wp:posOffset>
                      </wp:positionH>
                      <wp:positionV relativeFrom="paragraph">
                        <wp:posOffset>114300</wp:posOffset>
                      </wp:positionV>
                      <wp:extent cx="1924050" cy="1626235"/>
                      <wp:effectExtent l="1905" t="4445" r="17145" b="7620"/>
                      <wp:wrapNone/>
                      <wp:docPr id="18" name="任意多边形 18"/>
                      <wp:cNvGraphicFramePr/>
                      <a:graphic xmlns:a="http://schemas.openxmlformats.org/drawingml/2006/main">
                        <a:graphicData uri="http://schemas.microsoft.com/office/word/2010/wordprocessingShape">
                          <wps:wsp>
                            <wps:cNvSpPr/>
                            <wps:spPr>
                              <a:xfrm>
                                <a:off x="0" y="0"/>
                                <a:ext cx="1924050" cy="1626235"/>
                              </a:xfrm>
                              <a:custGeom>
                                <a:avLst/>
                                <a:gdLst/>
                                <a:ahLst/>
                                <a:cxnLst/>
                                <a:pathLst>
                                  <a:path w="3030" h="2424">
                                    <a:moveTo>
                                      <a:pt x="61" y="1137"/>
                                    </a:moveTo>
                                    <a:lnTo>
                                      <a:pt x="1167" y="2424"/>
                                    </a:lnTo>
                                    <a:lnTo>
                                      <a:pt x="2924" y="1728"/>
                                    </a:lnTo>
                                    <a:lnTo>
                                      <a:pt x="2667" y="1167"/>
                                    </a:lnTo>
                                    <a:lnTo>
                                      <a:pt x="3030" y="1015"/>
                                    </a:lnTo>
                                    <a:lnTo>
                                      <a:pt x="2924" y="0"/>
                                    </a:lnTo>
                                    <a:lnTo>
                                      <a:pt x="0" y="1106"/>
                                    </a:lnTo>
                                  </a:path>
                                </a:pathLst>
                              </a:custGeom>
                              <a:solidFill>
                                <a:srgbClr val="00B050">
                                  <a:alpha val="29999"/>
                                </a:srgbClr>
                              </a:solidFill>
                              <a:ln w="9525" cap="flat" cmpd="sng">
                                <a:solidFill>
                                  <a:srgbClr val="00B05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38.85pt;margin-top:9pt;height:128.05pt;width:151.5pt;z-index:251662336;mso-width-relative:page;mso-height-relative:page;" fillcolor="#00B050" filled="t" stroked="t" coordsize="3030,2424" o:gfxdata="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O4/lb1wAAAAkB&#10;AAAPAAAAAAAAAAEAIAAAACIAAABkcnMvZG93bnJldi54bWxQSwECFAAUAAAACACHTuJAYchJSo4C&#10;AACwBQAADgAAAAAAAAABACAAAAAmAQAAZHJzL2Uyb0RvYy54bWxQSwUGAAAAAAYABgBZAQAAJgYA&#10;AAAA&#10;" path="m61,1137l1167,2424,2924,1728,2667,1167,3030,1015,2924,0,0,1106e">
                      <v:fill on="t" opacity="19660f" focussize="0,0"/>
                      <v:stroke color="#00B050" joinstyle="round"/>
                      <v:imagedata o:title=""/>
                      <o:lock v:ext="edit" aspectratio="f"/>
                    </v:shape>
                  </w:pict>
                </mc:Fallback>
              </mc:AlternateContent>
            </w:r>
            <w:r>
              <w:rPr>
                <w:color w:val="auto"/>
              </w:rPr>
              <w:drawing>
                <wp:inline distT="0" distB="0" distL="114300" distR="114300">
                  <wp:extent cx="2296795" cy="1903730"/>
                  <wp:effectExtent l="0" t="0" r="8255" b="127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1"/>
                          <a:stretch>
                            <a:fillRect/>
                          </a:stretch>
                        </pic:blipFill>
                        <pic:spPr>
                          <a:xfrm>
                            <a:off x="0" y="0"/>
                            <a:ext cx="2296795" cy="1903730"/>
                          </a:xfrm>
                          <a:prstGeom prst="rect">
                            <a:avLst/>
                          </a:prstGeom>
                          <a:noFill/>
                          <a:ln>
                            <a:noFill/>
                          </a:ln>
                        </pic:spPr>
                      </pic:pic>
                    </a:graphicData>
                  </a:graphic>
                </wp:inline>
              </w:drawing>
            </w:r>
          </w:p>
        </w:tc>
      </w:tr>
      <w:tr w14:paraId="154B3F4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2" w:hRule="atLeast"/>
        </w:trPr>
        <w:tc>
          <w:tcPr>
            <w:tcW w:w="131" w:type="pct"/>
            <w:tcBorders>
              <w:tl2br w:val="nil"/>
              <w:tr2bl w:val="nil"/>
            </w:tcBorders>
            <w:shd w:val="clear" w:color="auto" w:fill="auto"/>
            <w:noWrap w:val="0"/>
            <w:vAlign w:val="center"/>
          </w:tcPr>
          <w:p w14:paraId="04BF10F2">
            <w:pPr>
              <w:pStyle w:val="68"/>
              <w:spacing w:line="240" w:lineRule="exact"/>
              <w:rPr>
                <w:rFonts w:hint="eastAsia" w:ascii="Times New Roman" w:hAnsi="Times New Roman" w:eastAsia="宋体" w:cs="Times New Roman"/>
                <w:color w:val="auto"/>
                <w:spacing w:val="-10"/>
                <w:kern w:val="2"/>
                <w:sz w:val="18"/>
                <w:szCs w:val="18"/>
                <w:lang w:val="en-US" w:eastAsia="zh-CN" w:bidi="ar-SA"/>
              </w:rPr>
            </w:pPr>
            <w:r>
              <w:rPr>
                <w:rFonts w:hint="eastAsia"/>
                <w:color w:val="auto"/>
                <w:spacing w:val="-10"/>
                <w:sz w:val="18"/>
                <w:szCs w:val="18"/>
              </w:rPr>
              <w:t>4</w:t>
            </w:r>
          </w:p>
        </w:tc>
        <w:tc>
          <w:tcPr>
            <w:tcW w:w="229" w:type="pct"/>
            <w:tcBorders>
              <w:tl2br w:val="nil"/>
              <w:tr2bl w:val="nil"/>
            </w:tcBorders>
            <w:noWrap w:val="0"/>
            <w:vAlign w:val="center"/>
          </w:tcPr>
          <w:p w14:paraId="55EA3F68">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向化村</w:t>
            </w:r>
          </w:p>
        </w:tc>
        <w:tc>
          <w:tcPr>
            <w:tcW w:w="252" w:type="pct"/>
            <w:tcBorders>
              <w:tl2br w:val="nil"/>
              <w:tr2bl w:val="nil"/>
            </w:tcBorders>
            <w:noWrap w:val="0"/>
            <w:vAlign w:val="center"/>
          </w:tcPr>
          <w:p w14:paraId="06178435">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379</w:t>
            </w:r>
            <w:r>
              <w:rPr>
                <w:color w:val="auto"/>
                <w:spacing w:val="-10"/>
                <w:sz w:val="18"/>
                <w:szCs w:val="18"/>
              </w:rPr>
              <w:t>+</w:t>
            </w:r>
            <w:r>
              <w:rPr>
                <w:rFonts w:hint="eastAsia"/>
                <w:color w:val="auto"/>
                <w:spacing w:val="-10"/>
                <w:sz w:val="18"/>
                <w:szCs w:val="18"/>
                <w:lang w:val="en-US" w:eastAsia="zh-CN"/>
              </w:rPr>
              <w:t>861</w:t>
            </w:r>
            <w:r>
              <w:rPr>
                <w:rFonts w:hint="eastAsia"/>
                <w:color w:val="auto"/>
                <w:spacing w:val="-10"/>
                <w:sz w:val="18"/>
                <w:szCs w:val="18"/>
              </w:rPr>
              <w:t>~</w:t>
            </w:r>
          </w:p>
          <w:p w14:paraId="73BDDB45">
            <w:pPr>
              <w:pStyle w:val="68"/>
              <w:spacing w:line="240" w:lineRule="exact"/>
              <w:rPr>
                <w:rFonts w:hint="default" w:eastAsia="宋体"/>
                <w:color w:val="auto"/>
                <w:spacing w:val="-10"/>
                <w:sz w:val="18"/>
                <w:szCs w:val="18"/>
                <w:lang w:val="en-US" w:eastAsia="zh-CN"/>
              </w:rPr>
            </w:pPr>
            <w:r>
              <w:rPr>
                <w:rFonts w:hint="eastAsia"/>
                <w:color w:val="auto"/>
                <w:spacing w:val="-10"/>
                <w:sz w:val="18"/>
                <w:szCs w:val="18"/>
              </w:rPr>
              <w:t>K</w:t>
            </w:r>
            <w:r>
              <w:rPr>
                <w:rFonts w:hint="eastAsia"/>
                <w:color w:val="auto"/>
                <w:spacing w:val="-10"/>
                <w:sz w:val="18"/>
                <w:szCs w:val="18"/>
                <w:lang w:val="en-US" w:eastAsia="zh-CN"/>
              </w:rPr>
              <w:t>380</w:t>
            </w:r>
            <w:r>
              <w:rPr>
                <w:color w:val="auto"/>
                <w:spacing w:val="-10"/>
                <w:sz w:val="18"/>
                <w:szCs w:val="18"/>
              </w:rPr>
              <w:t>+6</w:t>
            </w:r>
            <w:r>
              <w:rPr>
                <w:rFonts w:hint="eastAsia"/>
                <w:color w:val="auto"/>
                <w:spacing w:val="-10"/>
                <w:sz w:val="18"/>
                <w:szCs w:val="18"/>
                <w:lang w:val="en-US" w:eastAsia="zh-CN"/>
              </w:rPr>
              <w:t>25</w:t>
            </w:r>
          </w:p>
        </w:tc>
        <w:tc>
          <w:tcPr>
            <w:tcW w:w="131" w:type="pct"/>
            <w:tcBorders>
              <w:tl2br w:val="nil"/>
              <w:tr2bl w:val="nil"/>
            </w:tcBorders>
            <w:noWrap w:val="0"/>
            <w:vAlign w:val="center"/>
          </w:tcPr>
          <w:p w14:paraId="073799EE">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4EC1B8C0">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两侧</w:t>
            </w:r>
          </w:p>
        </w:tc>
        <w:tc>
          <w:tcPr>
            <w:tcW w:w="177" w:type="pct"/>
            <w:tcBorders>
              <w:tl2br w:val="nil"/>
              <w:tr2bl w:val="nil"/>
            </w:tcBorders>
            <w:noWrap w:val="0"/>
            <w:vAlign w:val="center"/>
          </w:tcPr>
          <w:p w14:paraId="7889D979">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0.2-0.8</w:t>
            </w:r>
          </w:p>
        </w:tc>
        <w:tc>
          <w:tcPr>
            <w:tcW w:w="137" w:type="pct"/>
            <w:tcBorders>
              <w:tl2br w:val="nil"/>
              <w:tr2bl w:val="nil"/>
            </w:tcBorders>
            <w:noWrap w:val="0"/>
            <w:vAlign w:val="center"/>
          </w:tcPr>
          <w:p w14:paraId="6A6992D2">
            <w:pPr>
              <w:pStyle w:val="68"/>
              <w:spacing w:line="240" w:lineRule="exact"/>
              <w:rPr>
                <w:rFonts w:hint="eastAsia"/>
                <w:color w:val="auto"/>
                <w:spacing w:val="-10"/>
                <w:sz w:val="18"/>
                <w:szCs w:val="18"/>
              </w:rPr>
            </w:pPr>
            <w:r>
              <w:rPr>
                <w:rFonts w:hint="eastAsia"/>
                <w:color w:val="auto"/>
                <w:spacing w:val="-10"/>
                <w:sz w:val="18"/>
                <w:szCs w:val="18"/>
                <w:lang w:val="en-US" w:eastAsia="zh-CN"/>
              </w:rPr>
              <w:t>1</w:t>
            </w:r>
            <w:r>
              <w:rPr>
                <w:color w:val="auto"/>
                <w:spacing w:val="-10"/>
                <w:sz w:val="18"/>
                <w:szCs w:val="18"/>
              </w:rPr>
              <w:t>5</w:t>
            </w:r>
          </w:p>
        </w:tc>
        <w:tc>
          <w:tcPr>
            <w:tcW w:w="173" w:type="pct"/>
            <w:tcBorders>
              <w:tl2br w:val="nil"/>
              <w:tr2bl w:val="nil"/>
            </w:tcBorders>
            <w:noWrap w:val="0"/>
            <w:vAlign w:val="center"/>
          </w:tcPr>
          <w:p w14:paraId="2111DEB2">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23.5</w:t>
            </w:r>
          </w:p>
        </w:tc>
        <w:tc>
          <w:tcPr>
            <w:tcW w:w="137" w:type="pct"/>
            <w:tcBorders>
              <w:tl2br w:val="nil"/>
              <w:tr2bl w:val="nil"/>
            </w:tcBorders>
            <w:noWrap w:val="0"/>
            <w:vAlign w:val="center"/>
          </w:tcPr>
          <w:p w14:paraId="76B8C89D">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37</w:t>
            </w:r>
          </w:p>
        </w:tc>
        <w:tc>
          <w:tcPr>
            <w:tcW w:w="157" w:type="pct"/>
            <w:tcBorders>
              <w:tl2br w:val="nil"/>
              <w:tr2bl w:val="nil"/>
            </w:tcBorders>
            <w:noWrap w:val="0"/>
            <w:vAlign w:val="center"/>
          </w:tcPr>
          <w:p w14:paraId="05C01676">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76</w:t>
            </w:r>
          </w:p>
        </w:tc>
        <w:tc>
          <w:tcPr>
            <w:tcW w:w="308" w:type="pct"/>
            <w:tcBorders>
              <w:tl2br w:val="nil"/>
              <w:tr2bl w:val="nil"/>
            </w:tcBorders>
            <w:noWrap w:val="0"/>
            <w:vAlign w:val="center"/>
          </w:tcPr>
          <w:p w14:paraId="53614323">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两侧居民区与道路边界线的距离相同；</w:t>
            </w: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南北朝向，部分</w:t>
            </w:r>
            <w:r>
              <w:rPr>
                <w:rFonts w:hint="eastAsia"/>
                <w:color w:val="auto"/>
                <w:spacing w:val="-10"/>
                <w:sz w:val="18"/>
                <w:szCs w:val="18"/>
              </w:rPr>
              <w:t>与道路平行，</w:t>
            </w:r>
            <w:r>
              <w:rPr>
                <w:rFonts w:hint="eastAsia"/>
                <w:color w:val="auto"/>
                <w:spacing w:val="-10"/>
                <w:sz w:val="18"/>
                <w:szCs w:val="18"/>
                <w:lang w:val="en-US" w:eastAsia="zh-CN"/>
              </w:rPr>
              <w:t>部分为斜对道路</w:t>
            </w:r>
          </w:p>
        </w:tc>
        <w:tc>
          <w:tcPr>
            <w:tcW w:w="1580" w:type="pct"/>
            <w:tcBorders>
              <w:tl2br w:val="nil"/>
              <w:tr2bl w:val="nil"/>
            </w:tcBorders>
            <w:noWrap w:val="0"/>
            <w:vAlign w:val="center"/>
          </w:tcPr>
          <w:p w14:paraId="18A38F44">
            <w:pPr>
              <w:pStyle w:val="68"/>
              <w:spacing w:line="240" w:lineRule="auto"/>
              <w:rPr>
                <w:color w:val="auto"/>
                <w:spacing w:val="-10"/>
                <w:sz w:val="18"/>
                <w:szCs w:val="18"/>
              </w:rPr>
            </w:pPr>
            <w:r>
              <w:rPr>
                <w:color w:val="auto"/>
              </w:rPr>
              <w:drawing>
                <wp:inline distT="0" distB="0" distL="114300" distR="114300">
                  <wp:extent cx="2679065" cy="1522730"/>
                  <wp:effectExtent l="0" t="0" r="6985" b="127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32"/>
                          <a:stretch>
                            <a:fillRect/>
                          </a:stretch>
                        </pic:blipFill>
                        <pic:spPr>
                          <a:xfrm>
                            <a:off x="0" y="0"/>
                            <a:ext cx="2679065" cy="1522730"/>
                          </a:xfrm>
                          <a:prstGeom prst="rect">
                            <a:avLst/>
                          </a:prstGeom>
                          <a:noFill/>
                          <a:ln>
                            <a:noFill/>
                          </a:ln>
                        </pic:spPr>
                      </pic:pic>
                    </a:graphicData>
                  </a:graphic>
                </wp:inline>
              </w:drawing>
            </w:r>
          </w:p>
        </w:tc>
        <w:tc>
          <w:tcPr>
            <w:tcW w:w="1451" w:type="pct"/>
            <w:tcBorders>
              <w:tl2br w:val="nil"/>
              <w:tr2bl w:val="nil"/>
            </w:tcBorders>
            <w:noWrap w:val="0"/>
            <w:vAlign w:val="center"/>
          </w:tcPr>
          <w:p w14:paraId="17FF04D2">
            <w:pPr>
              <w:pStyle w:val="68"/>
              <w:spacing w:line="240" w:lineRule="auto"/>
              <w:rPr>
                <w:color w:val="auto"/>
                <w:spacing w:val="-10"/>
                <w:sz w:val="18"/>
                <w:szCs w:val="18"/>
              </w:rPr>
            </w:pPr>
            <w:r>
              <w:rPr>
                <w:color w:val="auto"/>
              </w:rPr>
              <w:drawing>
                <wp:inline distT="0" distB="0" distL="114300" distR="114300">
                  <wp:extent cx="2084070" cy="1611630"/>
                  <wp:effectExtent l="0" t="0" r="11430" b="762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3"/>
                          <a:stretch>
                            <a:fillRect/>
                          </a:stretch>
                        </pic:blipFill>
                        <pic:spPr>
                          <a:xfrm>
                            <a:off x="0" y="0"/>
                            <a:ext cx="2084070" cy="1611630"/>
                          </a:xfrm>
                          <a:prstGeom prst="rect">
                            <a:avLst/>
                          </a:prstGeom>
                          <a:noFill/>
                          <a:ln>
                            <a:noFill/>
                          </a:ln>
                        </pic:spPr>
                      </pic:pic>
                    </a:graphicData>
                  </a:graphic>
                </wp:inline>
              </w:drawing>
            </w:r>
          </w:p>
        </w:tc>
      </w:tr>
      <w:tr w14:paraId="1C8F82F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3D42EAAE">
            <w:pPr>
              <w:pStyle w:val="68"/>
              <w:spacing w:line="240" w:lineRule="exact"/>
              <w:rPr>
                <w:rFonts w:hint="eastAsia" w:ascii="Times New Roman" w:hAnsi="Times New Roman" w:eastAsia="宋体" w:cs="Times New Roman"/>
                <w:color w:val="auto"/>
                <w:spacing w:val="-10"/>
                <w:kern w:val="2"/>
                <w:sz w:val="18"/>
                <w:szCs w:val="18"/>
                <w:lang w:val="en-US" w:eastAsia="zh-CN" w:bidi="ar-SA"/>
              </w:rPr>
            </w:pPr>
            <w:r>
              <w:rPr>
                <w:rFonts w:hint="eastAsia"/>
                <w:color w:val="auto"/>
                <w:spacing w:val="-10"/>
                <w:sz w:val="18"/>
                <w:szCs w:val="18"/>
              </w:rPr>
              <w:t>5</w:t>
            </w:r>
          </w:p>
        </w:tc>
        <w:tc>
          <w:tcPr>
            <w:tcW w:w="229" w:type="pct"/>
            <w:tcBorders>
              <w:tl2br w:val="nil"/>
              <w:tr2bl w:val="nil"/>
            </w:tcBorders>
            <w:noWrap w:val="0"/>
            <w:vAlign w:val="center"/>
          </w:tcPr>
          <w:p w14:paraId="758727E2">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果园四组</w:t>
            </w:r>
          </w:p>
        </w:tc>
        <w:tc>
          <w:tcPr>
            <w:tcW w:w="252" w:type="pct"/>
            <w:tcBorders>
              <w:tl2br w:val="nil"/>
              <w:tr2bl w:val="nil"/>
            </w:tcBorders>
            <w:noWrap w:val="0"/>
            <w:vAlign w:val="center"/>
          </w:tcPr>
          <w:p w14:paraId="2D0FED4A">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397</w:t>
            </w:r>
            <w:r>
              <w:rPr>
                <w:color w:val="auto"/>
                <w:spacing w:val="-10"/>
                <w:sz w:val="18"/>
                <w:szCs w:val="18"/>
              </w:rPr>
              <w:t>+</w:t>
            </w:r>
            <w:r>
              <w:rPr>
                <w:rFonts w:hint="eastAsia"/>
                <w:color w:val="auto"/>
                <w:spacing w:val="-10"/>
                <w:sz w:val="18"/>
                <w:szCs w:val="18"/>
                <w:lang w:val="en-US" w:eastAsia="zh-CN"/>
              </w:rPr>
              <w:t>36</w:t>
            </w:r>
            <w:r>
              <w:rPr>
                <w:color w:val="auto"/>
                <w:spacing w:val="-10"/>
                <w:sz w:val="18"/>
                <w:szCs w:val="18"/>
              </w:rPr>
              <w:t>0</w:t>
            </w:r>
            <w:r>
              <w:rPr>
                <w:rFonts w:hint="eastAsia"/>
                <w:color w:val="auto"/>
                <w:spacing w:val="-10"/>
                <w:sz w:val="18"/>
                <w:szCs w:val="18"/>
              </w:rPr>
              <w:t>~</w:t>
            </w:r>
          </w:p>
          <w:p w14:paraId="0F8C07FB">
            <w:pPr>
              <w:pStyle w:val="68"/>
              <w:spacing w:line="240" w:lineRule="exact"/>
              <w:rPr>
                <w:rFonts w:hint="default" w:eastAsia="宋体"/>
                <w:color w:val="auto"/>
                <w:spacing w:val="-10"/>
                <w:sz w:val="18"/>
                <w:szCs w:val="18"/>
                <w:lang w:val="en-US" w:eastAsia="zh-CN"/>
              </w:rPr>
            </w:pPr>
            <w:r>
              <w:rPr>
                <w:rFonts w:hint="eastAsia"/>
                <w:color w:val="auto"/>
                <w:spacing w:val="-10"/>
                <w:sz w:val="18"/>
                <w:szCs w:val="18"/>
              </w:rPr>
              <w:t>K</w:t>
            </w:r>
            <w:r>
              <w:rPr>
                <w:rFonts w:hint="eastAsia"/>
                <w:color w:val="auto"/>
                <w:spacing w:val="-10"/>
                <w:sz w:val="18"/>
                <w:szCs w:val="18"/>
                <w:lang w:val="en-US" w:eastAsia="zh-CN"/>
              </w:rPr>
              <w:t>397+770</w:t>
            </w:r>
          </w:p>
        </w:tc>
        <w:tc>
          <w:tcPr>
            <w:tcW w:w="131" w:type="pct"/>
            <w:tcBorders>
              <w:tl2br w:val="nil"/>
              <w:tr2bl w:val="nil"/>
            </w:tcBorders>
            <w:noWrap w:val="0"/>
            <w:vAlign w:val="center"/>
          </w:tcPr>
          <w:p w14:paraId="5A3C30C8">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32E4B1F6">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左侧</w:t>
            </w:r>
          </w:p>
        </w:tc>
        <w:tc>
          <w:tcPr>
            <w:tcW w:w="177" w:type="pct"/>
            <w:tcBorders>
              <w:tl2br w:val="nil"/>
              <w:tr2bl w:val="nil"/>
            </w:tcBorders>
            <w:noWrap w:val="0"/>
            <w:vAlign w:val="center"/>
          </w:tcPr>
          <w:p w14:paraId="7C087283">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0.5-2.0</w:t>
            </w:r>
          </w:p>
        </w:tc>
        <w:tc>
          <w:tcPr>
            <w:tcW w:w="137" w:type="pct"/>
            <w:tcBorders>
              <w:tl2br w:val="nil"/>
              <w:tr2bl w:val="nil"/>
            </w:tcBorders>
            <w:noWrap w:val="0"/>
            <w:vAlign w:val="center"/>
          </w:tcPr>
          <w:p w14:paraId="10ECE684">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25</w:t>
            </w:r>
          </w:p>
        </w:tc>
        <w:tc>
          <w:tcPr>
            <w:tcW w:w="173" w:type="pct"/>
            <w:tcBorders>
              <w:tl2br w:val="nil"/>
              <w:tr2bl w:val="nil"/>
            </w:tcBorders>
            <w:noWrap w:val="0"/>
            <w:vAlign w:val="center"/>
          </w:tcPr>
          <w:p w14:paraId="18867B69">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33.5</w:t>
            </w:r>
          </w:p>
        </w:tc>
        <w:tc>
          <w:tcPr>
            <w:tcW w:w="137" w:type="pct"/>
            <w:tcBorders>
              <w:tl2br w:val="nil"/>
              <w:tr2bl w:val="nil"/>
            </w:tcBorders>
            <w:noWrap w:val="0"/>
            <w:vAlign w:val="center"/>
          </w:tcPr>
          <w:p w14:paraId="4228E70A">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6</w:t>
            </w:r>
          </w:p>
        </w:tc>
        <w:tc>
          <w:tcPr>
            <w:tcW w:w="157" w:type="pct"/>
            <w:tcBorders>
              <w:tl2br w:val="nil"/>
              <w:tr2bl w:val="nil"/>
            </w:tcBorders>
            <w:noWrap w:val="0"/>
            <w:vAlign w:val="center"/>
          </w:tcPr>
          <w:p w14:paraId="645C5FCE">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23</w:t>
            </w:r>
          </w:p>
        </w:tc>
        <w:tc>
          <w:tcPr>
            <w:tcW w:w="308" w:type="pct"/>
            <w:tcBorders>
              <w:tl2br w:val="nil"/>
              <w:tr2bl w:val="nil"/>
            </w:tcBorders>
            <w:noWrap w:val="0"/>
            <w:vAlign w:val="center"/>
          </w:tcPr>
          <w:p w14:paraId="083DD8FA">
            <w:pPr>
              <w:pStyle w:val="68"/>
              <w:spacing w:line="240" w:lineRule="exact"/>
              <w:rPr>
                <w:rFonts w:hint="eastAsia" w:eastAsia="宋体"/>
                <w:color w:val="auto"/>
                <w:spacing w:val="-10"/>
                <w:sz w:val="18"/>
                <w:szCs w:val="18"/>
                <w:lang w:eastAsia="zh-CN"/>
              </w:rPr>
            </w:pP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南北朝向，</w:t>
            </w:r>
            <w:r>
              <w:rPr>
                <w:rFonts w:hint="eastAsia"/>
                <w:color w:val="auto"/>
                <w:spacing w:val="-10"/>
                <w:sz w:val="18"/>
                <w:szCs w:val="18"/>
              </w:rPr>
              <w:t>与道路平行</w:t>
            </w:r>
          </w:p>
        </w:tc>
        <w:tc>
          <w:tcPr>
            <w:tcW w:w="1580" w:type="pct"/>
            <w:tcBorders>
              <w:tl2br w:val="nil"/>
              <w:tr2bl w:val="nil"/>
            </w:tcBorders>
            <w:noWrap w:val="0"/>
            <w:vAlign w:val="center"/>
          </w:tcPr>
          <w:p w14:paraId="2052E488">
            <w:pPr>
              <w:pStyle w:val="68"/>
              <w:spacing w:line="240" w:lineRule="auto"/>
              <w:rPr>
                <w:color w:val="auto"/>
                <w:spacing w:val="-10"/>
                <w:sz w:val="18"/>
                <w:szCs w:val="18"/>
              </w:rPr>
            </w:pPr>
            <w:r>
              <w:rPr>
                <w:color w:val="auto"/>
              </w:rPr>
              <w:drawing>
                <wp:inline distT="0" distB="0" distL="114300" distR="114300">
                  <wp:extent cx="2481580" cy="1657985"/>
                  <wp:effectExtent l="0" t="0" r="13970" b="1841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4"/>
                          <a:stretch>
                            <a:fillRect/>
                          </a:stretch>
                        </pic:blipFill>
                        <pic:spPr>
                          <a:xfrm>
                            <a:off x="0" y="0"/>
                            <a:ext cx="2481580" cy="1657985"/>
                          </a:xfrm>
                          <a:prstGeom prst="rect">
                            <a:avLst/>
                          </a:prstGeom>
                          <a:noFill/>
                          <a:ln>
                            <a:noFill/>
                          </a:ln>
                        </pic:spPr>
                      </pic:pic>
                    </a:graphicData>
                  </a:graphic>
                </wp:inline>
              </w:drawing>
            </w:r>
          </w:p>
        </w:tc>
        <w:tc>
          <w:tcPr>
            <w:tcW w:w="1451" w:type="pct"/>
            <w:tcBorders>
              <w:tl2br w:val="nil"/>
              <w:tr2bl w:val="nil"/>
            </w:tcBorders>
            <w:noWrap w:val="0"/>
            <w:vAlign w:val="center"/>
          </w:tcPr>
          <w:p w14:paraId="73F66D51">
            <w:pPr>
              <w:pStyle w:val="68"/>
              <w:spacing w:line="240" w:lineRule="auto"/>
              <w:rPr>
                <w:color w:val="auto"/>
                <w:spacing w:val="-10"/>
                <w:sz w:val="18"/>
                <w:szCs w:val="18"/>
              </w:rPr>
            </w:pPr>
            <w:r>
              <w:rPr>
                <w:color w:val="auto"/>
              </w:rPr>
              <w:drawing>
                <wp:inline distT="0" distB="0" distL="114300" distR="114300">
                  <wp:extent cx="2463165" cy="1706880"/>
                  <wp:effectExtent l="0" t="0" r="13335" b="762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5"/>
                          <a:stretch>
                            <a:fillRect/>
                          </a:stretch>
                        </pic:blipFill>
                        <pic:spPr>
                          <a:xfrm>
                            <a:off x="0" y="0"/>
                            <a:ext cx="2463165" cy="1706880"/>
                          </a:xfrm>
                          <a:prstGeom prst="rect">
                            <a:avLst/>
                          </a:prstGeom>
                          <a:noFill/>
                          <a:ln>
                            <a:noFill/>
                          </a:ln>
                        </pic:spPr>
                      </pic:pic>
                    </a:graphicData>
                  </a:graphic>
                </wp:inline>
              </w:drawing>
            </w:r>
          </w:p>
        </w:tc>
      </w:tr>
      <w:tr w14:paraId="4E78CD0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798DE09C">
            <w:pPr>
              <w:pStyle w:val="68"/>
              <w:spacing w:line="240" w:lineRule="exact"/>
              <w:rPr>
                <w:rFonts w:hint="eastAsia" w:ascii="Times New Roman" w:hAnsi="Times New Roman" w:eastAsia="宋体" w:cs="Times New Roman"/>
                <w:color w:val="auto"/>
                <w:spacing w:val="-10"/>
                <w:kern w:val="2"/>
                <w:sz w:val="18"/>
                <w:szCs w:val="18"/>
                <w:lang w:val="en-US" w:eastAsia="zh-CN" w:bidi="ar-SA"/>
              </w:rPr>
            </w:pPr>
            <w:r>
              <w:rPr>
                <w:rFonts w:hint="eastAsia"/>
                <w:color w:val="auto"/>
                <w:spacing w:val="-10"/>
                <w:sz w:val="18"/>
                <w:szCs w:val="18"/>
              </w:rPr>
              <w:t>6</w:t>
            </w:r>
          </w:p>
        </w:tc>
        <w:tc>
          <w:tcPr>
            <w:tcW w:w="229" w:type="pct"/>
            <w:tcBorders>
              <w:tl2br w:val="nil"/>
              <w:tr2bl w:val="nil"/>
            </w:tcBorders>
            <w:noWrap w:val="0"/>
            <w:vAlign w:val="center"/>
          </w:tcPr>
          <w:p w14:paraId="7AE91765">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果园村</w:t>
            </w:r>
          </w:p>
        </w:tc>
        <w:tc>
          <w:tcPr>
            <w:tcW w:w="252" w:type="pct"/>
            <w:tcBorders>
              <w:tl2br w:val="nil"/>
              <w:tr2bl w:val="nil"/>
            </w:tcBorders>
            <w:noWrap w:val="0"/>
            <w:vAlign w:val="center"/>
          </w:tcPr>
          <w:p w14:paraId="258D4863">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398</w:t>
            </w:r>
            <w:r>
              <w:rPr>
                <w:color w:val="auto"/>
                <w:spacing w:val="-10"/>
                <w:sz w:val="18"/>
                <w:szCs w:val="18"/>
              </w:rPr>
              <w:t>+</w:t>
            </w:r>
            <w:r>
              <w:rPr>
                <w:rFonts w:hint="eastAsia"/>
                <w:color w:val="auto"/>
                <w:spacing w:val="-10"/>
                <w:sz w:val="18"/>
                <w:szCs w:val="18"/>
                <w:lang w:val="en-US" w:eastAsia="zh-CN"/>
              </w:rPr>
              <w:t>950</w:t>
            </w:r>
            <w:r>
              <w:rPr>
                <w:rFonts w:hint="eastAsia"/>
                <w:color w:val="auto"/>
                <w:spacing w:val="-10"/>
                <w:sz w:val="18"/>
                <w:szCs w:val="18"/>
              </w:rPr>
              <w:t>~</w:t>
            </w:r>
          </w:p>
          <w:p w14:paraId="0C202538">
            <w:pPr>
              <w:pStyle w:val="68"/>
              <w:spacing w:line="240" w:lineRule="exact"/>
              <w:rPr>
                <w:rFonts w:hint="eastAsia"/>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399</w:t>
            </w:r>
            <w:r>
              <w:rPr>
                <w:color w:val="auto"/>
                <w:spacing w:val="-10"/>
                <w:sz w:val="18"/>
                <w:szCs w:val="18"/>
              </w:rPr>
              <w:t>+</w:t>
            </w:r>
            <w:r>
              <w:rPr>
                <w:rFonts w:hint="eastAsia"/>
                <w:color w:val="auto"/>
                <w:spacing w:val="-10"/>
                <w:sz w:val="18"/>
                <w:szCs w:val="18"/>
                <w:lang w:val="en-US" w:eastAsia="zh-CN"/>
              </w:rPr>
              <w:t>260</w:t>
            </w:r>
          </w:p>
        </w:tc>
        <w:tc>
          <w:tcPr>
            <w:tcW w:w="131" w:type="pct"/>
            <w:tcBorders>
              <w:tl2br w:val="nil"/>
              <w:tr2bl w:val="nil"/>
            </w:tcBorders>
            <w:noWrap w:val="0"/>
            <w:vAlign w:val="center"/>
          </w:tcPr>
          <w:p w14:paraId="1A104A3B">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6E5A8BC4">
            <w:pPr>
              <w:pStyle w:val="68"/>
              <w:spacing w:line="240" w:lineRule="exact"/>
              <w:rPr>
                <w:rFonts w:hint="eastAsia" w:eastAsia="宋体"/>
                <w:color w:val="auto"/>
                <w:spacing w:val="-10"/>
                <w:sz w:val="18"/>
                <w:szCs w:val="18"/>
                <w:lang w:val="en-US" w:eastAsia="zh-CN"/>
              </w:rPr>
            </w:pPr>
            <w:r>
              <w:rPr>
                <w:rFonts w:hint="eastAsia"/>
                <w:color w:val="auto"/>
                <w:spacing w:val="-10"/>
                <w:sz w:val="18"/>
                <w:szCs w:val="18"/>
                <w:lang w:val="en-US" w:eastAsia="zh-CN"/>
              </w:rPr>
              <w:t>两侧</w:t>
            </w:r>
          </w:p>
        </w:tc>
        <w:tc>
          <w:tcPr>
            <w:tcW w:w="177" w:type="pct"/>
            <w:tcBorders>
              <w:tl2br w:val="nil"/>
              <w:tr2bl w:val="nil"/>
            </w:tcBorders>
            <w:noWrap w:val="0"/>
            <w:vAlign w:val="center"/>
          </w:tcPr>
          <w:p w14:paraId="2D9F1508">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0.5-3.0</w:t>
            </w:r>
          </w:p>
        </w:tc>
        <w:tc>
          <w:tcPr>
            <w:tcW w:w="137" w:type="pct"/>
            <w:tcBorders>
              <w:tl2br w:val="nil"/>
              <w:tr2bl w:val="nil"/>
            </w:tcBorders>
            <w:noWrap w:val="0"/>
            <w:vAlign w:val="center"/>
          </w:tcPr>
          <w:p w14:paraId="22E449FA">
            <w:pPr>
              <w:widowControl/>
              <w:kinsoku w:val="0"/>
              <w:autoSpaceDE w:val="0"/>
              <w:autoSpaceDN w:val="0"/>
              <w:adjustRightInd w:val="0"/>
              <w:snapToGrid w:val="0"/>
              <w:spacing w:line="240" w:lineRule="exact"/>
              <w:ind w:firstLine="0" w:firstLineChars="0"/>
              <w:jc w:val="center"/>
              <w:textAlignment w:val="baseline"/>
              <w:rPr>
                <w:rFonts w:hint="eastAsia" w:eastAsia="宋体"/>
                <w:color w:val="auto"/>
                <w:spacing w:val="-10"/>
                <w:kern w:val="21"/>
                <w:sz w:val="18"/>
                <w:szCs w:val="18"/>
                <w:lang w:eastAsia="zh-CN"/>
              </w:rPr>
            </w:pPr>
            <w:r>
              <w:rPr>
                <w:rFonts w:hint="eastAsia"/>
                <w:color w:val="auto"/>
                <w:spacing w:val="-10"/>
                <w:kern w:val="21"/>
                <w:sz w:val="18"/>
                <w:szCs w:val="18"/>
                <w:lang w:val="en-US" w:eastAsia="zh-CN"/>
              </w:rPr>
              <w:t>7</w:t>
            </w:r>
          </w:p>
        </w:tc>
        <w:tc>
          <w:tcPr>
            <w:tcW w:w="173" w:type="pct"/>
            <w:tcBorders>
              <w:tl2br w:val="nil"/>
              <w:tr2bl w:val="nil"/>
            </w:tcBorders>
            <w:noWrap w:val="0"/>
            <w:vAlign w:val="center"/>
          </w:tcPr>
          <w:p w14:paraId="32374404">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15.5</w:t>
            </w:r>
          </w:p>
        </w:tc>
        <w:tc>
          <w:tcPr>
            <w:tcW w:w="137" w:type="pct"/>
            <w:tcBorders>
              <w:tl2br w:val="nil"/>
              <w:tr2bl w:val="nil"/>
            </w:tcBorders>
            <w:noWrap w:val="0"/>
            <w:vAlign w:val="center"/>
          </w:tcPr>
          <w:p w14:paraId="36301297">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7</w:t>
            </w:r>
          </w:p>
        </w:tc>
        <w:tc>
          <w:tcPr>
            <w:tcW w:w="157" w:type="pct"/>
            <w:tcBorders>
              <w:tl2br w:val="nil"/>
              <w:tr2bl w:val="nil"/>
            </w:tcBorders>
            <w:noWrap w:val="0"/>
            <w:vAlign w:val="center"/>
          </w:tcPr>
          <w:p w14:paraId="32823CF6">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27</w:t>
            </w:r>
          </w:p>
        </w:tc>
        <w:tc>
          <w:tcPr>
            <w:tcW w:w="308" w:type="pct"/>
            <w:tcBorders>
              <w:tl2br w:val="nil"/>
              <w:tr2bl w:val="nil"/>
            </w:tcBorders>
            <w:noWrap w:val="0"/>
            <w:vAlign w:val="center"/>
          </w:tcPr>
          <w:p w14:paraId="22740E16">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两侧居民区与道路边界线的距离相同；</w:t>
            </w: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南北朝向，垂直于道路</w:t>
            </w:r>
          </w:p>
        </w:tc>
        <w:tc>
          <w:tcPr>
            <w:tcW w:w="1580" w:type="pct"/>
            <w:tcBorders>
              <w:tl2br w:val="nil"/>
              <w:tr2bl w:val="nil"/>
            </w:tcBorders>
            <w:noWrap w:val="0"/>
            <w:vAlign w:val="center"/>
          </w:tcPr>
          <w:p w14:paraId="731F9602">
            <w:pPr>
              <w:pStyle w:val="68"/>
              <w:spacing w:line="240" w:lineRule="auto"/>
              <w:rPr>
                <w:color w:val="auto"/>
                <w:spacing w:val="-10"/>
                <w:sz w:val="18"/>
                <w:szCs w:val="18"/>
              </w:rPr>
            </w:pPr>
            <w:r>
              <w:rPr>
                <w:color w:val="auto"/>
              </w:rPr>
              <w:drawing>
                <wp:inline distT="0" distB="0" distL="114300" distR="114300">
                  <wp:extent cx="2682875" cy="1699260"/>
                  <wp:effectExtent l="0" t="0" r="3175" b="1524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
                          <pic:cNvPicPr>
                            <a:picLocks noChangeAspect="1"/>
                          </pic:cNvPicPr>
                        </pic:nvPicPr>
                        <pic:blipFill>
                          <a:blip r:embed="rId36"/>
                          <a:stretch>
                            <a:fillRect/>
                          </a:stretch>
                        </pic:blipFill>
                        <pic:spPr>
                          <a:xfrm>
                            <a:off x="0" y="0"/>
                            <a:ext cx="2682875" cy="1699260"/>
                          </a:xfrm>
                          <a:prstGeom prst="rect">
                            <a:avLst/>
                          </a:prstGeom>
                          <a:noFill/>
                          <a:ln>
                            <a:noFill/>
                          </a:ln>
                        </pic:spPr>
                      </pic:pic>
                    </a:graphicData>
                  </a:graphic>
                </wp:inline>
              </w:drawing>
            </w:r>
          </w:p>
        </w:tc>
        <w:tc>
          <w:tcPr>
            <w:tcW w:w="1451" w:type="pct"/>
            <w:tcBorders>
              <w:tl2br w:val="nil"/>
              <w:tr2bl w:val="nil"/>
            </w:tcBorders>
            <w:noWrap w:val="0"/>
            <w:vAlign w:val="center"/>
          </w:tcPr>
          <w:p w14:paraId="65BDE220">
            <w:pPr>
              <w:pStyle w:val="68"/>
              <w:spacing w:line="240" w:lineRule="auto"/>
              <w:rPr>
                <w:color w:val="auto"/>
              </w:rPr>
            </w:pPr>
            <w:r>
              <w:rPr>
                <w:color w:val="auto"/>
              </w:rPr>
              <w:drawing>
                <wp:inline distT="0" distB="0" distL="114300" distR="114300">
                  <wp:extent cx="2458720" cy="1638935"/>
                  <wp:effectExtent l="0" t="0" r="17780" b="18415"/>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37"/>
                          <a:stretch>
                            <a:fillRect/>
                          </a:stretch>
                        </pic:blipFill>
                        <pic:spPr>
                          <a:xfrm>
                            <a:off x="0" y="0"/>
                            <a:ext cx="2458720" cy="1638935"/>
                          </a:xfrm>
                          <a:prstGeom prst="rect">
                            <a:avLst/>
                          </a:prstGeom>
                          <a:noFill/>
                          <a:ln>
                            <a:noFill/>
                          </a:ln>
                        </pic:spPr>
                      </pic:pic>
                    </a:graphicData>
                  </a:graphic>
                </wp:inline>
              </w:drawing>
            </w:r>
          </w:p>
        </w:tc>
      </w:tr>
      <w:tr w14:paraId="077700E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056D13FD">
            <w:pPr>
              <w:pStyle w:val="68"/>
              <w:spacing w:line="240" w:lineRule="exact"/>
              <w:rPr>
                <w:rFonts w:hint="eastAsia" w:ascii="Times New Roman" w:hAnsi="Times New Roman" w:eastAsia="宋体" w:cs="Times New Roman"/>
                <w:color w:val="auto"/>
                <w:spacing w:val="-10"/>
                <w:kern w:val="2"/>
                <w:sz w:val="18"/>
                <w:szCs w:val="18"/>
                <w:lang w:val="en-US" w:eastAsia="zh-CN" w:bidi="ar-SA"/>
              </w:rPr>
            </w:pPr>
            <w:r>
              <w:rPr>
                <w:rFonts w:hint="eastAsia"/>
                <w:color w:val="auto"/>
                <w:spacing w:val="-10"/>
                <w:sz w:val="18"/>
                <w:szCs w:val="18"/>
              </w:rPr>
              <w:t>7</w:t>
            </w:r>
          </w:p>
        </w:tc>
        <w:tc>
          <w:tcPr>
            <w:tcW w:w="229" w:type="pct"/>
            <w:tcBorders>
              <w:tl2br w:val="nil"/>
              <w:tr2bl w:val="nil"/>
            </w:tcBorders>
            <w:noWrap w:val="0"/>
            <w:vAlign w:val="center"/>
          </w:tcPr>
          <w:p w14:paraId="700D0FFB">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果园一组</w:t>
            </w:r>
          </w:p>
        </w:tc>
        <w:tc>
          <w:tcPr>
            <w:tcW w:w="252" w:type="pct"/>
            <w:tcBorders>
              <w:tl2br w:val="nil"/>
              <w:tr2bl w:val="nil"/>
            </w:tcBorders>
            <w:noWrap w:val="0"/>
            <w:vAlign w:val="center"/>
          </w:tcPr>
          <w:p w14:paraId="532BC1DF">
            <w:pPr>
              <w:pStyle w:val="68"/>
              <w:spacing w:line="240" w:lineRule="exact"/>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400</w:t>
            </w:r>
            <w:r>
              <w:rPr>
                <w:color w:val="auto"/>
                <w:spacing w:val="-10"/>
                <w:sz w:val="18"/>
                <w:szCs w:val="18"/>
              </w:rPr>
              <w:t>+</w:t>
            </w:r>
            <w:r>
              <w:rPr>
                <w:rFonts w:hint="eastAsia"/>
                <w:color w:val="auto"/>
                <w:spacing w:val="-10"/>
                <w:sz w:val="18"/>
                <w:szCs w:val="18"/>
                <w:lang w:val="en-US" w:eastAsia="zh-CN"/>
              </w:rPr>
              <w:t>380</w:t>
            </w:r>
            <w:r>
              <w:rPr>
                <w:rFonts w:hint="eastAsia"/>
                <w:color w:val="auto"/>
                <w:spacing w:val="-10"/>
                <w:sz w:val="18"/>
                <w:szCs w:val="18"/>
              </w:rPr>
              <w:t>~</w:t>
            </w:r>
          </w:p>
          <w:p w14:paraId="3458D2E7">
            <w:pPr>
              <w:pStyle w:val="68"/>
              <w:spacing w:line="240" w:lineRule="exact"/>
              <w:rPr>
                <w:rFonts w:hint="eastAsia"/>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400</w:t>
            </w:r>
            <w:r>
              <w:rPr>
                <w:color w:val="auto"/>
                <w:spacing w:val="-10"/>
                <w:sz w:val="18"/>
                <w:szCs w:val="18"/>
              </w:rPr>
              <w:t>+</w:t>
            </w:r>
            <w:r>
              <w:rPr>
                <w:rFonts w:hint="eastAsia"/>
                <w:color w:val="auto"/>
                <w:spacing w:val="-10"/>
                <w:sz w:val="18"/>
                <w:szCs w:val="18"/>
                <w:lang w:val="en-US" w:eastAsia="zh-CN"/>
              </w:rPr>
              <w:t>76</w:t>
            </w:r>
            <w:r>
              <w:rPr>
                <w:color w:val="auto"/>
                <w:spacing w:val="-10"/>
                <w:sz w:val="18"/>
                <w:szCs w:val="18"/>
              </w:rPr>
              <w:t>0</w:t>
            </w:r>
          </w:p>
        </w:tc>
        <w:tc>
          <w:tcPr>
            <w:tcW w:w="131" w:type="pct"/>
            <w:tcBorders>
              <w:tl2br w:val="nil"/>
              <w:tr2bl w:val="nil"/>
            </w:tcBorders>
            <w:noWrap w:val="0"/>
            <w:vAlign w:val="center"/>
          </w:tcPr>
          <w:p w14:paraId="3056C1E8">
            <w:pPr>
              <w:pStyle w:val="68"/>
              <w:spacing w:line="240" w:lineRule="exact"/>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014E715D">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右侧</w:t>
            </w:r>
          </w:p>
        </w:tc>
        <w:tc>
          <w:tcPr>
            <w:tcW w:w="177" w:type="pct"/>
            <w:tcBorders>
              <w:tl2br w:val="nil"/>
              <w:tr2bl w:val="nil"/>
            </w:tcBorders>
            <w:noWrap w:val="0"/>
            <w:vAlign w:val="center"/>
          </w:tcPr>
          <w:p w14:paraId="24DDAB4C">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0.5-2.5</w:t>
            </w:r>
          </w:p>
        </w:tc>
        <w:tc>
          <w:tcPr>
            <w:tcW w:w="137" w:type="pct"/>
            <w:tcBorders>
              <w:tl2br w:val="nil"/>
              <w:tr2bl w:val="nil"/>
            </w:tcBorders>
            <w:noWrap w:val="0"/>
            <w:vAlign w:val="center"/>
          </w:tcPr>
          <w:p w14:paraId="2B0C96F0">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27</w:t>
            </w:r>
          </w:p>
        </w:tc>
        <w:tc>
          <w:tcPr>
            <w:tcW w:w="173" w:type="pct"/>
            <w:tcBorders>
              <w:tl2br w:val="nil"/>
              <w:tr2bl w:val="nil"/>
            </w:tcBorders>
            <w:noWrap w:val="0"/>
            <w:vAlign w:val="center"/>
          </w:tcPr>
          <w:p w14:paraId="4046BDF2">
            <w:pPr>
              <w:widowControl/>
              <w:kinsoku w:val="0"/>
              <w:autoSpaceDE w:val="0"/>
              <w:autoSpaceDN w:val="0"/>
              <w:adjustRightInd w:val="0"/>
              <w:snapToGrid w:val="0"/>
              <w:spacing w:line="240" w:lineRule="exact"/>
              <w:ind w:firstLine="0" w:firstLineChars="0"/>
              <w:jc w:val="center"/>
              <w:textAlignment w:val="baseline"/>
              <w:rPr>
                <w:rFonts w:hint="default" w:eastAsia="宋体"/>
                <w:color w:val="auto"/>
                <w:spacing w:val="-10"/>
                <w:kern w:val="21"/>
                <w:sz w:val="18"/>
                <w:szCs w:val="18"/>
                <w:lang w:val="en-US" w:eastAsia="zh-CN"/>
              </w:rPr>
            </w:pPr>
            <w:r>
              <w:rPr>
                <w:rFonts w:hint="eastAsia"/>
                <w:color w:val="auto"/>
                <w:spacing w:val="-10"/>
                <w:kern w:val="21"/>
                <w:sz w:val="18"/>
                <w:szCs w:val="18"/>
                <w:lang w:val="en-US" w:eastAsia="zh-CN"/>
              </w:rPr>
              <w:t>35.5</w:t>
            </w:r>
          </w:p>
        </w:tc>
        <w:tc>
          <w:tcPr>
            <w:tcW w:w="137" w:type="pct"/>
            <w:tcBorders>
              <w:tl2br w:val="nil"/>
              <w:tr2bl w:val="nil"/>
            </w:tcBorders>
            <w:noWrap w:val="0"/>
            <w:vAlign w:val="center"/>
          </w:tcPr>
          <w:p w14:paraId="7D0AD55B">
            <w:pPr>
              <w:pStyle w:val="68"/>
              <w:spacing w:line="240" w:lineRule="exact"/>
              <w:rPr>
                <w:rFonts w:hint="eastAsia" w:eastAsia="宋体"/>
                <w:color w:val="auto"/>
                <w:spacing w:val="-10"/>
                <w:sz w:val="18"/>
                <w:szCs w:val="18"/>
                <w:lang w:eastAsia="zh-CN"/>
              </w:rPr>
            </w:pPr>
            <w:r>
              <w:rPr>
                <w:rFonts w:hint="eastAsia"/>
                <w:color w:val="auto"/>
                <w:spacing w:val="-10"/>
                <w:sz w:val="18"/>
                <w:szCs w:val="18"/>
                <w:lang w:val="en-US" w:eastAsia="zh-CN"/>
              </w:rPr>
              <w:t>2</w:t>
            </w:r>
          </w:p>
        </w:tc>
        <w:tc>
          <w:tcPr>
            <w:tcW w:w="157" w:type="pct"/>
            <w:tcBorders>
              <w:tl2br w:val="nil"/>
              <w:tr2bl w:val="nil"/>
            </w:tcBorders>
            <w:noWrap w:val="0"/>
            <w:vAlign w:val="center"/>
          </w:tcPr>
          <w:p w14:paraId="59C018FF">
            <w:pPr>
              <w:pStyle w:val="68"/>
              <w:spacing w:line="240" w:lineRule="exact"/>
              <w:rPr>
                <w:rFonts w:hint="default" w:eastAsia="宋体"/>
                <w:color w:val="auto"/>
                <w:spacing w:val="-10"/>
                <w:sz w:val="18"/>
                <w:szCs w:val="18"/>
                <w:lang w:val="en-US" w:eastAsia="zh-CN"/>
              </w:rPr>
            </w:pPr>
            <w:r>
              <w:rPr>
                <w:rFonts w:hint="eastAsia"/>
                <w:color w:val="auto"/>
                <w:spacing w:val="-10"/>
                <w:sz w:val="18"/>
                <w:szCs w:val="18"/>
                <w:lang w:val="en-US" w:eastAsia="zh-CN"/>
              </w:rPr>
              <w:t>28</w:t>
            </w:r>
          </w:p>
        </w:tc>
        <w:tc>
          <w:tcPr>
            <w:tcW w:w="308" w:type="pct"/>
            <w:tcBorders>
              <w:tl2br w:val="nil"/>
              <w:tr2bl w:val="nil"/>
            </w:tcBorders>
            <w:noWrap w:val="0"/>
            <w:vAlign w:val="center"/>
          </w:tcPr>
          <w:p w14:paraId="37A04B03">
            <w:pPr>
              <w:pStyle w:val="68"/>
              <w:spacing w:line="240" w:lineRule="exact"/>
              <w:rPr>
                <w:rFonts w:hint="eastAsia"/>
                <w:color w:val="auto"/>
                <w:spacing w:val="-10"/>
                <w:sz w:val="18"/>
                <w:szCs w:val="18"/>
              </w:rPr>
            </w:pP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南北朝向，垂直于道路</w:t>
            </w:r>
          </w:p>
        </w:tc>
        <w:tc>
          <w:tcPr>
            <w:tcW w:w="1580" w:type="pct"/>
            <w:tcBorders>
              <w:tl2br w:val="nil"/>
              <w:tr2bl w:val="nil"/>
            </w:tcBorders>
            <w:noWrap w:val="0"/>
            <w:vAlign w:val="center"/>
          </w:tcPr>
          <w:p w14:paraId="78A5B7A9">
            <w:pPr>
              <w:pStyle w:val="68"/>
              <w:spacing w:line="240" w:lineRule="auto"/>
              <w:rPr>
                <w:color w:val="auto"/>
                <w:spacing w:val="-10"/>
                <w:sz w:val="18"/>
                <w:szCs w:val="18"/>
              </w:rPr>
            </w:pPr>
            <w:r>
              <w:rPr>
                <w:color w:val="auto"/>
              </w:rPr>
              <w:drawing>
                <wp:inline distT="0" distB="0" distL="114300" distR="114300">
                  <wp:extent cx="2715260" cy="1375410"/>
                  <wp:effectExtent l="0" t="0" r="8890" b="1524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38"/>
                          <a:stretch>
                            <a:fillRect/>
                          </a:stretch>
                        </pic:blipFill>
                        <pic:spPr>
                          <a:xfrm>
                            <a:off x="0" y="0"/>
                            <a:ext cx="2715260" cy="1375410"/>
                          </a:xfrm>
                          <a:prstGeom prst="rect">
                            <a:avLst/>
                          </a:prstGeom>
                          <a:noFill/>
                          <a:ln>
                            <a:noFill/>
                          </a:ln>
                        </pic:spPr>
                      </pic:pic>
                    </a:graphicData>
                  </a:graphic>
                </wp:inline>
              </w:drawing>
            </w:r>
          </w:p>
        </w:tc>
        <w:tc>
          <w:tcPr>
            <w:tcW w:w="1451" w:type="pct"/>
            <w:tcBorders>
              <w:tl2br w:val="nil"/>
              <w:tr2bl w:val="nil"/>
            </w:tcBorders>
            <w:noWrap w:val="0"/>
            <w:vAlign w:val="center"/>
          </w:tcPr>
          <w:p w14:paraId="5609AA4B">
            <w:pPr>
              <w:pStyle w:val="68"/>
              <w:spacing w:line="240" w:lineRule="auto"/>
              <w:rPr>
                <w:color w:val="auto"/>
              </w:rPr>
            </w:pPr>
            <w:r>
              <w:rPr>
                <w:color w:val="auto"/>
              </w:rPr>
              <w:drawing>
                <wp:inline distT="0" distB="0" distL="114300" distR="114300">
                  <wp:extent cx="2459990" cy="1743710"/>
                  <wp:effectExtent l="0" t="0" r="16510" b="889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39"/>
                          <a:stretch>
                            <a:fillRect/>
                          </a:stretch>
                        </pic:blipFill>
                        <pic:spPr>
                          <a:xfrm>
                            <a:off x="0" y="0"/>
                            <a:ext cx="2459990" cy="1743710"/>
                          </a:xfrm>
                          <a:prstGeom prst="rect">
                            <a:avLst/>
                          </a:prstGeom>
                          <a:noFill/>
                          <a:ln>
                            <a:noFill/>
                          </a:ln>
                        </pic:spPr>
                      </pic:pic>
                    </a:graphicData>
                  </a:graphic>
                </wp:inline>
              </w:drawing>
            </w:r>
          </w:p>
        </w:tc>
      </w:tr>
      <w:tr w14:paraId="1206752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612A7E26">
            <w:pPr>
              <w:pStyle w:val="68"/>
              <w:spacing w:line="240" w:lineRule="exact"/>
              <w:rPr>
                <w:rFonts w:hint="eastAsia" w:ascii="Times New Roman" w:hAnsi="Times New Roman" w:eastAsia="宋体" w:cs="Times New Roman"/>
                <w:color w:val="auto"/>
                <w:spacing w:val="-10"/>
                <w:kern w:val="2"/>
                <w:sz w:val="18"/>
                <w:szCs w:val="18"/>
                <w:lang w:val="en-US" w:eastAsia="zh-CN" w:bidi="ar-SA"/>
              </w:rPr>
            </w:pPr>
            <w:r>
              <w:rPr>
                <w:rFonts w:hint="eastAsia"/>
                <w:color w:val="auto"/>
                <w:spacing w:val="-10"/>
                <w:sz w:val="18"/>
                <w:szCs w:val="18"/>
              </w:rPr>
              <w:t>8</w:t>
            </w:r>
          </w:p>
        </w:tc>
        <w:tc>
          <w:tcPr>
            <w:tcW w:w="229" w:type="pct"/>
            <w:tcBorders>
              <w:tl2br w:val="nil"/>
              <w:tr2bl w:val="nil"/>
            </w:tcBorders>
            <w:noWrap w:val="0"/>
            <w:vAlign w:val="center"/>
          </w:tcPr>
          <w:p w14:paraId="24BE7476">
            <w:pPr>
              <w:pStyle w:val="80"/>
              <w:wordWrap/>
              <w:spacing w:line="240" w:lineRule="auto"/>
              <w:rPr>
                <w:rFonts w:hint="eastAsia"/>
                <w:color w:val="auto"/>
                <w:spacing w:val="-10"/>
                <w:sz w:val="18"/>
                <w:szCs w:val="18"/>
              </w:rPr>
            </w:pPr>
            <w:r>
              <w:rPr>
                <w:rFonts w:hint="eastAsia"/>
                <w:color w:val="auto"/>
                <w:spacing w:val="-10"/>
                <w:sz w:val="18"/>
                <w:szCs w:val="18"/>
                <w:lang w:val="en-US" w:eastAsia="zh-CN"/>
              </w:rPr>
              <w:t>马家岗</w:t>
            </w:r>
            <w:r>
              <w:rPr>
                <w:rFonts w:hint="eastAsia"/>
                <w:color w:val="auto"/>
                <w:spacing w:val="-10"/>
                <w:sz w:val="18"/>
                <w:szCs w:val="18"/>
              </w:rPr>
              <w:t>村</w:t>
            </w:r>
          </w:p>
        </w:tc>
        <w:tc>
          <w:tcPr>
            <w:tcW w:w="252" w:type="pct"/>
            <w:tcBorders>
              <w:tl2br w:val="nil"/>
              <w:tr2bl w:val="nil"/>
            </w:tcBorders>
            <w:noWrap w:val="0"/>
            <w:vAlign w:val="center"/>
          </w:tcPr>
          <w:p w14:paraId="511AF61A">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402</w:t>
            </w:r>
            <w:r>
              <w:rPr>
                <w:rFonts w:hint="eastAsia"/>
                <w:color w:val="auto"/>
                <w:spacing w:val="-10"/>
                <w:sz w:val="18"/>
                <w:szCs w:val="18"/>
              </w:rPr>
              <w:t>+</w:t>
            </w:r>
            <w:r>
              <w:rPr>
                <w:rFonts w:hint="eastAsia"/>
                <w:color w:val="auto"/>
                <w:spacing w:val="-10"/>
                <w:sz w:val="18"/>
                <w:szCs w:val="18"/>
                <w:lang w:val="en-US" w:eastAsia="zh-CN"/>
              </w:rPr>
              <w:t>0</w:t>
            </w:r>
            <w:r>
              <w:rPr>
                <w:rFonts w:hint="eastAsia"/>
                <w:color w:val="auto"/>
                <w:spacing w:val="-10"/>
                <w:sz w:val="18"/>
                <w:szCs w:val="18"/>
              </w:rPr>
              <w:t>5</w:t>
            </w:r>
            <w:r>
              <w:rPr>
                <w:color w:val="auto"/>
                <w:spacing w:val="-10"/>
                <w:sz w:val="18"/>
                <w:szCs w:val="18"/>
              </w:rPr>
              <w:t>0</w:t>
            </w:r>
            <w:r>
              <w:rPr>
                <w:rFonts w:hint="eastAsia"/>
                <w:color w:val="auto"/>
                <w:spacing w:val="-10"/>
                <w:sz w:val="18"/>
                <w:szCs w:val="18"/>
              </w:rPr>
              <w:t>~</w:t>
            </w:r>
          </w:p>
          <w:p w14:paraId="0260CC0F">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402+97</w:t>
            </w:r>
            <w:r>
              <w:rPr>
                <w:color w:val="auto"/>
                <w:spacing w:val="-10"/>
                <w:sz w:val="18"/>
                <w:szCs w:val="18"/>
              </w:rPr>
              <w:t>0</w:t>
            </w:r>
          </w:p>
        </w:tc>
        <w:tc>
          <w:tcPr>
            <w:tcW w:w="131" w:type="pct"/>
            <w:tcBorders>
              <w:tl2br w:val="nil"/>
              <w:tr2bl w:val="nil"/>
            </w:tcBorders>
            <w:noWrap w:val="0"/>
            <w:vAlign w:val="center"/>
          </w:tcPr>
          <w:p w14:paraId="3567EF74">
            <w:pPr>
              <w:pStyle w:val="68"/>
              <w:spacing w:line="240" w:lineRule="auto"/>
              <w:rPr>
                <w:color w:val="auto"/>
                <w:spacing w:val="-10"/>
                <w:sz w:val="18"/>
                <w:szCs w:val="18"/>
              </w:rPr>
            </w:pPr>
            <w:r>
              <w:rPr>
                <w:color w:val="auto"/>
                <w:spacing w:val="-10"/>
                <w:sz w:val="18"/>
                <w:szCs w:val="18"/>
              </w:rPr>
              <w:t>路基</w:t>
            </w:r>
          </w:p>
        </w:tc>
        <w:tc>
          <w:tcPr>
            <w:tcW w:w="131" w:type="pct"/>
            <w:tcBorders>
              <w:tl2br w:val="nil"/>
              <w:tr2bl w:val="nil"/>
            </w:tcBorders>
            <w:noWrap w:val="0"/>
            <w:vAlign w:val="center"/>
          </w:tcPr>
          <w:p w14:paraId="1946A01F">
            <w:pPr>
              <w:pStyle w:val="68"/>
              <w:spacing w:line="240" w:lineRule="auto"/>
              <w:rPr>
                <w:color w:val="auto"/>
                <w:spacing w:val="-10"/>
                <w:sz w:val="18"/>
                <w:szCs w:val="18"/>
              </w:rPr>
            </w:pPr>
            <w:r>
              <w:rPr>
                <w:rFonts w:hint="eastAsia"/>
                <w:color w:val="auto"/>
                <w:spacing w:val="-10"/>
                <w:sz w:val="18"/>
                <w:szCs w:val="18"/>
                <w:lang w:val="en-US" w:eastAsia="zh-CN"/>
              </w:rPr>
              <w:t>两</w:t>
            </w:r>
            <w:r>
              <w:rPr>
                <w:rFonts w:hint="eastAsia"/>
                <w:color w:val="auto"/>
                <w:spacing w:val="-10"/>
                <w:sz w:val="18"/>
                <w:szCs w:val="18"/>
              </w:rPr>
              <w:t>侧</w:t>
            </w:r>
          </w:p>
        </w:tc>
        <w:tc>
          <w:tcPr>
            <w:tcW w:w="177" w:type="pct"/>
            <w:tcBorders>
              <w:tl2br w:val="nil"/>
              <w:tr2bl w:val="nil"/>
            </w:tcBorders>
            <w:noWrap w:val="0"/>
            <w:vAlign w:val="center"/>
          </w:tcPr>
          <w:p w14:paraId="168F29C8">
            <w:pPr>
              <w:pStyle w:val="68"/>
              <w:spacing w:line="240" w:lineRule="auto"/>
              <w:rPr>
                <w:color w:val="auto"/>
                <w:spacing w:val="-10"/>
                <w:sz w:val="18"/>
                <w:szCs w:val="18"/>
              </w:rPr>
            </w:pPr>
            <w:r>
              <w:rPr>
                <w:rFonts w:hint="eastAsia"/>
                <w:color w:val="auto"/>
                <w:spacing w:val="-10"/>
                <w:sz w:val="18"/>
                <w:szCs w:val="18"/>
              </w:rPr>
              <w:t>0</w:t>
            </w:r>
            <w:r>
              <w:rPr>
                <w:color w:val="auto"/>
                <w:spacing w:val="-10"/>
                <w:sz w:val="18"/>
                <w:szCs w:val="18"/>
              </w:rPr>
              <w:t>.5-1</w:t>
            </w:r>
          </w:p>
        </w:tc>
        <w:tc>
          <w:tcPr>
            <w:tcW w:w="137" w:type="pct"/>
            <w:tcBorders>
              <w:tl2br w:val="nil"/>
              <w:tr2bl w:val="nil"/>
            </w:tcBorders>
            <w:noWrap w:val="0"/>
            <w:vAlign w:val="center"/>
          </w:tcPr>
          <w:p w14:paraId="2C159A0E">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7</w:t>
            </w:r>
          </w:p>
        </w:tc>
        <w:tc>
          <w:tcPr>
            <w:tcW w:w="173" w:type="pct"/>
            <w:tcBorders>
              <w:tl2br w:val="nil"/>
              <w:tr2bl w:val="nil"/>
            </w:tcBorders>
            <w:noWrap w:val="0"/>
            <w:vAlign w:val="center"/>
          </w:tcPr>
          <w:p w14:paraId="43A23538">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15.5</w:t>
            </w:r>
          </w:p>
        </w:tc>
        <w:tc>
          <w:tcPr>
            <w:tcW w:w="137" w:type="pct"/>
            <w:tcBorders>
              <w:tl2br w:val="nil"/>
              <w:tr2bl w:val="nil"/>
            </w:tcBorders>
            <w:noWrap w:val="0"/>
            <w:vAlign w:val="center"/>
          </w:tcPr>
          <w:p w14:paraId="7348169C">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22</w:t>
            </w:r>
          </w:p>
        </w:tc>
        <w:tc>
          <w:tcPr>
            <w:tcW w:w="157" w:type="pct"/>
            <w:tcBorders>
              <w:tl2br w:val="nil"/>
              <w:tr2bl w:val="nil"/>
            </w:tcBorders>
            <w:noWrap w:val="0"/>
            <w:vAlign w:val="center"/>
          </w:tcPr>
          <w:p w14:paraId="39526AF5">
            <w:pPr>
              <w:pStyle w:val="68"/>
              <w:spacing w:line="240" w:lineRule="auto"/>
              <w:rPr>
                <w:color w:val="auto"/>
                <w:spacing w:val="-10"/>
                <w:sz w:val="18"/>
                <w:szCs w:val="18"/>
              </w:rPr>
            </w:pPr>
            <w:r>
              <w:rPr>
                <w:rFonts w:hint="eastAsia"/>
                <w:color w:val="auto"/>
                <w:spacing w:val="-10"/>
                <w:sz w:val="18"/>
                <w:szCs w:val="18"/>
                <w:lang w:val="en-US" w:eastAsia="zh-CN"/>
              </w:rPr>
              <w:t>6</w:t>
            </w:r>
            <w:r>
              <w:rPr>
                <w:color w:val="auto"/>
                <w:spacing w:val="-10"/>
                <w:sz w:val="18"/>
                <w:szCs w:val="18"/>
              </w:rPr>
              <w:t>1</w:t>
            </w:r>
          </w:p>
        </w:tc>
        <w:tc>
          <w:tcPr>
            <w:tcW w:w="308" w:type="pct"/>
            <w:tcBorders>
              <w:tl2br w:val="nil"/>
              <w:tr2bl w:val="nil"/>
            </w:tcBorders>
            <w:noWrap w:val="0"/>
            <w:vAlign w:val="center"/>
          </w:tcPr>
          <w:p w14:paraId="2070796C">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eastAsia="宋体"/>
                <w:color w:val="auto"/>
                <w:spacing w:val="-10"/>
                <w:sz w:val="18"/>
                <w:szCs w:val="18"/>
                <w:lang w:val="en-US" w:eastAsia="zh-CN"/>
              </w:rPr>
            </w:pPr>
            <w:r>
              <w:rPr>
                <w:rFonts w:hint="eastAsia"/>
                <w:color w:val="auto"/>
                <w:spacing w:val="-10"/>
                <w:sz w:val="18"/>
                <w:szCs w:val="18"/>
                <w:lang w:val="en-US" w:eastAsia="zh-CN"/>
              </w:rPr>
              <w:t>两侧居民区与道路边界线的距离相同；大部分</w:t>
            </w:r>
            <w:r>
              <w:rPr>
                <w:rFonts w:hint="eastAsia"/>
                <w:color w:val="auto"/>
                <w:spacing w:val="-10"/>
                <w:sz w:val="18"/>
                <w:szCs w:val="18"/>
              </w:rPr>
              <w:t>一层</w:t>
            </w:r>
            <w:r>
              <w:rPr>
                <w:color w:val="auto"/>
                <w:spacing w:val="-10"/>
                <w:sz w:val="18"/>
                <w:szCs w:val="18"/>
              </w:rPr>
              <w:t>砖混</w:t>
            </w:r>
            <w:r>
              <w:rPr>
                <w:rFonts w:hint="eastAsia"/>
                <w:color w:val="auto"/>
                <w:spacing w:val="-10"/>
                <w:sz w:val="18"/>
                <w:szCs w:val="18"/>
              </w:rPr>
              <w:t>，</w:t>
            </w:r>
            <w:r>
              <w:rPr>
                <w:rFonts w:hint="eastAsia"/>
                <w:color w:val="auto"/>
                <w:spacing w:val="-10"/>
                <w:sz w:val="18"/>
                <w:szCs w:val="18"/>
                <w:lang w:val="en-US" w:eastAsia="zh-CN"/>
              </w:rPr>
              <w:t>临路一侧部分为2-3层，南北朝向，部分平行于道路，部分为</w:t>
            </w:r>
            <w:r>
              <w:rPr>
                <w:rFonts w:hint="eastAsia"/>
                <w:color w:val="auto"/>
                <w:spacing w:val="-10"/>
                <w:sz w:val="18"/>
                <w:szCs w:val="18"/>
              </w:rPr>
              <w:t>斜对</w:t>
            </w:r>
            <w:r>
              <w:rPr>
                <w:rFonts w:hint="eastAsia"/>
                <w:color w:val="auto"/>
                <w:spacing w:val="-10"/>
                <w:sz w:val="18"/>
                <w:szCs w:val="18"/>
                <w:lang w:val="en-US" w:eastAsia="zh-CN"/>
              </w:rPr>
              <w:t>道路</w:t>
            </w:r>
          </w:p>
        </w:tc>
        <w:tc>
          <w:tcPr>
            <w:tcW w:w="1580" w:type="pct"/>
            <w:tcBorders>
              <w:tl2br w:val="nil"/>
              <w:tr2bl w:val="nil"/>
            </w:tcBorders>
            <w:noWrap w:val="0"/>
            <w:vAlign w:val="center"/>
          </w:tcPr>
          <w:p w14:paraId="7350C35A">
            <w:pPr>
              <w:pStyle w:val="68"/>
              <w:spacing w:line="240" w:lineRule="auto"/>
              <w:rPr>
                <w:color w:val="auto"/>
                <w:spacing w:val="-10"/>
                <w:sz w:val="18"/>
                <w:szCs w:val="18"/>
              </w:rPr>
            </w:pPr>
            <w:r>
              <w:rPr>
                <w:color w:val="auto"/>
              </w:rPr>
              <w:drawing>
                <wp:inline distT="0" distB="0" distL="114300" distR="114300">
                  <wp:extent cx="2690495" cy="1733550"/>
                  <wp:effectExtent l="0" t="0" r="14605" b="0"/>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40"/>
                          <a:stretch>
                            <a:fillRect/>
                          </a:stretch>
                        </pic:blipFill>
                        <pic:spPr>
                          <a:xfrm>
                            <a:off x="0" y="0"/>
                            <a:ext cx="2690495" cy="1733550"/>
                          </a:xfrm>
                          <a:prstGeom prst="rect">
                            <a:avLst/>
                          </a:prstGeom>
                          <a:noFill/>
                          <a:ln>
                            <a:noFill/>
                          </a:ln>
                        </pic:spPr>
                      </pic:pic>
                    </a:graphicData>
                  </a:graphic>
                </wp:inline>
              </w:drawing>
            </w:r>
          </w:p>
        </w:tc>
        <w:tc>
          <w:tcPr>
            <w:tcW w:w="1451" w:type="pct"/>
            <w:tcBorders>
              <w:tl2br w:val="nil"/>
              <w:tr2bl w:val="nil"/>
            </w:tcBorders>
            <w:noWrap w:val="0"/>
            <w:vAlign w:val="center"/>
          </w:tcPr>
          <w:p w14:paraId="316AD856">
            <w:pPr>
              <w:pStyle w:val="68"/>
              <w:spacing w:line="240" w:lineRule="auto"/>
              <w:rPr>
                <w:color w:val="auto"/>
                <w:spacing w:val="-10"/>
                <w:sz w:val="18"/>
                <w:szCs w:val="18"/>
              </w:rPr>
            </w:pPr>
            <w:r>
              <w:rPr>
                <w:color w:val="auto"/>
              </w:rPr>
              <w:drawing>
                <wp:inline distT="0" distB="0" distL="114300" distR="114300">
                  <wp:extent cx="2461895" cy="1616075"/>
                  <wp:effectExtent l="0" t="0" r="14605" b="317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41"/>
                          <a:stretch>
                            <a:fillRect/>
                          </a:stretch>
                        </pic:blipFill>
                        <pic:spPr>
                          <a:xfrm>
                            <a:off x="0" y="0"/>
                            <a:ext cx="2461895" cy="1616075"/>
                          </a:xfrm>
                          <a:prstGeom prst="rect">
                            <a:avLst/>
                          </a:prstGeom>
                          <a:noFill/>
                          <a:ln>
                            <a:noFill/>
                          </a:ln>
                        </pic:spPr>
                      </pic:pic>
                    </a:graphicData>
                  </a:graphic>
                </wp:inline>
              </w:drawing>
            </w:r>
          </w:p>
        </w:tc>
      </w:tr>
      <w:tr w14:paraId="54021AA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7918DDA1">
            <w:pPr>
              <w:pStyle w:val="80"/>
              <w:wordWrap/>
              <w:spacing w:line="240" w:lineRule="auto"/>
              <w:rPr>
                <w:rFonts w:hint="eastAsia" w:ascii="Times New Roman" w:hAnsi="Times New Roman" w:eastAsia="宋体" w:cs="Times New Roman"/>
                <w:b w:val="0"/>
                <w:bCs/>
                <w:snapToGrid w:val="0"/>
                <w:color w:val="auto"/>
                <w:spacing w:val="-10"/>
                <w:kern w:val="2"/>
                <w:sz w:val="18"/>
                <w:szCs w:val="18"/>
                <w:lang w:val="en-US" w:eastAsia="zh-CN" w:bidi="ar-SA"/>
              </w:rPr>
            </w:pPr>
            <w:r>
              <w:rPr>
                <w:color w:val="auto"/>
                <w:spacing w:val="-10"/>
                <w:sz w:val="18"/>
                <w:szCs w:val="18"/>
              </w:rPr>
              <w:t>9</w:t>
            </w:r>
          </w:p>
        </w:tc>
        <w:tc>
          <w:tcPr>
            <w:tcW w:w="229" w:type="pct"/>
            <w:tcBorders>
              <w:tl2br w:val="nil"/>
              <w:tr2bl w:val="nil"/>
            </w:tcBorders>
            <w:noWrap w:val="0"/>
            <w:vAlign w:val="center"/>
          </w:tcPr>
          <w:p w14:paraId="63C4AF3B">
            <w:pPr>
              <w:pStyle w:val="80"/>
              <w:wordWrap/>
              <w:spacing w:line="240" w:lineRule="auto"/>
              <w:outlineLvl w:val="9"/>
              <w:rPr>
                <w:rFonts w:hint="eastAsia" w:ascii="Times New Roman" w:hAnsi="Times New Roman" w:eastAsia="宋体" w:cs="Times New Roman"/>
                <w:b w:val="0"/>
                <w:bCs/>
                <w:color w:val="auto"/>
                <w:spacing w:val="-10"/>
                <w:sz w:val="18"/>
                <w:szCs w:val="18"/>
              </w:rPr>
            </w:pPr>
            <w:r>
              <w:rPr>
                <w:rFonts w:hint="eastAsia" w:ascii="Times New Roman" w:hAnsi="Times New Roman" w:eastAsia="宋体" w:cs="Times New Roman"/>
                <w:b w:val="0"/>
                <w:bCs/>
                <w:color w:val="auto"/>
                <w:spacing w:val="-10"/>
                <w:sz w:val="18"/>
                <w:szCs w:val="18"/>
                <w:lang w:val="en-US" w:eastAsia="zh-CN"/>
              </w:rPr>
              <w:t>兴凯湖明德小学</w:t>
            </w:r>
          </w:p>
        </w:tc>
        <w:tc>
          <w:tcPr>
            <w:tcW w:w="252" w:type="pct"/>
            <w:tcBorders>
              <w:tl2br w:val="nil"/>
              <w:tr2bl w:val="nil"/>
            </w:tcBorders>
            <w:noWrap w:val="0"/>
            <w:vAlign w:val="center"/>
          </w:tcPr>
          <w:p w14:paraId="6B7DBB18">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402+340</w:t>
            </w:r>
          </w:p>
        </w:tc>
        <w:tc>
          <w:tcPr>
            <w:tcW w:w="131" w:type="pct"/>
            <w:tcBorders>
              <w:tl2br w:val="nil"/>
              <w:tr2bl w:val="nil"/>
            </w:tcBorders>
            <w:noWrap w:val="0"/>
            <w:vAlign w:val="center"/>
          </w:tcPr>
          <w:p w14:paraId="475263AA">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555EDD81">
            <w:pPr>
              <w:pStyle w:val="68"/>
              <w:spacing w:line="240" w:lineRule="auto"/>
              <w:rPr>
                <w:color w:val="auto"/>
                <w:spacing w:val="-10"/>
                <w:sz w:val="18"/>
                <w:szCs w:val="18"/>
              </w:rPr>
            </w:pPr>
            <w:r>
              <w:rPr>
                <w:rFonts w:hint="eastAsia"/>
                <w:color w:val="auto"/>
                <w:spacing w:val="-10"/>
                <w:sz w:val="18"/>
                <w:szCs w:val="18"/>
                <w:lang w:val="en-US" w:eastAsia="zh-CN"/>
              </w:rPr>
              <w:t>右</w:t>
            </w:r>
            <w:r>
              <w:rPr>
                <w:rFonts w:hint="eastAsia"/>
                <w:color w:val="auto"/>
                <w:spacing w:val="-10"/>
                <w:sz w:val="18"/>
                <w:szCs w:val="18"/>
              </w:rPr>
              <w:t>侧</w:t>
            </w:r>
          </w:p>
        </w:tc>
        <w:tc>
          <w:tcPr>
            <w:tcW w:w="177" w:type="pct"/>
            <w:tcBorders>
              <w:tl2br w:val="nil"/>
              <w:tr2bl w:val="nil"/>
            </w:tcBorders>
            <w:noWrap w:val="0"/>
            <w:vAlign w:val="center"/>
          </w:tcPr>
          <w:p w14:paraId="6895DB96">
            <w:pPr>
              <w:pStyle w:val="68"/>
              <w:spacing w:line="240" w:lineRule="auto"/>
              <w:rPr>
                <w:rFonts w:hint="eastAsia" w:eastAsia="宋体"/>
                <w:color w:val="auto"/>
                <w:spacing w:val="-10"/>
                <w:sz w:val="18"/>
                <w:szCs w:val="18"/>
                <w:lang w:eastAsia="zh-CN"/>
              </w:rPr>
            </w:pPr>
            <w:r>
              <w:rPr>
                <w:color w:val="auto"/>
                <w:spacing w:val="-10"/>
                <w:sz w:val="18"/>
                <w:szCs w:val="18"/>
              </w:rPr>
              <w:t>0.5-</w:t>
            </w:r>
            <w:r>
              <w:rPr>
                <w:rFonts w:hint="eastAsia"/>
                <w:color w:val="auto"/>
                <w:spacing w:val="-10"/>
                <w:sz w:val="18"/>
                <w:szCs w:val="18"/>
                <w:lang w:val="en-US" w:eastAsia="zh-CN"/>
              </w:rPr>
              <w:t>2</w:t>
            </w:r>
          </w:p>
        </w:tc>
        <w:tc>
          <w:tcPr>
            <w:tcW w:w="137" w:type="pct"/>
            <w:tcBorders>
              <w:tl2br w:val="nil"/>
              <w:tr2bl w:val="nil"/>
            </w:tcBorders>
            <w:noWrap w:val="0"/>
            <w:vAlign w:val="center"/>
          </w:tcPr>
          <w:p w14:paraId="4555F50B">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34</w:t>
            </w:r>
          </w:p>
        </w:tc>
        <w:tc>
          <w:tcPr>
            <w:tcW w:w="173" w:type="pct"/>
            <w:tcBorders>
              <w:tl2br w:val="nil"/>
              <w:tr2bl w:val="nil"/>
            </w:tcBorders>
            <w:noWrap w:val="0"/>
            <w:vAlign w:val="center"/>
          </w:tcPr>
          <w:p w14:paraId="42012105">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42.5</w:t>
            </w:r>
          </w:p>
        </w:tc>
        <w:tc>
          <w:tcPr>
            <w:tcW w:w="137" w:type="pct"/>
            <w:tcBorders>
              <w:tl2br w:val="nil"/>
              <w:tr2bl w:val="nil"/>
            </w:tcBorders>
            <w:noWrap w:val="0"/>
            <w:vAlign w:val="center"/>
          </w:tcPr>
          <w:p w14:paraId="377E258F">
            <w:pPr>
              <w:pStyle w:val="68"/>
              <w:spacing w:line="240" w:lineRule="auto"/>
              <w:rPr>
                <w:rFonts w:hint="eastAsia"/>
                <w:color w:val="auto"/>
                <w:spacing w:val="-10"/>
                <w:sz w:val="18"/>
                <w:szCs w:val="18"/>
              </w:rPr>
            </w:pPr>
            <w:r>
              <w:rPr>
                <w:rFonts w:hint="eastAsia"/>
                <w:color w:val="auto"/>
                <w:spacing w:val="-10"/>
                <w:sz w:val="18"/>
                <w:szCs w:val="18"/>
              </w:rPr>
              <w:t>/</w:t>
            </w:r>
          </w:p>
        </w:tc>
        <w:tc>
          <w:tcPr>
            <w:tcW w:w="157" w:type="pct"/>
            <w:tcBorders>
              <w:tl2br w:val="nil"/>
              <w:tr2bl w:val="nil"/>
            </w:tcBorders>
            <w:noWrap w:val="0"/>
            <w:vAlign w:val="center"/>
          </w:tcPr>
          <w:p w14:paraId="13D4F225">
            <w:pPr>
              <w:pStyle w:val="68"/>
              <w:spacing w:line="240" w:lineRule="auto"/>
              <w:rPr>
                <w:rFonts w:hint="eastAsia" w:eastAsia="宋体"/>
                <w:color w:val="auto"/>
                <w:spacing w:val="-10"/>
                <w:sz w:val="18"/>
                <w:szCs w:val="18"/>
                <w:lang w:val="en-US" w:eastAsia="zh-CN"/>
              </w:rPr>
            </w:pPr>
            <w:r>
              <w:rPr>
                <w:rFonts w:hint="eastAsia"/>
                <w:color w:val="auto"/>
                <w:spacing w:val="-10"/>
                <w:sz w:val="18"/>
                <w:szCs w:val="18"/>
                <w:lang w:val="en-US" w:eastAsia="zh-CN"/>
              </w:rPr>
              <w:t>/</w:t>
            </w:r>
          </w:p>
        </w:tc>
        <w:tc>
          <w:tcPr>
            <w:tcW w:w="308" w:type="pct"/>
            <w:tcBorders>
              <w:tl2br w:val="nil"/>
              <w:tr2bl w:val="nil"/>
            </w:tcBorders>
            <w:noWrap w:val="0"/>
            <w:vAlign w:val="center"/>
          </w:tcPr>
          <w:p w14:paraId="19B1CD9D">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rPr>
            </w:pPr>
            <w:r>
              <w:rPr>
                <w:rFonts w:hint="eastAsia"/>
                <w:color w:val="auto"/>
                <w:spacing w:val="-10"/>
                <w:sz w:val="18"/>
                <w:szCs w:val="18"/>
                <w:lang w:val="en-US" w:eastAsia="zh-CN"/>
              </w:rPr>
              <w:t>教学楼为3层，</w:t>
            </w:r>
            <w:r>
              <w:rPr>
                <w:rFonts w:hint="eastAsia" w:ascii="Times New Roman" w:hAnsi="Times New Roman" w:eastAsia="宋体" w:cs="Times New Roman"/>
                <w:color w:val="auto"/>
                <w:spacing w:val="-10"/>
                <w:sz w:val="18"/>
                <w:szCs w:val="18"/>
              </w:rPr>
              <w:t>砖混，</w:t>
            </w:r>
            <w:r>
              <w:rPr>
                <w:rFonts w:hint="eastAsia"/>
                <w:color w:val="auto"/>
                <w:spacing w:val="-10"/>
                <w:sz w:val="18"/>
                <w:szCs w:val="18"/>
                <w:lang w:val="en-US" w:eastAsia="zh-CN"/>
              </w:rPr>
              <w:t>为南北朝向，斜对道路</w:t>
            </w:r>
          </w:p>
        </w:tc>
        <w:tc>
          <w:tcPr>
            <w:tcW w:w="1580" w:type="pct"/>
            <w:tcBorders>
              <w:tl2br w:val="nil"/>
              <w:tr2bl w:val="nil"/>
            </w:tcBorders>
            <w:noWrap w:val="0"/>
            <w:vAlign w:val="center"/>
          </w:tcPr>
          <w:p w14:paraId="71A8C091">
            <w:pPr>
              <w:pStyle w:val="68"/>
              <w:spacing w:line="240" w:lineRule="auto"/>
              <w:rPr>
                <w:color w:val="auto"/>
                <w:spacing w:val="-10"/>
                <w:sz w:val="18"/>
                <w:szCs w:val="18"/>
              </w:rPr>
            </w:pPr>
            <w:r>
              <w:rPr>
                <w:color w:val="auto"/>
              </w:rPr>
              <w:drawing>
                <wp:inline distT="0" distB="0" distL="114300" distR="114300">
                  <wp:extent cx="2268220" cy="1685925"/>
                  <wp:effectExtent l="0" t="0" r="17780" b="9525"/>
                  <wp:docPr id="4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9"/>
                          <pic:cNvPicPr>
                            <a:picLocks noChangeAspect="1"/>
                          </pic:cNvPicPr>
                        </pic:nvPicPr>
                        <pic:blipFill>
                          <a:blip r:embed="rId42"/>
                          <a:stretch>
                            <a:fillRect/>
                          </a:stretch>
                        </pic:blipFill>
                        <pic:spPr>
                          <a:xfrm>
                            <a:off x="0" y="0"/>
                            <a:ext cx="2268220" cy="1685925"/>
                          </a:xfrm>
                          <a:prstGeom prst="rect">
                            <a:avLst/>
                          </a:prstGeom>
                          <a:noFill/>
                          <a:ln>
                            <a:noFill/>
                          </a:ln>
                        </pic:spPr>
                      </pic:pic>
                    </a:graphicData>
                  </a:graphic>
                </wp:inline>
              </w:drawing>
            </w:r>
          </w:p>
        </w:tc>
        <w:tc>
          <w:tcPr>
            <w:tcW w:w="1451" w:type="pct"/>
            <w:tcBorders>
              <w:tl2br w:val="nil"/>
              <w:tr2bl w:val="nil"/>
            </w:tcBorders>
            <w:noWrap w:val="0"/>
            <w:vAlign w:val="center"/>
          </w:tcPr>
          <w:p w14:paraId="0E4656DF">
            <w:pPr>
              <w:pStyle w:val="68"/>
              <w:spacing w:line="240" w:lineRule="auto"/>
              <w:rPr>
                <w:color w:val="auto"/>
                <w:spacing w:val="-10"/>
                <w:sz w:val="18"/>
                <w:szCs w:val="18"/>
              </w:rPr>
            </w:pPr>
            <w:r>
              <w:rPr>
                <w:color w:val="auto"/>
                <w:sz w:val="24"/>
              </w:rPr>
              <mc:AlternateContent>
                <mc:Choice Requires="wps">
                  <w:drawing>
                    <wp:anchor distT="0" distB="0" distL="114300" distR="114300" simplePos="0" relativeHeight="251663360" behindDoc="0" locked="0" layoutInCell="1" allowOverlap="1">
                      <wp:simplePos x="0" y="0"/>
                      <wp:positionH relativeFrom="column">
                        <wp:posOffset>531495</wp:posOffset>
                      </wp:positionH>
                      <wp:positionV relativeFrom="paragraph">
                        <wp:posOffset>582930</wp:posOffset>
                      </wp:positionV>
                      <wp:extent cx="1450340" cy="1179830"/>
                      <wp:effectExtent l="4445" t="4445" r="12065" b="15875"/>
                      <wp:wrapNone/>
                      <wp:docPr id="31" name="任意多边形 31"/>
                      <wp:cNvGraphicFramePr/>
                      <a:graphic xmlns:a="http://schemas.openxmlformats.org/drawingml/2006/main">
                        <a:graphicData uri="http://schemas.microsoft.com/office/word/2010/wordprocessingShape">
                          <wps:wsp>
                            <wps:cNvSpPr/>
                            <wps:spPr>
                              <a:xfrm>
                                <a:off x="0" y="0"/>
                                <a:ext cx="1450340" cy="1179830"/>
                              </a:xfrm>
                              <a:custGeom>
                                <a:avLst/>
                                <a:gdLst/>
                                <a:ahLst/>
                                <a:cxnLst/>
                                <a:pathLst>
                                  <a:path w="2284" h="1858">
                                    <a:moveTo>
                                      <a:pt x="28" y="523"/>
                                    </a:moveTo>
                                    <a:lnTo>
                                      <a:pt x="330" y="1858"/>
                                    </a:lnTo>
                                    <a:lnTo>
                                      <a:pt x="2284" y="1459"/>
                                    </a:lnTo>
                                    <a:lnTo>
                                      <a:pt x="1734" y="0"/>
                                    </a:lnTo>
                                    <a:lnTo>
                                      <a:pt x="0" y="399"/>
                                    </a:lnTo>
                                    <a:lnTo>
                                      <a:pt x="83" y="647"/>
                                    </a:lnTo>
                                  </a:path>
                                </a:pathLst>
                              </a:custGeom>
                              <a:solidFill>
                                <a:srgbClr val="00B050">
                                  <a:alpha val="32999"/>
                                </a:srgbClr>
                              </a:solidFill>
                              <a:ln w="9525" cap="flat" cmpd="sng">
                                <a:solidFill>
                                  <a:srgbClr val="00B05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1.85pt;margin-top:45.9pt;height:92.9pt;width:114.2pt;z-index:251663360;mso-width-relative:page;mso-height-relative:page;" fillcolor="#00B050" filled="t" stroked="t" coordsize="2284,1858" o:gfxdata="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NnyF02QAAAAkBAAAPAAAA&#10;AAAAAAEAIAAAACIAAABkcnMvZG93bnJldi54bWxQSwECFAAUAAAACACHTuJA0UOfIoYCAACABQAA&#10;DgAAAAAAAAABACAAAAAoAQAAZHJzL2Uyb0RvYy54bWxQSwUGAAAAAAYABgBZAQAAIAYAAAAA&#10;" path="m28,523l330,1858,2284,1459,1734,0,0,399,83,647e">
                      <v:fill on="t" opacity="21626f" focussize="0,0"/>
                      <v:stroke color="#00B050" joinstyle="round"/>
                      <v:imagedata o:title=""/>
                      <o:lock v:ext="edit" aspectratio="f"/>
                    </v:shape>
                  </w:pict>
                </mc:Fallback>
              </mc:AlternateContent>
            </w:r>
            <w:r>
              <w:rPr>
                <w:color w:val="auto"/>
              </w:rPr>
              <w:drawing>
                <wp:inline distT="0" distB="0" distL="114300" distR="114300">
                  <wp:extent cx="1501140" cy="1730375"/>
                  <wp:effectExtent l="0" t="0" r="3810" b="3175"/>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43"/>
                          <a:stretch>
                            <a:fillRect/>
                          </a:stretch>
                        </pic:blipFill>
                        <pic:spPr>
                          <a:xfrm>
                            <a:off x="0" y="0"/>
                            <a:ext cx="1501140" cy="1730375"/>
                          </a:xfrm>
                          <a:prstGeom prst="rect">
                            <a:avLst/>
                          </a:prstGeom>
                          <a:noFill/>
                          <a:ln>
                            <a:noFill/>
                          </a:ln>
                        </pic:spPr>
                      </pic:pic>
                    </a:graphicData>
                  </a:graphic>
                </wp:inline>
              </w:drawing>
            </w:r>
          </w:p>
        </w:tc>
      </w:tr>
      <w:tr w14:paraId="7AC73F5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48" w:hRule="atLeast"/>
        </w:trPr>
        <w:tc>
          <w:tcPr>
            <w:tcW w:w="131" w:type="pct"/>
            <w:tcBorders>
              <w:tl2br w:val="nil"/>
              <w:tr2bl w:val="nil"/>
            </w:tcBorders>
            <w:shd w:val="clear" w:color="auto" w:fill="auto"/>
            <w:noWrap w:val="0"/>
            <w:vAlign w:val="center"/>
          </w:tcPr>
          <w:p w14:paraId="757BE542">
            <w:pPr>
              <w:pStyle w:val="80"/>
              <w:wordWrap/>
              <w:spacing w:line="240" w:lineRule="auto"/>
              <w:outlineLvl w:val="9"/>
              <w:rPr>
                <w:rFonts w:hint="eastAsia" w:ascii="Times New Roman" w:hAnsi="Times New Roman" w:eastAsia="宋体" w:cs="Times New Roman"/>
                <w:b w:val="0"/>
                <w:bCs/>
                <w:snapToGrid w:val="0"/>
                <w:color w:val="auto"/>
                <w:spacing w:val="-10"/>
                <w:kern w:val="2"/>
                <w:sz w:val="18"/>
                <w:szCs w:val="18"/>
                <w:lang w:val="en-US" w:eastAsia="zh-CN" w:bidi="ar-SA"/>
              </w:rPr>
            </w:pPr>
            <w:r>
              <w:rPr>
                <w:rFonts w:hint="eastAsia" w:ascii="Times New Roman" w:hAnsi="Times New Roman" w:eastAsia="宋体" w:cs="Times New Roman"/>
                <w:b w:val="0"/>
                <w:bCs/>
                <w:color w:val="auto"/>
                <w:spacing w:val="-10"/>
                <w:sz w:val="18"/>
                <w:szCs w:val="18"/>
              </w:rPr>
              <w:t>10</w:t>
            </w:r>
          </w:p>
        </w:tc>
        <w:tc>
          <w:tcPr>
            <w:tcW w:w="229" w:type="pct"/>
            <w:tcBorders>
              <w:tl2br w:val="nil"/>
              <w:tr2bl w:val="nil"/>
            </w:tcBorders>
            <w:noWrap w:val="0"/>
            <w:vAlign w:val="center"/>
          </w:tcPr>
          <w:p w14:paraId="1C58378D">
            <w:pPr>
              <w:pStyle w:val="80"/>
              <w:wordWrap/>
              <w:rPr>
                <w:rFonts w:hint="eastAsia" w:ascii="Times New Roman" w:hAnsi="Times New Roman" w:eastAsia="宋体" w:cs="Times New Roman"/>
                <w:b w:val="0"/>
                <w:snapToGrid/>
                <w:color w:val="auto"/>
                <w:spacing w:val="-10"/>
                <w:kern w:val="2"/>
                <w:sz w:val="18"/>
                <w:szCs w:val="18"/>
                <w:lang w:val="en-US" w:eastAsia="zh-CN" w:bidi="ar-SA"/>
              </w:rPr>
            </w:pPr>
            <w:r>
              <w:rPr>
                <w:rFonts w:hint="eastAsia" w:ascii="Times New Roman" w:hAnsi="Times New Roman" w:eastAsia="宋体" w:cs="Times New Roman"/>
                <w:b w:val="0"/>
                <w:snapToGrid/>
                <w:color w:val="auto"/>
                <w:spacing w:val="-10"/>
                <w:kern w:val="2"/>
                <w:sz w:val="18"/>
                <w:szCs w:val="18"/>
                <w:lang w:val="en-US" w:eastAsia="zh-CN" w:bidi="ar-SA"/>
              </w:rPr>
              <w:t>兴凯湖乡人民政府</w:t>
            </w:r>
          </w:p>
        </w:tc>
        <w:tc>
          <w:tcPr>
            <w:tcW w:w="252" w:type="pct"/>
            <w:tcBorders>
              <w:tl2br w:val="nil"/>
              <w:tr2bl w:val="nil"/>
            </w:tcBorders>
            <w:noWrap w:val="0"/>
            <w:vAlign w:val="center"/>
          </w:tcPr>
          <w:p w14:paraId="706D9613">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402</w:t>
            </w:r>
            <w:r>
              <w:rPr>
                <w:rFonts w:hint="eastAsia"/>
                <w:color w:val="auto"/>
                <w:spacing w:val="-10"/>
                <w:sz w:val="18"/>
                <w:szCs w:val="18"/>
              </w:rPr>
              <w:t>+</w:t>
            </w:r>
            <w:r>
              <w:rPr>
                <w:rFonts w:hint="eastAsia"/>
                <w:color w:val="auto"/>
                <w:spacing w:val="-10"/>
                <w:sz w:val="18"/>
                <w:szCs w:val="18"/>
                <w:lang w:val="en-US" w:eastAsia="zh-CN"/>
              </w:rPr>
              <w:t>52</w:t>
            </w:r>
            <w:r>
              <w:rPr>
                <w:color w:val="auto"/>
                <w:spacing w:val="-10"/>
                <w:sz w:val="18"/>
                <w:szCs w:val="18"/>
              </w:rPr>
              <w:t>0</w:t>
            </w:r>
          </w:p>
        </w:tc>
        <w:tc>
          <w:tcPr>
            <w:tcW w:w="131" w:type="pct"/>
            <w:tcBorders>
              <w:tl2br w:val="nil"/>
              <w:tr2bl w:val="nil"/>
            </w:tcBorders>
            <w:noWrap w:val="0"/>
            <w:vAlign w:val="center"/>
          </w:tcPr>
          <w:p w14:paraId="0BC11B91">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0930845F">
            <w:pPr>
              <w:pStyle w:val="68"/>
              <w:spacing w:line="240" w:lineRule="auto"/>
              <w:rPr>
                <w:color w:val="auto"/>
                <w:spacing w:val="-10"/>
                <w:sz w:val="18"/>
                <w:szCs w:val="18"/>
              </w:rPr>
            </w:pPr>
            <w:r>
              <w:rPr>
                <w:rFonts w:hint="eastAsia"/>
                <w:color w:val="auto"/>
                <w:spacing w:val="-10"/>
                <w:sz w:val="18"/>
                <w:szCs w:val="18"/>
              </w:rPr>
              <w:t>西南</w:t>
            </w:r>
          </w:p>
        </w:tc>
        <w:tc>
          <w:tcPr>
            <w:tcW w:w="177" w:type="pct"/>
            <w:tcBorders>
              <w:tl2br w:val="nil"/>
              <w:tr2bl w:val="nil"/>
            </w:tcBorders>
            <w:noWrap w:val="0"/>
            <w:vAlign w:val="center"/>
          </w:tcPr>
          <w:p w14:paraId="6A1C76FE">
            <w:pPr>
              <w:pStyle w:val="68"/>
              <w:spacing w:line="240" w:lineRule="auto"/>
              <w:rPr>
                <w:color w:val="auto"/>
                <w:spacing w:val="-10"/>
                <w:sz w:val="18"/>
                <w:szCs w:val="18"/>
              </w:rPr>
            </w:pPr>
            <w:r>
              <w:rPr>
                <w:rFonts w:hint="eastAsia"/>
                <w:color w:val="auto"/>
                <w:spacing w:val="-10"/>
                <w:sz w:val="18"/>
                <w:szCs w:val="18"/>
              </w:rPr>
              <w:t>0</w:t>
            </w:r>
            <w:r>
              <w:rPr>
                <w:color w:val="auto"/>
                <w:spacing w:val="-10"/>
                <w:sz w:val="18"/>
                <w:szCs w:val="18"/>
              </w:rPr>
              <w:t>.5-1</w:t>
            </w:r>
          </w:p>
        </w:tc>
        <w:tc>
          <w:tcPr>
            <w:tcW w:w="137" w:type="pct"/>
            <w:tcBorders>
              <w:tl2br w:val="nil"/>
              <w:tr2bl w:val="nil"/>
            </w:tcBorders>
            <w:noWrap w:val="0"/>
            <w:vAlign w:val="center"/>
          </w:tcPr>
          <w:p w14:paraId="4D11BB70">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28</w:t>
            </w:r>
          </w:p>
        </w:tc>
        <w:tc>
          <w:tcPr>
            <w:tcW w:w="173" w:type="pct"/>
            <w:tcBorders>
              <w:tl2br w:val="nil"/>
              <w:tr2bl w:val="nil"/>
            </w:tcBorders>
            <w:noWrap w:val="0"/>
            <w:vAlign w:val="center"/>
          </w:tcPr>
          <w:p w14:paraId="4DFBECBF">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36.5</w:t>
            </w:r>
          </w:p>
        </w:tc>
        <w:tc>
          <w:tcPr>
            <w:tcW w:w="137" w:type="pct"/>
            <w:tcBorders>
              <w:tl2br w:val="nil"/>
              <w:tr2bl w:val="nil"/>
            </w:tcBorders>
            <w:noWrap w:val="0"/>
            <w:vAlign w:val="center"/>
          </w:tcPr>
          <w:p w14:paraId="5050D63B">
            <w:pPr>
              <w:pStyle w:val="68"/>
              <w:spacing w:line="240" w:lineRule="auto"/>
              <w:rPr>
                <w:rFonts w:hint="eastAsia"/>
                <w:color w:val="auto"/>
                <w:spacing w:val="-10"/>
                <w:sz w:val="18"/>
                <w:szCs w:val="18"/>
              </w:rPr>
            </w:pPr>
            <w:r>
              <w:rPr>
                <w:rFonts w:hint="eastAsia"/>
                <w:color w:val="auto"/>
                <w:spacing w:val="-10"/>
                <w:sz w:val="18"/>
                <w:szCs w:val="18"/>
              </w:rPr>
              <w:t>/</w:t>
            </w:r>
          </w:p>
        </w:tc>
        <w:tc>
          <w:tcPr>
            <w:tcW w:w="157" w:type="pct"/>
            <w:tcBorders>
              <w:tl2br w:val="nil"/>
              <w:tr2bl w:val="nil"/>
            </w:tcBorders>
            <w:noWrap w:val="0"/>
            <w:vAlign w:val="center"/>
          </w:tcPr>
          <w:p w14:paraId="620512B1">
            <w:pPr>
              <w:pStyle w:val="68"/>
              <w:spacing w:line="240" w:lineRule="auto"/>
              <w:rPr>
                <w:color w:val="auto"/>
                <w:spacing w:val="-10"/>
                <w:sz w:val="18"/>
                <w:szCs w:val="18"/>
              </w:rPr>
            </w:pPr>
            <w:r>
              <w:rPr>
                <w:rFonts w:hint="eastAsia"/>
                <w:color w:val="auto"/>
                <w:spacing w:val="-10"/>
                <w:sz w:val="18"/>
                <w:szCs w:val="18"/>
              </w:rPr>
              <w:t>/</w:t>
            </w:r>
          </w:p>
        </w:tc>
        <w:tc>
          <w:tcPr>
            <w:tcW w:w="308" w:type="pct"/>
            <w:tcBorders>
              <w:tl2br w:val="nil"/>
              <w:tr2bl w:val="nil"/>
            </w:tcBorders>
            <w:noWrap w:val="0"/>
            <w:vAlign w:val="center"/>
          </w:tcPr>
          <w:p w14:paraId="0B7E7A4A">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办公楼为2-3</w:t>
            </w:r>
            <w:r>
              <w:rPr>
                <w:rFonts w:hint="eastAsia" w:ascii="Times New Roman" w:hAnsi="Times New Roman" w:eastAsia="宋体" w:cs="Times New Roman"/>
                <w:color w:val="auto"/>
                <w:spacing w:val="-10"/>
                <w:sz w:val="18"/>
                <w:szCs w:val="18"/>
              </w:rPr>
              <w:t>层</w:t>
            </w:r>
            <w:r>
              <w:rPr>
                <w:rFonts w:hint="eastAsia" w:ascii="Times New Roman" w:hAnsi="Times New Roman" w:eastAsia="宋体" w:cs="Times New Roman"/>
                <w:color w:val="auto"/>
                <w:spacing w:val="-10"/>
                <w:sz w:val="18"/>
                <w:szCs w:val="18"/>
                <w:lang w:eastAsia="zh-CN"/>
              </w:rPr>
              <w:t>，</w:t>
            </w:r>
            <w:r>
              <w:rPr>
                <w:rFonts w:hint="eastAsia" w:ascii="Times New Roman" w:hAnsi="Times New Roman" w:eastAsia="宋体" w:cs="Times New Roman"/>
                <w:color w:val="auto"/>
                <w:spacing w:val="-10"/>
                <w:sz w:val="18"/>
                <w:szCs w:val="18"/>
              </w:rPr>
              <w:t>砖混，</w:t>
            </w:r>
            <w:r>
              <w:rPr>
                <w:rFonts w:hint="eastAsia" w:ascii="Times New Roman" w:hAnsi="Times New Roman" w:eastAsia="宋体" w:cs="Times New Roman"/>
                <w:color w:val="auto"/>
                <w:spacing w:val="-10"/>
                <w:sz w:val="18"/>
                <w:szCs w:val="18"/>
                <w:lang w:val="en-US" w:eastAsia="zh-CN"/>
              </w:rPr>
              <w:t>平行于道路</w:t>
            </w:r>
          </w:p>
        </w:tc>
        <w:tc>
          <w:tcPr>
            <w:tcW w:w="1580" w:type="pct"/>
            <w:tcBorders>
              <w:tl2br w:val="nil"/>
              <w:tr2bl w:val="nil"/>
            </w:tcBorders>
            <w:noWrap w:val="0"/>
            <w:vAlign w:val="center"/>
          </w:tcPr>
          <w:p w14:paraId="5B5B1386">
            <w:pPr>
              <w:pStyle w:val="68"/>
              <w:spacing w:line="240" w:lineRule="auto"/>
              <w:rPr>
                <w:color w:val="auto"/>
                <w:spacing w:val="-10"/>
                <w:sz w:val="18"/>
                <w:szCs w:val="18"/>
              </w:rPr>
            </w:pPr>
            <w:r>
              <w:rPr>
                <w:color w:val="auto"/>
              </w:rPr>
              <w:drawing>
                <wp:inline distT="0" distB="0" distL="114300" distR="114300">
                  <wp:extent cx="1968500" cy="1857375"/>
                  <wp:effectExtent l="0" t="0" r="12700" b="9525"/>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44"/>
                          <a:stretch>
                            <a:fillRect/>
                          </a:stretch>
                        </pic:blipFill>
                        <pic:spPr>
                          <a:xfrm>
                            <a:off x="0" y="0"/>
                            <a:ext cx="1968500" cy="1857375"/>
                          </a:xfrm>
                          <a:prstGeom prst="rect">
                            <a:avLst/>
                          </a:prstGeom>
                          <a:noFill/>
                          <a:ln>
                            <a:noFill/>
                          </a:ln>
                        </pic:spPr>
                      </pic:pic>
                    </a:graphicData>
                  </a:graphic>
                </wp:inline>
              </w:drawing>
            </w:r>
          </w:p>
        </w:tc>
        <w:tc>
          <w:tcPr>
            <w:tcW w:w="1451" w:type="pct"/>
            <w:tcBorders>
              <w:tl2br w:val="nil"/>
              <w:tr2bl w:val="nil"/>
            </w:tcBorders>
            <w:noWrap w:val="0"/>
            <w:vAlign w:val="center"/>
          </w:tcPr>
          <w:p w14:paraId="5DC21814">
            <w:pPr>
              <w:pStyle w:val="68"/>
              <w:spacing w:line="240" w:lineRule="auto"/>
              <w:rPr>
                <w:color w:val="auto"/>
                <w:spacing w:val="-10"/>
                <w:sz w:val="18"/>
                <w:szCs w:val="18"/>
              </w:rPr>
            </w:pPr>
            <w:r>
              <w:rPr>
                <w:color w:val="auto"/>
                <w:sz w:val="24"/>
              </w:rPr>
              <mc:AlternateContent>
                <mc:Choice Requires="wps">
                  <w:drawing>
                    <wp:anchor distT="0" distB="0" distL="114300" distR="114300" simplePos="0" relativeHeight="251664384" behindDoc="0" locked="0" layoutInCell="1" allowOverlap="1">
                      <wp:simplePos x="0" y="0"/>
                      <wp:positionH relativeFrom="column">
                        <wp:posOffset>540385</wp:posOffset>
                      </wp:positionH>
                      <wp:positionV relativeFrom="paragraph">
                        <wp:posOffset>17780</wp:posOffset>
                      </wp:positionV>
                      <wp:extent cx="1371600" cy="944245"/>
                      <wp:effectExtent l="4445" t="4445" r="14605" b="22860"/>
                      <wp:wrapNone/>
                      <wp:docPr id="49" name="任意多边形 49"/>
                      <wp:cNvGraphicFramePr/>
                      <a:graphic xmlns:a="http://schemas.openxmlformats.org/drawingml/2006/main">
                        <a:graphicData uri="http://schemas.microsoft.com/office/word/2010/wordprocessingShape">
                          <wps:wsp>
                            <wps:cNvSpPr/>
                            <wps:spPr>
                              <a:xfrm>
                                <a:off x="0" y="0"/>
                                <a:ext cx="1371600" cy="944245"/>
                              </a:xfrm>
                              <a:custGeom>
                                <a:avLst/>
                                <a:gdLst/>
                                <a:ahLst/>
                                <a:cxnLst/>
                                <a:pathLst>
                                  <a:path w="2160" h="1487">
                                    <a:moveTo>
                                      <a:pt x="0" y="358"/>
                                    </a:moveTo>
                                    <a:lnTo>
                                      <a:pt x="399" y="1487"/>
                                    </a:lnTo>
                                    <a:lnTo>
                                      <a:pt x="2160" y="1170"/>
                                    </a:lnTo>
                                    <a:lnTo>
                                      <a:pt x="1720" y="0"/>
                                    </a:lnTo>
                                    <a:lnTo>
                                      <a:pt x="0" y="331"/>
                                    </a:lnTo>
                                  </a:path>
                                </a:pathLst>
                              </a:custGeom>
                              <a:solidFill>
                                <a:srgbClr val="00B050">
                                  <a:alpha val="29999"/>
                                </a:srgbClr>
                              </a:solidFill>
                              <a:ln w="9525" cap="flat" cmpd="sng">
                                <a:solidFill>
                                  <a:srgbClr val="00B05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42.55pt;margin-top:1.4pt;height:74.35pt;width:108pt;z-index:251664384;mso-width-relative:page;mso-height-relative:page;" fillcolor="#00B050" filled="t" stroked="t" coordsize="2160,1487" o:gfxdata="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0sKzx1gAAAAgBAAAPAAAAAAAAAAEAIAAAACIAAABkcnMv&#10;ZG93bnJldi54bWxQSwECFAAUAAAACACHTuJAeylY5HcCAABXBQAADgAAAAAAAAABACAAAAAlAQAA&#10;ZHJzL2Uyb0RvYy54bWxQSwUGAAAAAAYABgBZAQAADgYAAAAA&#10;" path="m0,358l399,1487,2160,1170,1720,0,0,331e">
                      <v:fill on="t" opacity="19660f" focussize="0,0"/>
                      <v:stroke color="#00B050" joinstyle="round"/>
                      <v:imagedata o:title=""/>
                      <o:lock v:ext="edit" aspectratio="f"/>
                    </v:shape>
                  </w:pict>
                </mc:Fallback>
              </mc:AlternateContent>
            </w:r>
            <w:r>
              <w:rPr>
                <w:color w:val="auto"/>
              </w:rPr>
              <w:drawing>
                <wp:inline distT="0" distB="0" distL="114300" distR="114300">
                  <wp:extent cx="1745615" cy="1929765"/>
                  <wp:effectExtent l="0" t="0" r="6985" b="1333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45"/>
                          <a:stretch>
                            <a:fillRect/>
                          </a:stretch>
                        </pic:blipFill>
                        <pic:spPr>
                          <a:xfrm>
                            <a:off x="0" y="0"/>
                            <a:ext cx="1745615" cy="1929765"/>
                          </a:xfrm>
                          <a:prstGeom prst="rect">
                            <a:avLst/>
                          </a:prstGeom>
                          <a:noFill/>
                          <a:ln>
                            <a:noFill/>
                          </a:ln>
                        </pic:spPr>
                      </pic:pic>
                    </a:graphicData>
                  </a:graphic>
                </wp:inline>
              </w:drawing>
            </w:r>
          </w:p>
        </w:tc>
      </w:tr>
      <w:tr w14:paraId="1933D0C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20" w:hRule="atLeast"/>
        </w:trPr>
        <w:tc>
          <w:tcPr>
            <w:tcW w:w="131" w:type="pct"/>
            <w:tcBorders>
              <w:tl2br w:val="nil"/>
              <w:tr2bl w:val="nil"/>
            </w:tcBorders>
            <w:shd w:val="clear" w:color="auto" w:fill="auto"/>
            <w:noWrap w:val="0"/>
            <w:vAlign w:val="center"/>
          </w:tcPr>
          <w:p w14:paraId="321B098B">
            <w:pPr>
              <w:pStyle w:val="80"/>
              <w:wordWrap/>
              <w:rPr>
                <w:rFonts w:hint="eastAsia" w:ascii="Times New Roman" w:hAnsi="Times New Roman" w:eastAsia="宋体" w:cs="Times New Roman"/>
                <w:b w:val="0"/>
                <w:bCs/>
                <w:snapToGrid/>
                <w:color w:val="auto"/>
                <w:spacing w:val="-10"/>
                <w:kern w:val="2"/>
                <w:sz w:val="18"/>
                <w:szCs w:val="18"/>
                <w:lang w:val="en-US" w:eastAsia="zh-CN" w:bidi="ar-SA"/>
              </w:rPr>
            </w:pPr>
            <w:r>
              <w:rPr>
                <w:rFonts w:ascii="Times New Roman" w:hAnsi="Times New Roman" w:eastAsia="宋体" w:cs="Times New Roman"/>
                <w:b w:val="0"/>
                <w:snapToGrid/>
                <w:color w:val="auto"/>
                <w:spacing w:val="-10"/>
                <w:kern w:val="2"/>
                <w:sz w:val="18"/>
                <w:szCs w:val="18"/>
                <w:lang w:val="en-US" w:eastAsia="zh-CN" w:bidi="ar-SA"/>
              </w:rPr>
              <w:t>11</w:t>
            </w:r>
          </w:p>
        </w:tc>
        <w:tc>
          <w:tcPr>
            <w:tcW w:w="229" w:type="pct"/>
            <w:tcBorders>
              <w:tl2br w:val="nil"/>
              <w:tr2bl w:val="nil"/>
            </w:tcBorders>
            <w:noWrap w:val="0"/>
            <w:vAlign w:val="center"/>
          </w:tcPr>
          <w:p w14:paraId="0F2D12E5">
            <w:pPr>
              <w:pStyle w:val="80"/>
              <w:keepNext w:val="0"/>
              <w:keepLines w:val="0"/>
              <w:pageBreakBefore w:val="0"/>
              <w:widowControl w:val="0"/>
              <w:kinsoku/>
              <w:wordWrap/>
              <w:overflowPunct/>
              <w:topLinePunct w:val="0"/>
              <w:autoSpaceDE/>
              <w:autoSpaceDN/>
              <w:bidi w:val="0"/>
              <w:adjustRightInd w:val="0"/>
              <w:snapToGrid w:val="0"/>
              <w:spacing w:line="240" w:lineRule="auto"/>
              <w:rPr>
                <w:rFonts w:hint="eastAsia" w:ascii="Times New Roman" w:hAnsi="Times New Roman" w:eastAsia="宋体" w:cs="Times New Roman"/>
                <w:b w:val="0"/>
                <w:snapToGrid/>
                <w:color w:val="auto"/>
                <w:spacing w:val="-10"/>
                <w:kern w:val="2"/>
                <w:sz w:val="18"/>
                <w:szCs w:val="18"/>
                <w:lang w:val="en-US" w:eastAsia="zh-CN" w:bidi="ar-SA"/>
              </w:rPr>
            </w:pPr>
            <w:r>
              <w:rPr>
                <w:rFonts w:hint="eastAsia" w:ascii="Times New Roman" w:hAnsi="Times New Roman" w:eastAsia="宋体" w:cs="Times New Roman"/>
                <w:b w:val="0"/>
                <w:snapToGrid/>
                <w:color w:val="auto"/>
                <w:spacing w:val="-10"/>
                <w:kern w:val="2"/>
                <w:sz w:val="18"/>
                <w:szCs w:val="18"/>
                <w:lang w:val="en-US" w:eastAsia="zh-CN" w:bidi="ar-SA"/>
              </w:rPr>
              <w:t>兴凯湖研学实践教育营地（原为兴凯湖中学）</w:t>
            </w:r>
          </w:p>
        </w:tc>
        <w:tc>
          <w:tcPr>
            <w:tcW w:w="252" w:type="pct"/>
            <w:tcBorders>
              <w:tl2br w:val="nil"/>
              <w:tr2bl w:val="nil"/>
            </w:tcBorders>
            <w:noWrap w:val="0"/>
            <w:vAlign w:val="center"/>
          </w:tcPr>
          <w:p w14:paraId="2E846E9D">
            <w:pPr>
              <w:pStyle w:val="68"/>
              <w:keepNext w:val="0"/>
              <w:keepLines w:val="0"/>
              <w:pageBreakBefore w:val="0"/>
              <w:widowControl w:val="0"/>
              <w:kinsoku/>
              <w:wordWrap/>
              <w:overflowPunct/>
              <w:topLinePunct w:val="0"/>
              <w:autoSpaceDE/>
              <w:autoSpaceDN/>
              <w:bidi w:val="0"/>
              <w:adjustRightInd w:val="0"/>
              <w:snapToGrid w:val="0"/>
              <w:spacing w:line="240" w:lineRule="auto"/>
              <w:rPr>
                <w:rFonts w:hint="default" w:eastAsia="宋体"/>
                <w:color w:val="auto"/>
                <w:spacing w:val="-10"/>
                <w:sz w:val="18"/>
                <w:szCs w:val="18"/>
                <w:lang w:val="en-US" w:eastAsia="zh-CN"/>
              </w:rPr>
            </w:pPr>
            <w:r>
              <w:rPr>
                <w:rFonts w:hint="eastAsia"/>
                <w:color w:val="auto"/>
                <w:spacing w:val="-10"/>
                <w:sz w:val="18"/>
                <w:szCs w:val="18"/>
              </w:rPr>
              <w:t>K</w:t>
            </w:r>
            <w:r>
              <w:rPr>
                <w:rFonts w:hint="eastAsia"/>
                <w:color w:val="auto"/>
                <w:spacing w:val="-10"/>
                <w:sz w:val="18"/>
                <w:szCs w:val="18"/>
                <w:lang w:val="en-US" w:eastAsia="zh-CN"/>
              </w:rPr>
              <w:t>403</w:t>
            </w:r>
            <w:r>
              <w:rPr>
                <w:rFonts w:hint="eastAsia"/>
                <w:color w:val="auto"/>
                <w:spacing w:val="-10"/>
                <w:sz w:val="18"/>
                <w:szCs w:val="18"/>
              </w:rPr>
              <w:t>+</w:t>
            </w:r>
            <w:r>
              <w:rPr>
                <w:rFonts w:hint="eastAsia"/>
                <w:color w:val="auto"/>
                <w:spacing w:val="-10"/>
                <w:sz w:val="18"/>
                <w:szCs w:val="18"/>
                <w:lang w:val="en-US" w:eastAsia="zh-CN"/>
              </w:rPr>
              <w:t>630</w:t>
            </w:r>
          </w:p>
        </w:tc>
        <w:tc>
          <w:tcPr>
            <w:tcW w:w="131" w:type="pct"/>
            <w:tcBorders>
              <w:tl2br w:val="nil"/>
              <w:tr2bl w:val="nil"/>
            </w:tcBorders>
            <w:noWrap w:val="0"/>
            <w:vAlign w:val="center"/>
          </w:tcPr>
          <w:p w14:paraId="644C0F7E">
            <w:pPr>
              <w:pStyle w:val="68"/>
              <w:keepNext w:val="0"/>
              <w:keepLines w:val="0"/>
              <w:pageBreakBefore w:val="0"/>
              <w:widowControl w:val="0"/>
              <w:kinsoku/>
              <w:wordWrap/>
              <w:overflowPunct/>
              <w:topLinePunct w:val="0"/>
              <w:autoSpaceDE/>
              <w:autoSpaceDN/>
              <w:bidi w:val="0"/>
              <w:adjustRightInd w:val="0"/>
              <w:snapToGrid w:val="0"/>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2D07D439">
            <w:pPr>
              <w:pStyle w:val="68"/>
              <w:keepNext w:val="0"/>
              <w:keepLines w:val="0"/>
              <w:pageBreakBefore w:val="0"/>
              <w:widowControl w:val="0"/>
              <w:kinsoku/>
              <w:wordWrap/>
              <w:overflowPunct/>
              <w:topLinePunct w:val="0"/>
              <w:autoSpaceDE/>
              <w:autoSpaceDN/>
              <w:bidi w:val="0"/>
              <w:adjustRightInd w:val="0"/>
              <w:snapToGrid w:val="0"/>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右侧</w:t>
            </w:r>
          </w:p>
        </w:tc>
        <w:tc>
          <w:tcPr>
            <w:tcW w:w="177" w:type="pct"/>
            <w:tcBorders>
              <w:tl2br w:val="nil"/>
              <w:tr2bl w:val="nil"/>
            </w:tcBorders>
            <w:noWrap w:val="0"/>
            <w:vAlign w:val="center"/>
          </w:tcPr>
          <w:p w14:paraId="63A48D63">
            <w:pPr>
              <w:pStyle w:val="68"/>
              <w:keepNext w:val="0"/>
              <w:keepLines w:val="0"/>
              <w:pageBreakBefore w:val="0"/>
              <w:widowControl w:val="0"/>
              <w:kinsoku/>
              <w:wordWrap/>
              <w:overflowPunct/>
              <w:topLinePunct w:val="0"/>
              <w:autoSpaceDE/>
              <w:autoSpaceDN/>
              <w:bidi w:val="0"/>
              <w:adjustRightInd w:val="0"/>
              <w:snapToGrid w:val="0"/>
              <w:spacing w:line="240" w:lineRule="auto"/>
              <w:rPr>
                <w:color w:val="auto"/>
                <w:spacing w:val="-10"/>
                <w:sz w:val="18"/>
                <w:szCs w:val="18"/>
              </w:rPr>
            </w:pPr>
            <w:r>
              <w:rPr>
                <w:rFonts w:hint="eastAsia"/>
                <w:color w:val="auto"/>
                <w:spacing w:val="-10"/>
                <w:sz w:val="18"/>
                <w:szCs w:val="18"/>
              </w:rPr>
              <w:t>0</w:t>
            </w:r>
            <w:r>
              <w:rPr>
                <w:color w:val="auto"/>
                <w:spacing w:val="-10"/>
                <w:sz w:val="18"/>
                <w:szCs w:val="18"/>
              </w:rPr>
              <w:t>.5-1</w:t>
            </w:r>
          </w:p>
        </w:tc>
        <w:tc>
          <w:tcPr>
            <w:tcW w:w="137" w:type="pct"/>
            <w:tcBorders>
              <w:tl2br w:val="nil"/>
              <w:tr2bl w:val="nil"/>
            </w:tcBorders>
            <w:noWrap w:val="0"/>
            <w:vAlign w:val="center"/>
          </w:tcPr>
          <w:p w14:paraId="5F636851">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95</w:t>
            </w:r>
          </w:p>
        </w:tc>
        <w:tc>
          <w:tcPr>
            <w:tcW w:w="173" w:type="pct"/>
            <w:tcBorders>
              <w:tl2br w:val="nil"/>
              <w:tr2bl w:val="nil"/>
            </w:tcBorders>
            <w:noWrap w:val="0"/>
            <w:vAlign w:val="center"/>
          </w:tcPr>
          <w:p w14:paraId="2372E606">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103.5</w:t>
            </w:r>
          </w:p>
        </w:tc>
        <w:tc>
          <w:tcPr>
            <w:tcW w:w="137" w:type="pct"/>
            <w:tcBorders>
              <w:tl2br w:val="nil"/>
              <w:tr2bl w:val="nil"/>
            </w:tcBorders>
            <w:noWrap w:val="0"/>
            <w:vAlign w:val="center"/>
          </w:tcPr>
          <w:p w14:paraId="685F96BD">
            <w:pPr>
              <w:pStyle w:val="68"/>
              <w:spacing w:line="240" w:lineRule="auto"/>
              <w:rPr>
                <w:rFonts w:hint="eastAsia"/>
                <w:color w:val="auto"/>
                <w:spacing w:val="-10"/>
                <w:sz w:val="18"/>
                <w:szCs w:val="18"/>
              </w:rPr>
            </w:pPr>
            <w:r>
              <w:rPr>
                <w:rFonts w:hint="eastAsia"/>
                <w:color w:val="auto"/>
                <w:spacing w:val="-10"/>
                <w:sz w:val="18"/>
                <w:szCs w:val="18"/>
              </w:rPr>
              <w:t>/</w:t>
            </w:r>
          </w:p>
        </w:tc>
        <w:tc>
          <w:tcPr>
            <w:tcW w:w="157" w:type="pct"/>
            <w:tcBorders>
              <w:tl2br w:val="nil"/>
              <w:tr2bl w:val="nil"/>
            </w:tcBorders>
            <w:noWrap w:val="0"/>
            <w:vAlign w:val="center"/>
          </w:tcPr>
          <w:p w14:paraId="0B81E5E8">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rPr>
            </w:pPr>
            <w:r>
              <w:rPr>
                <w:rFonts w:hint="eastAsia"/>
                <w:color w:val="auto"/>
                <w:spacing w:val="-10"/>
                <w:sz w:val="18"/>
                <w:szCs w:val="18"/>
              </w:rPr>
              <w:t>/</w:t>
            </w:r>
          </w:p>
        </w:tc>
        <w:tc>
          <w:tcPr>
            <w:tcW w:w="308" w:type="pct"/>
            <w:tcBorders>
              <w:tl2br w:val="nil"/>
              <w:tr2bl w:val="nil"/>
            </w:tcBorders>
            <w:noWrap w:val="0"/>
            <w:vAlign w:val="center"/>
          </w:tcPr>
          <w:p w14:paraId="3D296DF0">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教学楼为3</w:t>
            </w:r>
            <w:r>
              <w:rPr>
                <w:rFonts w:hint="eastAsia" w:ascii="Times New Roman" w:hAnsi="Times New Roman" w:eastAsia="宋体" w:cs="Times New Roman"/>
                <w:color w:val="auto"/>
                <w:spacing w:val="-10"/>
                <w:sz w:val="18"/>
                <w:szCs w:val="18"/>
              </w:rPr>
              <w:t>层</w:t>
            </w:r>
            <w:r>
              <w:rPr>
                <w:rFonts w:hint="eastAsia" w:ascii="Times New Roman" w:hAnsi="Times New Roman" w:eastAsia="宋体" w:cs="Times New Roman"/>
                <w:color w:val="auto"/>
                <w:spacing w:val="-10"/>
                <w:sz w:val="18"/>
                <w:szCs w:val="18"/>
                <w:lang w:eastAsia="zh-CN"/>
              </w:rPr>
              <w:t>，</w:t>
            </w:r>
            <w:r>
              <w:rPr>
                <w:rFonts w:hint="eastAsia" w:ascii="Times New Roman" w:hAnsi="Times New Roman" w:eastAsia="宋体" w:cs="Times New Roman"/>
                <w:color w:val="auto"/>
                <w:spacing w:val="-10"/>
                <w:sz w:val="18"/>
                <w:szCs w:val="18"/>
              </w:rPr>
              <w:t>砖混，</w:t>
            </w:r>
            <w:r>
              <w:rPr>
                <w:rFonts w:hint="eastAsia" w:ascii="Times New Roman" w:hAnsi="Times New Roman" w:eastAsia="宋体" w:cs="Times New Roman"/>
                <w:color w:val="auto"/>
                <w:spacing w:val="-10"/>
                <w:sz w:val="18"/>
                <w:szCs w:val="18"/>
                <w:lang w:val="en-US" w:eastAsia="zh-CN"/>
              </w:rPr>
              <w:t>平行于道路</w:t>
            </w:r>
            <w:r>
              <w:rPr>
                <w:rFonts w:hint="eastAsia" w:ascii="Times New Roman" w:hAnsi="Times New Roman" w:eastAsia="宋体" w:cs="Times New Roman"/>
                <w:color w:val="auto"/>
                <w:spacing w:val="-10"/>
                <w:sz w:val="18"/>
                <w:szCs w:val="18"/>
                <w:lang w:eastAsia="zh-CN"/>
              </w:rPr>
              <w:t>，</w:t>
            </w:r>
            <w:r>
              <w:rPr>
                <w:rFonts w:hint="eastAsia" w:ascii="Times New Roman" w:hAnsi="Times New Roman" w:eastAsia="宋体" w:cs="Times New Roman"/>
                <w:color w:val="auto"/>
                <w:spacing w:val="-10"/>
                <w:sz w:val="18"/>
                <w:szCs w:val="18"/>
                <w:lang w:val="en-US" w:eastAsia="zh-CN"/>
              </w:rPr>
              <w:t>于道路之间有绿化带和操场隔开</w:t>
            </w:r>
          </w:p>
        </w:tc>
        <w:tc>
          <w:tcPr>
            <w:tcW w:w="1580" w:type="pct"/>
            <w:tcBorders>
              <w:tl2br w:val="nil"/>
              <w:tr2bl w:val="nil"/>
            </w:tcBorders>
            <w:noWrap w:val="0"/>
            <w:vAlign w:val="center"/>
          </w:tcPr>
          <w:p w14:paraId="5964B1A8">
            <w:pPr>
              <w:pStyle w:val="68"/>
              <w:spacing w:line="240" w:lineRule="auto"/>
              <w:rPr>
                <w:rFonts w:hint="eastAsia" w:eastAsia="宋体"/>
                <w:color w:val="auto"/>
                <w:spacing w:val="-10"/>
                <w:sz w:val="18"/>
                <w:szCs w:val="18"/>
                <w:lang w:eastAsia="zh-CN"/>
              </w:rPr>
            </w:pPr>
            <w:r>
              <w:rPr>
                <w:rFonts w:hint="eastAsia" w:eastAsia="宋体"/>
                <w:color w:val="auto"/>
                <w:spacing w:val="-10"/>
                <w:sz w:val="18"/>
                <w:szCs w:val="18"/>
                <w:lang w:eastAsia="zh-CN"/>
              </w:rPr>
              <w:drawing>
                <wp:inline distT="0" distB="0" distL="114300" distR="114300">
                  <wp:extent cx="2298700" cy="1724660"/>
                  <wp:effectExtent l="0" t="0" r="6350" b="8890"/>
                  <wp:docPr id="50" name="图片 23" descr="MVIMG_20250911_0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descr="MVIMG_20250911_092836"/>
                          <pic:cNvPicPr>
                            <a:picLocks noChangeAspect="1"/>
                          </pic:cNvPicPr>
                        </pic:nvPicPr>
                        <pic:blipFill>
                          <a:blip r:embed="rId46"/>
                          <a:stretch>
                            <a:fillRect/>
                          </a:stretch>
                        </pic:blipFill>
                        <pic:spPr>
                          <a:xfrm>
                            <a:off x="0" y="0"/>
                            <a:ext cx="2298700" cy="1724660"/>
                          </a:xfrm>
                          <a:prstGeom prst="rect">
                            <a:avLst/>
                          </a:prstGeom>
                          <a:noFill/>
                          <a:ln>
                            <a:noFill/>
                          </a:ln>
                        </pic:spPr>
                      </pic:pic>
                    </a:graphicData>
                  </a:graphic>
                </wp:inline>
              </w:drawing>
            </w:r>
          </w:p>
        </w:tc>
        <w:tc>
          <w:tcPr>
            <w:tcW w:w="1451" w:type="pct"/>
            <w:tcBorders>
              <w:tl2br w:val="nil"/>
              <w:tr2bl w:val="nil"/>
            </w:tcBorders>
            <w:noWrap w:val="0"/>
            <w:vAlign w:val="center"/>
          </w:tcPr>
          <w:p w14:paraId="33DC6877">
            <w:pPr>
              <w:pStyle w:val="68"/>
              <w:spacing w:line="240" w:lineRule="auto"/>
              <w:rPr>
                <w:color w:val="auto"/>
                <w:spacing w:val="-10"/>
                <w:sz w:val="18"/>
                <w:szCs w:val="18"/>
              </w:rPr>
            </w:pPr>
            <w:r>
              <w:rPr>
                <w:color w:val="auto"/>
              </w:rPr>
              <w:drawing>
                <wp:inline distT="0" distB="0" distL="114300" distR="114300">
                  <wp:extent cx="2458085" cy="1765935"/>
                  <wp:effectExtent l="0" t="0" r="18415" b="5715"/>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47"/>
                          <a:stretch>
                            <a:fillRect/>
                          </a:stretch>
                        </pic:blipFill>
                        <pic:spPr>
                          <a:xfrm>
                            <a:off x="0" y="0"/>
                            <a:ext cx="2458085" cy="1765935"/>
                          </a:xfrm>
                          <a:prstGeom prst="rect">
                            <a:avLst/>
                          </a:prstGeom>
                          <a:noFill/>
                          <a:ln>
                            <a:noFill/>
                          </a:ln>
                        </pic:spPr>
                      </pic:pic>
                    </a:graphicData>
                  </a:graphic>
                </wp:inline>
              </w:drawing>
            </w:r>
          </w:p>
        </w:tc>
      </w:tr>
      <w:tr w14:paraId="5AE4A76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2EBA9810">
            <w:pPr>
              <w:pStyle w:val="80"/>
              <w:wordWrap/>
              <w:rPr>
                <w:rFonts w:hint="eastAsia" w:ascii="Times New Roman" w:hAnsi="Times New Roman" w:eastAsia="宋体" w:cs="Times New Roman"/>
                <w:b w:val="0"/>
                <w:bCs/>
                <w:snapToGrid/>
                <w:color w:val="auto"/>
                <w:spacing w:val="-10"/>
                <w:kern w:val="2"/>
                <w:sz w:val="18"/>
                <w:szCs w:val="18"/>
                <w:lang w:val="en-US" w:eastAsia="zh-CN" w:bidi="ar-SA"/>
              </w:rPr>
            </w:pPr>
            <w:r>
              <w:rPr>
                <w:rFonts w:hint="eastAsia" w:ascii="Times New Roman" w:hAnsi="Times New Roman" w:eastAsia="宋体" w:cs="Times New Roman"/>
                <w:b w:val="0"/>
                <w:snapToGrid/>
                <w:color w:val="auto"/>
                <w:spacing w:val="-10"/>
                <w:kern w:val="2"/>
                <w:sz w:val="18"/>
                <w:szCs w:val="18"/>
                <w:lang w:val="en-US" w:eastAsia="zh-CN" w:bidi="ar-SA"/>
              </w:rPr>
              <w:t>12</w:t>
            </w:r>
          </w:p>
        </w:tc>
        <w:tc>
          <w:tcPr>
            <w:tcW w:w="229" w:type="pct"/>
            <w:tcBorders>
              <w:tl2br w:val="nil"/>
              <w:tr2bl w:val="nil"/>
            </w:tcBorders>
            <w:noWrap w:val="0"/>
            <w:vAlign w:val="center"/>
          </w:tcPr>
          <w:p w14:paraId="66E34BA5">
            <w:pPr>
              <w:pStyle w:val="80"/>
              <w:wordWrap/>
              <w:rPr>
                <w:rFonts w:hint="eastAsia"/>
                <w:color w:val="auto"/>
                <w:spacing w:val="-10"/>
                <w:sz w:val="18"/>
                <w:szCs w:val="18"/>
              </w:rPr>
            </w:pPr>
            <w:r>
              <w:rPr>
                <w:rFonts w:hint="eastAsia"/>
                <w:snapToGrid w:val="0"/>
                <w:color w:val="auto"/>
                <w:kern w:val="0"/>
                <w:sz w:val="21"/>
                <w:szCs w:val="21"/>
                <w:lang w:val="en-US" w:eastAsia="zh-CN"/>
              </w:rPr>
              <w:t>山头村</w:t>
            </w:r>
          </w:p>
        </w:tc>
        <w:tc>
          <w:tcPr>
            <w:tcW w:w="252" w:type="pct"/>
            <w:tcBorders>
              <w:tl2br w:val="nil"/>
              <w:tr2bl w:val="nil"/>
            </w:tcBorders>
            <w:noWrap w:val="0"/>
            <w:vAlign w:val="center"/>
          </w:tcPr>
          <w:p w14:paraId="0EF6665D">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407</w:t>
            </w:r>
            <w:r>
              <w:rPr>
                <w:rFonts w:hint="eastAsia"/>
                <w:color w:val="auto"/>
                <w:spacing w:val="-10"/>
                <w:sz w:val="18"/>
                <w:szCs w:val="18"/>
              </w:rPr>
              <w:t>+</w:t>
            </w:r>
            <w:r>
              <w:rPr>
                <w:rFonts w:hint="eastAsia"/>
                <w:color w:val="auto"/>
                <w:spacing w:val="-10"/>
                <w:sz w:val="18"/>
                <w:szCs w:val="18"/>
                <w:lang w:val="en-US" w:eastAsia="zh-CN"/>
              </w:rPr>
              <w:t>5</w:t>
            </w:r>
            <w:r>
              <w:rPr>
                <w:color w:val="auto"/>
                <w:spacing w:val="-10"/>
                <w:sz w:val="18"/>
                <w:szCs w:val="18"/>
              </w:rPr>
              <w:t>70</w:t>
            </w:r>
            <w:r>
              <w:rPr>
                <w:rFonts w:hint="eastAsia"/>
                <w:color w:val="auto"/>
                <w:spacing w:val="-10"/>
                <w:sz w:val="18"/>
                <w:szCs w:val="18"/>
              </w:rPr>
              <w:t>~</w:t>
            </w:r>
          </w:p>
          <w:p w14:paraId="0E305DFD">
            <w:pPr>
              <w:pStyle w:val="68"/>
              <w:spacing w:line="240" w:lineRule="auto"/>
              <w:rPr>
                <w:rFonts w:hint="default" w:eastAsia="宋体"/>
                <w:color w:val="auto"/>
                <w:spacing w:val="-10"/>
                <w:sz w:val="18"/>
                <w:szCs w:val="18"/>
                <w:lang w:val="en-US" w:eastAsia="zh-CN"/>
              </w:rPr>
            </w:pPr>
            <w:r>
              <w:rPr>
                <w:rFonts w:hint="eastAsia"/>
                <w:color w:val="auto"/>
                <w:spacing w:val="-10"/>
                <w:sz w:val="18"/>
                <w:szCs w:val="18"/>
              </w:rPr>
              <w:t>K</w:t>
            </w:r>
            <w:r>
              <w:rPr>
                <w:rFonts w:hint="eastAsia"/>
                <w:color w:val="auto"/>
                <w:spacing w:val="-10"/>
                <w:sz w:val="18"/>
                <w:szCs w:val="18"/>
                <w:lang w:val="en-US" w:eastAsia="zh-CN"/>
              </w:rPr>
              <w:t>407</w:t>
            </w:r>
            <w:r>
              <w:rPr>
                <w:rFonts w:hint="eastAsia"/>
                <w:color w:val="auto"/>
                <w:spacing w:val="-10"/>
                <w:sz w:val="18"/>
                <w:szCs w:val="18"/>
              </w:rPr>
              <w:t>+</w:t>
            </w:r>
            <w:r>
              <w:rPr>
                <w:rFonts w:hint="eastAsia"/>
                <w:color w:val="auto"/>
                <w:spacing w:val="-10"/>
                <w:sz w:val="18"/>
                <w:szCs w:val="18"/>
                <w:lang w:val="en-US" w:eastAsia="zh-CN"/>
              </w:rPr>
              <w:t>940</w:t>
            </w:r>
          </w:p>
        </w:tc>
        <w:tc>
          <w:tcPr>
            <w:tcW w:w="131" w:type="pct"/>
            <w:tcBorders>
              <w:tl2br w:val="nil"/>
              <w:tr2bl w:val="nil"/>
            </w:tcBorders>
            <w:noWrap w:val="0"/>
            <w:vAlign w:val="center"/>
          </w:tcPr>
          <w:p w14:paraId="36CDD879">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1A4C2302">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右侧</w:t>
            </w:r>
          </w:p>
        </w:tc>
        <w:tc>
          <w:tcPr>
            <w:tcW w:w="177" w:type="pct"/>
            <w:tcBorders>
              <w:tl2br w:val="nil"/>
              <w:tr2bl w:val="nil"/>
            </w:tcBorders>
            <w:noWrap w:val="0"/>
            <w:vAlign w:val="center"/>
          </w:tcPr>
          <w:p w14:paraId="6EC0EF2F">
            <w:pPr>
              <w:pStyle w:val="68"/>
              <w:spacing w:line="240" w:lineRule="auto"/>
              <w:rPr>
                <w:color w:val="auto"/>
                <w:spacing w:val="-10"/>
                <w:sz w:val="18"/>
                <w:szCs w:val="18"/>
              </w:rPr>
            </w:pPr>
            <w:r>
              <w:rPr>
                <w:rFonts w:hint="eastAsia"/>
                <w:color w:val="auto"/>
                <w:spacing w:val="-10"/>
                <w:sz w:val="18"/>
                <w:szCs w:val="18"/>
                <w:lang w:val="en-US" w:eastAsia="zh-CN"/>
              </w:rPr>
              <w:t>0.5</w:t>
            </w:r>
            <w:r>
              <w:rPr>
                <w:color w:val="auto"/>
                <w:spacing w:val="-10"/>
                <w:sz w:val="18"/>
                <w:szCs w:val="18"/>
              </w:rPr>
              <w:t>-2</w:t>
            </w:r>
          </w:p>
        </w:tc>
        <w:tc>
          <w:tcPr>
            <w:tcW w:w="137" w:type="pct"/>
            <w:tcBorders>
              <w:tl2br w:val="nil"/>
              <w:tr2bl w:val="nil"/>
            </w:tcBorders>
            <w:noWrap w:val="0"/>
            <w:vAlign w:val="center"/>
          </w:tcPr>
          <w:p w14:paraId="07D694F0">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10</w:t>
            </w:r>
          </w:p>
        </w:tc>
        <w:tc>
          <w:tcPr>
            <w:tcW w:w="173" w:type="pct"/>
            <w:tcBorders>
              <w:tl2br w:val="nil"/>
              <w:tr2bl w:val="nil"/>
            </w:tcBorders>
            <w:noWrap w:val="0"/>
            <w:vAlign w:val="center"/>
          </w:tcPr>
          <w:p w14:paraId="08FFEF04">
            <w:pPr>
              <w:pStyle w:val="68"/>
              <w:spacing w:line="240" w:lineRule="auto"/>
              <w:jc w:val="both"/>
              <w:rPr>
                <w:rFonts w:hint="default" w:eastAsia="宋体"/>
                <w:color w:val="auto"/>
                <w:spacing w:val="-10"/>
                <w:sz w:val="18"/>
                <w:szCs w:val="18"/>
                <w:lang w:val="en-US" w:eastAsia="zh-CN"/>
              </w:rPr>
            </w:pPr>
            <w:r>
              <w:rPr>
                <w:rFonts w:hint="eastAsia"/>
                <w:color w:val="auto"/>
                <w:spacing w:val="-10"/>
                <w:sz w:val="18"/>
                <w:szCs w:val="18"/>
                <w:lang w:val="en-US" w:eastAsia="zh-CN"/>
              </w:rPr>
              <w:t>18.5</w:t>
            </w:r>
          </w:p>
        </w:tc>
        <w:tc>
          <w:tcPr>
            <w:tcW w:w="137" w:type="pct"/>
            <w:tcBorders>
              <w:tl2br w:val="nil"/>
              <w:tr2bl w:val="nil"/>
            </w:tcBorders>
            <w:noWrap w:val="0"/>
            <w:vAlign w:val="center"/>
          </w:tcPr>
          <w:p w14:paraId="6BC5FDD4">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7</w:t>
            </w:r>
          </w:p>
        </w:tc>
        <w:tc>
          <w:tcPr>
            <w:tcW w:w="157" w:type="pct"/>
            <w:tcBorders>
              <w:tl2br w:val="nil"/>
              <w:tr2bl w:val="nil"/>
            </w:tcBorders>
            <w:noWrap w:val="0"/>
            <w:vAlign w:val="center"/>
          </w:tcPr>
          <w:p w14:paraId="3CD2984B">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20</w:t>
            </w:r>
          </w:p>
        </w:tc>
        <w:tc>
          <w:tcPr>
            <w:tcW w:w="308" w:type="pct"/>
            <w:tcBorders>
              <w:tl2br w:val="nil"/>
              <w:tr2bl w:val="nil"/>
            </w:tcBorders>
            <w:noWrap w:val="0"/>
            <w:vAlign w:val="center"/>
          </w:tcPr>
          <w:p w14:paraId="20292899">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南北朝向，</w:t>
            </w:r>
            <w:r>
              <w:rPr>
                <w:rFonts w:hint="eastAsia" w:ascii="Times New Roman" w:hAnsi="Times New Roman" w:eastAsia="宋体" w:cs="Times New Roman"/>
                <w:color w:val="auto"/>
                <w:spacing w:val="-10"/>
                <w:sz w:val="18"/>
                <w:szCs w:val="18"/>
              </w:rPr>
              <w:t>垂直</w:t>
            </w:r>
            <w:r>
              <w:rPr>
                <w:rFonts w:hint="eastAsia" w:ascii="Times New Roman" w:hAnsi="Times New Roman" w:eastAsia="宋体" w:cs="Times New Roman"/>
                <w:color w:val="auto"/>
                <w:spacing w:val="-10"/>
                <w:sz w:val="18"/>
                <w:szCs w:val="18"/>
                <w:lang w:val="en-US" w:eastAsia="zh-CN"/>
              </w:rPr>
              <w:t>于道路</w:t>
            </w:r>
          </w:p>
        </w:tc>
        <w:tc>
          <w:tcPr>
            <w:tcW w:w="1580" w:type="pct"/>
            <w:tcBorders>
              <w:tl2br w:val="nil"/>
              <w:tr2bl w:val="nil"/>
            </w:tcBorders>
            <w:noWrap w:val="0"/>
            <w:vAlign w:val="center"/>
          </w:tcPr>
          <w:p w14:paraId="1D2BCC4A">
            <w:pPr>
              <w:pStyle w:val="68"/>
              <w:spacing w:line="240" w:lineRule="auto"/>
              <w:rPr>
                <w:color w:val="auto"/>
                <w:spacing w:val="-10"/>
                <w:sz w:val="18"/>
                <w:szCs w:val="18"/>
              </w:rPr>
            </w:pPr>
            <w:r>
              <w:rPr>
                <w:color w:val="auto"/>
              </w:rPr>
              <w:drawing>
                <wp:inline distT="0" distB="0" distL="114300" distR="114300">
                  <wp:extent cx="2684780" cy="1699260"/>
                  <wp:effectExtent l="0" t="0" r="1270" b="15240"/>
                  <wp:docPr id="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5"/>
                          <pic:cNvPicPr>
                            <a:picLocks noChangeAspect="1"/>
                          </pic:cNvPicPr>
                        </pic:nvPicPr>
                        <pic:blipFill>
                          <a:blip r:embed="rId48"/>
                          <a:stretch>
                            <a:fillRect/>
                          </a:stretch>
                        </pic:blipFill>
                        <pic:spPr>
                          <a:xfrm>
                            <a:off x="0" y="0"/>
                            <a:ext cx="2684780" cy="1699260"/>
                          </a:xfrm>
                          <a:prstGeom prst="rect">
                            <a:avLst/>
                          </a:prstGeom>
                          <a:noFill/>
                          <a:ln>
                            <a:noFill/>
                          </a:ln>
                        </pic:spPr>
                      </pic:pic>
                    </a:graphicData>
                  </a:graphic>
                </wp:inline>
              </w:drawing>
            </w:r>
          </w:p>
        </w:tc>
        <w:tc>
          <w:tcPr>
            <w:tcW w:w="1451" w:type="pct"/>
            <w:tcBorders>
              <w:tl2br w:val="nil"/>
              <w:tr2bl w:val="nil"/>
            </w:tcBorders>
            <w:noWrap w:val="0"/>
            <w:vAlign w:val="center"/>
          </w:tcPr>
          <w:p w14:paraId="5843F8D2">
            <w:pPr>
              <w:pStyle w:val="68"/>
              <w:spacing w:line="240" w:lineRule="auto"/>
              <w:rPr>
                <w:color w:val="auto"/>
                <w:spacing w:val="-10"/>
                <w:sz w:val="18"/>
                <w:szCs w:val="18"/>
              </w:rPr>
            </w:pPr>
            <w:r>
              <w:rPr>
                <w:color w:val="auto"/>
              </w:rPr>
              <w:drawing>
                <wp:inline distT="0" distB="0" distL="114300" distR="114300">
                  <wp:extent cx="2284730" cy="1961515"/>
                  <wp:effectExtent l="0" t="0" r="1270" b="635"/>
                  <wp:docPr id="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6"/>
                          <pic:cNvPicPr>
                            <a:picLocks noChangeAspect="1"/>
                          </pic:cNvPicPr>
                        </pic:nvPicPr>
                        <pic:blipFill>
                          <a:blip r:embed="rId49"/>
                          <a:stretch>
                            <a:fillRect/>
                          </a:stretch>
                        </pic:blipFill>
                        <pic:spPr>
                          <a:xfrm>
                            <a:off x="0" y="0"/>
                            <a:ext cx="2284730" cy="1961515"/>
                          </a:xfrm>
                          <a:prstGeom prst="rect">
                            <a:avLst/>
                          </a:prstGeom>
                          <a:noFill/>
                          <a:ln>
                            <a:noFill/>
                          </a:ln>
                        </pic:spPr>
                      </pic:pic>
                    </a:graphicData>
                  </a:graphic>
                </wp:inline>
              </w:drawing>
            </w:r>
          </w:p>
        </w:tc>
      </w:tr>
      <w:tr w14:paraId="7611B96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527C56C4">
            <w:pPr>
              <w:pStyle w:val="80"/>
              <w:wordWrap/>
              <w:rPr>
                <w:rFonts w:hint="eastAsia" w:ascii="Times New Roman" w:hAnsi="Times New Roman" w:eastAsia="宋体" w:cs="Times New Roman"/>
                <w:b w:val="0"/>
                <w:bCs/>
                <w:snapToGrid w:val="0"/>
                <w:color w:val="auto"/>
                <w:spacing w:val="-10"/>
                <w:kern w:val="2"/>
                <w:sz w:val="18"/>
                <w:szCs w:val="18"/>
                <w:lang w:val="en-US" w:eastAsia="zh-CN" w:bidi="ar-SA"/>
              </w:rPr>
            </w:pPr>
            <w:r>
              <w:rPr>
                <w:color w:val="auto"/>
                <w:spacing w:val="-10"/>
                <w:sz w:val="18"/>
                <w:szCs w:val="18"/>
              </w:rPr>
              <w:t>13</w:t>
            </w:r>
          </w:p>
        </w:tc>
        <w:tc>
          <w:tcPr>
            <w:tcW w:w="229" w:type="pct"/>
            <w:tcBorders>
              <w:tl2br w:val="nil"/>
              <w:tr2bl w:val="nil"/>
            </w:tcBorders>
            <w:noWrap w:val="0"/>
            <w:vAlign w:val="center"/>
          </w:tcPr>
          <w:p w14:paraId="3654404B">
            <w:pPr>
              <w:pStyle w:val="80"/>
              <w:wordWrap/>
              <w:rPr>
                <w:rFonts w:hint="eastAsia"/>
                <w:color w:val="auto"/>
                <w:spacing w:val="-10"/>
                <w:sz w:val="18"/>
                <w:szCs w:val="18"/>
              </w:rPr>
            </w:pPr>
            <w:r>
              <w:rPr>
                <w:rFonts w:hint="eastAsia"/>
                <w:snapToGrid w:val="0"/>
                <w:color w:val="auto"/>
                <w:kern w:val="0"/>
                <w:sz w:val="21"/>
                <w:szCs w:val="21"/>
                <w:lang w:val="en-US" w:eastAsia="zh-CN"/>
              </w:rPr>
              <w:t>石嘴子村</w:t>
            </w:r>
          </w:p>
        </w:tc>
        <w:tc>
          <w:tcPr>
            <w:tcW w:w="252" w:type="pct"/>
            <w:tcBorders>
              <w:tl2br w:val="nil"/>
              <w:tr2bl w:val="nil"/>
            </w:tcBorders>
            <w:noWrap w:val="0"/>
            <w:vAlign w:val="center"/>
          </w:tcPr>
          <w:p w14:paraId="265B81C3">
            <w:pPr>
              <w:pStyle w:val="68"/>
              <w:spacing w:line="240" w:lineRule="auto"/>
              <w:rPr>
                <w:color w:val="auto"/>
                <w:spacing w:val="-10"/>
                <w:sz w:val="18"/>
                <w:szCs w:val="18"/>
              </w:rPr>
            </w:pPr>
            <w:r>
              <w:rPr>
                <w:rFonts w:hint="eastAsia"/>
                <w:color w:val="auto"/>
                <w:spacing w:val="-10"/>
                <w:sz w:val="18"/>
                <w:szCs w:val="18"/>
              </w:rPr>
              <w:t>K</w:t>
            </w:r>
            <w:r>
              <w:rPr>
                <w:rFonts w:hint="default"/>
                <w:color w:val="auto"/>
                <w:spacing w:val="-10"/>
                <w:sz w:val="18"/>
                <w:szCs w:val="18"/>
                <w:lang w:val="en-US"/>
              </w:rPr>
              <w:t>409</w:t>
            </w:r>
            <w:r>
              <w:rPr>
                <w:rFonts w:hint="eastAsia"/>
                <w:color w:val="auto"/>
                <w:spacing w:val="-10"/>
                <w:sz w:val="18"/>
                <w:szCs w:val="18"/>
              </w:rPr>
              <w:t>+</w:t>
            </w:r>
            <w:r>
              <w:rPr>
                <w:rFonts w:hint="default"/>
                <w:color w:val="auto"/>
                <w:spacing w:val="-10"/>
                <w:sz w:val="18"/>
                <w:szCs w:val="18"/>
                <w:lang w:val="en-US"/>
              </w:rPr>
              <w:t>200</w:t>
            </w:r>
            <w:r>
              <w:rPr>
                <w:rFonts w:hint="eastAsia"/>
                <w:color w:val="auto"/>
                <w:spacing w:val="-10"/>
                <w:sz w:val="18"/>
                <w:szCs w:val="18"/>
              </w:rPr>
              <w:t>~</w:t>
            </w:r>
          </w:p>
          <w:p w14:paraId="47B269A1">
            <w:pPr>
              <w:pStyle w:val="68"/>
              <w:spacing w:line="240" w:lineRule="auto"/>
              <w:rPr>
                <w:rFonts w:hint="default"/>
                <w:color w:val="auto"/>
                <w:spacing w:val="-10"/>
                <w:sz w:val="18"/>
                <w:szCs w:val="18"/>
                <w:lang w:val="en-US"/>
              </w:rPr>
            </w:pPr>
            <w:r>
              <w:rPr>
                <w:rFonts w:hint="eastAsia"/>
                <w:color w:val="auto"/>
                <w:spacing w:val="-10"/>
                <w:sz w:val="18"/>
                <w:szCs w:val="18"/>
              </w:rPr>
              <w:t>K</w:t>
            </w:r>
            <w:r>
              <w:rPr>
                <w:rFonts w:hint="default"/>
                <w:color w:val="auto"/>
                <w:spacing w:val="-10"/>
                <w:sz w:val="18"/>
                <w:szCs w:val="18"/>
                <w:lang w:val="en-US"/>
              </w:rPr>
              <w:t>409</w:t>
            </w:r>
            <w:r>
              <w:rPr>
                <w:rFonts w:hint="eastAsia"/>
                <w:color w:val="auto"/>
                <w:spacing w:val="-10"/>
                <w:sz w:val="18"/>
                <w:szCs w:val="18"/>
              </w:rPr>
              <w:t>+</w:t>
            </w:r>
            <w:r>
              <w:rPr>
                <w:color w:val="auto"/>
                <w:spacing w:val="-10"/>
                <w:sz w:val="18"/>
                <w:szCs w:val="18"/>
              </w:rPr>
              <w:t>4</w:t>
            </w:r>
            <w:r>
              <w:rPr>
                <w:rFonts w:hint="default"/>
                <w:color w:val="auto"/>
                <w:spacing w:val="-10"/>
                <w:sz w:val="18"/>
                <w:szCs w:val="18"/>
                <w:lang w:val="en-US"/>
              </w:rPr>
              <w:t>40</w:t>
            </w:r>
          </w:p>
        </w:tc>
        <w:tc>
          <w:tcPr>
            <w:tcW w:w="131" w:type="pct"/>
            <w:tcBorders>
              <w:tl2br w:val="nil"/>
              <w:tr2bl w:val="nil"/>
            </w:tcBorders>
            <w:noWrap w:val="0"/>
            <w:vAlign w:val="center"/>
          </w:tcPr>
          <w:p w14:paraId="1947DF6B">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7CC3A494">
            <w:pPr>
              <w:pStyle w:val="68"/>
              <w:spacing w:line="240" w:lineRule="auto"/>
              <w:jc w:val="both"/>
              <w:rPr>
                <w:rFonts w:hint="default" w:eastAsia="宋体"/>
                <w:color w:val="auto"/>
                <w:spacing w:val="-10"/>
                <w:sz w:val="18"/>
                <w:szCs w:val="18"/>
                <w:lang w:val="en-US" w:eastAsia="zh-CN"/>
              </w:rPr>
            </w:pPr>
            <w:r>
              <w:rPr>
                <w:rFonts w:hint="eastAsia"/>
                <w:color w:val="auto"/>
                <w:spacing w:val="-10"/>
                <w:sz w:val="18"/>
                <w:szCs w:val="18"/>
                <w:lang w:val="en-US" w:eastAsia="zh-CN"/>
              </w:rPr>
              <w:t>两侧</w:t>
            </w:r>
          </w:p>
        </w:tc>
        <w:tc>
          <w:tcPr>
            <w:tcW w:w="177" w:type="pct"/>
            <w:tcBorders>
              <w:tl2br w:val="nil"/>
              <w:tr2bl w:val="nil"/>
            </w:tcBorders>
            <w:noWrap w:val="0"/>
            <w:vAlign w:val="center"/>
          </w:tcPr>
          <w:p w14:paraId="2F9BE8EF">
            <w:pPr>
              <w:pStyle w:val="68"/>
              <w:spacing w:line="240" w:lineRule="auto"/>
              <w:rPr>
                <w:rFonts w:hint="default" w:eastAsia="宋体"/>
                <w:color w:val="auto"/>
                <w:spacing w:val="-10"/>
                <w:sz w:val="18"/>
                <w:szCs w:val="18"/>
                <w:lang w:val="en-US" w:eastAsia="zh-CN"/>
              </w:rPr>
            </w:pPr>
            <w:r>
              <w:rPr>
                <w:color w:val="auto"/>
                <w:spacing w:val="-10"/>
                <w:sz w:val="18"/>
                <w:szCs w:val="18"/>
              </w:rPr>
              <w:t>0.5-</w:t>
            </w:r>
            <w:r>
              <w:rPr>
                <w:rFonts w:hint="eastAsia"/>
                <w:color w:val="auto"/>
                <w:spacing w:val="-10"/>
                <w:sz w:val="18"/>
                <w:szCs w:val="18"/>
                <w:lang w:val="en-US" w:eastAsia="zh-CN"/>
              </w:rPr>
              <w:t>1.5</w:t>
            </w:r>
          </w:p>
        </w:tc>
        <w:tc>
          <w:tcPr>
            <w:tcW w:w="137" w:type="pct"/>
            <w:tcBorders>
              <w:tl2br w:val="nil"/>
              <w:tr2bl w:val="nil"/>
            </w:tcBorders>
            <w:noWrap w:val="0"/>
            <w:vAlign w:val="center"/>
          </w:tcPr>
          <w:p w14:paraId="0357D4FA">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10</w:t>
            </w:r>
          </w:p>
        </w:tc>
        <w:tc>
          <w:tcPr>
            <w:tcW w:w="173" w:type="pct"/>
            <w:tcBorders>
              <w:tl2br w:val="nil"/>
              <w:tr2bl w:val="nil"/>
            </w:tcBorders>
            <w:noWrap w:val="0"/>
            <w:vAlign w:val="center"/>
          </w:tcPr>
          <w:p w14:paraId="553C7E62">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18.5</w:t>
            </w:r>
          </w:p>
        </w:tc>
        <w:tc>
          <w:tcPr>
            <w:tcW w:w="137" w:type="pct"/>
            <w:tcBorders>
              <w:tl2br w:val="nil"/>
              <w:tr2bl w:val="nil"/>
            </w:tcBorders>
            <w:noWrap w:val="0"/>
            <w:vAlign w:val="center"/>
          </w:tcPr>
          <w:p w14:paraId="4C47A4DD">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9</w:t>
            </w:r>
          </w:p>
        </w:tc>
        <w:tc>
          <w:tcPr>
            <w:tcW w:w="157" w:type="pct"/>
            <w:tcBorders>
              <w:tl2br w:val="nil"/>
              <w:tr2bl w:val="nil"/>
            </w:tcBorders>
            <w:noWrap w:val="0"/>
            <w:vAlign w:val="center"/>
          </w:tcPr>
          <w:p w14:paraId="64B57866">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17</w:t>
            </w:r>
          </w:p>
        </w:tc>
        <w:tc>
          <w:tcPr>
            <w:tcW w:w="308" w:type="pct"/>
            <w:tcBorders>
              <w:tl2br w:val="nil"/>
              <w:tr2bl w:val="nil"/>
            </w:tcBorders>
            <w:noWrap w:val="0"/>
            <w:vAlign w:val="center"/>
          </w:tcPr>
          <w:p w14:paraId="7B1DF247">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rPr>
            </w:pPr>
            <w:r>
              <w:rPr>
                <w:rFonts w:hint="eastAsia"/>
                <w:color w:val="auto"/>
                <w:spacing w:val="-10"/>
                <w:sz w:val="18"/>
                <w:szCs w:val="18"/>
                <w:lang w:val="en-US" w:eastAsia="zh-CN"/>
              </w:rPr>
              <w:t>两侧居民区与道路边界线的距离相同；</w:t>
            </w: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南北朝向，</w:t>
            </w:r>
            <w:r>
              <w:rPr>
                <w:rFonts w:hint="eastAsia" w:ascii="Times New Roman" w:hAnsi="Times New Roman" w:eastAsia="宋体" w:cs="Times New Roman"/>
                <w:color w:val="auto"/>
                <w:spacing w:val="-10"/>
                <w:sz w:val="18"/>
                <w:szCs w:val="18"/>
              </w:rPr>
              <w:t>垂直</w:t>
            </w:r>
            <w:r>
              <w:rPr>
                <w:rFonts w:hint="eastAsia" w:ascii="Times New Roman" w:hAnsi="Times New Roman" w:eastAsia="宋体" w:cs="Times New Roman"/>
                <w:color w:val="auto"/>
                <w:spacing w:val="-10"/>
                <w:sz w:val="18"/>
                <w:szCs w:val="18"/>
                <w:lang w:val="en-US" w:eastAsia="zh-CN"/>
              </w:rPr>
              <w:t>于道路</w:t>
            </w:r>
          </w:p>
        </w:tc>
        <w:tc>
          <w:tcPr>
            <w:tcW w:w="1580" w:type="pct"/>
            <w:tcBorders>
              <w:tl2br w:val="nil"/>
              <w:tr2bl w:val="nil"/>
            </w:tcBorders>
            <w:noWrap w:val="0"/>
            <w:vAlign w:val="center"/>
          </w:tcPr>
          <w:p w14:paraId="39A1DA35">
            <w:pPr>
              <w:pStyle w:val="68"/>
              <w:spacing w:line="240" w:lineRule="auto"/>
              <w:rPr>
                <w:color w:val="auto"/>
                <w:spacing w:val="-10"/>
                <w:sz w:val="18"/>
                <w:szCs w:val="18"/>
              </w:rPr>
            </w:pPr>
            <w:r>
              <w:rPr>
                <w:color w:val="auto"/>
              </w:rPr>
              <w:drawing>
                <wp:inline distT="0" distB="0" distL="114300" distR="114300">
                  <wp:extent cx="2693035" cy="1374775"/>
                  <wp:effectExtent l="0" t="0" r="12065" b="15875"/>
                  <wp:docPr id="5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7"/>
                          <pic:cNvPicPr>
                            <a:picLocks noChangeAspect="1"/>
                          </pic:cNvPicPr>
                        </pic:nvPicPr>
                        <pic:blipFill>
                          <a:blip r:embed="rId50"/>
                          <a:stretch>
                            <a:fillRect/>
                          </a:stretch>
                        </pic:blipFill>
                        <pic:spPr>
                          <a:xfrm>
                            <a:off x="0" y="0"/>
                            <a:ext cx="2693035" cy="1374775"/>
                          </a:xfrm>
                          <a:prstGeom prst="rect">
                            <a:avLst/>
                          </a:prstGeom>
                          <a:noFill/>
                          <a:ln>
                            <a:noFill/>
                          </a:ln>
                        </pic:spPr>
                      </pic:pic>
                    </a:graphicData>
                  </a:graphic>
                </wp:inline>
              </w:drawing>
            </w:r>
          </w:p>
        </w:tc>
        <w:tc>
          <w:tcPr>
            <w:tcW w:w="1451" w:type="pct"/>
            <w:tcBorders>
              <w:tl2br w:val="nil"/>
              <w:tr2bl w:val="nil"/>
            </w:tcBorders>
            <w:noWrap w:val="0"/>
            <w:vAlign w:val="center"/>
          </w:tcPr>
          <w:p w14:paraId="59F5B309">
            <w:pPr>
              <w:pStyle w:val="68"/>
              <w:spacing w:line="240" w:lineRule="auto"/>
              <w:rPr>
                <w:color w:val="auto"/>
                <w:spacing w:val="-10"/>
                <w:sz w:val="18"/>
                <w:szCs w:val="18"/>
              </w:rPr>
            </w:pPr>
            <w:r>
              <w:rPr>
                <w:color w:val="auto"/>
              </w:rPr>
              <w:drawing>
                <wp:inline distT="0" distB="0" distL="114300" distR="114300">
                  <wp:extent cx="2459355" cy="1541780"/>
                  <wp:effectExtent l="0" t="0" r="17145" b="1270"/>
                  <wp:docPr id="5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8"/>
                          <pic:cNvPicPr>
                            <a:picLocks noChangeAspect="1"/>
                          </pic:cNvPicPr>
                        </pic:nvPicPr>
                        <pic:blipFill>
                          <a:blip r:embed="rId51"/>
                          <a:stretch>
                            <a:fillRect/>
                          </a:stretch>
                        </pic:blipFill>
                        <pic:spPr>
                          <a:xfrm>
                            <a:off x="0" y="0"/>
                            <a:ext cx="2459355" cy="1541780"/>
                          </a:xfrm>
                          <a:prstGeom prst="rect">
                            <a:avLst/>
                          </a:prstGeom>
                          <a:noFill/>
                          <a:ln>
                            <a:noFill/>
                          </a:ln>
                        </pic:spPr>
                      </pic:pic>
                    </a:graphicData>
                  </a:graphic>
                </wp:inline>
              </w:drawing>
            </w:r>
          </w:p>
        </w:tc>
      </w:tr>
      <w:tr w14:paraId="382C59C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107669D5">
            <w:pPr>
              <w:pStyle w:val="80"/>
              <w:wordWrap/>
              <w:rPr>
                <w:rFonts w:hint="eastAsia" w:ascii="Times New Roman" w:hAnsi="Times New Roman" w:eastAsia="宋体" w:cs="Times New Roman"/>
                <w:b w:val="0"/>
                <w:bCs/>
                <w:snapToGrid w:val="0"/>
                <w:color w:val="auto"/>
                <w:spacing w:val="-10"/>
                <w:kern w:val="2"/>
                <w:sz w:val="18"/>
                <w:szCs w:val="18"/>
                <w:lang w:val="en-US" w:eastAsia="zh-CN" w:bidi="ar-SA"/>
              </w:rPr>
            </w:pPr>
            <w:r>
              <w:rPr>
                <w:color w:val="auto"/>
                <w:spacing w:val="-10"/>
                <w:sz w:val="18"/>
                <w:szCs w:val="18"/>
              </w:rPr>
              <w:t>14</w:t>
            </w:r>
          </w:p>
        </w:tc>
        <w:tc>
          <w:tcPr>
            <w:tcW w:w="229" w:type="pct"/>
            <w:tcBorders>
              <w:tl2br w:val="nil"/>
              <w:tr2bl w:val="nil"/>
            </w:tcBorders>
            <w:noWrap w:val="0"/>
            <w:vAlign w:val="center"/>
          </w:tcPr>
          <w:p w14:paraId="2921F5EA">
            <w:pPr>
              <w:pStyle w:val="80"/>
              <w:wordWrap/>
              <w:rPr>
                <w:rFonts w:hint="eastAsia"/>
                <w:color w:val="auto"/>
                <w:spacing w:val="-10"/>
                <w:sz w:val="18"/>
                <w:szCs w:val="18"/>
              </w:rPr>
            </w:pPr>
            <w:r>
              <w:rPr>
                <w:rFonts w:hint="eastAsia"/>
                <w:snapToGrid w:val="0"/>
                <w:color w:val="auto"/>
                <w:kern w:val="0"/>
                <w:sz w:val="21"/>
                <w:szCs w:val="21"/>
                <w:lang w:val="en-US" w:eastAsia="zh-CN"/>
              </w:rPr>
              <w:t>石嘴子二组</w:t>
            </w:r>
          </w:p>
        </w:tc>
        <w:tc>
          <w:tcPr>
            <w:tcW w:w="252" w:type="pct"/>
            <w:tcBorders>
              <w:tl2br w:val="nil"/>
              <w:tr2bl w:val="nil"/>
            </w:tcBorders>
            <w:noWrap w:val="0"/>
            <w:vAlign w:val="center"/>
          </w:tcPr>
          <w:p w14:paraId="7A8F0B3B">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409</w:t>
            </w:r>
            <w:r>
              <w:rPr>
                <w:rFonts w:hint="eastAsia"/>
                <w:color w:val="auto"/>
                <w:spacing w:val="-10"/>
                <w:sz w:val="18"/>
                <w:szCs w:val="18"/>
              </w:rPr>
              <w:t>+</w:t>
            </w:r>
            <w:r>
              <w:rPr>
                <w:rFonts w:hint="eastAsia"/>
                <w:color w:val="auto"/>
                <w:spacing w:val="-10"/>
                <w:sz w:val="18"/>
                <w:szCs w:val="18"/>
                <w:lang w:val="en-US" w:eastAsia="zh-CN"/>
              </w:rPr>
              <w:t>89</w:t>
            </w:r>
            <w:r>
              <w:rPr>
                <w:color w:val="auto"/>
                <w:spacing w:val="-10"/>
                <w:sz w:val="18"/>
                <w:szCs w:val="18"/>
              </w:rPr>
              <w:t>0</w:t>
            </w:r>
            <w:r>
              <w:rPr>
                <w:rFonts w:hint="eastAsia"/>
                <w:color w:val="auto"/>
                <w:spacing w:val="-10"/>
                <w:sz w:val="18"/>
                <w:szCs w:val="18"/>
              </w:rPr>
              <w:t>~</w:t>
            </w:r>
          </w:p>
          <w:p w14:paraId="661BC72F">
            <w:pPr>
              <w:pStyle w:val="68"/>
              <w:spacing w:line="240" w:lineRule="auto"/>
              <w:rPr>
                <w:rFonts w:hint="default" w:eastAsia="宋体"/>
                <w:color w:val="auto"/>
                <w:spacing w:val="-10"/>
                <w:sz w:val="18"/>
                <w:szCs w:val="18"/>
                <w:lang w:val="en-US" w:eastAsia="zh-CN"/>
              </w:rPr>
            </w:pPr>
            <w:r>
              <w:rPr>
                <w:rFonts w:hint="eastAsia"/>
                <w:color w:val="auto"/>
                <w:spacing w:val="-10"/>
                <w:sz w:val="18"/>
                <w:szCs w:val="18"/>
              </w:rPr>
              <w:t>K</w:t>
            </w:r>
            <w:r>
              <w:rPr>
                <w:rFonts w:hint="eastAsia"/>
                <w:color w:val="auto"/>
                <w:spacing w:val="-10"/>
                <w:sz w:val="18"/>
                <w:szCs w:val="18"/>
                <w:lang w:val="en-US" w:eastAsia="zh-CN"/>
              </w:rPr>
              <w:t>410</w:t>
            </w:r>
            <w:r>
              <w:rPr>
                <w:rFonts w:hint="eastAsia"/>
                <w:color w:val="auto"/>
                <w:spacing w:val="-10"/>
                <w:sz w:val="18"/>
                <w:szCs w:val="18"/>
              </w:rPr>
              <w:t>+</w:t>
            </w:r>
            <w:r>
              <w:rPr>
                <w:rFonts w:hint="eastAsia"/>
                <w:color w:val="auto"/>
                <w:spacing w:val="-10"/>
                <w:sz w:val="18"/>
                <w:szCs w:val="18"/>
                <w:lang w:val="en-US" w:eastAsia="zh-CN"/>
              </w:rPr>
              <w:t>050</w:t>
            </w:r>
          </w:p>
        </w:tc>
        <w:tc>
          <w:tcPr>
            <w:tcW w:w="131" w:type="pct"/>
            <w:tcBorders>
              <w:tl2br w:val="nil"/>
              <w:tr2bl w:val="nil"/>
            </w:tcBorders>
            <w:noWrap w:val="0"/>
            <w:vAlign w:val="center"/>
          </w:tcPr>
          <w:p w14:paraId="7BF27B8C">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408EC236">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右侧</w:t>
            </w:r>
          </w:p>
        </w:tc>
        <w:tc>
          <w:tcPr>
            <w:tcW w:w="177" w:type="pct"/>
            <w:tcBorders>
              <w:tl2br w:val="nil"/>
              <w:tr2bl w:val="nil"/>
            </w:tcBorders>
            <w:noWrap w:val="0"/>
            <w:vAlign w:val="center"/>
          </w:tcPr>
          <w:p w14:paraId="21EC3381">
            <w:pPr>
              <w:pStyle w:val="68"/>
              <w:spacing w:line="240" w:lineRule="auto"/>
              <w:rPr>
                <w:color w:val="auto"/>
                <w:spacing w:val="-10"/>
                <w:sz w:val="18"/>
                <w:szCs w:val="18"/>
              </w:rPr>
            </w:pPr>
            <w:r>
              <w:rPr>
                <w:rFonts w:hint="eastAsia"/>
                <w:color w:val="auto"/>
                <w:spacing w:val="-10"/>
                <w:sz w:val="18"/>
                <w:szCs w:val="18"/>
              </w:rPr>
              <w:t>0</w:t>
            </w:r>
            <w:r>
              <w:rPr>
                <w:color w:val="auto"/>
                <w:spacing w:val="-10"/>
                <w:sz w:val="18"/>
                <w:szCs w:val="18"/>
              </w:rPr>
              <w:t>.5-1</w:t>
            </w:r>
          </w:p>
        </w:tc>
        <w:tc>
          <w:tcPr>
            <w:tcW w:w="137" w:type="pct"/>
            <w:tcBorders>
              <w:tl2br w:val="nil"/>
              <w:tr2bl w:val="nil"/>
            </w:tcBorders>
            <w:noWrap w:val="0"/>
            <w:vAlign w:val="center"/>
          </w:tcPr>
          <w:p w14:paraId="4E9B5702">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7</w:t>
            </w:r>
          </w:p>
        </w:tc>
        <w:tc>
          <w:tcPr>
            <w:tcW w:w="173" w:type="pct"/>
            <w:tcBorders>
              <w:tl2br w:val="nil"/>
              <w:tr2bl w:val="nil"/>
            </w:tcBorders>
            <w:noWrap w:val="0"/>
            <w:vAlign w:val="center"/>
          </w:tcPr>
          <w:p w14:paraId="598E63DF">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15.5</w:t>
            </w:r>
          </w:p>
        </w:tc>
        <w:tc>
          <w:tcPr>
            <w:tcW w:w="137" w:type="pct"/>
            <w:tcBorders>
              <w:tl2br w:val="nil"/>
              <w:tr2bl w:val="nil"/>
            </w:tcBorders>
            <w:noWrap w:val="0"/>
            <w:vAlign w:val="center"/>
          </w:tcPr>
          <w:p w14:paraId="7A75E654">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3</w:t>
            </w:r>
          </w:p>
        </w:tc>
        <w:tc>
          <w:tcPr>
            <w:tcW w:w="157" w:type="pct"/>
            <w:tcBorders>
              <w:tl2br w:val="nil"/>
              <w:tr2bl w:val="nil"/>
            </w:tcBorders>
            <w:noWrap w:val="0"/>
            <w:vAlign w:val="center"/>
          </w:tcPr>
          <w:p w14:paraId="74E39E10">
            <w:pPr>
              <w:pStyle w:val="68"/>
              <w:spacing w:line="240" w:lineRule="auto"/>
              <w:rPr>
                <w:rFonts w:hint="eastAsia"/>
                <w:color w:val="auto"/>
                <w:spacing w:val="-10"/>
                <w:sz w:val="18"/>
                <w:szCs w:val="18"/>
              </w:rPr>
            </w:pPr>
            <w:r>
              <w:rPr>
                <w:rFonts w:hint="eastAsia"/>
                <w:color w:val="auto"/>
                <w:spacing w:val="-10"/>
                <w:sz w:val="18"/>
                <w:szCs w:val="18"/>
                <w:lang w:val="en-US" w:eastAsia="zh-CN"/>
              </w:rPr>
              <w:t>1</w:t>
            </w:r>
            <w:r>
              <w:rPr>
                <w:rFonts w:hint="eastAsia"/>
                <w:color w:val="auto"/>
                <w:spacing w:val="-10"/>
                <w:sz w:val="18"/>
                <w:szCs w:val="18"/>
              </w:rPr>
              <w:t>4</w:t>
            </w:r>
          </w:p>
        </w:tc>
        <w:tc>
          <w:tcPr>
            <w:tcW w:w="308" w:type="pct"/>
            <w:tcBorders>
              <w:tl2br w:val="nil"/>
              <w:tr2bl w:val="nil"/>
            </w:tcBorders>
            <w:noWrap w:val="0"/>
            <w:vAlign w:val="center"/>
          </w:tcPr>
          <w:p w14:paraId="1D793EC0">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rPr>
            </w:pP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南北朝向，</w:t>
            </w:r>
            <w:r>
              <w:rPr>
                <w:rFonts w:hint="eastAsia" w:ascii="Times New Roman" w:hAnsi="Times New Roman" w:eastAsia="宋体" w:cs="Times New Roman"/>
                <w:color w:val="auto"/>
                <w:spacing w:val="-10"/>
                <w:sz w:val="18"/>
                <w:szCs w:val="18"/>
              </w:rPr>
              <w:t>垂直</w:t>
            </w:r>
            <w:r>
              <w:rPr>
                <w:rFonts w:hint="eastAsia" w:ascii="Times New Roman" w:hAnsi="Times New Roman" w:eastAsia="宋体" w:cs="Times New Roman"/>
                <w:color w:val="auto"/>
                <w:spacing w:val="-10"/>
                <w:sz w:val="18"/>
                <w:szCs w:val="18"/>
                <w:lang w:val="en-US" w:eastAsia="zh-CN"/>
              </w:rPr>
              <w:t>于道路</w:t>
            </w:r>
          </w:p>
        </w:tc>
        <w:tc>
          <w:tcPr>
            <w:tcW w:w="1580" w:type="pct"/>
            <w:tcBorders>
              <w:tl2br w:val="nil"/>
              <w:tr2bl w:val="nil"/>
            </w:tcBorders>
            <w:noWrap w:val="0"/>
            <w:vAlign w:val="center"/>
          </w:tcPr>
          <w:p w14:paraId="364F9058">
            <w:pPr>
              <w:pStyle w:val="68"/>
              <w:spacing w:line="240" w:lineRule="auto"/>
              <w:rPr>
                <w:color w:val="auto"/>
                <w:spacing w:val="-10"/>
                <w:sz w:val="18"/>
                <w:szCs w:val="18"/>
              </w:rPr>
            </w:pPr>
            <w:r>
              <w:rPr>
                <w:color w:val="auto"/>
              </w:rPr>
              <w:drawing>
                <wp:inline distT="0" distB="0" distL="114300" distR="114300">
                  <wp:extent cx="2092325" cy="1462405"/>
                  <wp:effectExtent l="0" t="0" r="3175" b="4445"/>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52"/>
                          <a:stretch>
                            <a:fillRect/>
                          </a:stretch>
                        </pic:blipFill>
                        <pic:spPr>
                          <a:xfrm>
                            <a:off x="0" y="0"/>
                            <a:ext cx="2092325" cy="1462405"/>
                          </a:xfrm>
                          <a:prstGeom prst="rect">
                            <a:avLst/>
                          </a:prstGeom>
                          <a:noFill/>
                          <a:ln>
                            <a:noFill/>
                          </a:ln>
                        </pic:spPr>
                      </pic:pic>
                    </a:graphicData>
                  </a:graphic>
                </wp:inline>
              </w:drawing>
            </w:r>
          </w:p>
        </w:tc>
        <w:tc>
          <w:tcPr>
            <w:tcW w:w="1451" w:type="pct"/>
            <w:tcBorders>
              <w:tl2br w:val="nil"/>
              <w:tr2bl w:val="nil"/>
            </w:tcBorders>
            <w:noWrap w:val="0"/>
            <w:vAlign w:val="center"/>
          </w:tcPr>
          <w:p w14:paraId="133B1A34">
            <w:pPr>
              <w:pStyle w:val="68"/>
              <w:spacing w:line="240" w:lineRule="auto"/>
              <w:rPr>
                <w:color w:val="auto"/>
                <w:spacing w:val="-10"/>
                <w:sz w:val="18"/>
                <w:szCs w:val="18"/>
              </w:rPr>
            </w:pPr>
            <w:r>
              <w:rPr>
                <w:color w:val="auto"/>
              </w:rPr>
              <w:drawing>
                <wp:inline distT="0" distB="0" distL="114300" distR="114300">
                  <wp:extent cx="2462530" cy="1326515"/>
                  <wp:effectExtent l="0" t="0" r="13970" b="6985"/>
                  <wp:docPr id="3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0"/>
                          <pic:cNvPicPr>
                            <a:picLocks noChangeAspect="1"/>
                          </pic:cNvPicPr>
                        </pic:nvPicPr>
                        <pic:blipFill>
                          <a:blip r:embed="rId53"/>
                          <a:stretch>
                            <a:fillRect/>
                          </a:stretch>
                        </pic:blipFill>
                        <pic:spPr>
                          <a:xfrm>
                            <a:off x="0" y="0"/>
                            <a:ext cx="2462530" cy="1326515"/>
                          </a:xfrm>
                          <a:prstGeom prst="rect">
                            <a:avLst/>
                          </a:prstGeom>
                          <a:noFill/>
                          <a:ln>
                            <a:noFill/>
                          </a:ln>
                        </pic:spPr>
                      </pic:pic>
                    </a:graphicData>
                  </a:graphic>
                </wp:inline>
              </w:drawing>
            </w:r>
          </w:p>
        </w:tc>
      </w:tr>
      <w:tr w14:paraId="1B3B2FC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1035F536">
            <w:pPr>
              <w:pStyle w:val="80"/>
              <w:wordWrap/>
              <w:rPr>
                <w:rFonts w:hint="eastAsia" w:ascii="Times New Roman" w:hAnsi="Times New Roman" w:eastAsia="宋体" w:cs="Times New Roman"/>
                <w:b w:val="0"/>
                <w:bCs/>
                <w:snapToGrid w:val="0"/>
                <w:color w:val="auto"/>
                <w:spacing w:val="-10"/>
                <w:kern w:val="2"/>
                <w:sz w:val="18"/>
                <w:szCs w:val="18"/>
                <w:lang w:val="en-US" w:eastAsia="zh-CN" w:bidi="ar-SA"/>
              </w:rPr>
            </w:pPr>
            <w:r>
              <w:rPr>
                <w:color w:val="auto"/>
                <w:spacing w:val="-10"/>
                <w:sz w:val="18"/>
                <w:szCs w:val="18"/>
              </w:rPr>
              <w:t>15</w:t>
            </w:r>
          </w:p>
        </w:tc>
        <w:tc>
          <w:tcPr>
            <w:tcW w:w="229" w:type="pct"/>
            <w:tcBorders>
              <w:tl2br w:val="nil"/>
              <w:tr2bl w:val="nil"/>
            </w:tcBorders>
            <w:noWrap w:val="0"/>
            <w:vAlign w:val="center"/>
          </w:tcPr>
          <w:p w14:paraId="58F2DC0B">
            <w:pPr>
              <w:pStyle w:val="80"/>
              <w:wordWrap/>
              <w:rPr>
                <w:rFonts w:hint="eastAsia"/>
                <w:color w:val="auto"/>
                <w:spacing w:val="-10"/>
                <w:sz w:val="18"/>
                <w:szCs w:val="18"/>
              </w:rPr>
            </w:pPr>
            <w:r>
              <w:rPr>
                <w:rFonts w:hint="eastAsia"/>
                <w:snapToGrid w:val="0"/>
                <w:color w:val="auto"/>
                <w:kern w:val="0"/>
                <w:sz w:val="21"/>
                <w:szCs w:val="21"/>
                <w:lang w:val="en-US" w:eastAsia="zh-CN"/>
              </w:rPr>
              <w:t>兴隆岗二组</w:t>
            </w:r>
          </w:p>
        </w:tc>
        <w:tc>
          <w:tcPr>
            <w:tcW w:w="252" w:type="pct"/>
            <w:tcBorders>
              <w:tl2br w:val="nil"/>
              <w:tr2bl w:val="nil"/>
            </w:tcBorders>
            <w:noWrap w:val="0"/>
            <w:vAlign w:val="center"/>
          </w:tcPr>
          <w:p w14:paraId="7101D5E2">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411</w:t>
            </w:r>
            <w:r>
              <w:rPr>
                <w:rFonts w:hint="eastAsia"/>
                <w:color w:val="auto"/>
                <w:spacing w:val="-10"/>
                <w:sz w:val="18"/>
                <w:szCs w:val="18"/>
              </w:rPr>
              <w:t>+</w:t>
            </w:r>
            <w:r>
              <w:rPr>
                <w:rFonts w:hint="eastAsia"/>
                <w:color w:val="auto"/>
                <w:spacing w:val="-10"/>
                <w:sz w:val="18"/>
                <w:szCs w:val="18"/>
                <w:lang w:val="en-US" w:eastAsia="zh-CN"/>
              </w:rPr>
              <w:t>7</w:t>
            </w:r>
            <w:r>
              <w:rPr>
                <w:color w:val="auto"/>
                <w:spacing w:val="-10"/>
                <w:sz w:val="18"/>
                <w:szCs w:val="18"/>
              </w:rPr>
              <w:t>30</w:t>
            </w:r>
            <w:r>
              <w:rPr>
                <w:rFonts w:hint="eastAsia"/>
                <w:color w:val="auto"/>
                <w:spacing w:val="-10"/>
                <w:sz w:val="18"/>
                <w:szCs w:val="18"/>
              </w:rPr>
              <w:t>~</w:t>
            </w:r>
          </w:p>
          <w:p w14:paraId="428719E3">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411</w:t>
            </w:r>
            <w:r>
              <w:rPr>
                <w:rFonts w:hint="eastAsia"/>
                <w:color w:val="auto"/>
                <w:spacing w:val="-10"/>
                <w:sz w:val="18"/>
                <w:szCs w:val="18"/>
              </w:rPr>
              <w:t>+</w:t>
            </w:r>
            <w:r>
              <w:rPr>
                <w:rFonts w:hint="eastAsia"/>
                <w:color w:val="auto"/>
                <w:spacing w:val="-10"/>
                <w:sz w:val="18"/>
                <w:szCs w:val="18"/>
                <w:lang w:val="en-US" w:eastAsia="zh-CN"/>
              </w:rPr>
              <w:t>92</w:t>
            </w:r>
            <w:r>
              <w:rPr>
                <w:color w:val="auto"/>
                <w:spacing w:val="-10"/>
                <w:sz w:val="18"/>
                <w:szCs w:val="18"/>
              </w:rPr>
              <w:t>0</w:t>
            </w:r>
          </w:p>
        </w:tc>
        <w:tc>
          <w:tcPr>
            <w:tcW w:w="131" w:type="pct"/>
            <w:tcBorders>
              <w:tl2br w:val="nil"/>
              <w:tr2bl w:val="nil"/>
            </w:tcBorders>
            <w:noWrap w:val="0"/>
            <w:vAlign w:val="center"/>
          </w:tcPr>
          <w:p w14:paraId="016EA250">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5EF40CE7">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左侧</w:t>
            </w:r>
          </w:p>
        </w:tc>
        <w:tc>
          <w:tcPr>
            <w:tcW w:w="177" w:type="pct"/>
            <w:tcBorders>
              <w:tl2br w:val="nil"/>
              <w:tr2bl w:val="nil"/>
            </w:tcBorders>
            <w:noWrap w:val="0"/>
            <w:vAlign w:val="center"/>
          </w:tcPr>
          <w:p w14:paraId="2BC7F29F">
            <w:pPr>
              <w:pStyle w:val="68"/>
              <w:spacing w:line="240" w:lineRule="auto"/>
              <w:rPr>
                <w:color w:val="auto"/>
                <w:spacing w:val="-10"/>
                <w:sz w:val="18"/>
                <w:szCs w:val="18"/>
              </w:rPr>
            </w:pPr>
            <w:r>
              <w:rPr>
                <w:rFonts w:hint="eastAsia"/>
                <w:color w:val="auto"/>
                <w:spacing w:val="-10"/>
                <w:sz w:val="18"/>
                <w:szCs w:val="18"/>
              </w:rPr>
              <w:t>0</w:t>
            </w:r>
            <w:r>
              <w:rPr>
                <w:color w:val="auto"/>
                <w:spacing w:val="-10"/>
                <w:sz w:val="18"/>
                <w:szCs w:val="18"/>
              </w:rPr>
              <w:t>.2-1</w:t>
            </w:r>
          </w:p>
        </w:tc>
        <w:tc>
          <w:tcPr>
            <w:tcW w:w="137" w:type="pct"/>
            <w:tcBorders>
              <w:tl2br w:val="nil"/>
              <w:tr2bl w:val="nil"/>
            </w:tcBorders>
            <w:noWrap w:val="0"/>
            <w:vAlign w:val="center"/>
          </w:tcPr>
          <w:p w14:paraId="014F0A20">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22</w:t>
            </w:r>
          </w:p>
        </w:tc>
        <w:tc>
          <w:tcPr>
            <w:tcW w:w="173" w:type="pct"/>
            <w:tcBorders>
              <w:tl2br w:val="nil"/>
              <w:tr2bl w:val="nil"/>
            </w:tcBorders>
            <w:noWrap w:val="0"/>
            <w:vAlign w:val="center"/>
          </w:tcPr>
          <w:p w14:paraId="53901017">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30.5</w:t>
            </w:r>
          </w:p>
        </w:tc>
        <w:tc>
          <w:tcPr>
            <w:tcW w:w="137" w:type="pct"/>
            <w:tcBorders>
              <w:tl2br w:val="nil"/>
              <w:tr2bl w:val="nil"/>
            </w:tcBorders>
            <w:noWrap w:val="0"/>
            <w:vAlign w:val="center"/>
          </w:tcPr>
          <w:p w14:paraId="76B41725">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3</w:t>
            </w:r>
          </w:p>
        </w:tc>
        <w:tc>
          <w:tcPr>
            <w:tcW w:w="157" w:type="pct"/>
            <w:tcBorders>
              <w:tl2br w:val="nil"/>
              <w:tr2bl w:val="nil"/>
            </w:tcBorders>
            <w:noWrap w:val="0"/>
            <w:vAlign w:val="center"/>
          </w:tcPr>
          <w:p w14:paraId="45158E9E">
            <w:pPr>
              <w:pStyle w:val="68"/>
              <w:spacing w:line="240" w:lineRule="auto"/>
              <w:rPr>
                <w:rFonts w:hint="eastAsia" w:eastAsia="宋体"/>
                <w:color w:val="auto"/>
                <w:spacing w:val="-10"/>
                <w:sz w:val="18"/>
                <w:szCs w:val="18"/>
                <w:lang w:eastAsia="zh-CN"/>
              </w:rPr>
            </w:pPr>
            <w:r>
              <w:rPr>
                <w:rFonts w:hint="eastAsia"/>
                <w:color w:val="auto"/>
                <w:spacing w:val="-10"/>
                <w:sz w:val="18"/>
                <w:szCs w:val="18"/>
              </w:rPr>
              <w:t>1</w:t>
            </w:r>
            <w:r>
              <w:rPr>
                <w:rFonts w:hint="eastAsia"/>
                <w:color w:val="auto"/>
                <w:spacing w:val="-10"/>
                <w:sz w:val="18"/>
                <w:szCs w:val="18"/>
                <w:lang w:val="en-US" w:eastAsia="zh-CN"/>
              </w:rPr>
              <w:t>8</w:t>
            </w:r>
          </w:p>
        </w:tc>
        <w:tc>
          <w:tcPr>
            <w:tcW w:w="308" w:type="pct"/>
            <w:tcBorders>
              <w:tl2br w:val="nil"/>
              <w:tr2bl w:val="nil"/>
            </w:tcBorders>
            <w:noWrap w:val="0"/>
            <w:vAlign w:val="center"/>
          </w:tcPr>
          <w:p w14:paraId="2DB62C3F">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rPr>
            </w:pP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南北朝向，</w:t>
            </w:r>
            <w:r>
              <w:rPr>
                <w:rFonts w:hint="eastAsia" w:ascii="Times New Roman" w:hAnsi="Times New Roman" w:eastAsia="宋体" w:cs="Times New Roman"/>
                <w:color w:val="auto"/>
                <w:spacing w:val="-10"/>
                <w:sz w:val="18"/>
                <w:szCs w:val="18"/>
              </w:rPr>
              <w:t>垂直</w:t>
            </w:r>
            <w:r>
              <w:rPr>
                <w:rFonts w:hint="eastAsia" w:ascii="Times New Roman" w:hAnsi="Times New Roman" w:eastAsia="宋体" w:cs="Times New Roman"/>
                <w:color w:val="auto"/>
                <w:spacing w:val="-10"/>
                <w:sz w:val="18"/>
                <w:szCs w:val="18"/>
                <w:lang w:val="en-US" w:eastAsia="zh-CN"/>
              </w:rPr>
              <w:t>于道路，居民区与道路之间有绿化带间隔</w:t>
            </w:r>
          </w:p>
        </w:tc>
        <w:tc>
          <w:tcPr>
            <w:tcW w:w="1580" w:type="pct"/>
            <w:tcBorders>
              <w:tl2br w:val="nil"/>
              <w:tr2bl w:val="nil"/>
            </w:tcBorders>
            <w:noWrap w:val="0"/>
            <w:vAlign w:val="center"/>
          </w:tcPr>
          <w:p w14:paraId="18FF61A9">
            <w:pPr>
              <w:pStyle w:val="68"/>
              <w:spacing w:line="240" w:lineRule="auto"/>
              <w:rPr>
                <w:color w:val="auto"/>
                <w:spacing w:val="-10"/>
                <w:sz w:val="18"/>
                <w:szCs w:val="18"/>
              </w:rPr>
            </w:pPr>
            <w:r>
              <w:rPr>
                <w:color w:val="auto"/>
              </w:rPr>
              <w:drawing>
                <wp:inline distT="0" distB="0" distL="114300" distR="114300">
                  <wp:extent cx="2115185" cy="1706245"/>
                  <wp:effectExtent l="0" t="0" r="18415" b="8255"/>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pic:cNvPicPr>
                        </pic:nvPicPr>
                        <pic:blipFill>
                          <a:blip r:embed="rId54"/>
                          <a:stretch>
                            <a:fillRect/>
                          </a:stretch>
                        </pic:blipFill>
                        <pic:spPr>
                          <a:xfrm>
                            <a:off x="0" y="0"/>
                            <a:ext cx="2115185" cy="1706245"/>
                          </a:xfrm>
                          <a:prstGeom prst="rect">
                            <a:avLst/>
                          </a:prstGeom>
                          <a:noFill/>
                          <a:ln>
                            <a:noFill/>
                          </a:ln>
                        </pic:spPr>
                      </pic:pic>
                    </a:graphicData>
                  </a:graphic>
                </wp:inline>
              </w:drawing>
            </w:r>
          </w:p>
        </w:tc>
        <w:tc>
          <w:tcPr>
            <w:tcW w:w="1451" w:type="pct"/>
            <w:tcBorders>
              <w:tl2br w:val="nil"/>
              <w:tr2bl w:val="nil"/>
            </w:tcBorders>
            <w:noWrap w:val="0"/>
            <w:vAlign w:val="center"/>
          </w:tcPr>
          <w:p w14:paraId="1DE299C5">
            <w:pPr>
              <w:pStyle w:val="68"/>
              <w:spacing w:line="240" w:lineRule="auto"/>
              <w:rPr>
                <w:color w:val="auto"/>
                <w:spacing w:val="-10"/>
                <w:sz w:val="18"/>
                <w:szCs w:val="18"/>
              </w:rPr>
            </w:pPr>
            <w:r>
              <w:rPr>
                <w:color w:val="auto"/>
              </w:rPr>
              <w:drawing>
                <wp:inline distT="0" distB="0" distL="114300" distR="114300">
                  <wp:extent cx="2462530" cy="1723390"/>
                  <wp:effectExtent l="0" t="0" r="13970" b="10160"/>
                  <wp:docPr id="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pic:cNvPicPr>
                            <a:picLocks noChangeAspect="1"/>
                          </pic:cNvPicPr>
                        </pic:nvPicPr>
                        <pic:blipFill>
                          <a:blip r:embed="rId55"/>
                          <a:stretch>
                            <a:fillRect/>
                          </a:stretch>
                        </pic:blipFill>
                        <pic:spPr>
                          <a:xfrm>
                            <a:off x="0" y="0"/>
                            <a:ext cx="2462530" cy="1723390"/>
                          </a:xfrm>
                          <a:prstGeom prst="rect">
                            <a:avLst/>
                          </a:prstGeom>
                          <a:noFill/>
                          <a:ln>
                            <a:noFill/>
                          </a:ln>
                        </pic:spPr>
                      </pic:pic>
                    </a:graphicData>
                  </a:graphic>
                </wp:inline>
              </w:drawing>
            </w:r>
          </w:p>
        </w:tc>
      </w:tr>
      <w:tr w14:paraId="211004D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1" w:type="pct"/>
            <w:tcBorders>
              <w:tl2br w:val="nil"/>
              <w:tr2bl w:val="nil"/>
            </w:tcBorders>
            <w:shd w:val="clear" w:color="auto" w:fill="auto"/>
            <w:noWrap w:val="0"/>
            <w:vAlign w:val="center"/>
          </w:tcPr>
          <w:p w14:paraId="14E869CF">
            <w:pPr>
              <w:pStyle w:val="80"/>
              <w:wordWrap/>
              <w:rPr>
                <w:rFonts w:hint="eastAsia" w:ascii="Times New Roman" w:hAnsi="Times New Roman" w:eastAsia="宋体" w:cs="Times New Roman"/>
                <w:b w:val="0"/>
                <w:bCs/>
                <w:snapToGrid w:val="0"/>
                <w:color w:val="auto"/>
                <w:spacing w:val="-10"/>
                <w:kern w:val="2"/>
                <w:sz w:val="18"/>
                <w:szCs w:val="18"/>
                <w:lang w:val="en-US" w:eastAsia="zh-CN" w:bidi="ar-SA"/>
              </w:rPr>
            </w:pPr>
            <w:r>
              <w:rPr>
                <w:color w:val="auto"/>
                <w:spacing w:val="-10"/>
                <w:sz w:val="18"/>
                <w:szCs w:val="18"/>
              </w:rPr>
              <w:t>16</w:t>
            </w:r>
          </w:p>
        </w:tc>
        <w:tc>
          <w:tcPr>
            <w:tcW w:w="229" w:type="pct"/>
            <w:tcBorders>
              <w:tl2br w:val="nil"/>
              <w:tr2bl w:val="nil"/>
            </w:tcBorders>
            <w:noWrap w:val="0"/>
            <w:vAlign w:val="center"/>
          </w:tcPr>
          <w:p w14:paraId="38676603">
            <w:pPr>
              <w:pStyle w:val="80"/>
              <w:wordWrap/>
              <w:rPr>
                <w:rFonts w:hint="eastAsia"/>
                <w:color w:val="auto"/>
                <w:spacing w:val="-10"/>
                <w:sz w:val="18"/>
                <w:szCs w:val="18"/>
              </w:rPr>
            </w:pPr>
            <w:r>
              <w:rPr>
                <w:rFonts w:hint="eastAsia"/>
                <w:snapToGrid w:val="0"/>
                <w:color w:val="auto"/>
                <w:kern w:val="0"/>
                <w:sz w:val="21"/>
                <w:szCs w:val="21"/>
                <w:lang w:val="en-US" w:eastAsia="zh-CN"/>
              </w:rPr>
              <w:t>兴隆岗村</w:t>
            </w:r>
          </w:p>
        </w:tc>
        <w:tc>
          <w:tcPr>
            <w:tcW w:w="252" w:type="pct"/>
            <w:tcBorders>
              <w:tl2br w:val="nil"/>
              <w:tr2bl w:val="nil"/>
            </w:tcBorders>
            <w:noWrap w:val="0"/>
            <w:vAlign w:val="center"/>
          </w:tcPr>
          <w:p w14:paraId="6C71A38A">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412</w:t>
            </w:r>
            <w:r>
              <w:rPr>
                <w:rFonts w:hint="eastAsia"/>
                <w:color w:val="auto"/>
                <w:spacing w:val="-10"/>
                <w:sz w:val="18"/>
                <w:szCs w:val="18"/>
              </w:rPr>
              <w:t>+</w:t>
            </w:r>
            <w:r>
              <w:rPr>
                <w:rFonts w:hint="eastAsia"/>
                <w:color w:val="auto"/>
                <w:spacing w:val="-10"/>
                <w:sz w:val="18"/>
                <w:szCs w:val="18"/>
                <w:lang w:val="en-US" w:eastAsia="zh-CN"/>
              </w:rPr>
              <w:t>86</w:t>
            </w:r>
            <w:r>
              <w:rPr>
                <w:color w:val="auto"/>
                <w:spacing w:val="-10"/>
                <w:sz w:val="18"/>
                <w:szCs w:val="18"/>
              </w:rPr>
              <w:t>0</w:t>
            </w:r>
            <w:r>
              <w:rPr>
                <w:rFonts w:hint="eastAsia"/>
                <w:color w:val="auto"/>
                <w:spacing w:val="-10"/>
                <w:sz w:val="18"/>
                <w:szCs w:val="18"/>
              </w:rPr>
              <w:t>~</w:t>
            </w:r>
          </w:p>
          <w:p w14:paraId="4A25457E">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413</w:t>
            </w:r>
            <w:r>
              <w:rPr>
                <w:rFonts w:hint="eastAsia"/>
                <w:color w:val="auto"/>
                <w:spacing w:val="-10"/>
                <w:sz w:val="18"/>
                <w:szCs w:val="18"/>
              </w:rPr>
              <w:t>+</w:t>
            </w:r>
            <w:r>
              <w:rPr>
                <w:rFonts w:hint="eastAsia"/>
                <w:color w:val="auto"/>
                <w:spacing w:val="-10"/>
                <w:sz w:val="18"/>
                <w:szCs w:val="18"/>
                <w:lang w:val="en-US" w:eastAsia="zh-CN"/>
              </w:rPr>
              <w:t>2</w:t>
            </w:r>
            <w:r>
              <w:rPr>
                <w:color w:val="auto"/>
                <w:spacing w:val="-10"/>
                <w:sz w:val="18"/>
                <w:szCs w:val="18"/>
              </w:rPr>
              <w:t>50</w:t>
            </w:r>
          </w:p>
        </w:tc>
        <w:tc>
          <w:tcPr>
            <w:tcW w:w="131" w:type="pct"/>
            <w:tcBorders>
              <w:tl2br w:val="nil"/>
              <w:tr2bl w:val="nil"/>
            </w:tcBorders>
            <w:noWrap w:val="0"/>
            <w:vAlign w:val="center"/>
          </w:tcPr>
          <w:p w14:paraId="03C3052D">
            <w:pPr>
              <w:pStyle w:val="68"/>
              <w:spacing w:line="240" w:lineRule="auto"/>
              <w:rPr>
                <w:color w:val="auto"/>
                <w:spacing w:val="-10"/>
                <w:sz w:val="18"/>
                <w:szCs w:val="18"/>
              </w:rPr>
            </w:pPr>
            <w:r>
              <w:rPr>
                <w:rFonts w:hint="eastAsia"/>
                <w:color w:val="auto"/>
                <w:spacing w:val="-10"/>
                <w:sz w:val="18"/>
                <w:szCs w:val="18"/>
              </w:rPr>
              <w:t>路基</w:t>
            </w:r>
          </w:p>
        </w:tc>
        <w:tc>
          <w:tcPr>
            <w:tcW w:w="131" w:type="pct"/>
            <w:tcBorders>
              <w:tl2br w:val="nil"/>
              <w:tr2bl w:val="nil"/>
            </w:tcBorders>
            <w:noWrap w:val="0"/>
            <w:vAlign w:val="center"/>
          </w:tcPr>
          <w:p w14:paraId="72C24EF9">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两侧</w:t>
            </w:r>
          </w:p>
        </w:tc>
        <w:tc>
          <w:tcPr>
            <w:tcW w:w="177" w:type="pct"/>
            <w:tcBorders>
              <w:tl2br w:val="nil"/>
              <w:tr2bl w:val="nil"/>
            </w:tcBorders>
            <w:noWrap w:val="0"/>
            <w:vAlign w:val="center"/>
          </w:tcPr>
          <w:p w14:paraId="7F99A7FF">
            <w:pPr>
              <w:pStyle w:val="68"/>
              <w:spacing w:line="240" w:lineRule="auto"/>
              <w:rPr>
                <w:rFonts w:hint="eastAsia" w:eastAsia="宋体"/>
                <w:color w:val="auto"/>
                <w:spacing w:val="-10"/>
                <w:sz w:val="18"/>
                <w:szCs w:val="18"/>
                <w:lang w:eastAsia="zh-CN"/>
              </w:rPr>
            </w:pPr>
            <w:r>
              <w:rPr>
                <w:rFonts w:hint="eastAsia"/>
                <w:color w:val="auto"/>
                <w:spacing w:val="-10"/>
                <w:sz w:val="18"/>
                <w:szCs w:val="18"/>
              </w:rPr>
              <w:t>0</w:t>
            </w:r>
            <w:r>
              <w:rPr>
                <w:color w:val="auto"/>
                <w:spacing w:val="-10"/>
                <w:sz w:val="18"/>
                <w:szCs w:val="18"/>
              </w:rPr>
              <w:t>.5-</w:t>
            </w:r>
            <w:r>
              <w:rPr>
                <w:rFonts w:hint="eastAsia"/>
                <w:color w:val="auto"/>
                <w:spacing w:val="-10"/>
                <w:sz w:val="18"/>
                <w:szCs w:val="18"/>
                <w:lang w:val="en-US" w:eastAsia="zh-CN"/>
              </w:rPr>
              <w:t>3</w:t>
            </w:r>
          </w:p>
        </w:tc>
        <w:tc>
          <w:tcPr>
            <w:tcW w:w="137" w:type="pct"/>
            <w:tcBorders>
              <w:tl2br w:val="nil"/>
              <w:tr2bl w:val="nil"/>
            </w:tcBorders>
            <w:noWrap w:val="0"/>
            <w:vAlign w:val="center"/>
          </w:tcPr>
          <w:p w14:paraId="6A8634A2">
            <w:pPr>
              <w:pStyle w:val="68"/>
              <w:spacing w:line="240" w:lineRule="auto"/>
              <w:rPr>
                <w:rFonts w:hint="eastAsia" w:eastAsia="宋体"/>
                <w:color w:val="auto"/>
                <w:spacing w:val="-10"/>
                <w:sz w:val="18"/>
                <w:szCs w:val="18"/>
                <w:lang w:eastAsia="zh-CN"/>
              </w:rPr>
            </w:pPr>
            <w:r>
              <w:rPr>
                <w:rFonts w:hint="eastAsia"/>
                <w:color w:val="auto"/>
                <w:spacing w:val="-10"/>
                <w:sz w:val="18"/>
                <w:szCs w:val="18"/>
                <w:lang w:val="en-US" w:eastAsia="zh-CN"/>
              </w:rPr>
              <w:t>6</w:t>
            </w:r>
          </w:p>
        </w:tc>
        <w:tc>
          <w:tcPr>
            <w:tcW w:w="173" w:type="pct"/>
            <w:tcBorders>
              <w:tl2br w:val="nil"/>
              <w:tr2bl w:val="nil"/>
            </w:tcBorders>
            <w:noWrap w:val="0"/>
            <w:vAlign w:val="center"/>
          </w:tcPr>
          <w:p w14:paraId="48C3C2EA">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1</w:t>
            </w:r>
            <w:r>
              <w:rPr>
                <w:rFonts w:hint="eastAsia" w:cs="Times New Roman"/>
                <w:color w:val="auto"/>
                <w:spacing w:val="-10"/>
                <w:sz w:val="18"/>
                <w:szCs w:val="18"/>
                <w:lang w:val="en-US" w:eastAsia="zh-CN"/>
              </w:rPr>
              <w:t>4.5</w:t>
            </w:r>
          </w:p>
        </w:tc>
        <w:tc>
          <w:tcPr>
            <w:tcW w:w="137" w:type="pct"/>
            <w:tcBorders>
              <w:tl2br w:val="nil"/>
              <w:tr2bl w:val="nil"/>
            </w:tcBorders>
            <w:noWrap w:val="0"/>
            <w:vAlign w:val="center"/>
          </w:tcPr>
          <w:p w14:paraId="559F3C2E">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15</w:t>
            </w:r>
          </w:p>
        </w:tc>
        <w:tc>
          <w:tcPr>
            <w:tcW w:w="157" w:type="pct"/>
            <w:tcBorders>
              <w:tl2br w:val="nil"/>
              <w:tr2bl w:val="nil"/>
            </w:tcBorders>
            <w:noWrap w:val="0"/>
            <w:vAlign w:val="center"/>
          </w:tcPr>
          <w:p w14:paraId="61481411">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46</w:t>
            </w:r>
          </w:p>
        </w:tc>
        <w:tc>
          <w:tcPr>
            <w:tcW w:w="308" w:type="pct"/>
            <w:tcBorders>
              <w:tl2br w:val="nil"/>
              <w:tr2bl w:val="nil"/>
            </w:tcBorders>
            <w:noWrap w:val="0"/>
            <w:vAlign w:val="center"/>
          </w:tcPr>
          <w:p w14:paraId="61AAC73C">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rPr>
            </w:pPr>
            <w:r>
              <w:rPr>
                <w:rFonts w:hint="eastAsia"/>
                <w:color w:val="auto"/>
                <w:spacing w:val="-10"/>
                <w:sz w:val="18"/>
                <w:szCs w:val="18"/>
                <w:lang w:val="en-US" w:eastAsia="zh-CN"/>
              </w:rPr>
              <w:t>两侧居民区与道路边界线的距离相同；</w:t>
            </w: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主要为南北朝向，</w:t>
            </w:r>
            <w:r>
              <w:rPr>
                <w:rFonts w:hint="eastAsia" w:ascii="Times New Roman" w:hAnsi="Times New Roman" w:eastAsia="宋体" w:cs="Times New Roman"/>
                <w:color w:val="auto"/>
                <w:spacing w:val="-10"/>
                <w:sz w:val="18"/>
                <w:szCs w:val="18"/>
              </w:rPr>
              <w:t>垂直</w:t>
            </w:r>
            <w:r>
              <w:rPr>
                <w:rFonts w:hint="eastAsia" w:ascii="Times New Roman" w:hAnsi="Times New Roman" w:eastAsia="宋体" w:cs="Times New Roman"/>
                <w:color w:val="auto"/>
                <w:spacing w:val="-10"/>
                <w:sz w:val="18"/>
                <w:szCs w:val="18"/>
                <w:lang w:val="en-US" w:eastAsia="zh-CN"/>
              </w:rPr>
              <w:t>于道路，临路第一排部分建筑为商铺，平行于道路</w:t>
            </w:r>
          </w:p>
        </w:tc>
        <w:tc>
          <w:tcPr>
            <w:tcW w:w="1580" w:type="pct"/>
            <w:tcBorders>
              <w:tl2br w:val="nil"/>
              <w:tr2bl w:val="nil"/>
            </w:tcBorders>
            <w:noWrap w:val="0"/>
            <w:vAlign w:val="center"/>
          </w:tcPr>
          <w:p w14:paraId="207A39D4">
            <w:pPr>
              <w:pStyle w:val="68"/>
              <w:spacing w:line="240" w:lineRule="auto"/>
              <w:rPr>
                <w:color w:val="auto"/>
                <w:spacing w:val="-10"/>
                <w:sz w:val="18"/>
                <w:szCs w:val="18"/>
              </w:rPr>
            </w:pPr>
            <w:r>
              <w:rPr>
                <w:color w:val="auto"/>
              </w:rPr>
              <w:drawing>
                <wp:inline distT="0" distB="0" distL="114300" distR="114300">
                  <wp:extent cx="2383790" cy="1609090"/>
                  <wp:effectExtent l="0" t="0" r="16510" b="10160"/>
                  <wp:docPr id="4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3"/>
                          <pic:cNvPicPr>
                            <a:picLocks noChangeAspect="1"/>
                          </pic:cNvPicPr>
                        </pic:nvPicPr>
                        <pic:blipFill>
                          <a:blip r:embed="rId56"/>
                          <a:stretch>
                            <a:fillRect/>
                          </a:stretch>
                        </pic:blipFill>
                        <pic:spPr>
                          <a:xfrm>
                            <a:off x="0" y="0"/>
                            <a:ext cx="2383790" cy="1609090"/>
                          </a:xfrm>
                          <a:prstGeom prst="rect">
                            <a:avLst/>
                          </a:prstGeom>
                          <a:noFill/>
                          <a:ln>
                            <a:noFill/>
                          </a:ln>
                        </pic:spPr>
                      </pic:pic>
                    </a:graphicData>
                  </a:graphic>
                </wp:inline>
              </w:drawing>
            </w:r>
          </w:p>
        </w:tc>
        <w:tc>
          <w:tcPr>
            <w:tcW w:w="1451" w:type="pct"/>
            <w:tcBorders>
              <w:tl2br w:val="nil"/>
              <w:tr2bl w:val="nil"/>
            </w:tcBorders>
            <w:noWrap w:val="0"/>
            <w:vAlign w:val="center"/>
          </w:tcPr>
          <w:p w14:paraId="3356332C">
            <w:pPr>
              <w:pStyle w:val="68"/>
              <w:spacing w:line="240" w:lineRule="auto"/>
              <w:rPr>
                <w:color w:val="auto"/>
                <w:spacing w:val="-10"/>
                <w:sz w:val="18"/>
                <w:szCs w:val="18"/>
              </w:rPr>
            </w:pPr>
            <w:r>
              <w:rPr>
                <w:color w:val="auto"/>
              </w:rPr>
              <w:drawing>
                <wp:inline distT="0" distB="0" distL="114300" distR="114300">
                  <wp:extent cx="2192655" cy="1531620"/>
                  <wp:effectExtent l="0" t="0" r="17145" b="11430"/>
                  <wp:docPr id="4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4"/>
                          <pic:cNvPicPr>
                            <a:picLocks noChangeAspect="1"/>
                          </pic:cNvPicPr>
                        </pic:nvPicPr>
                        <pic:blipFill>
                          <a:blip r:embed="rId57"/>
                          <a:stretch>
                            <a:fillRect/>
                          </a:stretch>
                        </pic:blipFill>
                        <pic:spPr>
                          <a:xfrm>
                            <a:off x="0" y="0"/>
                            <a:ext cx="2192655" cy="1531620"/>
                          </a:xfrm>
                          <a:prstGeom prst="rect">
                            <a:avLst/>
                          </a:prstGeom>
                          <a:noFill/>
                          <a:ln>
                            <a:noFill/>
                          </a:ln>
                        </pic:spPr>
                      </pic:pic>
                    </a:graphicData>
                  </a:graphic>
                </wp:inline>
              </w:drawing>
            </w:r>
          </w:p>
        </w:tc>
      </w:tr>
      <w:tr w14:paraId="67AE469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8" w:hRule="atLeast"/>
        </w:trPr>
        <w:tc>
          <w:tcPr>
            <w:tcW w:w="131" w:type="pct"/>
            <w:tcBorders>
              <w:tl2br w:val="nil"/>
              <w:tr2bl w:val="nil"/>
            </w:tcBorders>
            <w:shd w:val="clear" w:color="auto" w:fill="auto"/>
            <w:noWrap w:val="0"/>
            <w:vAlign w:val="center"/>
          </w:tcPr>
          <w:p w14:paraId="1903BF2C">
            <w:pPr>
              <w:pStyle w:val="80"/>
              <w:wordWrap/>
              <w:rPr>
                <w:rFonts w:hint="default" w:ascii="Times New Roman" w:hAnsi="Times New Roman" w:eastAsia="宋体" w:cs="Times New Roman"/>
                <w:b w:val="0"/>
                <w:bCs/>
                <w:snapToGrid w:val="0"/>
                <w:color w:val="auto"/>
                <w:spacing w:val="-10"/>
                <w:kern w:val="2"/>
                <w:sz w:val="18"/>
                <w:szCs w:val="18"/>
                <w:lang w:val="en-US" w:eastAsia="zh-CN" w:bidi="ar-SA"/>
              </w:rPr>
            </w:pPr>
            <w:r>
              <w:rPr>
                <w:rFonts w:hint="eastAsia"/>
                <w:color w:val="auto"/>
                <w:spacing w:val="-10"/>
                <w:sz w:val="18"/>
                <w:szCs w:val="18"/>
              </w:rPr>
              <w:t>1</w:t>
            </w:r>
            <w:r>
              <w:rPr>
                <w:color w:val="auto"/>
                <w:spacing w:val="-10"/>
                <w:sz w:val="18"/>
                <w:szCs w:val="18"/>
              </w:rPr>
              <w:t>7</w:t>
            </w:r>
          </w:p>
        </w:tc>
        <w:tc>
          <w:tcPr>
            <w:tcW w:w="229" w:type="pct"/>
            <w:tcBorders>
              <w:tl2br w:val="nil"/>
              <w:tr2bl w:val="nil"/>
            </w:tcBorders>
            <w:noWrap w:val="0"/>
            <w:vAlign w:val="center"/>
          </w:tcPr>
          <w:p w14:paraId="5088CFF9">
            <w:pPr>
              <w:pStyle w:val="80"/>
              <w:wordWrap/>
              <w:rPr>
                <w:rFonts w:hint="eastAsia"/>
                <w:snapToGrid w:val="0"/>
                <w:color w:val="auto"/>
                <w:kern w:val="0"/>
                <w:sz w:val="21"/>
                <w:szCs w:val="21"/>
                <w:lang w:val="en-US" w:eastAsia="zh-CN"/>
              </w:rPr>
            </w:pPr>
            <w:r>
              <w:rPr>
                <w:rFonts w:hint="eastAsia"/>
                <w:snapToGrid w:val="0"/>
                <w:color w:val="auto"/>
                <w:kern w:val="0"/>
                <w:sz w:val="21"/>
                <w:szCs w:val="21"/>
                <w:lang w:val="en-US" w:eastAsia="zh-CN"/>
              </w:rPr>
              <w:t>兴凯湖四组</w:t>
            </w:r>
          </w:p>
        </w:tc>
        <w:tc>
          <w:tcPr>
            <w:tcW w:w="252" w:type="pct"/>
            <w:tcBorders>
              <w:tl2br w:val="nil"/>
              <w:tr2bl w:val="nil"/>
            </w:tcBorders>
            <w:noWrap w:val="0"/>
            <w:vAlign w:val="center"/>
          </w:tcPr>
          <w:p w14:paraId="1FFA254C">
            <w:pPr>
              <w:pStyle w:val="68"/>
              <w:spacing w:line="240" w:lineRule="auto"/>
              <w:rPr>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413</w:t>
            </w:r>
            <w:r>
              <w:rPr>
                <w:rFonts w:hint="eastAsia"/>
                <w:color w:val="auto"/>
                <w:spacing w:val="-10"/>
                <w:sz w:val="18"/>
                <w:szCs w:val="18"/>
              </w:rPr>
              <w:t>+</w:t>
            </w:r>
            <w:r>
              <w:rPr>
                <w:rFonts w:hint="eastAsia"/>
                <w:color w:val="auto"/>
                <w:spacing w:val="-10"/>
                <w:sz w:val="18"/>
                <w:szCs w:val="18"/>
                <w:lang w:val="en-US" w:eastAsia="zh-CN"/>
              </w:rPr>
              <w:t>74</w:t>
            </w:r>
            <w:r>
              <w:rPr>
                <w:color w:val="auto"/>
                <w:spacing w:val="-10"/>
                <w:sz w:val="18"/>
                <w:szCs w:val="18"/>
              </w:rPr>
              <w:t>0</w:t>
            </w:r>
            <w:r>
              <w:rPr>
                <w:rFonts w:hint="eastAsia"/>
                <w:color w:val="auto"/>
                <w:spacing w:val="-10"/>
                <w:sz w:val="18"/>
                <w:szCs w:val="18"/>
              </w:rPr>
              <w:t>~</w:t>
            </w:r>
          </w:p>
          <w:p w14:paraId="11077911">
            <w:pPr>
              <w:pStyle w:val="68"/>
              <w:spacing w:line="240" w:lineRule="auto"/>
              <w:rPr>
                <w:rFonts w:hint="eastAsia"/>
                <w:color w:val="auto"/>
                <w:spacing w:val="-10"/>
                <w:sz w:val="18"/>
                <w:szCs w:val="18"/>
              </w:rPr>
            </w:pPr>
            <w:r>
              <w:rPr>
                <w:rFonts w:hint="eastAsia"/>
                <w:color w:val="auto"/>
                <w:spacing w:val="-10"/>
                <w:sz w:val="18"/>
                <w:szCs w:val="18"/>
              </w:rPr>
              <w:t>K</w:t>
            </w:r>
            <w:r>
              <w:rPr>
                <w:rFonts w:hint="eastAsia"/>
                <w:color w:val="auto"/>
                <w:spacing w:val="-10"/>
                <w:sz w:val="18"/>
                <w:szCs w:val="18"/>
                <w:lang w:val="en-US" w:eastAsia="zh-CN"/>
              </w:rPr>
              <w:t>413</w:t>
            </w:r>
            <w:r>
              <w:rPr>
                <w:rFonts w:hint="eastAsia"/>
                <w:color w:val="auto"/>
                <w:spacing w:val="-10"/>
                <w:sz w:val="18"/>
                <w:szCs w:val="18"/>
              </w:rPr>
              <w:t>+</w:t>
            </w:r>
            <w:r>
              <w:rPr>
                <w:rFonts w:hint="eastAsia"/>
                <w:color w:val="auto"/>
                <w:spacing w:val="-10"/>
                <w:sz w:val="18"/>
                <w:szCs w:val="18"/>
                <w:lang w:val="en-US" w:eastAsia="zh-CN"/>
              </w:rPr>
              <w:t>92</w:t>
            </w:r>
            <w:r>
              <w:rPr>
                <w:color w:val="auto"/>
                <w:spacing w:val="-10"/>
                <w:sz w:val="18"/>
                <w:szCs w:val="18"/>
              </w:rPr>
              <w:t>0</w:t>
            </w:r>
          </w:p>
        </w:tc>
        <w:tc>
          <w:tcPr>
            <w:tcW w:w="131" w:type="pct"/>
            <w:tcBorders>
              <w:tl2br w:val="nil"/>
              <w:tr2bl w:val="nil"/>
            </w:tcBorders>
            <w:noWrap w:val="0"/>
            <w:vAlign w:val="center"/>
          </w:tcPr>
          <w:p w14:paraId="4CF58FBB">
            <w:pPr>
              <w:pStyle w:val="68"/>
              <w:spacing w:line="240" w:lineRule="auto"/>
              <w:rPr>
                <w:rFonts w:hint="eastAsia" w:eastAsia="宋体"/>
                <w:color w:val="auto"/>
                <w:spacing w:val="-10"/>
                <w:sz w:val="18"/>
                <w:szCs w:val="18"/>
                <w:lang w:val="en-US" w:eastAsia="zh-CN"/>
              </w:rPr>
            </w:pPr>
            <w:r>
              <w:rPr>
                <w:rFonts w:hint="eastAsia"/>
                <w:color w:val="auto"/>
                <w:spacing w:val="-10"/>
                <w:sz w:val="18"/>
                <w:szCs w:val="18"/>
                <w:lang w:val="en-US" w:eastAsia="zh-CN"/>
              </w:rPr>
              <w:t>路基</w:t>
            </w:r>
          </w:p>
        </w:tc>
        <w:tc>
          <w:tcPr>
            <w:tcW w:w="131" w:type="pct"/>
            <w:tcBorders>
              <w:tl2br w:val="nil"/>
              <w:tr2bl w:val="nil"/>
            </w:tcBorders>
            <w:noWrap w:val="0"/>
            <w:vAlign w:val="center"/>
          </w:tcPr>
          <w:p w14:paraId="75F92F24">
            <w:pPr>
              <w:pStyle w:val="68"/>
              <w:spacing w:line="240" w:lineRule="auto"/>
              <w:rPr>
                <w:rFonts w:hint="eastAsia" w:eastAsia="宋体"/>
                <w:color w:val="auto"/>
                <w:spacing w:val="-10"/>
                <w:sz w:val="18"/>
                <w:szCs w:val="18"/>
                <w:lang w:val="en-US" w:eastAsia="zh-CN"/>
              </w:rPr>
            </w:pPr>
            <w:r>
              <w:rPr>
                <w:rFonts w:hint="eastAsia"/>
                <w:color w:val="auto"/>
                <w:spacing w:val="-10"/>
                <w:sz w:val="18"/>
                <w:szCs w:val="18"/>
                <w:lang w:val="en-US" w:eastAsia="zh-CN"/>
              </w:rPr>
              <w:t>右侧</w:t>
            </w:r>
          </w:p>
        </w:tc>
        <w:tc>
          <w:tcPr>
            <w:tcW w:w="177" w:type="pct"/>
            <w:tcBorders>
              <w:tl2br w:val="nil"/>
              <w:tr2bl w:val="nil"/>
            </w:tcBorders>
            <w:noWrap w:val="0"/>
            <w:vAlign w:val="center"/>
          </w:tcPr>
          <w:p w14:paraId="331027E3">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0.5-1.5</w:t>
            </w:r>
          </w:p>
        </w:tc>
        <w:tc>
          <w:tcPr>
            <w:tcW w:w="137" w:type="pct"/>
            <w:tcBorders>
              <w:tl2br w:val="nil"/>
              <w:tr2bl w:val="nil"/>
            </w:tcBorders>
            <w:noWrap w:val="0"/>
            <w:vAlign w:val="center"/>
          </w:tcPr>
          <w:p w14:paraId="156BF13E">
            <w:pPr>
              <w:pStyle w:val="68"/>
              <w:spacing w:line="240" w:lineRule="auto"/>
              <w:rPr>
                <w:rFonts w:hint="default" w:eastAsia="宋体"/>
                <w:color w:val="auto"/>
                <w:spacing w:val="-10"/>
                <w:sz w:val="18"/>
                <w:szCs w:val="18"/>
                <w:lang w:val="en-US" w:eastAsia="zh-CN"/>
              </w:rPr>
            </w:pPr>
            <w:r>
              <w:rPr>
                <w:rFonts w:hint="eastAsia"/>
                <w:color w:val="auto"/>
                <w:spacing w:val="-10"/>
                <w:sz w:val="18"/>
                <w:szCs w:val="18"/>
                <w:lang w:val="en-US" w:eastAsia="zh-CN"/>
              </w:rPr>
              <w:t>13</w:t>
            </w:r>
          </w:p>
        </w:tc>
        <w:tc>
          <w:tcPr>
            <w:tcW w:w="173" w:type="pct"/>
            <w:tcBorders>
              <w:tl2br w:val="nil"/>
              <w:tr2bl w:val="nil"/>
            </w:tcBorders>
            <w:noWrap w:val="0"/>
            <w:vAlign w:val="center"/>
          </w:tcPr>
          <w:p w14:paraId="3E37BF52">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cs="Times New Roman"/>
                <w:color w:val="auto"/>
                <w:spacing w:val="-10"/>
                <w:sz w:val="18"/>
                <w:szCs w:val="18"/>
                <w:lang w:val="en-US" w:eastAsia="zh-CN"/>
              </w:rPr>
              <w:t>21.5</w:t>
            </w:r>
          </w:p>
        </w:tc>
        <w:tc>
          <w:tcPr>
            <w:tcW w:w="137" w:type="pct"/>
            <w:tcBorders>
              <w:tl2br w:val="nil"/>
              <w:tr2bl w:val="nil"/>
            </w:tcBorders>
            <w:noWrap w:val="0"/>
            <w:vAlign w:val="center"/>
          </w:tcPr>
          <w:p w14:paraId="3C1F8DBF">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2</w:t>
            </w:r>
          </w:p>
        </w:tc>
        <w:tc>
          <w:tcPr>
            <w:tcW w:w="157" w:type="pct"/>
            <w:tcBorders>
              <w:tl2br w:val="nil"/>
              <w:tr2bl w:val="nil"/>
            </w:tcBorders>
            <w:noWrap w:val="0"/>
            <w:vAlign w:val="center"/>
          </w:tcPr>
          <w:p w14:paraId="1CE72700">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auto"/>
                <w:spacing w:val="-10"/>
                <w:sz w:val="18"/>
                <w:szCs w:val="18"/>
                <w:lang w:val="en-US" w:eastAsia="zh-CN"/>
              </w:rPr>
            </w:pPr>
            <w:r>
              <w:rPr>
                <w:rFonts w:hint="eastAsia" w:ascii="Times New Roman" w:hAnsi="Times New Roman" w:eastAsia="宋体" w:cs="Times New Roman"/>
                <w:color w:val="auto"/>
                <w:spacing w:val="-10"/>
                <w:sz w:val="18"/>
                <w:szCs w:val="18"/>
                <w:lang w:val="en-US" w:eastAsia="zh-CN"/>
              </w:rPr>
              <w:t>12</w:t>
            </w:r>
          </w:p>
        </w:tc>
        <w:tc>
          <w:tcPr>
            <w:tcW w:w="308" w:type="pct"/>
            <w:tcBorders>
              <w:tl2br w:val="nil"/>
              <w:tr2bl w:val="nil"/>
            </w:tcBorders>
            <w:noWrap w:val="0"/>
            <w:vAlign w:val="center"/>
          </w:tcPr>
          <w:p w14:paraId="4E7CE025">
            <w:pPr>
              <w:pStyle w:val="68"/>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color w:val="auto"/>
                <w:spacing w:val="-10"/>
                <w:sz w:val="18"/>
                <w:szCs w:val="18"/>
              </w:rPr>
            </w:pPr>
            <w:r>
              <w:rPr>
                <w:rFonts w:hint="eastAsia" w:ascii="Times New Roman" w:hAnsi="Times New Roman" w:eastAsia="宋体" w:cs="Times New Roman"/>
                <w:color w:val="auto"/>
                <w:spacing w:val="-10"/>
                <w:sz w:val="18"/>
                <w:szCs w:val="18"/>
              </w:rPr>
              <w:t>一层砖混，</w:t>
            </w:r>
            <w:r>
              <w:rPr>
                <w:rFonts w:hint="eastAsia" w:ascii="Times New Roman" w:hAnsi="Times New Roman" w:eastAsia="宋体" w:cs="Times New Roman"/>
                <w:color w:val="auto"/>
                <w:spacing w:val="-10"/>
                <w:sz w:val="18"/>
                <w:szCs w:val="18"/>
                <w:lang w:val="en-US" w:eastAsia="zh-CN"/>
              </w:rPr>
              <w:t>南北朝向，斜对道路</w:t>
            </w:r>
          </w:p>
        </w:tc>
        <w:tc>
          <w:tcPr>
            <w:tcW w:w="1580" w:type="pct"/>
            <w:tcBorders>
              <w:tl2br w:val="nil"/>
              <w:tr2bl w:val="nil"/>
            </w:tcBorders>
            <w:noWrap w:val="0"/>
            <w:vAlign w:val="center"/>
          </w:tcPr>
          <w:p w14:paraId="2B33D665">
            <w:pPr>
              <w:pStyle w:val="68"/>
              <w:spacing w:line="240" w:lineRule="auto"/>
              <w:rPr>
                <w:color w:val="auto"/>
                <w:spacing w:val="-10"/>
                <w:sz w:val="18"/>
                <w:szCs w:val="18"/>
              </w:rPr>
            </w:pPr>
            <w:r>
              <w:rPr>
                <w:color w:val="auto"/>
              </w:rPr>
              <w:drawing>
                <wp:inline distT="0" distB="0" distL="114300" distR="114300">
                  <wp:extent cx="2259965" cy="1512570"/>
                  <wp:effectExtent l="0" t="0" r="6985" b="11430"/>
                  <wp:docPr id="4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5"/>
                          <pic:cNvPicPr>
                            <a:picLocks noChangeAspect="1"/>
                          </pic:cNvPicPr>
                        </pic:nvPicPr>
                        <pic:blipFill>
                          <a:blip r:embed="rId58"/>
                          <a:stretch>
                            <a:fillRect/>
                          </a:stretch>
                        </pic:blipFill>
                        <pic:spPr>
                          <a:xfrm>
                            <a:off x="0" y="0"/>
                            <a:ext cx="2259965" cy="1512570"/>
                          </a:xfrm>
                          <a:prstGeom prst="rect">
                            <a:avLst/>
                          </a:prstGeom>
                          <a:noFill/>
                          <a:ln>
                            <a:noFill/>
                          </a:ln>
                        </pic:spPr>
                      </pic:pic>
                    </a:graphicData>
                  </a:graphic>
                </wp:inline>
              </w:drawing>
            </w:r>
          </w:p>
        </w:tc>
        <w:tc>
          <w:tcPr>
            <w:tcW w:w="1451" w:type="pct"/>
            <w:tcBorders>
              <w:tl2br w:val="nil"/>
              <w:tr2bl w:val="nil"/>
            </w:tcBorders>
            <w:noWrap w:val="0"/>
            <w:vAlign w:val="center"/>
          </w:tcPr>
          <w:p w14:paraId="6188C5EB">
            <w:pPr>
              <w:pStyle w:val="68"/>
              <w:spacing w:line="240" w:lineRule="auto"/>
              <w:rPr>
                <w:color w:val="auto"/>
                <w:spacing w:val="-10"/>
                <w:sz w:val="18"/>
                <w:szCs w:val="18"/>
              </w:rPr>
            </w:pPr>
            <w:r>
              <w:rPr>
                <w:color w:val="auto"/>
              </w:rPr>
              <w:drawing>
                <wp:inline distT="0" distB="0" distL="114300" distR="114300">
                  <wp:extent cx="2166620" cy="1307465"/>
                  <wp:effectExtent l="0" t="0" r="5080" b="6985"/>
                  <wp:docPr id="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6"/>
                          <pic:cNvPicPr>
                            <a:picLocks noChangeAspect="1"/>
                          </pic:cNvPicPr>
                        </pic:nvPicPr>
                        <pic:blipFill>
                          <a:blip r:embed="rId59"/>
                          <a:stretch>
                            <a:fillRect/>
                          </a:stretch>
                        </pic:blipFill>
                        <pic:spPr>
                          <a:xfrm>
                            <a:off x="0" y="0"/>
                            <a:ext cx="2166620" cy="1307465"/>
                          </a:xfrm>
                          <a:prstGeom prst="rect">
                            <a:avLst/>
                          </a:prstGeom>
                          <a:noFill/>
                          <a:ln>
                            <a:noFill/>
                          </a:ln>
                        </pic:spPr>
                      </pic:pic>
                    </a:graphicData>
                  </a:graphic>
                </wp:inline>
              </w:drawing>
            </w:r>
          </w:p>
        </w:tc>
      </w:tr>
    </w:tbl>
    <w:p w14:paraId="4C45DE47">
      <w:pPr>
        <w:rPr>
          <w:color w:val="auto"/>
        </w:rPr>
      </w:pPr>
    </w:p>
    <w:p w14:paraId="12613D79">
      <w:pPr>
        <w:rPr>
          <w:color w:val="auto"/>
          <w:sz w:val="21"/>
          <w:szCs w:val="21"/>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7954"/>
      </w:tblGrid>
      <w:tr w14:paraId="6E146B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796" w:hRule="atLeast"/>
          <w:jc w:val="center"/>
        </w:trPr>
        <w:tc>
          <w:tcPr>
            <w:tcW w:w="456" w:type="dxa"/>
            <w:noWrap w:val="0"/>
            <w:vAlign w:val="center"/>
          </w:tcPr>
          <w:p w14:paraId="6267689B">
            <w:pPr>
              <w:adjustRightInd w:val="0"/>
              <w:snapToGrid w:val="0"/>
              <w:jc w:val="center"/>
              <w:rPr>
                <w:rFonts w:hint="eastAsia" w:ascii="宋体" w:hAnsi="宋体" w:cs="宋体"/>
                <w:color w:val="auto"/>
                <w:kern w:val="0"/>
              </w:rPr>
            </w:pPr>
            <w:r>
              <w:rPr>
                <w:rFonts w:hint="eastAsia" w:ascii="宋体" w:hAnsi="宋体" w:cs="宋体"/>
                <w:color w:val="auto"/>
                <w:kern w:val="0"/>
              </w:rPr>
              <w:t>评价</w:t>
            </w:r>
          </w:p>
          <w:p w14:paraId="2277C2F2">
            <w:pPr>
              <w:adjustRightInd w:val="0"/>
              <w:snapToGrid w:val="0"/>
              <w:jc w:val="center"/>
              <w:rPr>
                <w:rFonts w:ascii="宋体" w:hAnsi="宋体" w:cs="宋体"/>
                <w:color w:val="auto"/>
                <w:kern w:val="0"/>
              </w:rPr>
            </w:pPr>
            <w:r>
              <w:rPr>
                <w:rFonts w:hint="eastAsia" w:ascii="宋体" w:hAnsi="宋体" w:cs="宋体"/>
                <w:color w:val="auto"/>
                <w:kern w:val="0"/>
              </w:rPr>
              <w:t>标准</w:t>
            </w:r>
          </w:p>
        </w:tc>
        <w:tc>
          <w:tcPr>
            <w:tcW w:w="7954" w:type="dxa"/>
            <w:noWrap w:val="0"/>
            <w:vAlign w:val="top"/>
          </w:tcPr>
          <w:p w14:paraId="4803CE2E">
            <w:pPr>
              <w:pStyle w:val="76"/>
              <w:rPr>
                <w:rFonts w:hint="eastAsia" w:cs="宋体"/>
                <w:color w:val="auto"/>
                <w:szCs w:val="21"/>
              </w:rPr>
            </w:pPr>
            <w:r>
              <w:rPr>
                <w:rFonts w:hint="eastAsia" w:cs="宋体"/>
                <w:color w:val="auto"/>
                <w:szCs w:val="21"/>
              </w:rPr>
              <w:t>1、</w:t>
            </w:r>
            <w:r>
              <w:rPr>
                <w:rFonts w:hint="eastAsia"/>
                <w:color w:val="auto"/>
              </w:rPr>
              <w:t>环境质量标准</w:t>
            </w:r>
          </w:p>
          <w:p w14:paraId="1B4401CB">
            <w:pPr>
              <w:pStyle w:val="76"/>
              <w:rPr>
                <w:rFonts w:hint="eastAsia"/>
                <w:bCs/>
                <w:color w:val="auto"/>
              </w:rPr>
            </w:pPr>
            <w:r>
              <w:rPr>
                <w:rFonts w:hint="eastAsia"/>
                <w:bCs/>
                <w:color w:val="auto"/>
              </w:rPr>
              <w:t>（1）环境空气</w:t>
            </w:r>
          </w:p>
          <w:p w14:paraId="447FDDD6">
            <w:pPr>
              <w:pStyle w:val="76"/>
              <w:rPr>
                <w:color w:val="auto"/>
              </w:rPr>
            </w:pPr>
            <w:r>
              <w:rPr>
                <w:rFonts w:hint="eastAsia"/>
                <w:bCs/>
                <w:color w:val="auto"/>
              </w:rPr>
              <w:t>环境空气质量</w:t>
            </w:r>
            <w:r>
              <w:rPr>
                <w:color w:val="auto"/>
              </w:rPr>
              <w:t>执行《环境空气质量标准》（GB3095-2012）中的</w:t>
            </w:r>
            <w:r>
              <w:rPr>
                <w:rFonts w:hint="eastAsia"/>
                <w:color w:val="auto"/>
              </w:rPr>
              <w:t>二</w:t>
            </w:r>
            <w:r>
              <w:rPr>
                <w:color w:val="auto"/>
              </w:rPr>
              <w:t>级标准。</w:t>
            </w:r>
          </w:p>
          <w:p w14:paraId="1AEE2991">
            <w:pPr>
              <w:pStyle w:val="72"/>
              <w:rPr>
                <w:rFonts w:hint="eastAsia" w:ascii="宋体" w:hAnsi="宋体" w:eastAsia="宋体" w:cs="宋体"/>
                <w:color w:val="auto"/>
              </w:rPr>
            </w:pPr>
            <w:r>
              <w:rPr>
                <w:rFonts w:hint="eastAsia" w:ascii="宋体" w:hAnsi="宋体" w:eastAsia="宋体" w:cs="宋体"/>
                <w:color w:val="auto"/>
              </w:rPr>
              <w:t>表3-</w:t>
            </w:r>
            <w:r>
              <w:rPr>
                <w:rFonts w:hint="eastAsia" w:ascii="宋体" w:hAnsi="宋体" w:eastAsia="宋体" w:cs="宋体"/>
                <w:color w:val="auto"/>
                <w:lang w:val="en-US" w:eastAsia="zh-CN"/>
              </w:rPr>
              <w:t>4</w:t>
            </w:r>
            <w:r>
              <w:rPr>
                <w:rFonts w:hint="eastAsia" w:ascii="宋体" w:hAnsi="宋体" w:eastAsia="宋体" w:cs="宋体"/>
                <w:color w:val="auto"/>
              </w:rPr>
              <w:t xml:space="preserve">  环境空气质量标准一览表</w:t>
            </w:r>
          </w:p>
          <w:tbl>
            <w:tblPr>
              <w:tblStyle w:val="31"/>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54"/>
              <w:gridCol w:w="801"/>
              <w:gridCol w:w="1691"/>
              <w:gridCol w:w="1074"/>
              <w:gridCol w:w="899"/>
              <w:gridCol w:w="2719"/>
            </w:tblGrid>
            <w:tr w14:paraId="415C83D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554" w:type="dxa"/>
                  <w:vMerge w:val="restart"/>
                  <w:tcBorders>
                    <w:tl2br w:val="nil"/>
                    <w:tr2bl w:val="nil"/>
                  </w:tcBorders>
                  <w:noWrap w:val="0"/>
                  <w:vAlign w:val="center"/>
                </w:tcPr>
                <w:p w14:paraId="21FD52A1">
                  <w:pPr>
                    <w:pStyle w:val="68"/>
                    <w:adjustRightInd w:val="0"/>
                    <w:snapToGrid w:val="0"/>
                    <w:spacing w:line="240" w:lineRule="auto"/>
                    <w:rPr>
                      <w:color w:val="auto"/>
                      <w:kern w:val="21"/>
                      <w:sz w:val="21"/>
                      <w:szCs w:val="21"/>
                    </w:rPr>
                  </w:pPr>
                  <w:r>
                    <w:rPr>
                      <w:rFonts w:hint="eastAsia"/>
                      <w:color w:val="auto"/>
                      <w:kern w:val="21"/>
                      <w:sz w:val="21"/>
                      <w:szCs w:val="21"/>
                    </w:rPr>
                    <w:t>序号</w:t>
                  </w:r>
                </w:p>
              </w:tc>
              <w:tc>
                <w:tcPr>
                  <w:tcW w:w="801" w:type="dxa"/>
                  <w:vMerge w:val="restart"/>
                  <w:tcBorders>
                    <w:tl2br w:val="nil"/>
                    <w:tr2bl w:val="nil"/>
                  </w:tcBorders>
                  <w:noWrap w:val="0"/>
                  <w:vAlign w:val="center"/>
                </w:tcPr>
                <w:p w14:paraId="57A0DD08">
                  <w:pPr>
                    <w:pStyle w:val="68"/>
                    <w:adjustRightInd w:val="0"/>
                    <w:snapToGrid w:val="0"/>
                    <w:spacing w:line="240" w:lineRule="auto"/>
                    <w:rPr>
                      <w:rFonts w:hint="eastAsia"/>
                      <w:color w:val="auto"/>
                      <w:kern w:val="21"/>
                      <w:sz w:val="21"/>
                      <w:szCs w:val="21"/>
                    </w:rPr>
                  </w:pPr>
                  <w:r>
                    <w:rPr>
                      <w:color w:val="auto"/>
                      <w:kern w:val="21"/>
                      <w:sz w:val="21"/>
                      <w:szCs w:val="21"/>
                    </w:rPr>
                    <w:t>污染</w:t>
                  </w:r>
                  <w:r>
                    <w:rPr>
                      <w:rFonts w:hint="eastAsia"/>
                      <w:color w:val="auto"/>
                      <w:kern w:val="21"/>
                      <w:sz w:val="21"/>
                      <w:szCs w:val="21"/>
                    </w:rPr>
                    <w:t>物</w:t>
                  </w:r>
                </w:p>
              </w:tc>
              <w:tc>
                <w:tcPr>
                  <w:tcW w:w="2765" w:type="dxa"/>
                  <w:gridSpan w:val="2"/>
                  <w:tcBorders>
                    <w:tl2br w:val="nil"/>
                    <w:tr2bl w:val="nil"/>
                  </w:tcBorders>
                  <w:noWrap w:val="0"/>
                  <w:vAlign w:val="center"/>
                </w:tcPr>
                <w:p w14:paraId="3413D75E">
                  <w:pPr>
                    <w:pStyle w:val="68"/>
                    <w:adjustRightInd w:val="0"/>
                    <w:snapToGrid w:val="0"/>
                    <w:spacing w:line="240" w:lineRule="auto"/>
                    <w:rPr>
                      <w:color w:val="auto"/>
                      <w:kern w:val="21"/>
                      <w:sz w:val="21"/>
                      <w:szCs w:val="21"/>
                    </w:rPr>
                  </w:pPr>
                  <w:r>
                    <w:rPr>
                      <w:color w:val="auto"/>
                      <w:kern w:val="21"/>
                      <w:sz w:val="21"/>
                      <w:szCs w:val="21"/>
                    </w:rPr>
                    <w:t>标准值</w:t>
                  </w:r>
                </w:p>
              </w:tc>
              <w:tc>
                <w:tcPr>
                  <w:tcW w:w="899" w:type="dxa"/>
                  <w:vMerge w:val="restart"/>
                  <w:tcBorders>
                    <w:tl2br w:val="nil"/>
                    <w:tr2bl w:val="nil"/>
                  </w:tcBorders>
                  <w:noWrap w:val="0"/>
                  <w:vAlign w:val="center"/>
                </w:tcPr>
                <w:p w14:paraId="72143E9A">
                  <w:pPr>
                    <w:pStyle w:val="68"/>
                    <w:adjustRightInd w:val="0"/>
                    <w:snapToGrid w:val="0"/>
                    <w:spacing w:line="240" w:lineRule="auto"/>
                    <w:rPr>
                      <w:rFonts w:hint="eastAsia"/>
                      <w:color w:val="auto"/>
                      <w:kern w:val="21"/>
                      <w:sz w:val="21"/>
                      <w:szCs w:val="21"/>
                    </w:rPr>
                  </w:pPr>
                  <w:r>
                    <w:rPr>
                      <w:rFonts w:hint="eastAsia"/>
                      <w:color w:val="auto"/>
                      <w:kern w:val="21"/>
                      <w:sz w:val="21"/>
                      <w:szCs w:val="21"/>
                    </w:rPr>
                    <w:t>单位</w:t>
                  </w:r>
                </w:p>
              </w:tc>
              <w:tc>
                <w:tcPr>
                  <w:tcW w:w="2719" w:type="dxa"/>
                  <w:vMerge w:val="restart"/>
                  <w:tcBorders>
                    <w:tl2br w:val="nil"/>
                    <w:tr2bl w:val="nil"/>
                  </w:tcBorders>
                  <w:noWrap w:val="0"/>
                  <w:vAlign w:val="center"/>
                </w:tcPr>
                <w:p w14:paraId="7EFF41CD">
                  <w:pPr>
                    <w:pStyle w:val="68"/>
                    <w:adjustRightInd w:val="0"/>
                    <w:snapToGrid w:val="0"/>
                    <w:spacing w:line="240" w:lineRule="auto"/>
                    <w:rPr>
                      <w:color w:val="auto"/>
                      <w:kern w:val="21"/>
                      <w:sz w:val="21"/>
                      <w:szCs w:val="21"/>
                    </w:rPr>
                  </w:pPr>
                  <w:r>
                    <w:rPr>
                      <w:rFonts w:hint="eastAsia"/>
                      <w:color w:val="auto"/>
                      <w:kern w:val="21"/>
                      <w:sz w:val="21"/>
                      <w:szCs w:val="21"/>
                    </w:rPr>
                    <w:t>标准来源</w:t>
                  </w:r>
                </w:p>
              </w:tc>
            </w:tr>
            <w:tr w14:paraId="10373CB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77" w:hRule="atLeast"/>
                <w:jc w:val="center"/>
              </w:trPr>
              <w:tc>
                <w:tcPr>
                  <w:tcW w:w="554" w:type="dxa"/>
                  <w:vMerge w:val="continue"/>
                  <w:tcBorders>
                    <w:tl2br w:val="nil"/>
                    <w:tr2bl w:val="nil"/>
                  </w:tcBorders>
                  <w:noWrap w:val="0"/>
                  <w:vAlign w:val="center"/>
                </w:tcPr>
                <w:p w14:paraId="44ED5A99">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36810661">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3EE6A323">
                  <w:pPr>
                    <w:pStyle w:val="68"/>
                    <w:adjustRightInd w:val="0"/>
                    <w:snapToGrid w:val="0"/>
                    <w:spacing w:line="240" w:lineRule="auto"/>
                    <w:rPr>
                      <w:rFonts w:hint="eastAsia"/>
                      <w:color w:val="auto"/>
                      <w:kern w:val="21"/>
                      <w:sz w:val="21"/>
                      <w:szCs w:val="21"/>
                    </w:rPr>
                  </w:pPr>
                  <w:r>
                    <w:rPr>
                      <w:rFonts w:hint="eastAsia"/>
                      <w:color w:val="auto"/>
                      <w:kern w:val="21"/>
                      <w:sz w:val="21"/>
                      <w:szCs w:val="21"/>
                    </w:rPr>
                    <w:t>平均时间</w:t>
                  </w:r>
                </w:p>
              </w:tc>
              <w:tc>
                <w:tcPr>
                  <w:tcW w:w="1074" w:type="dxa"/>
                  <w:tcBorders>
                    <w:tl2br w:val="nil"/>
                    <w:tr2bl w:val="nil"/>
                  </w:tcBorders>
                  <w:noWrap w:val="0"/>
                  <w:vAlign w:val="center"/>
                </w:tcPr>
                <w:p w14:paraId="1AE3841D">
                  <w:pPr>
                    <w:pStyle w:val="68"/>
                    <w:adjustRightInd w:val="0"/>
                    <w:snapToGrid w:val="0"/>
                    <w:spacing w:line="240" w:lineRule="auto"/>
                    <w:rPr>
                      <w:rFonts w:hint="eastAsia"/>
                      <w:color w:val="auto"/>
                      <w:kern w:val="21"/>
                      <w:sz w:val="21"/>
                      <w:szCs w:val="21"/>
                    </w:rPr>
                  </w:pPr>
                  <w:r>
                    <w:rPr>
                      <w:rFonts w:hint="eastAsia"/>
                      <w:color w:val="auto"/>
                      <w:kern w:val="21"/>
                      <w:sz w:val="21"/>
                      <w:szCs w:val="21"/>
                    </w:rPr>
                    <w:t>浓度限值</w:t>
                  </w:r>
                </w:p>
              </w:tc>
              <w:tc>
                <w:tcPr>
                  <w:tcW w:w="899" w:type="dxa"/>
                  <w:vMerge w:val="continue"/>
                  <w:tcBorders>
                    <w:tl2br w:val="nil"/>
                    <w:tr2bl w:val="nil"/>
                  </w:tcBorders>
                  <w:noWrap w:val="0"/>
                  <w:vAlign w:val="center"/>
                </w:tcPr>
                <w:p w14:paraId="0602E034">
                  <w:pPr>
                    <w:pStyle w:val="68"/>
                    <w:adjustRightInd w:val="0"/>
                    <w:snapToGrid w:val="0"/>
                    <w:spacing w:line="240" w:lineRule="auto"/>
                    <w:rPr>
                      <w:color w:val="auto"/>
                      <w:kern w:val="21"/>
                      <w:sz w:val="21"/>
                      <w:szCs w:val="21"/>
                    </w:rPr>
                  </w:pPr>
                </w:p>
              </w:tc>
              <w:tc>
                <w:tcPr>
                  <w:tcW w:w="2719" w:type="dxa"/>
                  <w:vMerge w:val="continue"/>
                  <w:tcBorders>
                    <w:tl2br w:val="nil"/>
                    <w:tr2bl w:val="nil"/>
                  </w:tcBorders>
                  <w:noWrap w:val="0"/>
                  <w:vAlign w:val="center"/>
                </w:tcPr>
                <w:p w14:paraId="4657084B">
                  <w:pPr>
                    <w:pStyle w:val="68"/>
                    <w:adjustRightInd w:val="0"/>
                    <w:snapToGrid w:val="0"/>
                    <w:spacing w:line="240" w:lineRule="auto"/>
                    <w:rPr>
                      <w:color w:val="auto"/>
                      <w:kern w:val="21"/>
                      <w:sz w:val="21"/>
                      <w:szCs w:val="21"/>
                    </w:rPr>
                  </w:pPr>
                </w:p>
              </w:tc>
            </w:tr>
            <w:tr w14:paraId="5DEBF1C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92" w:hRule="atLeast"/>
                <w:jc w:val="center"/>
              </w:trPr>
              <w:tc>
                <w:tcPr>
                  <w:tcW w:w="554" w:type="dxa"/>
                  <w:vMerge w:val="restart"/>
                  <w:tcBorders>
                    <w:tl2br w:val="nil"/>
                    <w:tr2bl w:val="nil"/>
                  </w:tcBorders>
                  <w:noWrap w:val="0"/>
                  <w:vAlign w:val="center"/>
                </w:tcPr>
                <w:p w14:paraId="4BCC98E9">
                  <w:pPr>
                    <w:pStyle w:val="68"/>
                    <w:adjustRightInd w:val="0"/>
                    <w:snapToGrid w:val="0"/>
                    <w:spacing w:line="240" w:lineRule="auto"/>
                    <w:rPr>
                      <w:color w:val="auto"/>
                      <w:kern w:val="21"/>
                      <w:sz w:val="21"/>
                      <w:szCs w:val="21"/>
                    </w:rPr>
                  </w:pPr>
                  <w:r>
                    <w:rPr>
                      <w:rFonts w:hint="eastAsia"/>
                      <w:color w:val="auto"/>
                      <w:kern w:val="21"/>
                      <w:sz w:val="21"/>
                      <w:szCs w:val="21"/>
                    </w:rPr>
                    <w:t>1</w:t>
                  </w:r>
                </w:p>
              </w:tc>
              <w:tc>
                <w:tcPr>
                  <w:tcW w:w="801" w:type="dxa"/>
                  <w:vMerge w:val="restart"/>
                  <w:tcBorders>
                    <w:tl2br w:val="nil"/>
                    <w:tr2bl w:val="nil"/>
                  </w:tcBorders>
                  <w:noWrap w:val="0"/>
                  <w:vAlign w:val="center"/>
                </w:tcPr>
                <w:p w14:paraId="1A9BC3B2">
                  <w:pPr>
                    <w:pStyle w:val="68"/>
                    <w:adjustRightInd w:val="0"/>
                    <w:snapToGrid w:val="0"/>
                    <w:spacing w:line="240" w:lineRule="auto"/>
                    <w:rPr>
                      <w:color w:val="auto"/>
                      <w:kern w:val="21"/>
                      <w:sz w:val="21"/>
                      <w:szCs w:val="21"/>
                    </w:rPr>
                  </w:pPr>
                  <w:r>
                    <w:rPr>
                      <w:color w:val="auto"/>
                      <w:kern w:val="21"/>
                      <w:sz w:val="21"/>
                      <w:szCs w:val="21"/>
                    </w:rPr>
                    <w:t>SO</w:t>
                  </w:r>
                  <w:r>
                    <w:rPr>
                      <w:color w:val="auto"/>
                      <w:kern w:val="21"/>
                      <w:sz w:val="21"/>
                      <w:szCs w:val="21"/>
                      <w:vertAlign w:val="subscript"/>
                    </w:rPr>
                    <w:t>2</w:t>
                  </w:r>
                </w:p>
              </w:tc>
              <w:tc>
                <w:tcPr>
                  <w:tcW w:w="1691" w:type="dxa"/>
                  <w:tcBorders>
                    <w:tl2br w:val="nil"/>
                    <w:tr2bl w:val="nil"/>
                  </w:tcBorders>
                  <w:noWrap w:val="0"/>
                  <w:vAlign w:val="center"/>
                </w:tcPr>
                <w:p w14:paraId="0D3F1295">
                  <w:pPr>
                    <w:pStyle w:val="68"/>
                    <w:adjustRightInd w:val="0"/>
                    <w:snapToGrid w:val="0"/>
                    <w:spacing w:line="240" w:lineRule="auto"/>
                    <w:rPr>
                      <w:color w:val="auto"/>
                      <w:kern w:val="21"/>
                      <w:sz w:val="21"/>
                      <w:szCs w:val="21"/>
                    </w:rPr>
                  </w:pPr>
                  <w:r>
                    <w:rPr>
                      <w:color w:val="auto"/>
                      <w:kern w:val="21"/>
                      <w:sz w:val="21"/>
                      <w:szCs w:val="21"/>
                    </w:rPr>
                    <w:t>年平均</w:t>
                  </w:r>
                </w:p>
              </w:tc>
              <w:tc>
                <w:tcPr>
                  <w:tcW w:w="1074" w:type="dxa"/>
                  <w:tcBorders>
                    <w:tl2br w:val="nil"/>
                    <w:tr2bl w:val="nil"/>
                  </w:tcBorders>
                  <w:noWrap w:val="0"/>
                  <w:vAlign w:val="center"/>
                </w:tcPr>
                <w:p w14:paraId="26F1E256">
                  <w:pPr>
                    <w:spacing w:line="240" w:lineRule="auto"/>
                    <w:jc w:val="center"/>
                    <w:rPr>
                      <w:color w:val="auto"/>
                      <w:kern w:val="21"/>
                      <w:sz w:val="21"/>
                      <w:szCs w:val="21"/>
                    </w:rPr>
                  </w:pPr>
                  <w:r>
                    <w:rPr>
                      <w:rFonts w:hint="eastAsia"/>
                      <w:color w:val="auto"/>
                      <w:sz w:val="21"/>
                      <w:szCs w:val="21"/>
                    </w:rPr>
                    <w:t>60</w:t>
                  </w:r>
                </w:p>
              </w:tc>
              <w:tc>
                <w:tcPr>
                  <w:tcW w:w="899" w:type="dxa"/>
                  <w:vMerge w:val="restart"/>
                  <w:tcBorders>
                    <w:tl2br w:val="nil"/>
                    <w:tr2bl w:val="nil"/>
                  </w:tcBorders>
                  <w:noWrap w:val="0"/>
                  <w:vAlign w:val="center"/>
                </w:tcPr>
                <w:p w14:paraId="451DA050">
                  <w:pPr>
                    <w:pStyle w:val="68"/>
                    <w:adjustRightInd w:val="0"/>
                    <w:snapToGrid w:val="0"/>
                    <w:spacing w:line="240" w:lineRule="auto"/>
                    <w:rPr>
                      <w:rFonts w:hint="eastAsia"/>
                      <w:color w:val="auto"/>
                      <w:kern w:val="21"/>
                      <w:sz w:val="21"/>
                      <w:szCs w:val="21"/>
                    </w:rPr>
                  </w:pPr>
                  <w:r>
                    <w:rPr>
                      <w:color w:val="auto"/>
                      <w:kern w:val="21"/>
                      <w:sz w:val="21"/>
                      <w:szCs w:val="21"/>
                    </w:rPr>
                    <w:t>μg/Nm</w:t>
                  </w:r>
                  <w:r>
                    <w:rPr>
                      <w:color w:val="auto"/>
                      <w:kern w:val="21"/>
                      <w:sz w:val="21"/>
                      <w:szCs w:val="21"/>
                      <w:vertAlign w:val="superscript"/>
                    </w:rPr>
                    <w:t>3</w:t>
                  </w:r>
                </w:p>
              </w:tc>
              <w:tc>
                <w:tcPr>
                  <w:tcW w:w="2719" w:type="dxa"/>
                  <w:vMerge w:val="restart"/>
                  <w:tcBorders>
                    <w:tl2br w:val="nil"/>
                    <w:tr2bl w:val="nil"/>
                  </w:tcBorders>
                  <w:noWrap w:val="0"/>
                  <w:vAlign w:val="center"/>
                </w:tcPr>
                <w:p w14:paraId="3EB18C03">
                  <w:pPr>
                    <w:pStyle w:val="68"/>
                    <w:adjustRightInd w:val="0"/>
                    <w:snapToGrid w:val="0"/>
                    <w:spacing w:line="240" w:lineRule="auto"/>
                    <w:rPr>
                      <w:color w:val="auto"/>
                      <w:kern w:val="21"/>
                      <w:sz w:val="21"/>
                      <w:szCs w:val="21"/>
                    </w:rPr>
                  </w:pPr>
                  <w:r>
                    <w:rPr>
                      <w:color w:val="auto"/>
                      <w:kern w:val="21"/>
                      <w:sz w:val="21"/>
                      <w:szCs w:val="21"/>
                    </w:rPr>
                    <w:t>《环境空气质量标准》（GB3095-2012）及其修改单</w:t>
                  </w:r>
                  <w:r>
                    <w:rPr>
                      <w:rFonts w:hint="eastAsia"/>
                      <w:color w:val="auto"/>
                      <w:kern w:val="21"/>
                      <w:sz w:val="21"/>
                      <w:szCs w:val="21"/>
                    </w:rPr>
                    <w:t>中二级标准</w:t>
                  </w:r>
                </w:p>
              </w:tc>
            </w:tr>
            <w:tr w14:paraId="73C4FA6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5E9232CF">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3AAF94C2">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17BFEDF6">
                  <w:pPr>
                    <w:pStyle w:val="68"/>
                    <w:adjustRightInd w:val="0"/>
                    <w:snapToGrid w:val="0"/>
                    <w:spacing w:line="240" w:lineRule="auto"/>
                    <w:rPr>
                      <w:color w:val="auto"/>
                      <w:kern w:val="21"/>
                      <w:sz w:val="21"/>
                      <w:szCs w:val="21"/>
                    </w:rPr>
                  </w:pPr>
                  <w:r>
                    <w:rPr>
                      <w:rFonts w:hint="eastAsia"/>
                      <w:color w:val="auto"/>
                      <w:kern w:val="21"/>
                      <w:sz w:val="21"/>
                      <w:szCs w:val="21"/>
                    </w:rPr>
                    <w:t>24小时</w:t>
                  </w:r>
                  <w:r>
                    <w:rPr>
                      <w:color w:val="auto"/>
                      <w:kern w:val="21"/>
                      <w:sz w:val="21"/>
                      <w:szCs w:val="21"/>
                    </w:rPr>
                    <w:t>平均</w:t>
                  </w:r>
                </w:p>
              </w:tc>
              <w:tc>
                <w:tcPr>
                  <w:tcW w:w="1074" w:type="dxa"/>
                  <w:tcBorders>
                    <w:tl2br w:val="nil"/>
                    <w:tr2bl w:val="nil"/>
                  </w:tcBorders>
                  <w:noWrap w:val="0"/>
                  <w:vAlign w:val="center"/>
                </w:tcPr>
                <w:p w14:paraId="509BA5D5">
                  <w:pPr>
                    <w:spacing w:line="240" w:lineRule="auto"/>
                    <w:jc w:val="center"/>
                    <w:rPr>
                      <w:color w:val="auto"/>
                      <w:kern w:val="21"/>
                      <w:sz w:val="21"/>
                      <w:szCs w:val="21"/>
                    </w:rPr>
                  </w:pPr>
                  <w:r>
                    <w:rPr>
                      <w:rFonts w:hint="eastAsia"/>
                      <w:color w:val="auto"/>
                      <w:sz w:val="21"/>
                      <w:szCs w:val="21"/>
                    </w:rPr>
                    <w:t>1</w:t>
                  </w:r>
                  <w:r>
                    <w:rPr>
                      <w:color w:val="auto"/>
                      <w:sz w:val="21"/>
                      <w:szCs w:val="21"/>
                    </w:rPr>
                    <w:t>50</w:t>
                  </w:r>
                </w:p>
              </w:tc>
              <w:tc>
                <w:tcPr>
                  <w:tcW w:w="899" w:type="dxa"/>
                  <w:vMerge w:val="continue"/>
                  <w:tcBorders>
                    <w:tl2br w:val="nil"/>
                    <w:tr2bl w:val="nil"/>
                  </w:tcBorders>
                  <w:noWrap w:val="0"/>
                  <w:vAlign w:val="center"/>
                </w:tcPr>
                <w:p w14:paraId="0CC6DDB1">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235D29BC">
                  <w:pPr>
                    <w:pStyle w:val="68"/>
                    <w:adjustRightInd w:val="0"/>
                    <w:snapToGrid w:val="0"/>
                    <w:spacing w:line="240" w:lineRule="auto"/>
                    <w:rPr>
                      <w:color w:val="auto"/>
                      <w:kern w:val="21"/>
                      <w:sz w:val="21"/>
                      <w:szCs w:val="21"/>
                    </w:rPr>
                  </w:pPr>
                </w:p>
              </w:tc>
            </w:tr>
            <w:tr w14:paraId="478475D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63A6A459">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6F7DE005">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467E9F2B">
                  <w:pPr>
                    <w:pStyle w:val="68"/>
                    <w:adjustRightInd w:val="0"/>
                    <w:snapToGrid w:val="0"/>
                    <w:spacing w:line="240" w:lineRule="auto"/>
                    <w:rPr>
                      <w:color w:val="auto"/>
                      <w:kern w:val="21"/>
                      <w:sz w:val="21"/>
                      <w:szCs w:val="21"/>
                    </w:rPr>
                  </w:pPr>
                  <w:r>
                    <w:rPr>
                      <w:rFonts w:hint="eastAsia"/>
                      <w:color w:val="auto"/>
                      <w:kern w:val="21"/>
                      <w:sz w:val="21"/>
                      <w:szCs w:val="21"/>
                    </w:rPr>
                    <w:t>1</w:t>
                  </w:r>
                  <w:r>
                    <w:rPr>
                      <w:color w:val="auto"/>
                      <w:kern w:val="21"/>
                      <w:sz w:val="21"/>
                      <w:szCs w:val="21"/>
                    </w:rPr>
                    <w:t>小时平均</w:t>
                  </w:r>
                </w:p>
              </w:tc>
              <w:tc>
                <w:tcPr>
                  <w:tcW w:w="1074" w:type="dxa"/>
                  <w:tcBorders>
                    <w:tl2br w:val="nil"/>
                    <w:tr2bl w:val="nil"/>
                  </w:tcBorders>
                  <w:noWrap w:val="0"/>
                  <w:vAlign w:val="center"/>
                </w:tcPr>
                <w:p w14:paraId="774E62B9">
                  <w:pPr>
                    <w:pStyle w:val="68"/>
                    <w:adjustRightInd w:val="0"/>
                    <w:snapToGrid w:val="0"/>
                    <w:spacing w:line="240" w:lineRule="auto"/>
                    <w:rPr>
                      <w:color w:val="auto"/>
                      <w:kern w:val="21"/>
                      <w:sz w:val="21"/>
                      <w:szCs w:val="21"/>
                    </w:rPr>
                  </w:pPr>
                  <w:r>
                    <w:rPr>
                      <w:rFonts w:hint="eastAsia"/>
                      <w:color w:val="auto"/>
                      <w:kern w:val="21"/>
                      <w:sz w:val="21"/>
                      <w:szCs w:val="21"/>
                    </w:rPr>
                    <w:t>500</w:t>
                  </w:r>
                </w:p>
              </w:tc>
              <w:tc>
                <w:tcPr>
                  <w:tcW w:w="899" w:type="dxa"/>
                  <w:vMerge w:val="continue"/>
                  <w:tcBorders>
                    <w:tl2br w:val="nil"/>
                    <w:tr2bl w:val="nil"/>
                  </w:tcBorders>
                  <w:noWrap w:val="0"/>
                  <w:vAlign w:val="center"/>
                </w:tcPr>
                <w:p w14:paraId="1CA2FE5E">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61065AB3">
                  <w:pPr>
                    <w:pStyle w:val="68"/>
                    <w:adjustRightInd w:val="0"/>
                    <w:snapToGrid w:val="0"/>
                    <w:spacing w:line="240" w:lineRule="auto"/>
                    <w:rPr>
                      <w:color w:val="auto"/>
                      <w:kern w:val="21"/>
                      <w:sz w:val="21"/>
                      <w:szCs w:val="21"/>
                    </w:rPr>
                  </w:pPr>
                </w:p>
              </w:tc>
            </w:tr>
            <w:tr w14:paraId="3060307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tcBorders>
                    <w:tl2br w:val="nil"/>
                    <w:tr2bl w:val="nil"/>
                  </w:tcBorders>
                  <w:noWrap w:val="0"/>
                  <w:vAlign w:val="center"/>
                </w:tcPr>
                <w:p w14:paraId="75ACBAEC">
                  <w:pPr>
                    <w:pStyle w:val="68"/>
                    <w:adjustRightInd w:val="0"/>
                    <w:snapToGrid w:val="0"/>
                    <w:spacing w:line="240" w:lineRule="auto"/>
                    <w:rPr>
                      <w:color w:val="auto"/>
                      <w:kern w:val="21"/>
                      <w:sz w:val="21"/>
                      <w:szCs w:val="21"/>
                    </w:rPr>
                  </w:pPr>
                  <w:r>
                    <w:rPr>
                      <w:rFonts w:hint="eastAsia"/>
                      <w:color w:val="auto"/>
                      <w:kern w:val="21"/>
                      <w:sz w:val="21"/>
                      <w:szCs w:val="21"/>
                    </w:rPr>
                    <w:t>2</w:t>
                  </w:r>
                </w:p>
              </w:tc>
              <w:tc>
                <w:tcPr>
                  <w:tcW w:w="801" w:type="dxa"/>
                  <w:vMerge w:val="restart"/>
                  <w:tcBorders>
                    <w:tl2br w:val="nil"/>
                    <w:tr2bl w:val="nil"/>
                  </w:tcBorders>
                  <w:noWrap w:val="0"/>
                  <w:vAlign w:val="center"/>
                </w:tcPr>
                <w:p w14:paraId="0AE138B8">
                  <w:pPr>
                    <w:pStyle w:val="68"/>
                    <w:adjustRightInd w:val="0"/>
                    <w:snapToGrid w:val="0"/>
                    <w:spacing w:line="240" w:lineRule="auto"/>
                    <w:rPr>
                      <w:color w:val="auto"/>
                      <w:kern w:val="21"/>
                      <w:sz w:val="21"/>
                      <w:szCs w:val="21"/>
                    </w:rPr>
                  </w:pPr>
                  <w:r>
                    <w:rPr>
                      <w:color w:val="auto"/>
                      <w:kern w:val="21"/>
                      <w:sz w:val="21"/>
                      <w:szCs w:val="21"/>
                    </w:rPr>
                    <w:t>NO</w:t>
                  </w:r>
                  <w:r>
                    <w:rPr>
                      <w:color w:val="auto"/>
                      <w:kern w:val="21"/>
                      <w:sz w:val="21"/>
                      <w:szCs w:val="21"/>
                      <w:vertAlign w:val="subscript"/>
                    </w:rPr>
                    <w:t>2</w:t>
                  </w:r>
                </w:p>
              </w:tc>
              <w:tc>
                <w:tcPr>
                  <w:tcW w:w="1691" w:type="dxa"/>
                  <w:tcBorders>
                    <w:tl2br w:val="nil"/>
                    <w:tr2bl w:val="nil"/>
                  </w:tcBorders>
                  <w:noWrap w:val="0"/>
                  <w:vAlign w:val="center"/>
                </w:tcPr>
                <w:p w14:paraId="2A42F497">
                  <w:pPr>
                    <w:pStyle w:val="68"/>
                    <w:adjustRightInd w:val="0"/>
                    <w:snapToGrid w:val="0"/>
                    <w:spacing w:line="240" w:lineRule="auto"/>
                    <w:rPr>
                      <w:color w:val="auto"/>
                      <w:kern w:val="21"/>
                      <w:sz w:val="21"/>
                      <w:szCs w:val="21"/>
                    </w:rPr>
                  </w:pPr>
                  <w:r>
                    <w:rPr>
                      <w:color w:val="auto"/>
                      <w:kern w:val="21"/>
                      <w:sz w:val="21"/>
                      <w:szCs w:val="21"/>
                    </w:rPr>
                    <w:t>年平均</w:t>
                  </w:r>
                </w:p>
              </w:tc>
              <w:tc>
                <w:tcPr>
                  <w:tcW w:w="1074" w:type="dxa"/>
                  <w:tcBorders>
                    <w:tl2br w:val="nil"/>
                    <w:tr2bl w:val="nil"/>
                  </w:tcBorders>
                  <w:noWrap w:val="0"/>
                  <w:vAlign w:val="center"/>
                </w:tcPr>
                <w:p w14:paraId="1D3A63C5">
                  <w:pPr>
                    <w:spacing w:line="240" w:lineRule="auto"/>
                    <w:jc w:val="center"/>
                    <w:rPr>
                      <w:color w:val="auto"/>
                      <w:kern w:val="21"/>
                      <w:sz w:val="21"/>
                      <w:szCs w:val="21"/>
                    </w:rPr>
                  </w:pPr>
                  <w:r>
                    <w:rPr>
                      <w:color w:val="auto"/>
                      <w:sz w:val="21"/>
                      <w:szCs w:val="21"/>
                    </w:rPr>
                    <w:t>40</w:t>
                  </w:r>
                </w:p>
              </w:tc>
              <w:tc>
                <w:tcPr>
                  <w:tcW w:w="899" w:type="dxa"/>
                  <w:vMerge w:val="continue"/>
                  <w:tcBorders>
                    <w:tl2br w:val="nil"/>
                    <w:tr2bl w:val="nil"/>
                  </w:tcBorders>
                  <w:noWrap w:val="0"/>
                  <w:vAlign w:val="center"/>
                </w:tcPr>
                <w:p w14:paraId="1519BCFE">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4872FC48">
                  <w:pPr>
                    <w:pStyle w:val="68"/>
                    <w:adjustRightInd w:val="0"/>
                    <w:snapToGrid w:val="0"/>
                    <w:spacing w:line="240" w:lineRule="auto"/>
                    <w:rPr>
                      <w:color w:val="auto"/>
                      <w:kern w:val="21"/>
                      <w:sz w:val="21"/>
                      <w:szCs w:val="21"/>
                    </w:rPr>
                  </w:pPr>
                </w:p>
              </w:tc>
            </w:tr>
            <w:tr w14:paraId="108036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5415897B">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6883D2D9">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3F33E360">
                  <w:pPr>
                    <w:pStyle w:val="68"/>
                    <w:adjustRightInd w:val="0"/>
                    <w:snapToGrid w:val="0"/>
                    <w:spacing w:line="240" w:lineRule="auto"/>
                    <w:rPr>
                      <w:color w:val="auto"/>
                      <w:kern w:val="21"/>
                      <w:sz w:val="21"/>
                      <w:szCs w:val="21"/>
                    </w:rPr>
                  </w:pPr>
                  <w:r>
                    <w:rPr>
                      <w:rFonts w:hint="eastAsia"/>
                      <w:color w:val="auto"/>
                      <w:kern w:val="21"/>
                      <w:sz w:val="21"/>
                      <w:szCs w:val="21"/>
                    </w:rPr>
                    <w:t>24小时</w:t>
                  </w:r>
                  <w:r>
                    <w:rPr>
                      <w:color w:val="auto"/>
                      <w:kern w:val="21"/>
                      <w:sz w:val="21"/>
                      <w:szCs w:val="21"/>
                    </w:rPr>
                    <w:t>平均</w:t>
                  </w:r>
                </w:p>
              </w:tc>
              <w:tc>
                <w:tcPr>
                  <w:tcW w:w="1074" w:type="dxa"/>
                  <w:tcBorders>
                    <w:tl2br w:val="nil"/>
                    <w:tr2bl w:val="nil"/>
                  </w:tcBorders>
                  <w:noWrap w:val="0"/>
                  <w:vAlign w:val="center"/>
                </w:tcPr>
                <w:p w14:paraId="44BBC791">
                  <w:pPr>
                    <w:spacing w:line="240" w:lineRule="auto"/>
                    <w:jc w:val="center"/>
                    <w:rPr>
                      <w:color w:val="auto"/>
                      <w:kern w:val="21"/>
                      <w:sz w:val="21"/>
                      <w:szCs w:val="21"/>
                    </w:rPr>
                  </w:pPr>
                  <w:r>
                    <w:rPr>
                      <w:color w:val="auto"/>
                      <w:sz w:val="21"/>
                      <w:szCs w:val="21"/>
                    </w:rPr>
                    <w:t>80</w:t>
                  </w:r>
                </w:p>
              </w:tc>
              <w:tc>
                <w:tcPr>
                  <w:tcW w:w="899" w:type="dxa"/>
                  <w:vMerge w:val="continue"/>
                  <w:tcBorders>
                    <w:tl2br w:val="nil"/>
                    <w:tr2bl w:val="nil"/>
                  </w:tcBorders>
                  <w:noWrap w:val="0"/>
                  <w:vAlign w:val="center"/>
                </w:tcPr>
                <w:p w14:paraId="693D768B">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1A188D2E">
                  <w:pPr>
                    <w:pStyle w:val="68"/>
                    <w:adjustRightInd w:val="0"/>
                    <w:snapToGrid w:val="0"/>
                    <w:spacing w:line="240" w:lineRule="auto"/>
                    <w:rPr>
                      <w:color w:val="auto"/>
                      <w:kern w:val="21"/>
                      <w:sz w:val="21"/>
                      <w:szCs w:val="21"/>
                    </w:rPr>
                  </w:pPr>
                </w:p>
              </w:tc>
            </w:tr>
            <w:tr w14:paraId="39857B3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757747AC">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2EE80DA8">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72026433">
                  <w:pPr>
                    <w:pStyle w:val="68"/>
                    <w:adjustRightInd w:val="0"/>
                    <w:snapToGrid w:val="0"/>
                    <w:spacing w:line="240" w:lineRule="auto"/>
                    <w:rPr>
                      <w:color w:val="auto"/>
                      <w:kern w:val="21"/>
                      <w:sz w:val="21"/>
                      <w:szCs w:val="21"/>
                    </w:rPr>
                  </w:pPr>
                  <w:r>
                    <w:rPr>
                      <w:rFonts w:hint="eastAsia"/>
                      <w:color w:val="auto"/>
                      <w:kern w:val="21"/>
                      <w:sz w:val="21"/>
                      <w:szCs w:val="21"/>
                    </w:rPr>
                    <w:t>1</w:t>
                  </w:r>
                  <w:r>
                    <w:rPr>
                      <w:color w:val="auto"/>
                      <w:kern w:val="21"/>
                      <w:sz w:val="21"/>
                      <w:szCs w:val="21"/>
                    </w:rPr>
                    <w:t>小时平均</w:t>
                  </w:r>
                </w:p>
              </w:tc>
              <w:tc>
                <w:tcPr>
                  <w:tcW w:w="1074" w:type="dxa"/>
                  <w:tcBorders>
                    <w:tl2br w:val="nil"/>
                    <w:tr2bl w:val="nil"/>
                  </w:tcBorders>
                  <w:noWrap w:val="0"/>
                  <w:vAlign w:val="center"/>
                </w:tcPr>
                <w:p w14:paraId="6737E069">
                  <w:pPr>
                    <w:pStyle w:val="68"/>
                    <w:adjustRightInd w:val="0"/>
                    <w:snapToGrid w:val="0"/>
                    <w:spacing w:line="240" w:lineRule="auto"/>
                    <w:rPr>
                      <w:color w:val="auto"/>
                      <w:kern w:val="21"/>
                      <w:sz w:val="21"/>
                      <w:szCs w:val="21"/>
                    </w:rPr>
                  </w:pPr>
                  <w:r>
                    <w:rPr>
                      <w:rFonts w:hint="eastAsia"/>
                      <w:color w:val="auto"/>
                      <w:kern w:val="21"/>
                      <w:sz w:val="21"/>
                      <w:szCs w:val="21"/>
                    </w:rPr>
                    <w:t>200</w:t>
                  </w:r>
                </w:p>
              </w:tc>
              <w:tc>
                <w:tcPr>
                  <w:tcW w:w="899" w:type="dxa"/>
                  <w:vMerge w:val="continue"/>
                  <w:tcBorders>
                    <w:tl2br w:val="nil"/>
                    <w:tr2bl w:val="nil"/>
                  </w:tcBorders>
                  <w:noWrap w:val="0"/>
                  <w:vAlign w:val="center"/>
                </w:tcPr>
                <w:p w14:paraId="265278A9">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22935627">
                  <w:pPr>
                    <w:pStyle w:val="68"/>
                    <w:adjustRightInd w:val="0"/>
                    <w:snapToGrid w:val="0"/>
                    <w:spacing w:line="240" w:lineRule="auto"/>
                    <w:rPr>
                      <w:color w:val="auto"/>
                      <w:kern w:val="21"/>
                      <w:sz w:val="21"/>
                      <w:szCs w:val="21"/>
                    </w:rPr>
                  </w:pPr>
                </w:p>
              </w:tc>
            </w:tr>
            <w:tr w14:paraId="6976519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tcBorders>
                    <w:tl2br w:val="nil"/>
                    <w:tr2bl w:val="nil"/>
                  </w:tcBorders>
                  <w:noWrap w:val="0"/>
                  <w:vAlign w:val="center"/>
                </w:tcPr>
                <w:p w14:paraId="076C60EE">
                  <w:pPr>
                    <w:pStyle w:val="68"/>
                    <w:adjustRightInd w:val="0"/>
                    <w:snapToGrid w:val="0"/>
                    <w:spacing w:line="240" w:lineRule="auto"/>
                    <w:rPr>
                      <w:rFonts w:hint="eastAsia"/>
                      <w:color w:val="auto"/>
                      <w:kern w:val="21"/>
                      <w:sz w:val="21"/>
                      <w:szCs w:val="21"/>
                    </w:rPr>
                  </w:pPr>
                  <w:r>
                    <w:rPr>
                      <w:rFonts w:hint="eastAsia"/>
                      <w:color w:val="auto"/>
                      <w:kern w:val="21"/>
                      <w:sz w:val="21"/>
                      <w:szCs w:val="21"/>
                    </w:rPr>
                    <w:t>3</w:t>
                  </w:r>
                </w:p>
              </w:tc>
              <w:tc>
                <w:tcPr>
                  <w:tcW w:w="801" w:type="dxa"/>
                  <w:vMerge w:val="restart"/>
                  <w:tcBorders>
                    <w:tl2br w:val="nil"/>
                    <w:tr2bl w:val="nil"/>
                  </w:tcBorders>
                  <w:noWrap w:val="0"/>
                  <w:vAlign w:val="center"/>
                </w:tcPr>
                <w:p w14:paraId="551D5296">
                  <w:pPr>
                    <w:pStyle w:val="68"/>
                    <w:adjustRightInd w:val="0"/>
                    <w:snapToGrid w:val="0"/>
                    <w:spacing w:line="240" w:lineRule="auto"/>
                    <w:rPr>
                      <w:color w:val="auto"/>
                      <w:kern w:val="21"/>
                      <w:sz w:val="21"/>
                      <w:szCs w:val="21"/>
                    </w:rPr>
                  </w:pPr>
                  <w:r>
                    <w:rPr>
                      <w:color w:val="auto"/>
                      <w:kern w:val="21"/>
                      <w:sz w:val="21"/>
                      <w:szCs w:val="21"/>
                    </w:rPr>
                    <w:t>CO</w:t>
                  </w:r>
                </w:p>
              </w:tc>
              <w:tc>
                <w:tcPr>
                  <w:tcW w:w="1691" w:type="dxa"/>
                  <w:tcBorders>
                    <w:tl2br w:val="nil"/>
                    <w:tr2bl w:val="nil"/>
                  </w:tcBorders>
                  <w:noWrap w:val="0"/>
                  <w:vAlign w:val="center"/>
                </w:tcPr>
                <w:p w14:paraId="36A30120">
                  <w:pPr>
                    <w:pStyle w:val="70"/>
                    <w:spacing w:line="240" w:lineRule="auto"/>
                    <w:ind w:firstLine="0"/>
                    <w:jc w:val="center"/>
                    <w:rPr>
                      <w:rFonts w:hint="eastAsia"/>
                      <w:color w:val="auto"/>
                      <w:kern w:val="21"/>
                      <w:sz w:val="21"/>
                      <w:szCs w:val="21"/>
                    </w:rPr>
                  </w:pPr>
                  <w:r>
                    <w:rPr>
                      <w:color w:val="auto"/>
                      <w:kern w:val="21"/>
                      <w:sz w:val="21"/>
                      <w:szCs w:val="21"/>
                    </w:rPr>
                    <w:t>24小时平均</w:t>
                  </w:r>
                </w:p>
              </w:tc>
              <w:tc>
                <w:tcPr>
                  <w:tcW w:w="1074" w:type="dxa"/>
                  <w:tcBorders>
                    <w:tl2br w:val="nil"/>
                    <w:tr2bl w:val="nil"/>
                  </w:tcBorders>
                  <w:noWrap w:val="0"/>
                  <w:vAlign w:val="center"/>
                </w:tcPr>
                <w:p w14:paraId="6870A9D1">
                  <w:pPr>
                    <w:pStyle w:val="68"/>
                    <w:adjustRightInd w:val="0"/>
                    <w:snapToGrid w:val="0"/>
                    <w:spacing w:line="240" w:lineRule="auto"/>
                    <w:rPr>
                      <w:rFonts w:hint="eastAsia"/>
                      <w:color w:val="auto"/>
                      <w:kern w:val="21"/>
                      <w:sz w:val="21"/>
                      <w:szCs w:val="21"/>
                    </w:rPr>
                  </w:pPr>
                  <w:r>
                    <w:rPr>
                      <w:rFonts w:hint="eastAsia"/>
                      <w:color w:val="auto"/>
                      <w:kern w:val="21"/>
                      <w:sz w:val="21"/>
                      <w:szCs w:val="21"/>
                    </w:rPr>
                    <w:t>4000</w:t>
                  </w:r>
                </w:p>
              </w:tc>
              <w:tc>
                <w:tcPr>
                  <w:tcW w:w="899" w:type="dxa"/>
                  <w:vMerge w:val="continue"/>
                  <w:tcBorders>
                    <w:tl2br w:val="nil"/>
                    <w:tr2bl w:val="nil"/>
                  </w:tcBorders>
                  <w:noWrap w:val="0"/>
                  <w:vAlign w:val="center"/>
                </w:tcPr>
                <w:p w14:paraId="57C8D2CB">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11E8186D">
                  <w:pPr>
                    <w:pStyle w:val="68"/>
                    <w:adjustRightInd w:val="0"/>
                    <w:snapToGrid w:val="0"/>
                    <w:spacing w:line="240" w:lineRule="auto"/>
                    <w:rPr>
                      <w:color w:val="auto"/>
                      <w:kern w:val="21"/>
                      <w:sz w:val="21"/>
                      <w:szCs w:val="21"/>
                    </w:rPr>
                  </w:pPr>
                </w:p>
              </w:tc>
            </w:tr>
            <w:tr w14:paraId="136E8AE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7BEC167D">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6E442BAE">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718B499E">
                  <w:pPr>
                    <w:pStyle w:val="70"/>
                    <w:spacing w:line="240" w:lineRule="auto"/>
                    <w:ind w:firstLine="0"/>
                    <w:jc w:val="center"/>
                    <w:rPr>
                      <w:rFonts w:hint="eastAsia"/>
                      <w:color w:val="auto"/>
                      <w:kern w:val="21"/>
                      <w:sz w:val="21"/>
                      <w:szCs w:val="21"/>
                    </w:rPr>
                  </w:pPr>
                  <w:r>
                    <w:rPr>
                      <w:color w:val="auto"/>
                      <w:kern w:val="21"/>
                      <w:sz w:val="21"/>
                      <w:szCs w:val="21"/>
                    </w:rPr>
                    <w:t>1小时平均</w:t>
                  </w:r>
                </w:p>
              </w:tc>
              <w:tc>
                <w:tcPr>
                  <w:tcW w:w="1074" w:type="dxa"/>
                  <w:tcBorders>
                    <w:tl2br w:val="nil"/>
                    <w:tr2bl w:val="nil"/>
                  </w:tcBorders>
                  <w:noWrap w:val="0"/>
                  <w:vAlign w:val="center"/>
                </w:tcPr>
                <w:p w14:paraId="4BD64117">
                  <w:pPr>
                    <w:pStyle w:val="68"/>
                    <w:adjustRightInd w:val="0"/>
                    <w:snapToGrid w:val="0"/>
                    <w:spacing w:line="240" w:lineRule="auto"/>
                    <w:rPr>
                      <w:rFonts w:hint="eastAsia"/>
                      <w:color w:val="auto"/>
                      <w:kern w:val="21"/>
                      <w:sz w:val="21"/>
                      <w:szCs w:val="21"/>
                    </w:rPr>
                  </w:pPr>
                  <w:r>
                    <w:rPr>
                      <w:rFonts w:hint="eastAsia"/>
                      <w:color w:val="auto"/>
                      <w:kern w:val="21"/>
                      <w:sz w:val="21"/>
                      <w:szCs w:val="21"/>
                    </w:rPr>
                    <w:t>10000</w:t>
                  </w:r>
                </w:p>
              </w:tc>
              <w:tc>
                <w:tcPr>
                  <w:tcW w:w="899" w:type="dxa"/>
                  <w:vMerge w:val="continue"/>
                  <w:tcBorders>
                    <w:tl2br w:val="nil"/>
                    <w:tr2bl w:val="nil"/>
                  </w:tcBorders>
                  <w:noWrap w:val="0"/>
                  <w:vAlign w:val="center"/>
                </w:tcPr>
                <w:p w14:paraId="0E882B64">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46D8B5C5">
                  <w:pPr>
                    <w:pStyle w:val="68"/>
                    <w:adjustRightInd w:val="0"/>
                    <w:snapToGrid w:val="0"/>
                    <w:spacing w:line="240" w:lineRule="auto"/>
                    <w:rPr>
                      <w:color w:val="auto"/>
                      <w:kern w:val="21"/>
                      <w:sz w:val="21"/>
                      <w:szCs w:val="21"/>
                    </w:rPr>
                  </w:pPr>
                </w:p>
              </w:tc>
            </w:tr>
            <w:tr w14:paraId="5C86690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tcBorders>
                    <w:tl2br w:val="nil"/>
                    <w:tr2bl w:val="nil"/>
                  </w:tcBorders>
                  <w:noWrap w:val="0"/>
                  <w:vAlign w:val="center"/>
                </w:tcPr>
                <w:p w14:paraId="5762A4B9">
                  <w:pPr>
                    <w:pStyle w:val="68"/>
                    <w:adjustRightInd w:val="0"/>
                    <w:snapToGrid w:val="0"/>
                    <w:spacing w:line="240" w:lineRule="auto"/>
                    <w:rPr>
                      <w:rFonts w:hint="eastAsia"/>
                      <w:color w:val="auto"/>
                      <w:kern w:val="21"/>
                      <w:sz w:val="21"/>
                      <w:szCs w:val="21"/>
                    </w:rPr>
                  </w:pPr>
                  <w:r>
                    <w:rPr>
                      <w:rFonts w:hint="eastAsia"/>
                      <w:color w:val="auto"/>
                      <w:kern w:val="21"/>
                      <w:sz w:val="21"/>
                      <w:szCs w:val="21"/>
                    </w:rPr>
                    <w:t>4</w:t>
                  </w:r>
                </w:p>
              </w:tc>
              <w:tc>
                <w:tcPr>
                  <w:tcW w:w="801" w:type="dxa"/>
                  <w:vMerge w:val="restart"/>
                  <w:tcBorders>
                    <w:tl2br w:val="nil"/>
                    <w:tr2bl w:val="nil"/>
                  </w:tcBorders>
                  <w:noWrap w:val="0"/>
                  <w:vAlign w:val="center"/>
                </w:tcPr>
                <w:p w14:paraId="5C6A992E">
                  <w:pPr>
                    <w:pStyle w:val="68"/>
                    <w:adjustRightInd w:val="0"/>
                    <w:snapToGrid w:val="0"/>
                    <w:spacing w:line="240" w:lineRule="auto"/>
                    <w:rPr>
                      <w:color w:val="auto"/>
                      <w:kern w:val="21"/>
                      <w:sz w:val="21"/>
                      <w:szCs w:val="21"/>
                    </w:rPr>
                  </w:pPr>
                  <w:r>
                    <w:rPr>
                      <w:color w:val="auto"/>
                      <w:kern w:val="21"/>
                      <w:sz w:val="21"/>
                      <w:szCs w:val="21"/>
                    </w:rPr>
                    <w:t>O</w:t>
                  </w:r>
                  <w:r>
                    <w:rPr>
                      <w:color w:val="auto"/>
                      <w:kern w:val="21"/>
                      <w:sz w:val="21"/>
                      <w:szCs w:val="21"/>
                      <w:vertAlign w:val="subscript"/>
                    </w:rPr>
                    <w:t>3</w:t>
                  </w:r>
                </w:p>
              </w:tc>
              <w:tc>
                <w:tcPr>
                  <w:tcW w:w="1691" w:type="dxa"/>
                  <w:tcBorders>
                    <w:tl2br w:val="nil"/>
                    <w:tr2bl w:val="nil"/>
                  </w:tcBorders>
                  <w:noWrap w:val="0"/>
                  <w:vAlign w:val="center"/>
                </w:tcPr>
                <w:p w14:paraId="4C47BAE5">
                  <w:pPr>
                    <w:pStyle w:val="70"/>
                    <w:spacing w:line="240" w:lineRule="auto"/>
                    <w:ind w:firstLine="0"/>
                    <w:jc w:val="center"/>
                    <w:rPr>
                      <w:color w:val="auto"/>
                      <w:kern w:val="21"/>
                      <w:sz w:val="21"/>
                      <w:szCs w:val="21"/>
                    </w:rPr>
                  </w:pPr>
                  <w:r>
                    <w:rPr>
                      <w:color w:val="auto"/>
                      <w:kern w:val="21"/>
                      <w:sz w:val="21"/>
                      <w:szCs w:val="21"/>
                    </w:rPr>
                    <w:t>日最大8小时</w:t>
                  </w:r>
                </w:p>
                <w:p w14:paraId="209B6187">
                  <w:pPr>
                    <w:pStyle w:val="70"/>
                    <w:spacing w:line="240" w:lineRule="auto"/>
                    <w:ind w:firstLine="0"/>
                    <w:jc w:val="center"/>
                    <w:rPr>
                      <w:rFonts w:hint="eastAsia"/>
                      <w:color w:val="auto"/>
                      <w:kern w:val="21"/>
                      <w:sz w:val="21"/>
                      <w:szCs w:val="21"/>
                    </w:rPr>
                  </w:pPr>
                  <w:r>
                    <w:rPr>
                      <w:color w:val="auto"/>
                      <w:kern w:val="21"/>
                      <w:sz w:val="21"/>
                      <w:szCs w:val="21"/>
                    </w:rPr>
                    <w:t>平均</w:t>
                  </w:r>
                </w:p>
              </w:tc>
              <w:tc>
                <w:tcPr>
                  <w:tcW w:w="1074" w:type="dxa"/>
                  <w:tcBorders>
                    <w:tl2br w:val="nil"/>
                    <w:tr2bl w:val="nil"/>
                  </w:tcBorders>
                  <w:noWrap w:val="0"/>
                  <w:vAlign w:val="center"/>
                </w:tcPr>
                <w:p w14:paraId="7C84CBCF">
                  <w:pPr>
                    <w:pStyle w:val="68"/>
                    <w:adjustRightInd w:val="0"/>
                    <w:snapToGrid w:val="0"/>
                    <w:spacing w:line="240" w:lineRule="auto"/>
                    <w:rPr>
                      <w:rFonts w:hint="eastAsia"/>
                      <w:color w:val="auto"/>
                      <w:kern w:val="21"/>
                      <w:sz w:val="21"/>
                      <w:szCs w:val="21"/>
                    </w:rPr>
                  </w:pPr>
                  <w:r>
                    <w:rPr>
                      <w:color w:val="auto"/>
                      <w:sz w:val="21"/>
                      <w:szCs w:val="21"/>
                    </w:rPr>
                    <w:t>1</w:t>
                  </w:r>
                  <w:r>
                    <w:rPr>
                      <w:rFonts w:hint="eastAsia"/>
                      <w:color w:val="auto"/>
                      <w:sz w:val="21"/>
                      <w:szCs w:val="21"/>
                    </w:rPr>
                    <w:t>6</w:t>
                  </w:r>
                  <w:r>
                    <w:rPr>
                      <w:color w:val="auto"/>
                      <w:sz w:val="21"/>
                      <w:szCs w:val="21"/>
                    </w:rPr>
                    <w:t>0</w:t>
                  </w:r>
                </w:p>
              </w:tc>
              <w:tc>
                <w:tcPr>
                  <w:tcW w:w="899" w:type="dxa"/>
                  <w:vMerge w:val="continue"/>
                  <w:tcBorders>
                    <w:tl2br w:val="nil"/>
                    <w:tr2bl w:val="nil"/>
                  </w:tcBorders>
                  <w:noWrap w:val="0"/>
                  <w:vAlign w:val="center"/>
                </w:tcPr>
                <w:p w14:paraId="7C08E7EB">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0AA4E4CB">
                  <w:pPr>
                    <w:pStyle w:val="68"/>
                    <w:adjustRightInd w:val="0"/>
                    <w:snapToGrid w:val="0"/>
                    <w:spacing w:line="240" w:lineRule="auto"/>
                    <w:rPr>
                      <w:color w:val="auto"/>
                      <w:kern w:val="21"/>
                      <w:sz w:val="21"/>
                      <w:szCs w:val="21"/>
                    </w:rPr>
                  </w:pPr>
                </w:p>
              </w:tc>
            </w:tr>
            <w:tr w14:paraId="28B56B6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08C2566D">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296D4A66">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08B44DF3">
                  <w:pPr>
                    <w:pStyle w:val="70"/>
                    <w:spacing w:line="240" w:lineRule="auto"/>
                    <w:ind w:firstLine="0"/>
                    <w:jc w:val="center"/>
                    <w:rPr>
                      <w:rFonts w:hint="eastAsia"/>
                      <w:color w:val="auto"/>
                      <w:kern w:val="21"/>
                      <w:sz w:val="21"/>
                      <w:szCs w:val="21"/>
                    </w:rPr>
                  </w:pPr>
                  <w:r>
                    <w:rPr>
                      <w:color w:val="auto"/>
                      <w:kern w:val="21"/>
                      <w:sz w:val="21"/>
                      <w:szCs w:val="21"/>
                    </w:rPr>
                    <w:t>1小时平均</w:t>
                  </w:r>
                </w:p>
              </w:tc>
              <w:tc>
                <w:tcPr>
                  <w:tcW w:w="1074" w:type="dxa"/>
                  <w:tcBorders>
                    <w:tl2br w:val="nil"/>
                    <w:tr2bl w:val="nil"/>
                  </w:tcBorders>
                  <w:noWrap w:val="0"/>
                  <w:vAlign w:val="center"/>
                </w:tcPr>
                <w:p w14:paraId="21A05804">
                  <w:pPr>
                    <w:pStyle w:val="68"/>
                    <w:adjustRightInd w:val="0"/>
                    <w:snapToGrid w:val="0"/>
                    <w:spacing w:line="240" w:lineRule="auto"/>
                    <w:rPr>
                      <w:color w:val="auto"/>
                      <w:kern w:val="21"/>
                      <w:sz w:val="21"/>
                      <w:szCs w:val="21"/>
                    </w:rPr>
                  </w:pPr>
                  <w:r>
                    <w:rPr>
                      <w:rFonts w:hint="eastAsia"/>
                      <w:color w:val="auto"/>
                      <w:kern w:val="21"/>
                      <w:sz w:val="21"/>
                      <w:szCs w:val="21"/>
                    </w:rPr>
                    <w:t>200</w:t>
                  </w:r>
                </w:p>
              </w:tc>
              <w:tc>
                <w:tcPr>
                  <w:tcW w:w="899" w:type="dxa"/>
                  <w:vMerge w:val="continue"/>
                  <w:tcBorders>
                    <w:tl2br w:val="nil"/>
                    <w:tr2bl w:val="nil"/>
                  </w:tcBorders>
                  <w:noWrap w:val="0"/>
                  <w:vAlign w:val="center"/>
                </w:tcPr>
                <w:p w14:paraId="5B7F3858">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08C9CB0F">
                  <w:pPr>
                    <w:pStyle w:val="68"/>
                    <w:adjustRightInd w:val="0"/>
                    <w:snapToGrid w:val="0"/>
                    <w:spacing w:line="240" w:lineRule="auto"/>
                    <w:rPr>
                      <w:color w:val="auto"/>
                      <w:kern w:val="21"/>
                      <w:sz w:val="21"/>
                      <w:szCs w:val="21"/>
                    </w:rPr>
                  </w:pPr>
                </w:p>
              </w:tc>
            </w:tr>
            <w:tr w14:paraId="7B7EC8F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tcBorders>
                    <w:tl2br w:val="nil"/>
                    <w:tr2bl w:val="nil"/>
                  </w:tcBorders>
                  <w:noWrap w:val="0"/>
                  <w:vAlign w:val="center"/>
                </w:tcPr>
                <w:p w14:paraId="7E1247C0">
                  <w:pPr>
                    <w:pStyle w:val="68"/>
                    <w:adjustRightInd w:val="0"/>
                    <w:snapToGrid w:val="0"/>
                    <w:spacing w:line="240" w:lineRule="auto"/>
                    <w:rPr>
                      <w:rFonts w:hint="eastAsia"/>
                      <w:color w:val="auto"/>
                      <w:kern w:val="21"/>
                      <w:sz w:val="21"/>
                      <w:szCs w:val="21"/>
                    </w:rPr>
                  </w:pPr>
                  <w:r>
                    <w:rPr>
                      <w:rFonts w:hint="eastAsia"/>
                      <w:color w:val="auto"/>
                      <w:kern w:val="21"/>
                      <w:sz w:val="21"/>
                      <w:szCs w:val="21"/>
                    </w:rPr>
                    <w:t>5</w:t>
                  </w:r>
                </w:p>
              </w:tc>
              <w:tc>
                <w:tcPr>
                  <w:tcW w:w="801" w:type="dxa"/>
                  <w:vMerge w:val="restart"/>
                  <w:tcBorders>
                    <w:tl2br w:val="nil"/>
                    <w:tr2bl w:val="nil"/>
                  </w:tcBorders>
                  <w:noWrap w:val="0"/>
                  <w:vAlign w:val="center"/>
                </w:tcPr>
                <w:p w14:paraId="6FC44E55">
                  <w:pPr>
                    <w:pStyle w:val="68"/>
                    <w:adjustRightInd w:val="0"/>
                    <w:snapToGrid w:val="0"/>
                    <w:spacing w:line="240" w:lineRule="auto"/>
                    <w:rPr>
                      <w:rFonts w:hint="eastAsia"/>
                      <w:color w:val="auto"/>
                      <w:kern w:val="21"/>
                      <w:sz w:val="21"/>
                      <w:szCs w:val="21"/>
                    </w:rPr>
                  </w:pPr>
                  <w:r>
                    <w:rPr>
                      <w:rFonts w:hint="eastAsia"/>
                      <w:color w:val="auto"/>
                      <w:kern w:val="21"/>
                      <w:sz w:val="21"/>
                      <w:szCs w:val="21"/>
                    </w:rPr>
                    <w:t>PM</w:t>
                  </w:r>
                  <w:r>
                    <w:rPr>
                      <w:rFonts w:hint="eastAsia"/>
                      <w:color w:val="auto"/>
                      <w:kern w:val="21"/>
                      <w:sz w:val="21"/>
                      <w:szCs w:val="21"/>
                      <w:vertAlign w:val="subscript"/>
                    </w:rPr>
                    <w:t>10</w:t>
                  </w:r>
                </w:p>
              </w:tc>
              <w:tc>
                <w:tcPr>
                  <w:tcW w:w="1691" w:type="dxa"/>
                  <w:tcBorders>
                    <w:tl2br w:val="nil"/>
                    <w:tr2bl w:val="nil"/>
                  </w:tcBorders>
                  <w:noWrap w:val="0"/>
                  <w:vAlign w:val="center"/>
                </w:tcPr>
                <w:p w14:paraId="70913771">
                  <w:pPr>
                    <w:pStyle w:val="68"/>
                    <w:adjustRightInd w:val="0"/>
                    <w:snapToGrid w:val="0"/>
                    <w:spacing w:line="240" w:lineRule="auto"/>
                    <w:rPr>
                      <w:color w:val="auto"/>
                      <w:kern w:val="21"/>
                      <w:sz w:val="21"/>
                      <w:szCs w:val="21"/>
                    </w:rPr>
                  </w:pPr>
                  <w:r>
                    <w:rPr>
                      <w:color w:val="auto"/>
                      <w:kern w:val="21"/>
                      <w:sz w:val="21"/>
                      <w:szCs w:val="21"/>
                    </w:rPr>
                    <w:t>年平均</w:t>
                  </w:r>
                </w:p>
              </w:tc>
              <w:tc>
                <w:tcPr>
                  <w:tcW w:w="1074" w:type="dxa"/>
                  <w:tcBorders>
                    <w:tl2br w:val="nil"/>
                    <w:tr2bl w:val="nil"/>
                  </w:tcBorders>
                  <w:noWrap w:val="0"/>
                  <w:vAlign w:val="center"/>
                </w:tcPr>
                <w:p w14:paraId="29E66803">
                  <w:pPr>
                    <w:pStyle w:val="68"/>
                    <w:adjustRightInd w:val="0"/>
                    <w:snapToGrid w:val="0"/>
                    <w:spacing w:line="240" w:lineRule="auto"/>
                    <w:rPr>
                      <w:color w:val="auto"/>
                      <w:kern w:val="21"/>
                      <w:sz w:val="21"/>
                      <w:szCs w:val="21"/>
                    </w:rPr>
                  </w:pPr>
                  <w:r>
                    <w:rPr>
                      <w:rFonts w:hint="eastAsia"/>
                      <w:color w:val="auto"/>
                      <w:kern w:val="21"/>
                      <w:sz w:val="21"/>
                      <w:szCs w:val="21"/>
                    </w:rPr>
                    <w:t>70</w:t>
                  </w:r>
                </w:p>
              </w:tc>
              <w:tc>
                <w:tcPr>
                  <w:tcW w:w="899" w:type="dxa"/>
                  <w:vMerge w:val="continue"/>
                  <w:tcBorders>
                    <w:tl2br w:val="nil"/>
                    <w:tr2bl w:val="nil"/>
                  </w:tcBorders>
                  <w:noWrap w:val="0"/>
                  <w:vAlign w:val="center"/>
                </w:tcPr>
                <w:p w14:paraId="17B22BF1">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5DEBA601">
                  <w:pPr>
                    <w:pStyle w:val="68"/>
                    <w:adjustRightInd w:val="0"/>
                    <w:snapToGrid w:val="0"/>
                    <w:spacing w:line="240" w:lineRule="auto"/>
                    <w:rPr>
                      <w:color w:val="auto"/>
                      <w:kern w:val="21"/>
                      <w:sz w:val="21"/>
                      <w:szCs w:val="21"/>
                    </w:rPr>
                  </w:pPr>
                </w:p>
              </w:tc>
            </w:tr>
            <w:tr w14:paraId="0B8979B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4F5A0F6A">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11930D09">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634690E0">
                  <w:pPr>
                    <w:pStyle w:val="68"/>
                    <w:adjustRightInd w:val="0"/>
                    <w:snapToGrid w:val="0"/>
                    <w:spacing w:line="240" w:lineRule="auto"/>
                    <w:rPr>
                      <w:color w:val="auto"/>
                      <w:kern w:val="21"/>
                      <w:sz w:val="21"/>
                      <w:szCs w:val="21"/>
                    </w:rPr>
                  </w:pPr>
                  <w:r>
                    <w:rPr>
                      <w:rFonts w:hint="eastAsia"/>
                      <w:color w:val="auto"/>
                      <w:kern w:val="21"/>
                      <w:sz w:val="21"/>
                      <w:szCs w:val="21"/>
                    </w:rPr>
                    <w:t>24小时</w:t>
                  </w:r>
                  <w:r>
                    <w:rPr>
                      <w:color w:val="auto"/>
                      <w:kern w:val="21"/>
                      <w:sz w:val="21"/>
                      <w:szCs w:val="21"/>
                    </w:rPr>
                    <w:t>平均</w:t>
                  </w:r>
                </w:p>
              </w:tc>
              <w:tc>
                <w:tcPr>
                  <w:tcW w:w="1074" w:type="dxa"/>
                  <w:tcBorders>
                    <w:tl2br w:val="nil"/>
                    <w:tr2bl w:val="nil"/>
                  </w:tcBorders>
                  <w:noWrap w:val="0"/>
                  <w:vAlign w:val="center"/>
                </w:tcPr>
                <w:p w14:paraId="3AAFB028">
                  <w:pPr>
                    <w:pStyle w:val="68"/>
                    <w:adjustRightInd w:val="0"/>
                    <w:snapToGrid w:val="0"/>
                    <w:spacing w:line="240" w:lineRule="auto"/>
                    <w:rPr>
                      <w:color w:val="auto"/>
                      <w:kern w:val="21"/>
                      <w:sz w:val="21"/>
                      <w:szCs w:val="21"/>
                    </w:rPr>
                  </w:pPr>
                  <w:r>
                    <w:rPr>
                      <w:rFonts w:hint="eastAsia"/>
                      <w:color w:val="auto"/>
                      <w:kern w:val="21"/>
                      <w:sz w:val="21"/>
                      <w:szCs w:val="21"/>
                    </w:rPr>
                    <w:t>150</w:t>
                  </w:r>
                </w:p>
              </w:tc>
              <w:tc>
                <w:tcPr>
                  <w:tcW w:w="899" w:type="dxa"/>
                  <w:vMerge w:val="continue"/>
                  <w:tcBorders>
                    <w:tl2br w:val="nil"/>
                    <w:tr2bl w:val="nil"/>
                  </w:tcBorders>
                  <w:noWrap w:val="0"/>
                  <w:vAlign w:val="center"/>
                </w:tcPr>
                <w:p w14:paraId="425CA2B8">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09BE2273">
                  <w:pPr>
                    <w:pStyle w:val="68"/>
                    <w:adjustRightInd w:val="0"/>
                    <w:snapToGrid w:val="0"/>
                    <w:spacing w:line="240" w:lineRule="auto"/>
                    <w:rPr>
                      <w:color w:val="auto"/>
                      <w:kern w:val="21"/>
                      <w:sz w:val="21"/>
                      <w:szCs w:val="21"/>
                    </w:rPr>
                  </w:pPr>
                </w:p>
              </w:tc>
            </w:tr>
            <w:tr w14:paraId="32ABA1A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restart"/>
                  <w:tcBorders>
                    <w:tl2br w:val="nil"/>
                    <w:tr2bl w:val="nil"/>
                  </w:tcBorders>
                  <w:noWrap w:val="0"/>
                  <w:vAlign w:val="center"/>
                </w:tcPr>
                <w:p w14:paraId="085EF3CE">
                  <w:pPr>
                    <w:pStyle w:val="68"/>
                    <w:adjustRightInd w:val="0"/>
                    <w:snapToGrid w:val="0"/>
                    <w:spacing w:line="240" w:lineRule="auto"/>
                    <w:rPr>
                      <w:rFonts w:hint="eastAsia"/>
                      <w:color w:val="auto"/>
                      <w:kern w:val="21"/>
                      <w:sz w:val="21"/>
                      <w:szCs w:val="21"/>
                    </w:rPr>
                  </w:pPr>
                  <w:r>
                    <w:rPr>
                      <w:rFonts w:hint="eastAsia"/>
                      <w:color w:val="auto"/>
                      <w:kern w:val="21"/>
                      <w:sz w:val="21"/>
                      <w:szCs w:val="21"/>
                    </w:rPr>
                    <w:t>6</w:t>
                  </w:r>
                </w:p>
              </w:tc>
              <w:tc>
                <w:tcPr>
                  <w:tcW w:w="801" w:type="dxa"/>
                  <w:vMerge w:val="restart"/>
                  <w:tcBorders>
                    <w:tl2br w:val="nil"/>
                    <w:tr2bl w:val="nil"/>
                  </w:tcBorders>
                  <w:noWrap w:val="0"/>
                  <w:vAlign w:val="center"/>
                </w:tcPr>
                <w:p w14:paraId="150DCB22">
                  <w:pPr>
                    <w:pStyle w:val="68"/>
                    <w:adjustRightInd w:val="0"/>
                    <w:snapToGrid w:val="0"/>
                    <w:spacing w:line="240" w:lineRule="auto"/>
                    <w:rPr>
                      <w:color w:val="auto"/>
                      <w:kern w:val="21"/>
                      <w:sz w:val="21"/>
                      <w:szCs w:val="21"/>
                    </w:rPr>
                  </w:pPr>
                  <w:r>
                    <w:rPr>
                      <w:rFonts w:hint="eastAsia"/>
                      <w:color w:val="auto"/>
                      <w:kern w:val="21"/>
                      <w:sz w:val="21"/>
                      <w:szCs w:val="21"/>
                    </w:rPr>
                    <w:t>PM</w:t>
                  </w:r>
                  <w:r>
                    <w:rPr>
                      <w:rFonts w:hint="eastAsia"/>
                      <w:color w:val="auto"/>
                      <w:kern w:val="21"/>
                      <w:sz w:val="21"/>
                      <w:szCs w:val="21"/>
                      <w:vertAlign w:val="subscript"/>
                    </w:rPr>
                    <w:t>2.5</w:t>
                  </w:r>
                </w:p>
              </w:tc>
              <w:tc>
                <w:tcPr>
                  <w:tcW w:w="1691" w:type="dxa"/>
                  <w:tcBorders>
                    <w:tl2br w:val="nil"/>
                    <w:tr2bl w:val="nil"/>
                  </w:tcBorders>
                  <w:noWrap w:val="0"/>
                  <w:vAlign w:val="center"/>
                </w:tcPr>
                <w:p w14:paraId="692D8D72">
                  <w:pPr>
                    <w:pStyle w:val="68"/>
                    <w:adjustRightInd w:val="0"/>
                    <w:snapToGrid w:val="0"/>
                    <w:spacing w:line="240" w:lineRule="auto"/>
                    <w:rPr>
                      <w:color w:val="auto"/>
                      <w:kern w:val="21"/>
                      <w:sz w:val="21"/>
                      <w:szCs w:val="21"/>
                    </w:rPr>
                  </w:pPr>
                  <w:r>
                    <w:rPr>
                      <w:color w:val="auto"/>
                      <w:kern w:val="21"/>
                      <w:sz w:val="21"/>
                      <w:szCs w:val="21"/>
                    </w:rPr>
                    <w:t>年平均</w:t>
                  </w:r>
                </w:p>
              </w:tc>
              <w:tc>
                <w:tcPr>
                  <w:tcW w:w="1074" w:type="dxa"/>
                  <w:tcBorders>
                    <w:tl2br w:val="nil"/>
                    <w:tr2bl w:val="nil"/>
                  </w:tcBorders>
                  <w:noWrap w:val="0"/>
                  <w:vAlign w:val="center"/>
                </w:tcPr>
                <w:p w14:paraId="19C2BB9A">
                  <w:pPr>
                    <w:pStyle w:val="68"/>
                    <w:adjustRightInd w:val="0"/>
                    <w:snapToGrid w:val="0"/>
                    <w:spacing w:line="240" w:lineRule="auto"/>
                    <w:rPr>
                      <w:color w:val="auto"/>
                      <w:kern w:val="21"/>
                      <w:sz w:val="21"/>
                      <w:szCs w:val="21"/>
                    </w:rPr>
                  </w:pPr>
                  <w:r>
                    <w:rPr>
                      <w:rFonts w:hint="eastAsia"/>
                      <w:color w:val="auto"/>
                      <w:kern w:val="21"/>
                      <w:sz w:val="21"/>
                      <w:szCs w:val="21"/>
                    </w:rPr>
                    <w:t>35</w:t>
                  </w:r>
                </w:p>
              </w:tc>
              <w:tc>
                <w:tcPr>
                  <w:tcW w:w="899" w:type="dxa"/>
                  <w:vMerge w:val="continue"/>
                  <w:tcBorders>
                    <w:tl2br w:val="nil"/>
                    <w:tr2bl w:val="nil"/>
                  </w:tcBorders>
                  <w:noWrap w:val="0"/>
                  <w:vAlign w:val="center"/>
                </w:tcPr>
                <w:p w14:paraId="4308A62B">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4DF5756A">
                  <w:pPr>
                    <w:pStyle w:val="68"/>
                    <w:adjustRightInd w:val="0"/>
                    <w:snapToGrid w:val="0"/>
                    <w:spacing w:line="240" w:lineRule="auto"/>
                    <w:rPr>
                      <w:color w:val="auto"/>
                      <w:kern w:val="21"/>
                      <w:sz w:val="21"/>
                      <w:szCs w:val="21"/>
                    </w:rPr>
                  </w:pPr>
                </w:p>
              </w:tc>
            </w:tr>
            <w:tr w14:paraId="72D3B9D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554" w:type="dxa"/>
                  <w:vMerge w:val="continue"/>
                  <w:tcBorders>
                    <w:tl2br w:val="nil"/>
                    <w:tr2bl w:val="nil"/>
                  </w:tcBorders>
                  <w:noWrap w:val="0"/>
                  <w:vAlign w:val="center"/>
                </w:tcPr>
                <w:p w14:paraId="106C5364">
                  <w:pPr>
                    <w:pStyle w:val="68"/>
                    <w:adjustRightInd w:val="0"/>
                    <w:snapToGrid w:val="0"/>
                    <w:spacing w:line="240" w:lineRule="auto"/>
                    <w:rPr>
                      <w:color w:val="auto"/>
                      <w:kern w:val="21"/>
                      <w:sz w:val="21"/>
                      <w:szCs w:val="21"/>
                    </w:rPr>
                  </w:pPr>
                </w:p>
              </w:tc>
              <w:tc>
                <w:tcPr>
                  <w:tcW w:w="801" w:type="dxa"/>
                  <w:vMerge w:val="continue"/>
                  <w:tcBorders>
                    <w:tl2br w:val="nil"/>
                    <w:tr2bl w:val="nil"/>
                  </w:tcBorders>
                  <w:noWrap w:val="0"/>
                  <w:vAlign w:val="center"/>
                </w:tcPr>
                <w:p w14:paraId="609228C9">
                  <w:pPr>
                    <w:pStyle w:val="68"/>
                    <w:adjustRightInd w:val="0"/>
                    <w:snapToGrid w:val="0"/>
                    <w:spacing w:line="240" w:lineRule="auto"/>
                    <w:rPr>
                      <w:color w:val="auto"/>
                      <w:kern w:val="21"/>
                      <w:sz w:val="21"/>
                      <w:szCs w:val="21"/>
                    </w:rPr>
                  </w:pPr>
                </w:p>
              </w:tc>
              <w:tc>
                <w:tcPr>
                  <w:tcW w:w="1691" w:type="dxa"/>
                  <w:tcBorders>
                    <w:tl2br w:val="nil"/>
                    <w:tr2bl w:val="nil"/>
                  </w:tcBorders>
                  <w:noWrap w:val="0"/>
                  <w:vAlign w:val="center"/>
                </w:tcPr>
                <w:p w14:paraId="28316066">
                  <w:pPr>
                    <w:pStyle w:val="68"/>
                    <w:adjustRightInd w:val="0"/>
                    <w:snapToGrid w:val="0"/>
                    <w:spacing w:line="240" w:lineRule="auto"/>
                    <w:rPr>
                      <w:color w:val="auto"/>
                      <w:kern w:val="21"/>
                      <w:sz w:val="21"/>
                      <w:szCs w:val="21"/>
                    </w:rPr>
                  </w:pPr>
                  <w:r>
                    <w:rPr>
                      <w:rFonts w:hint="eastAsia"/>
                      <w:color w:val="auto"/>
                      <w:kern w:val="21"/>
                      <w:sz w:val="21"/>
                      <w:szCs w:val="21"/>
                    </w:rPr>
                    <w:t>24小时</w:t>
                  </w:r>
                  <w:r>
                    <w:rPr>
                      <w:color w:val="auto"/>
                      <w:kern w:val="21"/>
                      <w:sz w:val="21"/>
                      <w:szCs w:val="21"/>
                    </w:rPr>
                    <w:t>平均</w:t>
                  </w:r>
                </w:p>
              </w:tc>
              <w:tc>
                <w:tcPr>
                  <w:tcW w:w="1074" w:type="dxa"/>
                  <w:tcBorders>
                    <w:tl2br w:val="nil"/>
                    <w:tr2bl w:val="nil"/>
                  </w:tcBorders>
                  <w:noWrap w:val="0"/>
                  <w:vAlign w:val="center"/>
                </w:tcPr>
                <w:p w14:paraId="4C56DE0E">
                  <w:pPr>
                    <w:pStyle w:val="68"/>
                    <w:adjustRightInd w:val="0"/>
                    <w:snapToGrid w:val="0"/>
                    <w:spacing w:line="240" w:lineRule="auto"/>
                    <w:rPr>
                      <w:color w:val="auto"/>
                      <w:kern w:val="21"/>
                      <w:sz w:val="21"/>
                      <w:szCs w:val="21"/>
                    </w:rPr>
                  </w:pPr>
                  <w:r>
                    <w:rPr>
                      <w:rFonts w:hint="eastAsia"/>
                      <w:color w:val="auto"/>
                      <w:kern w:val="21"/>
                      <w:sz w:val="21"/>
                      <w:szCs w:val="21"/>
                    </w:rPr>
                    <w:t>75</w:t>
                  </w:r>
                </w:p>
              </w:tc>
              <w:tc>
                <w:tcPr>
                  <w:tcW w:w="899" w:type="dxa"/>
                  <w:vMerge w:val="continue"/>
                  <w:tcBorders>
                    <w:tl2br w:val="nil"/>
                    <w:tr2bl w:val="nil"/>
                  </w:tcBorders>
                  <w:noWrap w:val="0"/>
                  <w:vAlign w:val="center"/>
                </w:tcPr>
                <w:p w14:paraId="2D5C3FF8">
                  <w:pPr>
                    <w:pStyle w:val="68"/>
                    <w:adjustRightInd w:val="0"/>
                    <w:snapToGrid w:val="0"/>
                    <w:spacing w:line="240" w:lineRule="auto"/>
                    <w:rPr>
                      <w:rFonts w:hint="eastAsia"/>
                      <w:color w:val="auto"/>
                      <w:kern w:val="21"/>
                      <w:sz w:val="21"/>
                      <w:szCs w:val="21"/>
                    </w:rPr>
                  </w:pPr>
                </w:p>
              </w:tc>
              <w:tc>
                <w:tcPr>
                  <w:tcW w:w="2719" w:type="dxa"/>
                  <w:vMerge w:val="continue"/>
                  <w:tcBorders>
                    <w:tl2br w:val="nil"/>
                    <w:tr2bl w:val="nil"/>
                  </w:tcBorders>
                  <w:noWrap w:val="0"/>
                  <w:vAlign w:val="center"/>
                </w:tcPr>
                <w:p w14:paraId="1E909D33">
                  <w:pPr>
                    <w:pStyle w:val="68"/>
                    <w:adjustRightInd w:val="0"/>
                    <w:snapToGrid w:val="0"/>
                    <w:spacing w:line="240" w:lineRule="auto"/>
                    <w:rPr>
                      <w:color w:val="auto"/>
                      <w:kern w:val="21"/>
                      <w:sz w:val="21"/>
                      <w:szCs w:val="21"/>
                    </w:rPr>
                  </w:pPr>
                </w:p>
              </w:tc>
            </w:tr>
          </w:tbl>
          <w:p w14:paraId="305105AF">
            <w:pPr>
              <w:pStyle w:val="76"/>
              <w:rPr>
                <w:rFonts w:hint="eastAsia"/>
                <w:color w:val="auto"/>
              </w:rPr>
            </w:pPr>
            <w:r>
              <w:rPr>
                <w:rFonts w:hint="eastAsia"/>
                <w:bCs/>
                <w:color w:val="auto"/>
              </w:rPr>
              <w:t>（</w:t>
            </w:r>
            <w:r>
              <w:rPr>
                <w:bCs/>
                <w:color w:val="auto"/>
              </w:rPr>
              <w:t>2</w:t>
            </w:r>
            <w:r>
              <w:rPr>
                <w:rFonts w:hint="eastAsia"/>
                <w:bCs/>
                <w:color w:val="auto"/>
              </w:rPr>
              <w:t>）</w:t>
            </w:r>
            <w:r>
              <w:rPr>
                <w:rFonts w:hint="eastAsia"/>
                <w:color w:val="auto"/>
              </w:rPr>
              <w:t>声环境</w:t>
            </w:r>
          </w:p>
          <w:p w14:paraId="350FFCD7">
            <w:pPr>
              <w:pStyle w:val="76"/>
              <w:rPr>
                <w:rFonts w:hint="eastAsia"/>
                <w:color w:val="auto"/>
              </w:rPr>
            </w:pPr>
            <w:r>
              <w:rPr>
                <w:rFonts w:hint="eastAsia"/>
                <w:color w:val="auto"/>
              </w:rPr>
              <w:t>本次改建前后</w:t>
            </w:r>
            <w:r>
              <w:rPr>
                <w:rFonts w:hint="eastAsia"/>
                <w:color w:val="auto"/>
                <w:lang w:val="en-US" w:eastAsia="zh-CN"/>
              </w:rPr>
              <w:t>均</w:t>
            </w:r>
            <w:r>
              <w:rPr>
                <w:rFonts w:hint="eastAsia"/>
                <w:color w:val="auto"/>
              </w:rPr>
              <w:t>为二级公路</w:t>
            </w:r>
            <w:r>
              <w:rPr>
                <w:color w:val="auto"/>
              </w:rPr>
              <w:t>，</w:t>
            </w:r>
            <w:r>
              <w:rPr>
                <w:rFonts w:hint="eastAsia"/>
                <w:color w:val="auto"/>
                <w:szCs w:val="28"/>
              </w:rPr>
              <w:t>本项目运营期公路边界线35m以内的区域执行《声环境质量标准》(GB3096-2008)中4a类标准，35m以外区域执行《声环境质量标准》(GB3096-2008)中2类标准。道路边界线35m范围内，临街建筑高于三层楼房以上（含三层）时，将临街建筑面向本项目公路一侧至交通干线边界线的区域执行4a类标准，其余区域执行2类区标准。</w:t>
            </w:r>
            <w:r>
              <w:rPr>
                <w:rFonts w:hint="eastAsia"/>
                <w:color w:val="auto"/>
                <w:szCs w:val="28"/>
                <w:lang w:val="en-US" w:eastAsia="zh-CN"/>
              </w:rPr>
              <w:t>山里道班</w:t>
            </w:r>
            <w:r>
              <w:rPr>
                <w:rFonts w:hint="eastAsia"/>
                <w:color w:val="auto"/>
              </w:rPr>
              <w:t>南侧</w:t>
            </w:r>
            <w:r>
              <w:rPr>
                <w:rFonts w:hint="eastAsia"/>
                <w:color w:val="auto"/>
                <w:lang w:val="en-US" w:eastAsia="zh-CN"/>
              </w:rPr>
              <w:t>靠近公路</w:t>
            </w:r>
            <w:r>
              <w:rPr>
                <w:rFonts w:hint="eastAsia"/>
                <w:color w:val="auto"/>
              </w:rPr>
              <w:t>，</w:t>
            </w:r>
            <w:r>
              <w:rPr>
                <w:rFonts w:hint="eastAsia"/>
                <w:color w:val="auto"/>
                <w:lang w:val="en-US" w:eastAsia="zh-CN"/>
              </w:rPr>
              <w:t>果园道班南侧紧邻公路，</w:t>
            </w:r>
            <w:r>
              <w:rPr>
                <w:color w:val="auto"/>
              </w:rPr>
              <w:t>运营期</w:t>
            </w:r>
            <w:r>
              <w:rPr>
                <w:rFonts w:hint="eastAsia"/>
                <w:color w:val="auto"/>
              </w:rPr>
              <w:t>养护道班执行</w:t>
            </w:r>
            <w:r>
              <w:rPr>
                <w:color w:val="auto"/>
              </w:rPr>
              <w:t>《声环境质量标准》（GB3096-2008）中2</w:t>
            </w:r>
            <w:r>
              <w:rPr>
                <w:rFonts w:hint="eastAsia"/>
                <w:color w:val="auto"/>
              </w:rPr>
              <w:t>、</w:t>
            </w:r>
            <w:r>
              <w:rPr>
                <w:color w:val="auto"/>
              </w:rPr>
              <w:t>4</w:t>
            </w:r>
            <w:r>
              <w:rPr>
                <w:rFonts w:hint="eastAsia"/>
                <w:color w:val="auto"/>
              </w:rPr>
              <w:t>a</w:t>
            </w:r>
            <w:r>
              <w:rPr>
                <w:color w:val="auto"/>
              </w:rPr>
              <w:t>类</w:t>
            </w:r>
            <w:r>
              <w:rPr>
                <w:rFonts w:hint="eastAsia"/>
                <w:color w:val="auto"/>
              </w:rPr>
              <w:t>标准。</w:t>
            </w:r>
          </w:p>
          <w:p w14:paraId="59F3CD5C">
            <w:pPr>
              <w:pStyle w:val="76"/>
              <w:rPr>
                <w:rFonts w:hint="eastAsia"/>
                <w:color w:val="auto"/>
              </w:rPr>
            </w:pPr>
          </w:p>
          <w:p w14:paraId="32DCBE33">
            <w:pPr>
              <w:pStyle w:val="76"/>
              <w:rPr>
                <w:rFonts w:hint="eastAsia"/>
                <w:color w:val="auto"/>
              </w:rPr>
            </w:pPr>
          </w:p>
          <w:p w14:paraId="0837A599">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表3-</w:t>
            </w:r>
            <w:r>
              <w:rPr>
                <w:rFonts w:hint="default" w:ascii="Times New Roman" w:hAnsi="Times New Roman" w:eastAsia="宋体" w:cs="Times New Roman"/>
                <w:color w:val="auto"/>
                <w:lang w:val="en-US" w:eastAsia="zh-CN"/>
              </w:rPr>
              <w:t>5</w:t>
            </w:r>
            <w:r>
              <w:rPr>
                <w:rFonts w:hint="default" w:ascii="Times New Roman" w:hAnsi="Times New Roman" w:eastAsia="宋体" w:cs="Times New Roman"/>
                <w:color w:val="auto"/>
              </w:rPr>
              <w:t xml:space="preserve">  声环境质量标准  单位：dB（A）</w:t>
            </w:r>
          </w:p>
          <w:tbl>
            <w:tblPr>
              <w:tblStyle w:val="31"/>
              <w:tblW w:w="4999"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4"/>
              <w:gridCol w:w="1967"/>
              <w:gridCol w:w="1969"/>
              <w:gridCol w:w="2556"/>
            </w:tblGrid>
            <w:tr w14:paraId="3BB9AC1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vMerge w:val="restart"/>
                  <w:tcBorders>
                    <w:tl2br w:val="nil"/>
                    <w:tr2bl w:val="nil"/>
                  </w:tcBorders>
                  <w:noWrap w:val="0"/>
                  <w:vAlign w:val="center"/>
                </w:tcPr>
                <w:p w14:paraId="500F2051">
                  <w:pPr>
                    <w:pStyle w:val="68"/>
                    <w:adjustRightInd w:val="0"/>
                    <w:snapToGrid w:val="0"/>
                    <w:spacing w:line="240" w:lineRule="auto"/>
                    <w:rPr>
                      <w:color w:val="auto"/>
                      <w:sz w:val="21"/>
                      <w:szCs w:val="21"/>
                    </w:rPr>
                  </w:pPr>
                  <w:r>
                    <w:rPr>
                      <w:color w:val="auto"/>
                      <w:sz w:val="21"/>
                      <w:szCs w:val="21"/>
                    </w:rPr>
                    <w:t>类别</w:t>
                  </w:r>
                </w:p>
              </w:tc>
              <w:tc>
                <w:tcPr>
                  <w:tcW w:w="2543" w:type="pct"/>
                  <w:gridSpan w:val="2"/>
                  <w:tcBorders>
                    <w:tl2br w:val="nil"/>
                    <w:tr2bl w:val="nil"/>
                  </w:tcBorders>
                  <w:noWrap w:val="0"/>
                  <w:vAlign w:val="center"/>
                </w:tcPr>
                <w:p w14:paraId="78E6F416">
                  <w:pPr>
                    <w:pStyle w:val="68"/>
                    <w:adjustRightInd w:val="0"/>
                    <w:snapToGrid w:val="0"/>
                    <w:spacing w:line="240" w:lineRule="auto"/>
                    <w:rPr>
                      <w:color w:val="auto"/>
                      <w:sz w:val="21"/>
                      <w:szCs w:val="21"/>
                    </w:rPr>
                  </w:pPr>
                  <w:r>
                    <w:rPr>
                      <w:color w:val="auto"/>
                      <w:sz w:val="21"/>
                      <w:szCs w:val="21"/>
                    </w:rPr>
                    <w:t>标准值dB(A)</w:t>
                  </w:r>
                </w:p>
              </w:tc>
              <w:tc>
                <w:tcPr>
                  <w:tcW w:w="1651" w:type="pct"/>
                  <w:tcBorders>
                    <w:tl2br w:val="nil"/>
                    <w:tr2bl w:val="nil"/>
                  </w:tcBorders>
                  <w:noWrap w:val="0"/>
                  <w:vAlign w:val="center"/>
                </w:tcPr>
                <w:p w14:paraId="1DD4D7F3">
                  <w:pPr>
                    <w:pStyle w:val="68"/>
                    <w:adjustRightInd w:val="0"/>
                    <w:snapToGrid w:val="0"/>
                    <w:spacing w:line="240" w:lineRule="auto"/>
                    <w:rPr>
                      <w:color w:val="auto"/>
                      <w:sz w:val="21"/>
                      <w:szCs w:val="21"/>
                    </w:rPr>
                  </w:pPr>
                  <w:r>
                    <w:rPr>
                      <w:color w:val="auto"/>
                      <w:sz w:val="21"/>
                      <w:szCs w:val="21"/>
                    </w:rPr>
                    <w:t>标准来源</w:t>
                  </w:r>
                </w:p>
              </w:tc>
            </w:tr>
            <w:tr w14:paraId="59C6B5C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vMerge w:val="continue"/>
                  <w:tcBorders>
                    <w:tl2br w:val="nil"/>
                    <w:tr2bl w:val="nil"/>
                  </w:tcBorders>
                  <w:noWrap w:val="0"/>
                  <w:vAlign w:val="center"/>
                </w:tcPr>
                <w:p w14:paraId="47E50FC4">
                  <w:pPr>
                    <w:pStyle w:val="68"/>
                    <w:adjustRightInd w:val="0"/>
                    <w:snapToGrid w:val="0"/>
                    <w:spacing w:line="240" w:lineRule="auto"/>
                    <w:rPr>
                      <w:color w:val="auto"/>
                      <w:sz w:val="21"/>
                      <w:szCs w:val="21"/>
                    </w:rPr>
                  </w:pPr>
                </w:p>
              </w:tc>
              <w:tc>
                <w:tcPr>
                  <w:tcW w:w="1271" w:type="pct"/>
                  <w:tcBorders>
                    <w:tl2br w:val="nil"/>
                    <w:tr2bl w:val="nil"/>
                  </w:tcBorders>
                  <w:noWrap w:val="0"/>
                  <w:vAlign w:val="center"/>
                </w:tcPr>
                <w:p w14:paraId="27FC0AE2">
                  <w:pPr>
                    <w:pStyle w:val="68"/>
                    <w:adjustRightInd w:val="0"/>
                    <w:snapToGrid w:val="0"/>
                    <w:spacing w:line="240" w:lineRule="auto"/>
                    <w:rPr>
                      <w:color w:val="auto"/>
                      <w:sz w:val="21"/>
                      <w:szCs w:val="21"/>
                    </w:rPr>
                  </w:pPr>
                  <w:r>
                    <w:rPr>
                      <w:color w:val="auto"/>
                      <w:sz w:val="21"/>
                      <w:szCs w:val="21"/>
                    </w:rPr>
                    <w:t>昼间</w:t>
                  </w:r>
                </w:p>
              </w:tc>
              <w:tc>
                <w:tcPr>
                  <w:tcW w:w="1272" w:type="pct"/>
                  <w:tcBorders>
                    <w:tl2br w:val="nil"/>
                    <w:tr2bl w:val="nil"/>
                  </w:tcBorders>
                  <w:noWrap w:val="0"/>
                  <w:vAlign w:val="center"/>
                </w:tcPr>
                <w:p w14:paraId="58DD4B13">
                  <w:pPr>
                    <w:pStyle w:val="68"/>
                    <w:adjustRightInd w:val="0"/>
                    <w:snapToGrid w:val="0"/>
                    <w:spacing w:line="240" w:lineRule="auto"/>
                    <w:rPr>
                      <w:color w:val="auto"/>
                      <w:sz w:val="21"/>
                      <w:szCs w:val="21"/>
                    </w:rPr>
                  </w:pPr>
                  <w:r>
                    <w:rPr>
                      <w:color w:val="auto"/>
                      <w:sz w:val="21"/>
                      <w:szCs w:val="21"/>
                    </w:rPr>
                    <w:t>夜间</w:t>
                  </w:r>
                </w:p>
              </w:tc>
              <w:tc>
                <w:tcPr>
                  <w:tcW w:w="1651" w:type="pct"/>
                  <w:vMerge w:val="restart"/>
                  <w:tcBorders>
                    <w:tl2br w:val="nil"/>
                    <w:tr2bl w:val="nil"/>
                  </w:tcBorders>
                  <w:noWrap w:val="0"/>
                  <w:vAlign w:val="center"/>
                </w:tcPr>
                <w:p w14:paraId="25BC87E2">
                  <w:pPr>
                    <w:pStyle w:val="68"/>
                    <w:adjustRightInd w:val="0"/>
                    <w:snapToGrid w:val="0"/>
                    <w:spacing w:line="240" w:lineRule="auto"/>
                    <w:rPr>
                      <w:color w:val="auto"/>
                      <w:sz w:val="21"/>
                      <w:szCs w:val="21"/>
                    </w:rPr>
                  </w:pPr>
                  <w:r>
                    <w:rPr>
                      <w:color w:val="auto"/>
                      <w:sz w:val="21"/>
                      <w:szCs w:val="21"/>
                    </w:rPr>
                    <w:t>《声环境质量标准》（GB  3096-2008）</w:t>
                  </w:r>
                </w:p>
              </w:tc>
            </w:tr>
            <w:tr w14:paraId="20A4FD5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tcBorders>
                    <w:tl2br w:val="nil"/>
                    <w:tr2bl w:val="nil"/>
                  </w:tcBorders>
                  <w:noWrap w:val="0"/>
                  <w:vAlign w:val="center"/>
                </w:tcPr>
                <w:p w14:paraId="576D77A1">
                  <w:pPr>
                    <w:pStyle w:val="68"/>
                    <w:adjustRightInd w:val="0"/>
                    <w:snapToGrid w:val="0"/>
                    <w:spacing w:line="240" w:lineRule="auto"/>
                    <w:rPr>
                      <w:color w:val="auto"/>
                      <w:sz w:val="21"/>
                      <w:szCs w:val="21"/>
                    </w:rPr>
                  </w:pPr>
                  <w:r>
                    <w:rPr>
                      <w:color w:val="auto"/>
                      <w:sz w:val="21"/>
                      <w:szCs w:val="21"/>
                    </w:rPr>
                    <w:t>2类</w:t>
                  </w:r>
                </w:p>
              </w:tc>
              <w:tc>
                <w:tcPr>
                  <w:tcW w:w="1271" w:type="pct"/>
                  <w:tcBorders>
                    <w:tl2br w:val="nil"/>
                    <w:tr2bl w:val="nil"/>
                  </w:tcBorders>
                  <w:noWrap w:val="0"/>
                  <w:vAlign w:val="center"/>
                </w:tcPr>
                <w:p w14:paraId="3241D753">
                  <w:pPr>
                    <w:pStyle w:val="68"/>
                    <w:adjustRightInd w:val="0"/>
                    <w:snapToGrid w:val="0"/>
                    <w:spacing w:line="240" w:lineRule="auto"/>
                    <w:rPr>
                      <w:color w:val="auto"/>
                      <w:sz w:val="21"/>
                      <w:szCs w:val="21"/>
                    </w:rPr>
                  </w:pPr>
                  <w:r>
                    <w:rPr>
                      <w:color w:val="auto"/>
                      <w:sz w:val="21"/>
                      <w:szCs w:val="21"/>
                    </w:rPr>
                    <w:t>60</w:t>
                  </w:r>
                </w:p>
              </w:tc>
              <w:tc>
                <w:tcPr>
                  <w:tcW w:w="1272" w:type="pct"/>
                  <w:tcBorders>
                    <w:tl2br w:val="nil"/>
                    <w:tr2bl w:val="nil"/>
                  </w:tcBorders>
                  <w:noWrap w:val="0"/>
                  <w:vAlign w:val="center"/>
                </w:tcPr>
                <w:p w14:paraId="71E5624E">
                  <w:pPr>
                    <w:pStyle w:val="68"/>
                    <w:adjustRightInd w:val="0"/>
                    <w:snapToGrid w:val="0"/>
                    <w:spacing w:line="240" w:lineRule="auto"/>
                    <w:rPr>
                      <w:color w:val="auto"/>
                      <w:sz w:val="21"/>
                      <w:szCs w:val="21"/>
                    </w:rPr>
                  </w:pPr>
                  <w:r>
                    <w:rPr>
                      <w:color w:val="auto"/>
                      <w:sz w:val="21"/>
                      <w:szCs w:val="21"/>
                    </w:rPr>
                    <w:t>50</w:t>
                  </w:r>
                </w:p>
              </w:tc>
              <w:tc>
                <w:tcPr>
                  <w:tcW w:w="1651" w:type="pct"/>
                  <w:vMerge w:val="continue"/>
                  <w:tcBorders>
                    <w:tl2br w:val="nil"/>
                    <w:tr2bl w:val="nil"/>
                  </w:tcBorders>
                  <w:noWrap w:val="0"/>
                  <w:vAlign w:val="center"/>
                </w:tcPr>
                <w:p w14:paraId="1ADBDC37">
                  <w:pPr>
                    <w:adjustRightInd w:val="0"/>
                    <w:snapToGrid w:val="0"/>
                    <w:jc w:val="center"/>
                    <w:rPr>
                      <w:color w:val="auto"/>
                    </w:rPr>
                  </w:pPr>
                </w:p>
              </w:tc>
            </w:tr>
            <w:tr w14:paraId="35378DB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804" w:type="pct"/>
                  <w:tcBorders>
                    <w:tl2br w:val="nil"/>
                    <w:tr2bl w:val="nil"/>
                  </w:tcBorders>
                  <w:noWrap w:val="0"/>
                  <w:vAlign w:val="center"/>
                </w:tcPr>
                <w:p w14:paraId="3730A7E8">
                  <w:pPr>
                    <w:pStyle w:val="68"/>
                    <w:adjustRightInd w:val="0"/>
                    <w:snapToGrid w:val="0"/>
                    <w:spacing w:line="240" w:lineRule="auto"/>
                    <w:rPr>
                      <w:color w:val="auto"/>
                      <w:sz w:val="21"/>
                      <w:szCs w:val="21"/>
                    </w:rPr>
                  </w:pPr>
                  <w:r>
                    <w:rPr>
                      <w:color w:val="auto"/>
                      <w:sz w:val="21"/>
                      <w:szCs w:val="21"/>
                    </w:rPr>
                    <w:t>4a类</w:t>
                  </w:r>
                </w:p>
              </w:tc>
              <w:tc>
                <w:tcPr>
                  <w:tcW w:w="1271" w:type="pct"/>
                  <w:tcBorders>
                    <w:tl2br w:val="nil"/>
                    <w:tr2bl w:val="nil"/>
                  </w:tcBorders>
                  <w:noWrap w:val="0"/>
                  <w:vAlign w:val="center"/>
                </w:tcPr>
                <w:p w14:paraId="1008ED44">
                  <w:pPr>
                    <w:pStyle w:val="68"/>
                    <w:adjustRightInd w:val="0"/>
                    <w:snapToGrid w:val="0"/>
                    <w:spacing w:line="240" w:lineRule="auto"/>
                    <w:rPr>
                      <w:color w:val="auto"/>
                      <w:sz w:val="21"/>
                      <w:szCs w:val="21"/>
                    </w:rPr>
                  </w:pPr>
                  <w:r>
                    <w:rPr>
                      <w:color w:val="auto"/>
                      <w:sz w:val="21"/>
                      <w:szCs w:val="21"/>
                    </w:rPr>
                    <w:t>70</w:t>
                  </w:r>
                </w:p>
              </w:tc>
              <w:tc>
                <w:tcPr>
                  <w:tcW w:w="1272" w:type="pct"/>
                  <w:tcBorders>
                    <w:tl2br w:val="nil"/>
                    <w:tr2bl w:val="nil"/>
                  </w:tcBorders>
                  <w:noWrap w:val="0"/>
                  <w:vAlign w:val="center"/>
                </w:tcPr>
                <w:p w14:paraId="3BB4A73A">
                  <w:pPr>
                    <w:pStyle w:val="68"/>
                    <w:adjustRightInd w:val="0"/>
                    <w:snapToGrid w:val="0"/>
                    <w:spacing w:line="240" w:lineRule="auto"/>
                    <w:rPr>
                      <w:color w:val="auto"/>
                      <w:sz w:val="21"/>
                      <w:szCs w:val="21"/>
                    </w:rPr>
                  </w:pPr>
                  <w:r>
                    <w:rPr>
                      <w:color w:val="auto"/>
                      <w:sz w:val="21"/>
                      <w:szCs w:val="21"/>
                    </w:rPr>
                    <w:t>55</w:t>
                  </w:r>
                </w:p>
              </w:tc>
              <w:tc>
                <w:tcPr>
                  <w:tcW w:w="1651" w:type="pct"/>
                  <w:vMerge w:val="continue"/>
                  <w:tcBorders>
                    <w:tl2br w:val="nil"/>
                    <w:tr2bl w:val="nil"/>
                  </w:tcBorders>
                  <w:noWrap w:val="0"/>
                  <w:vAlign w:val="center"/>
                </w:tcPr>
                <w:p w14:paraId="49CF7663">
                  <w:pPr>
                    <w:adjustRightInd w:val="0"/>
                    <w:snapToGrid w:val="0"/>
                    <w:jc w:val="center"/>
                    <w:rPr>
                      <w:color w:val="auto"/>
                    </w:rPr>
                  </w:pPr>
                </w:p>
              </w:tc>
            </w:tr>
          </w:tbl>
          <w:p w14:paraId="5469B490">
            <w:pPr>
              <w:pStyle w:val="76"/>
              <w:rPr>
                <w:rFonts w:hint="eastAsia"/>
                <w:b/>
                <w:bCs/>
                <w:color w:val="auto"/>
              </w:rPr>
            </w:pPr>
            <w:r>
              <w:rPr>
                <w:rFonts w:hint="eastAsia"/>
                <w:color w:val="auto"/>
              </w:rPr>
              <w:t>2、</w:t>
            </w:r>
            <w:r>
              <w:rPr>
                <w:color w:val="auto"/>
              </w:rPr>
              <w:t>污染物排放标准</w:t>
            </w:r>
          </w:p>
          <w:p w14:paraId="2F58168F">
            <w:pPr>
              <w:pStyle w:val="76"/>
              <w:rPr>
                <w:rFonts w:hint="eastAsia"/>
                <w:bCs/>
                <w:color w:val="auto"/>
                <w:lang w:val="en-US" w:eastAsia="zh-CN"/>
              </w:rPr>
            </w:pPr>
            <w:r>
              <w:rPr>
                <w:rFonts w:hint="eastAsia"/>
                <w:bCs/>
                <w:color w:val="auto"/>
                <w:lang w:eastAsia="zh-CN"/>
              </w:rPr>
              <w:t>（</w:t>
            </w:r>
            <w:r>
              <w:rPr>
                <w:rFonts w:hint="eastAsia"/>
                <w:bCs/>
                <w:color w:val="auto"/>
                <w:lang w:val="en-US" w:eastAsia="zh-CN"/>
              </w:rPr>
              <w:t>1</w:t>
            </w:r>
            <w:r>
              <w:rPr>
                <w:rFonts w:hint="eastAsia"/>
                <w:bCs/>
                <w:color w:val="auto"/>
                <w:lang w:eastAsia="zh-CN"/>
              </w:rPr>
              <w:t>）</w:t>
            </w:r>
            <w:r>
              <w:rPr>
                <w:rFonts w:hint="eastAsia"/>
                <w:bCs/>
                <w:color w:val="auto"/>
                <w:lang w:val="en-US" w:eastAsia="zh-CN"/>
              </w:rPr>
              <w:t>废气</w:t>
            </w:r>
          </w:p>
          <w:p w14:paraId="2C493B46">
            <w:pPr>
              <w:pStyle w:val="76"/>
              <w:rPr>
                <w:color w:val="auto"/>
              </w:rPr>
            </w:pPr>
            <w:r>
              <w:rPr>
                <w:rFonts w:hint="eastAsia"/>
                <w:color w:val="auto"/>
              </w:rPr>
              <w:t>本项目施工场地颗粒物和沥青混凝土拌合站沥青烟等</w:t>
            </w:r>
            <w:r>
              <w:rPr>
                <w:rFonts w:hint="eastAsia"/>
                <w:color w:val="auto"/>
                <w:lang w:val="en-US" w:eastAsia="zh-CN"/>
              </w:rPr>
              <w:t>废气</w:t>
            </w:r>
            <w:r>
              <w:rPr>
                <w:rFonts w:hint="eastAsia"/>
                <w:color w:val="auto"/>
              </w:rPr>
              <w:t>无组织排放的污染物执行《大气污染物综合排放标准》（GB16297-1996）表2中无组织排放监控浓度限值</w:t>
            </w:r>
            <w:r>
              <w:rPr>
                <w:rFonts w:hint="eastAsia"/>
                <w:color w:val="auto"/>
                <w:lang w:eastAsia="zh-CN"/>
              </w:rPr>
              <w:t>；</w:t>
            </w:r>
            <w:r>
              <w:rPr>
                <w:rFonts w:hint="eastAsia"/>
                <w:color w:val="auto"/>
                <w:lang w:val="en-US" w:eastAsia="zh-CN"/>
              </w:rPr>
              <w:t>导热油炉烟气</w:t>
            </w:r>
            <w:r>
              <w:rPr>
                <w:rFonts w:hint="eastAsia"/>
                <w:color w:val="auto"/>
              </w:rPr>
              <w:t>有组织排放的污染物执行</w:t>
            </w:r>
            <w:r>
              <w:rPr>
                <w:color w:val="auto"/>
              </w:rPr>
              <w:t>《</w:t>
            </w:r>
            <w:r>
              <w:rPr>
                <w:rFonts w:hint="eastAsia"/>
                <w:color w:val="auto"/>
                <w:lang w:val="en-US" w:eastAsia="zh-CN"/>
              </w:rPr>
              <w:t>锅炉</w:t>
            </w:r>
            <w:r>
              <w:rPr>
                <w:color w:val="auto"/>
              </w:rPr>
              <w:t>大气污染物排放标准》（GB1</w:t>
            </w:r>
            <w:r>
              <w:rPr>
                <w:rFonts w:hint="eastAsia"/>
                <w:color w:val="auto"/>
                <w:lang w:val="en-US" w:eastAsia="zh-CN"/>
              </w:rPr>
              <w:t>3271</w:t>
            </w:r>
            <w:r>
              <w:rPr>
                <w:color w:val="auto"/>
              </w:rPr>
              <w:t>-</w:t>
            </w:r>
            <w:r>
              <w:rPr>
                <w:rFonts w:hint="eastAsia"/>
                <w:color w:val="auto"/>
                <w:lang w:val="en-US" w:eastAsia="zh-CN"/>
              </w:rPr>
              <w:t>2014</w:t>
            </w:r>
            <w:r>
              <w:rPr>
                <w:color w:val="auto"/>
              </w:rPr>
              <w:t>）表2标准</w:t>
            </w:r>
            <w:r>
              <w:rPr>
                <w:rFonts w:hint="eastAsia"/>
                <w:color w:val="auto"/>
              </w:rPr>
              <w:t>。</w:t>
            </w:r>
          </w:p>
          <w:p w14:paraId="27B04D9D">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w:t>
            </w:r>
            <w:r>
              <w:rPr>
                <w:rFonts w:hint="eastAsia" w:ascii="Times New Roman" w:hAnsi="Times New Roman" w:eastAsia="宋体" w:cs="Times New Roman"/>
                <w:color w:val="auto"/>
              </w:rPr>
              <w:t>3-</w:t>
            </w:r>
            <w:r>
              <w:rPr>
                <w:rFonts w:hint="eastAsia" w:ascii="Times New Roman" w:hAnsi="Times New Roman" w:eastAsia="宋体" w:cs="Times New Roman"/>
                <w:color w:val="auto"/>
                <w:lang w:val="en-US" w:eastAsia="zh-CN"/>
              </w:rPr>
              <w:t>6</w:t>
            </w:r>
            <w:r>
              <w:rPr>
                <w:rFonts w:hint="default" w:ascii="Times New Roman" w:hAnsi="Times New Roman" w:eastAsia="宋体" w:cs="Times New Roman"/>
                <w:color w:val="auto"/>
              </w:rPr>
              <w:t xml:space="preserve">  大气污染物排放标准  单位：mg/Nm</w:t>
            </w:r>
            <w:r>
              <w:rPr>
                <w:rFonts w:hint="default" w:ascii="Times New Roman" w:hAnsi="Times New Roman" w:eastAsia="宋体" w:cs="Times New Roman"/>
                <w:color w:val="auto"/>
                <w:vertAlign w:val="superscript"/>
              </w:rPr>
              <w:t>3</w:t>
            </w:r>
          </w:p>
          <w:tbl>
            <w:tblPr>
              <w:tblStyle w:val="3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534"/>
              <w:gridCol w:w="2512"/>
              <w:gridCol w:w="1042"/>
              <w:gridCol w:w="1302"/>
              <w:gridCol w:w="1063"/>
              <w:gridCol w:w="1285"/>
            </w:tblGrid>
            <w:tr w14:paraId="308C5E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restart"/>
                  <w:tcBorders>
                    <w:tl2br w:val="nil"/>
                    <w:tr2bl w:val="nil"/>
                  </w:tcBorders>
                  <w:noWrap w:val="0"/>
                  <w:vAlign w:val="center"/>
                </w:tcPr>
                <w:p w14:paraId="1DB047B2">
                  <w:pPr>
                    <w:pStyle w:val="80"/>
                    <w:rPr>
                      <w:color w:val="auto"/>
                    </w:rPr>
                  </w:pPr>
                  <w:r>
                    <w:rPr>
                      <w:color w:val="auto"/>
                    </w:rPr>
                    <w:t>类别</w:t>
                  </w:r>
                </w:p>
              </w:tc>
              <w:tc>
                <w:tcPr>
                  <w:tcW w:w="1623" w:type="pct"/>
                  <w:vMerge w:val="restart"/>
                  <w:tcBorders>
                    <w:tl2br w:val="nil"/>
                    <w:tr2bl w:val="nil"/>
                  </w:tcBorders>
                  <w:noWrap w:val="0"/>
                  <w:vAlign w:val="center"/>
                </w:tcPr>
                <w:p w14:paraId="0D26B15B">
                  <w:pPr>
                    <w:pStyle w:val="80"/>
                    <w:rPr>
                      <w:color w:val="auto"/>
                    </w:rPr>
                  </w:pPr>
                  <w:r>
                    <w:rPr>
                      <w:color w:val="auto"/>
                    </w:rPr>
                    <w:t>标准名称及级（类）别</w:t>
                  </w:r>
                </w:p>
              </w:tc>
              <w:tc>
                <w:tcPr>
                  <w:tcW w:w="673" w:type="pct"/>
                  <w:vMerge w:val="restart"/>
                  <w:tcBorders>
                    <w:tl2br w:val="nil"/>
                    <w:tr2bl w:val="nil"/>
                  </w:tcBorders>
                  <w:noWrap w:val="0"/>
                  <w:vAlign w:val="center"/>
                </w:tcPr>
                <w:p w14:paraId="64B1D7B7">
                  <w:pPr>
                    <w:pStyle w:val="80"/>
                    <w:rPr>
                      <w:color w:val="auto"/>
                    </w:rPr>
                  </w:pPr>
                  <w:r>
                    <w:rPr>
                      <w:color w:val="auto"/>
                    </w:rPr>
                    <w:t>污染因子</w:t>
                  </w:r>
                </w:p>
              </w:tc>
              <w:tc>
                <w:tcPr>
                  <w:tcW w:w="2358" w:type="pct"/>
                  <w:gridSpan w:val="3"/>
                  <w:tcBorders>
                    <w:tl2br w:val="nil"/>
                    <w:tr2bl w:val="nil"/>
                  </w:tcBorders>
                  <w:noWrap w:val="0"/>
                  <w:vAlign w:val="center"/>
                </w:tcPr>
                <w:p w14:paraId="6044DB60">
                  <w:pPr>
                    <w:pStyle w:val="80"/>
                    <w:rPr>
                      <w:color w:val="auto"/>
                    </w:rPr>
                  </w:pPr>
                  <w:r>
                    <w:rPr>
                      <w:color w:val="auto"/>
                    </w:rPr>
                    <w:t>标准值</w:t>
                  </w:r>
                </w:p>
              </w:tc>
            </w:tr>
            <w:tr w14:paraId="26B3315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161CA16C">
                  <w:pPr>
                    <w:pStyle w:val="80"/>
                    <w:rPr>
                      <w:color w:val="auto"/>
                    </w:rPr>
                  </w:pPr>
                </w:p>
              </w:tc>
              <w:tc>
                <w:tcPr>
                  <w:tcW w:w="1623" w:type="pct"/>
                  <w:vMerge w:val="continue"/>
                  <w:tcBorders>
                    <w:tl2br w:val="nil"/>
                    <w:tr2bl w:val="nil"/>
                  </w:tcBorders>
                  <w:noWrap w:val="0"/>
                  <w:vAlign w:val="center"/>
                </w:tcPr>
                <w:p w14:paraId="1EC25908">
                  <w:pPr>
                    <w:pStyle w:val="80"/>
                    <w:rPr>
                      <w:color w:val="auto"/>
                    </w:rPr>
                  </w:pPr>
                </w:p>
              </w:tc>
              <w:tc>
                <w:tcPr>
                  <w:tcW w:w="673" w:type="pct"/>
                  <w:vMerge w:val="continue"/>
                  <w:tcBorders>
                    <w:tl2br w:val="nil"/>
                    <w:tr2bl w:val="nil"/>
                  </w:tcBorders>
                  <w:noWrap w:val="0"/>
                  <w:vAlign w:val="center"/>
                </w:tcPr>
                <w:p w14:paraId="276A5A7D">
                  <w:pPr>
                    <w:pStyle w:val="80"/>
                    <w:rPr>
                      <w:color w:val="auto"/>
                    </w:rPr>
                  </w:pPr>
                </w:p>
              </w:tc>
              <w:tc>
                <w:tcPr>
                  <w:tcW w:w="1528" w:type="pct"/>
                  <w:gridSpan w:val="2"/>
                  <w:tcBorders>
                    <w:tl2br w:val="nil"/>
                    <w:tr2bl w:val="nil"/>
                  </w:tcBorders>
                  <w:noWrap w:val="0"/>
                  <w:vAlign w:val="center"/>
                </w:tcPr>
                <w:p w14:paraId="122BB110">
                  <w:pPr>
                    <w:pStyle w:val="80"/>
                    <w:rPr>
                      <w:color w:val="auto"/>
                    </w:rPr>
                  </w:pPr>
                  <w:r>
                    <w:rPr>
                      <w:color w:val="auto"/>
                    </w:rPr>
                    <w:t>单位</w:t>
                  </w:r>
                </w:p>
              </w:tc>
              <w:tc>
                <w:tcPr>
                  <w:tcW w:w="830" w:type="pct"/>
                  <w:tcBorders>
                    <w:tl2br w:val="nil"/>
                    <w:tr2bl w:val="nil"/>
                  </w:tcBorders>
                  <w:noWrap w:val="0"/>
                  <w:vAlign w:val="center"/>
                </w:tcPr>
                <w:p w14:paraId="2E896DFB">
                  <w:pPr>
                    <w:pStyle w:val="80"/>
                    <w:rPr>
                      <w:color w:val="auto"/>
                    </w:rPr>
                  </w:pPr>
                  <w:r>
                    <w:rPr>
                      <w:color w:val="auto"/>
                    </w:rPr>
                    <w:t>数值</w:t>
                  </w:r>
                </w:p>
              </w:tc>
            </w:tr>
            <w:tr w14:paraId="4CBAB4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07FAE682">
                  <w:pPr>
                    <w:pStyle w:val="80"/>
                    <w:rPr>
                      <w:color w:val="auto"/>
                    </w:rPr>
                  </w:pPr>
                </w:p>
              </w:tc>
              <w:tc>
                <w:tcPr>
                  <w:tcW w:w="1623" w:type="pct"/>
                  <w:vMerge w:val="restart"/>
                  <w:tcBorders>
                    <w:tl2br w:val="nil"/>
                    <w:tr2bl w:val="nil"/>
                  </w:tcBorders>
                  <w:noWrap w:val="0"/>
                  <w:vAlign w:val="center"/>
                </w:tcPr>
                <w:p w14:paraId="72F12A45">
                  <w:pPr>
                    <w:pStyle w:val="80"/>
                    <w:rPr>
                      <w:color w:val="auto"/>
                    </w:rPr>
                  </w:pPr>
                  <w:r>
                    <w:rPr>
                      <w:color w:val="auto"/>
                    </w:rPr>
                    <w:t>《大气污染物综合排放标准》</w:t>
                  </w:r>
                </w:p>
                <w:p w14:paraId="75C60735">
                  <w:pPr>
                    <w:pStyle w:val="80"/>
                    <w:rPr>
                      <w:color w:val="auto"/>
                    </w:rPr>
                  </w:pPr>
                  <w:r>
                    <w:rPr>
                      <w:color w:val="auto"/>
                    </w:rPr>
                    <w:t>（GB16297-1996）</w:t>
                  </w:r>
                  <w:r>
                    <w:rPr>
                      <w:rFonts w:hint="eastAsia"/>
                      <w:color w:val="auto"/>
                    </w:rPr>
                    <w:t>无组织排放</w:t>
                  </w:r>
                  <w:r>
                    <w:rPr>
                      <w:color w:val="auto"/>
                    </w:rPr>
                    <w:t>标准要求</w:t>
                  </w:r>
                </w:p>
              </w:tc>
              <w:tc>
                <w:tcPr>
                  <w:tcW w:w="673" w:type="pct"/>
                  <w:tcBorders>
                    <w:tl2br w:val="nil"/>
                    <w:tr2bl w:val="nil"/>
                  </w:tcBorders>
                  <w:noWrap w:val="0"/>
                  <w:vAlign w:val="center"/>
                </w:tcPr>
                <w:p w14:paraId="53DE08B0">
                  <w:pPr>
                    <w:pStyle w:val="80"/>
                    <w:rPr>
                      <w:color w:val="auto"/>
                    </w:rPr>
                  </w:pPr>
                  <w:r>
                    <w:rPr>
                      <w:color w:val="auto"/>
                    </w:rPr>
                    <w:t>颗粒物</w:t>
                  </w:r>
                </w:p>
              </w:tc>
              <w:tc>
                <w:tcPr>
                  <w:tcW w:w="841" w:type="pct"/>
                  <w:tcBorders>
                    <w:tl2br w:val="nil"/>
                    <w:tr2bl w:val="nil"/>
                  </w:tcBorders>
                  <w:noWrap w:val="0"/>
                  <w:vAlign w:val="center"/>
                </w:tcPr>
                <w:p w14:paraId="751BBBE9">
                  <w:pPr>
                    <w:pStyle w:val="80"/>
                    <w:rPr>
                      <w:color w:val="auto"/>
                    </w:rPr>
                  </w:pPr>
                  <w:r>
                    <w:rPr>
                      <w:color w:val="auto"/>
                    </w:rPr>
                    <w:t>无组织</w:t>
                  </w:r>
                </w:p>
              </w:tc>
              <w:tc>
                <w:tcPr>
                  <w:tcW w:w="686" w:type="pct"/>
                  <w:tcBorders>
                    <w:tl2br w:val="nil"/>
                    <w:tr2bl w:val="nil"/>
                  </w:tcBorders>
                  <w:noWrap w:val="0"/>
                  <w:vAlign w:val="center"/>
                </w:tcPr>
                <w:p w14:paraId="1F14B6E1">
                  <w:pPr>
                    <w:pStyle w:val="80"/>
                    <w:rPr>
                      <w:color w:val="auto"/>
                    </w:rPr>
                  </w:pPr>
                  <w:r>
                    <w:rPr>
                      <w:color w:val="auto"/>
                    </w:rPr>
                    <w:t>mg/m</w:t>
                  </w:r>
                  <w:r>
                    <w:rPr>
                      <w:color w:val="auto"/>
                      <w:vertAlign w:val="superscript"/>
                    </w:rPr>
                    <w:t>3</w:t>
                  </w:r>
                </w:p>
              </w:tc>
              <w:tc>
                <w:tcPr>
                  <w:tcW w:w="830" w:type="pct"/>
                  <w:tcBorders>
                    <w:tl2br w:val="nil"/>
                    <w:tr2bl w:val="nil"/>
                  </w:tcBorders>
                  <w:noWrap w:val="0"/>
                  <w:vAlign w:val="center"/>
                </w:tcPr>
                <w:p w14:paraId="3400F071">
                  <w:pPr>
                    <w:pStyle w:val="80"/>
                    <w:rPr>
                      <w:color w:val="auto"/>
                    </w:rPr>
                  </w:pPr>
                  <w:r>
                    <w:rPr>
                      <w:color w:val="auto"/>
                    </w:rPr>
                    <w:t>1.0</w:t>
                  </w:r>
                </w:p>
              </w:tc>
            </w:tr>
            <w:tr w14:paraId="1DA05D6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1C39D9BF">
                  <w:pPr>
                    <w:pStyle w:val="80"/>
                    <w:rPr>
                      <w:color w:val="auto"/>
                    </w:rPr>
                  </w:pPr>
                </w:p>
              </w:tc>
              <w:tc>
                <w:tcPr>
                  <w:tcW w:w="1623" w:type="pct"/>
                  <w:vMerge w:val="continue"/>
                  <w:tcBorders>
                    <w:tl2br w:val="nil"/>
                    <w:tr2bl w:val="nil"/>
                  </w:tcBorders>
                  <w:noWrap w:val="0"/>
                  <w:vAlign w:val="center"/>
                </w:tcPr>
                <w:p w14:paraId="2F58C609">
                  <w:pPr>
                    <w:pStyle w:val="80"/>
                    <w:rPr>
                      <w:color w:val="auto"/>
                    </w:rPr>
                  </w:pPr>
                </w:p>
              </w:tc>
              <w:tc>
                <w:tcPr>
                  <w:tcW w:w="673" w:type="pct"/>
                  <w:tcBorders>
                    <w:tl2br w:val="nil"/>
                    <w:tr2bl w:val="nil"/>
                  </w:tcBorders>
                  <w:noWrap w:val="0"/>
                  <w:vAlign w:val="center"/>
                </w:tcPr>
                <w:p w14:paraId="3D668CBB">
                  <w:pPr>
                    <w:pStyle w:val="80"/>
                    <w:rPr>
                      <w:color w:val="auto"/>
                    </w:rPr>
                  </w:pPr>
                  <w:r>
                    <w:rPr>
                      <w:color w:val="auto"/>
                    </w:rPr>
                    <w:t>非甲烷</w:t>
                  </w:r>
                </w:p>
                <w:p w14:paraId="01B8B861">
                  <w:pPr>
                    <w:pStyle w:val="80"/>
                    <w:rPr>
                      <w:color w:val="auto"/>
                    </w:rPr>
                  </w:pPr>
                  <w:r>
                    <w:rPr>
                      <w:color w:val="auto"/>
                    </w:rPr>
                    <w:t>总烃</w:t>
                  </w:r>
                </w:p>
              </w:tc>
              <w:tc>
                <w:tcPr>
                  <w:tcW w:w="841" w:type="pct"/>
                  <w:tcBorders>
                    <w:tl2br w:val="nil"/>
                    <w:tr2bl w:val="nil"/>
                  </w:tcBorders>
                  <w:noWrap w:val="0"/>
                  <w:vAlign w:val="center"/>
                </w:tcPr>
                <w:p w14:paraId="610D2B60">
                  <w:pPr>
                    <w:pStyle w:val="80"/>
                    <w:rPr>
                      <w:color w:val="auto"/>
                    </w:rPr>
                  </w:pPr>
                  <w:r>
                    <w:rPr>
                      <w:color w:val="auto"/>
                    </w:rPr>
                    <w:t>无组织</w:t>
                  </w:r>
                </w:p>
              </w:tc>
              <w:tc>
                <w:tcPr>
                  <w:tcW w:w="686" w:type="pct"/>
                  <w:tcBorders>
                    <w:tl2br w:val="nil"/>
                    <w:tr2bl w:val="nil"/>
                  </w:tcBorders>
                  <w:noWrap w:val="0"/>
                  <w:vAlign w:val="center"/>
                </w:tcPr>
                <w:p w14:paraId="657F4F5A">
                  <w:pPr>
                    <w:pStyle w:val="80"/>
                    <w:rPr>
                      <w:color w:val="auto"/>
                    </w:rPr>
                  </w:pPr>
                  <w:r>
                    <w:rPr>
                      <w:color w:val="auto"/>
                    </w:rPr>
                    <w:t>mg/m</w:t>
                  </w:r>
                  <w:r>
                    <w:rPr>
                      <w:color w:val="auto"/>
                      <w:vertAlign w:val="superscript"/>
                    </w:rPr>
                    <w:t>3</w:t>
                  </w:r>
                </w:p>
              </w:tc>
              <w:tc>
                <w:tcPr>
                  <w:tcW w:w="830" w:type="pct"/>
                  <w:tcBorders>
                    <w:tl2br w:val="nil"/>
                    <w:tr2bl w:val="nil"/>
                  </w:tcBorders>
                  <w:noWrap w:val="0"/>
                  <w:vAlign w:val="center"/>
                </w:tcPr>
                <w:p w14:paraId="55C1E5E3">
                  <w:pPr>
                    <w:pStyle w:val="80"/>
                    <w:rPr>
                      <w:color w:val="auto"/>
                    </w:rPr>
                  </w:pPr>
                  <w:r>
                    <w:rPr>
                      <w:color w:val="auto"/>
                    </w:rPr>
                    <w:t>4.0</w:t>
                  </w:r>
                </w:p>
              </w:tc>
            </w:tr>
            <w:tr w14:paraId="2123F34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3B40E341">
                  <w:pPr>
                    <w:pStyle w:val="80"/>
                    <w:rPr>
                      <w:color w:val="auto"/>
                    </w:rPr>
                  </w:pPr>
                </w:p>
              </w:tc>
              <w:tc>
                <w:tcPr>
                  <w:tcW w:w="1623" w:type="pct"/>
                  <w:vMerge w:val="continue"/>
                  <w:tcBorders>
                    <w:tl2br w:val="nil"/>
                    <w:tr2bl w:val="nil"/>
                  </w:tcBorders>
                  <w:noWrap w:val="0"/>
                  <w:vAlign w:val="center"/>
                </w:tcPr>
                <w:p w14:paraId="172FB3C3">
                  <w:pPr>
                    <w:pStyle w:val="80"/>
                    <w:rPr>
                      <w:color w:val="auto"/>
                    </w:rPr>
                  </w:pPr>
                </w:p>
              </w:tc>
              <w:tc>
                <w:tcPr>
                  <w:tcW w:w="673" w:type="pct"/>
                  <w:tcBorders>
                    <w:tl2br w:val="nil"/>
                    <w:tr2bl w:val="nil"/>
                  </w:tcBorders>
                  <w:noWrap w:val="0"/>
                  <w:vAlign w:val="center"/>
                </w:tcPr>
                <w:p w14:paraId="5BF792A0">
                  <w:pPr>
                    <w:pStyle w:val="80"/>
                    <w:rPr>
                      <w:color w:val="auto"/>
                    </w:rPr>
                  </w:pPr>
                  <w:r>
                    <w:rPr>
                      <w:color w:val="auto"/>
                    </w:rPr>
                    <w:t>苯并芘</w:t>
                  </w:r>
                </w:p>
              </w:tc>
              <w:tc>
                <w:tcPr>
                  <w:tcW w:w="841" w:type="pct"/>
                  <w:tcBorders>
                    <w:tl2br w:val="nil"/>
                    <w:tr2bl w:val="nil"/>
                  </w:tcBorders>
                  <w:noWrap w:val="0"/>
                  <w:vAlign w:val="center"/>
                </w:tcPr>
                <w:p w14:paraId="2C99EC11">
                  <w:pPr>
                    <w:pStyle w:val="80"/>
                    <w:rPr>
                      <w:color w:val="auto"/>
                    </w:rPr>
                  </w:pPr>
                  <w:r>
                    <w:rPr>
                      <w:color w:val="auto"/>
                    </w:rPr>
                    <w:t>无组织</w:t>
                  </w:r>
                </w:p>
              </w:tc>
              <w:tc>
                <w:tcPr>
                  <w:tcW w:w="686" w:type="pct"/>
                  <w:tcBorders>
                    <w:tl2br w:val="nil"/>
                    <w:tr2bl w:val="nil"/>
                  </w:tcBorders>
                  <w:noWrap w:val="0"/>
                  <w:vAlign w:val="center"/>
                </w:tcPr>
                <w:p w14:paraId="7D30F444">
                  <w:pPr>
                    <w:pStyle w:val="80"/>
                    <w:rPr>
                      <w:color w:val="auto"/>
                    </w:rPr>
                  </w:pPr>
                  <w:r>
                    <w:rPr>
                      <w:color w:val="auto"/>
                    </w:rPr>
                    <w:t>μg/m</w:t>
                  </w:r>
                  <w:r>
                    <w:rPr>
                      <w:color w:val="auto"/>
                      <w:vertAlign w:val="superscript"/>
                    </w:rPr>
                    <w:t>3</w:t>
                  </w:r>
                </w:p>
              </w:tc>
              <w:tc>
                <w:tcPr>
                  <w:tcW w:w="830" w:type="pct"/>
                  <w:tcBorders>
                    <w:tl2br w:val="nil"/>
                    <w:tr2bl w:val="nil"/>
                  </w:tcBorders>
                  <w:noWrap w:val="0"/>
                  <w:vAlign w:val="center"/>
                </w:tcPr>
                <w:p w14:paraId="54864F28">
                  <w:pPr>
                    <w:pStyle w:val="80"/>
                    <w:rPr>
                      <w:color w:val="auto"/>
                    </w:rPr>
                  </w:pPr>
                  <w:r>
                    <w:rPr>
                      <w:color w:val="auto"/>
                    </w:rPr>
                    <w:t>0.008</w:t>
                  </w:r>
                </w:p>
              </w:tc>
            </w:tr>
            <w:tr w14:paraId="39A0992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43928B7F">
                  <w:pPr>
                    <w:pStyle w:val="80"/>
                    <w:rPr>
                      <w:color w:val="auto"/>
                    </w:rPr>
                  </w:pPr>
                </w:p>
              </w:tc>
              <w:tc>
                <w:tcPr>
                  <w:tcW w:w="1623" w:type="pct"/>
                  <w:vMerge w:val="continue"/>
                  <w:tcBorders>
                    <w:tl2br w:val="nil"/>
                    <w:tr2bl w:val="nil"/>
                  </w:tcBorders>
                  <w:noWrap w:val="0"/>
                  <w:vAlign w:val="center"/>
                </w:tcPr>
                <w:p w14:paraId="5DC0B72A">
                  <w:pPr>
                    <w:pStyle w:val="80"/>
                    <w:rPr>
                      <w:color w:val="auto"/>
                    </w:rPr>
                  </w:pPr>
                </w:p>
              </w:tc>
              <w:tc>
                <w:tcPr>
                  <w:tcW w:w="673" w:type="pct"/>
                  <w:tcBorders>
                    <w:tl2br w:val="nil"/>
                    <w:tr2bl w:val="nil"/>
                  </w:tcBorders>
                  <w:noWrap w:val="0"/>
                  <w:vAlign w:val="center"/>
                </w:tcPr>
                <w:p w14:paraId="1F73F6C6">
                  <w:pPr>
                    <w:pStyle w:val="80"/>
                    <w:rPr>
                      <w:color w:val="auto"/>
                    </w:rPr>
                  </w:pPr>
                  <w:r>
                    <w:rPr>
                      <w:color w:val="auto"/>
                    </w:rPr>
                    <w:t>沥青烟</w:t>
                  </w:r>
                </w:p>
              </w:tc>
              <w:tc>
                <w:tcPr>
                  <w:tcW w:w="841" w:type="pct"/>
                  <w:tcBorders>
                    <w:tl2br w:val="nil"/>
                    <w:tr2bl w:val="nil"/>
                  </w:tcBorders>
                  <w:noWrap w:val="0"/>
                  <w:vAlign w:val="center"/>
                </w:tcPr>
                <w:p w14:paraId="5C2B81BE">
                  <w:pPr>
                    <w:pStyle w:val="80"/>
                    <w:rPr>
                      <w:color w:val="auto"/>
                    </w:rPr>
                  </w:pPr>
                  <w:r>
                    <w:rPr>
                      <w:color w:val="auto"/>
                    </w:rPr>
                    <w:t>无组织</w:t>
                  </w:r>
                </w:p>
              </w:tc>
              <w:tc>
                <w:tcPr>
                  <w:tcW w:w="1517" w:type="pct"/>
                  <w:gridSpan w:val="2"/>
                  <w:tcBorders>
                    <w:tl2br w:val="nil"/>
                    <w:tr2bl w:val="nil"/>
                  </w:tcBorders>
                  <w:noWrap w:val="0"/>
                  <w:vAlign w:val="center"/>
                </w:tcPr>
                <w:p w14:paraId="1C8B7BBE">
                  <w:pPr>
                    <w:pStyle w:val="80"/>
                    <w:rPr>
                      <w:color w:val="auto"/>
                    </w:rPr>
                  </w:pPr>
                  <w:r>
                    <w:rPr>
                      <w:color w:val="auto"/>
                    </w:rPr>
                    <w:t>生产设备不得有明显的</w:t>
                  </w:r>
                </w:p>
                <w:p w14:paraId="6E3B4BD6">
                  <w:pPr>
                    <w:pStyle w:val="80"/>
                    <w:rPr>
                      <w:color w:val="auto"/>
                    </w:rPr>
                  </w:pPr>
                  <w:r>
                    <w:rPr>
                      <w:color w:val="auto"/>
                    </w:rPr>
                    <w:t>无组织排放存在</w:t>
                  </w:r>
                </w:p>
              </w:tc>
            </w:tr>
            <w:tr w14:paraId="20F8296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7CB1AFC1">
                  <w:pPr>
                    <w:pStyle w:val="80"/>
                    <w:rPr>
                      <w:color w:val="auto"/>
                    </w:rPr>
                  </w:pPr>
                </w:p>
              </w:tc>
              <w:tc>
                <w:tcPr>
                  <w:tcW w:w="1623" w:type="pct"/>
                  <w:vMerge w:val="restart"/>
                  <w:tcBorders>
                    <w:tl2br w:val="nil"/>
                    <w:tr2bl w:val="nil"/>
                  </w:tcBorders>
                  <w:noWrap w:val="0"/>
                  <w:vAlign w:val="center"/>
                </w:tcPr>
                <w:p w14:paraId="14965E80">
                  <w:pPr>
                    <w:pStyle w:val="80"/>
                    <w:rPr>
                      <w:color w:val="auto"/>
                    </w:rPr>
                  </w:pPr>
                  <w:r>
                    <w:rPr>
                      <w:color w:val="auto"/>
                    </w:rPr>
                    <w:t>《</w:t>
                  </w:r>
                  <w:r>
                    <w:rPr>
                      <w:rFonts w:hint="eastAsia"/>
                      <w:color w:val="auto"/>
                      <w:lang w:val="en-US" w:eastAsia="zh-CN"/>
                    </w:rPr>
                    <w:t>锅炉</w:t>
                  </w:r>
                  <w:r>
                    <w:rPr>
                      <w:color w:val="auto"/>
                    </w:rPr>
                    <w:t>大气污染物排放标准》（GB1</w:t>
                  </w:r>
                  <w:r>
                    <w:rPr>
                      <w:rFonts w:hint="eastAsia"/>
                      <w:color w:val="auto"/>
                      <w:lang w:val="en-US" w:eastAsia="zh-CN"/>
                    </w:rPr>
                    <w:t>3271</w:t>
                  </w:r>
                  <w:r>
                    <w:rPr>
                      <w:color w:val="auto"/>
                    </w:rPr>
                    <w:t>-</w:t>
                  </w:r>
                  <w:r>
                    <w:rPr>
                      <w:rFonts w:hint="eastAsia"/>
                      <w:color w:val="auto"/>
                      <w:lang w:val="en-US" w:eastAsia="zh-CN"/>
                    </w:rPr>
                    <w:t>2014</w:t>
                  </w:r>
                  <w:r>
                    <w:rPr>
                      <w:color w:val="auto"/>
                    </w:rPr>
                    <w:t>）表2标准</w:t>
                  </w:r>
                </w:p>
              </w:tc>
              <w:tc>
                <w:tcPr>
                  <w:tcW w:w="673" w:type="pct"/>
                  <w:tcBorders>
                    <w:tl2br w:val="nil"/>
                    <w:tr2bl w:val="nil"/>
                  </w:tcBorders>
                  <w:noWrap w:val="0"/>
                  <w:vAlign w:val="center"/>
                </w:tcPr>
                <w:p w14:paraId="2DA2796D">
                  <w:pPr>
                    <w:pStyle w:val="80"/>
                    <w:rPr>
                      <w:color w:val="auto"/>
                    </w:rPr>
                  </w:pPr>
                  <w:r>
                    <w:rPr>
                      <w:color w:val="auto"/>
                    </w:rPr>
                    <w:t>氮氧化物</w:t>
                  </w:r>
                </w:p>
              </w:tc>
              <w:tc>
                <w:tcPr>
                  <w:tcW w:w="841" w:type="pct"/>
                  <w:vMerge w:val="restart"/>
                  <w:tcBorders>
                    <w:tl2br w:val="nil"/>
                    <w:tr2bl w:val="nil"/>
                  </w:tcBorders>
                  <w:noWrap w:val="0"/>
                  <w:vAlign w:val="center"/>
                </w:tcPr>
                <w:p w14:paraId="28272F94">
                  <w:pPr>
                    <w:pStyle w:val="80"/>
                    <w:rPr>
                      <w:color w:val="auto"/>
                    </w:rPr>
                  </w:pPr>
                  <w:r>
                    <w:rPr>
                      <w:color w:val="auto"/>
                    </w:rPr>
                    <w:t>1</w:t>
                  </w:r>
                  <w:r>
                    <w:rPr>
                      <w:rFonts w:hint="eastAsia"/>
                      <w:color w:val="auto"/>
                      <w:lang w:val="en-US" w:eastAsia="zh-CN"/>
                    </w:rPr>
                    <w:t>8</w:t>
                  </w:r>
                  <w:r>
                    <w:rPr>
                      <w:color w:val="auto"/>
                    </w:rPr>
                    <w:t>m排气筒</w:t>
                  </w:r>
                </w:p>
              </w:tc>
              <w:tc>
                <w:tcPr>
                  <w:tcW w:w="686" w:type="pct"/>
                  <w:tcBorders>
                    <w:tl2br w:val="nil"/>
                    <w:tr2bl w:val="nil"/>
                  </w:tcBorders>
                  <w:noWrap w:val="0"/>
                  <w:vAlign w:val="center"/>
                </w:tcPr>
                <w:p w14:paraId="0D5CC783">
                  <w:pPr>
                    <w:pStyle w:val="80"/>
                    <w:rPr>
                      <w:color w:val="auto"/>
                    </w:rPr>
                  </w:pPr>
                  <w:r>
                    <w:rPr>
                      <w:color w:val="auto"/>
                    </w:rPr>
                    <w:t>mg/m</w:t>
                  </w:r>
                  <w:r>
                    <w:rPr>
                      <w:color w:val="auto"/>
                      <w:vertAlign w:val="superscript"/>
                    </w:rPr>
                    <w:t>3</w:t>
                  </w:r>
                </w:p>
              </w:tc>
              <w:tc>
                <w:tcPr>
                  <w:tcW w:w="830" w:type="pct"/>
                  <w:tcBorders>
                    <w:tl2br w:val="nil"/>
                    <w:tr2bl w:val="nil"/>
                  </w:tcBorders>
                  <w:noWrap w:val="0"/>
                  <w:vAlign w:val="center"/>
                </w:tcPr>
                <w:p w14:paraId="09053282">
                  <w:pPr>
                    <w:pStyle w:val="80"/>
                    <w:rPr>
                      <w:color w:val="auto"/>
                    </w:rPr>
                  </w:pPr>
                  <w:r>
                    <w:rPr>
                      <w:rFonts w:hint="eastAsia"/>
                      <w:color w:val="auto"/>
                      <w:lang w:val="en-US" w:eastAsia="zh-CN"/>
                    </w:rPr>
                    <w:t>25</w:t>
                  </w:r>
                  <w:r>
                    <w:rPr>
                      <w:color w:val="auto"/>
                    </w:rPr>
                    <w:t>0</w:t>
                  </w:r>
                </w:p>
              </w:tc>
            </w:tr>
            <w:tr w14:paraId="5CB4C6F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2AAE921C">
                  <w:pPr>
                    <w:pStyle w:val="80"/>
                    <w:rPr>
                      <w:color w:val="auto"/>
                    </w:rPr>
                  </w:pPr>
                </w:p>
              </w:tc>
              <w:tc>
                <w:tcPr>
                  <w:tcW w:w="1623" w:type="pct"/>
                  <w:vMerge w:val="continue"/>
                  <w:tcBorders>
                    <w:tl2br w:val="nil"/>
                    <w:tr2bl w:val="nil"/>
                  </w:tcBorders>
                  <w:noWrap w:val="0"/>
                  <w:vAlign w:val="center"/>
                </w:tcPr>
                <w:p w14:paraId="42E62321">
                  <w:pPr>
                    <w:pStyle w:val="80"/>
                    <w:rPr>
                      <w:color w:val="auto"/>
                    </w:rPr>
                  </w:pPr>
                </w:p>
              </w:tc>
              <w:tc>
                <w:tcPr>
                  <w:tcW w:w="673" w:type="pct"/>
                  <w:tcBorders>
                    <w:tl2br w:val="nil"/>
                    <w:tr2bl w:val="nil"/>
                  </w:tcBorders>
                  <w:noWrap w:val="0"/>
                  <w:vAlign w:val="center"/>
                </w:tcPr>
                <w:p w14:paraId="15379698">
                  <w:pPr>
                    <w:pStyle w:val="80"/>
                    <w:rPr>
                      <w:color w:val="auto"/>
                    </w:rPr>
                  </w:pPr>
                  <w:r>
                    <w:rPr>
                      <w:color w:val="auto"/>
                    </w:rPr>
                    <w:t>SO</w:t>
                  </w:r>
                  <w:r>
                    <w:rPr>
                      <w:color w:val="auto"/>
                      <w:vertAlign w:val="subscript"/>
                    </w:rPr>
                    <w:t>2</w:t>
                  </w:r>
                </w:p>
              </w:tc>
              <w:tc>
                <w:tcPr>
                  <w:tcW w:w="841" w:type="pct"/>
                  <w:vMerge w:val="continue"/>
                  <w:tcBorders>
                    <w:tl2br w:val="nil"/>
                    <w:tr2bl w:val="nil"/>
                  </w:tcBorders>
                  <w:noWrap w:val="0"/>
                  <w:vAlign w:val="center"/>
                </w:tcPr>
                <w:p w14:paraId="48B57DC0">
                  <w:pPr>
                    <w:pStyle w:val="80"/>
                    <w:rPr>
                      <w:color w:val="auto"/>
                    </w:rPr>
                  </w:pPr>
                </w:p>
              </w:tc>
              <w:tc>
                <w:tcPr>
                  <w:tcW w:w="686" w:type="pct"/>
                  <w:tcBorders>
                    <w:tl2br w:val="nil"/>
                    <w:tr2bl w:val="nil"/>
                  </w:tcBorders>
                  <w:noWrap w:val="0"/>
                  <w:vAlign w:val="center"/>
                </w:tcPr>
                <w:p w14:paraId="5BC99D6A">
                  <w:pPr>
                    <w:pStyle w:val="80"/>
                    <w:rPr>
                      <w:color w:val="auto"/>
                    </w:rPr>
                  </w:pPr>
                  <w:r>
                    <w:rPr>
                      <w:color w:val="auto"/>
                    </w:rPr>
                    <w:t>mg/m</w:t>
                  </w:r>
                  <w:r>
                    <w:rPr>
                      <w:color w:val="auto"/>
                      <w:vertAlign w:val="superscript"/>
                    </w:rPr>
                    <w:t>3</w:t>
                  </w:r>
                </w:p>
              </w:tc>
              <w:tc>
                <w:tcPr>
                  <w:tcW w:w="830" w:type="pct"/>
                  <w:tcBorders>
                    <w:tl2br w:val="nil"/>
                    <w:tr2bl w:val="nil"/>
                  </w:tcBorders>
                  <w:noWrap w:val="0"/>
                  <w:vAlign w:val="center"/>
                </w:tcPr>
                <w:p w14:paraId="44CC1C7F">
                  <w:pPr>
                    <w:pStyle w:val="80"/>
                    <w:rPr>
                      <w:rFonts w:hint="default" w:eastAsia="宋体"/>
                      <w:color w:val="auto"/>
                      <w:lang w:val="en-US" w:eastAsia="zh-CN"/>
                    </w:rPr>
                  </w:pPr>
                  <w:r>
                    <w:rPr>
                      <w:rFonts w:hint="eastAsia"/>
                      <w:color w:val="auto"/>
                      <w:lang w:val="en-US" w:eastAsia="zh-CN"/>
                    </w:rPr>
                    <w:t>200</w:t>
                  </w:r>
                </w:p>
              </w:tc>
            </w:tr>
            <w:tr w14:paraId="193A0C0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6F64C7B4">
                  <w:pPr>
                    <w:pStyle w:val="80"/>
                    <w:rPr>
                      <w:color w:val="auto"/>
                    </w:rPr>
                  </w:pPr>
                </w:p>
              </w:tc>
              <w:tc>
                <w:tcPr>
                  <w:tcW w:w="1623" w:type="pct"/>
                  <w:vMerge w:val="continue"/>
                  <w:tcBorders>
                    <w:tl2br w:val="nil"/>
                    <w:tr2bl w:val="nil"/>
                  </w:tcBorders>
                  <w:noWrap w:val="0"/>
                  <w:vAlign w:val="center"/>
                </w:tcPr>
                <w:p w14:paraId="4C461DB8">
                  <w:pPr>
                    <w:pStyle w:val="80"/>
                    <w:rPr>
                      <w:color w:val="auto"/>
                    </w:rPr>
                  </w:pPr>
                </w:p>
              </w:tc>
              <w:tc>
                <w:tcPr>
                  <w:tcW w:w="673" w:type="pct"/>
                  <w:tcBorders>
                    <w:tl2br w:val="nil"/>
                    <w:tr2bl w:val="nil"/>
                  </w:tcBorders>
                  <w:noWrap w:val="0"/>
                  <w:vAlign w:val="center"/>
                </w:tcPr>
                <w:p w14:paraId="3C657B4A">
                  <w:pPr>
                    <w:pStyle w:val="80"/>
                    <w:rPr>
                      <w:rFonts w:hint="eastAsia" w:eastAsia="宋体"/>
                      <w:color w:val="auto"/>
                      <w:lang w:val="en-US" w:eastAsia="zh-CN"/>
                    </w:rPr>
                  </w:pPr>
                  <w:r>
                    <w:rPr>
                      <w:rFonts w:hint="eastAsia"/>
                      <w:color w:val="auto"/>
                      <w:lang w:val="en-US" w:eastAsia="zh-CN"/>
                    </w:rPr>
                    <w:t>颗粒物</w:t>
                  </w:r>
                </w:p>
              </w:tc>
              <w:tc>
                <w:tcPr>
                  <w:tcW w:w="841" w:type="pct"/>
                  <w:vMerge w:val="continue"/>
                  <w:tcBorders>
                    <w:tl2br w:val="nil"/>
                    <w:tr2bl w:val="nil"/>
                  </w:tcBorders>
                  <w:noWrap w:val="0"/>
                  <w:vAlign w:val="center"/>
                </w:tcPr>
                <w:p w14:paraId="7F91095E">
                  <w:pPr>
                    <w:pStyle w:val="80"/>
                    <w:rPr>
                      <w:color w:val="auto"/>
                    </w:rPr>
                  </w:pPr>
                </w:p>
              </w:tc>
              <w:tc>
                <w:tcPr>
                  <w:tcW w:w="686" w:type="pct"/>
                  <w:tcBorders>
                    <w:tl2br w:val="nil"/>
                    <w:tr2bl w:val="nil"/>
                  </w:tcBorders>
                  <w:noWrap w:val="0"/>
                  <w:vAlign w:val="center"/>
                </w:tcPr>
                <w:p w14:paraId="660D3F6E">
                  <w:pPr>
                    <w:pStyle w:val="80"/>
                    <w:rPr>
                      <w:color w:val="auto"/>
                    </w:rPr>
                  </w:pPr>
                  <w:r>
                    <w:rPr>
                      <w:color w:val="auto"/>
                    </w:rPr>
                    <w:t>mg/m</w:t>
                  </w:r>
                  <w:r>
                    <w:rPr>
                      <w:color w:val="auto"/>
                      <w:vertAlign w:val="superscript"/>
                    </w:rPr>
                    <w:t>3</w:t>
                  </w:r>
                </w:p>
              </w:tc>
              <w:tc>
                <w:tcPr>
                  <w:tcW w:w="830" w:type="pct"/>
                  <w:tcBorders>
                    <w:tl2br w:val="nil"/>
                    <w:tr2bl w:val="nil"/>
                  </w:tcBorders>
                  <w:noWrap w:val="0"/>
                  <w:vAlign w:val="center"/>
                </w:tcPr>
                <w:p w14:paraId="754120C2">
                  <w:pPr>
                    <w:pStyle w:val="80"/>
                    <w:rPr>
                      <w:rFonts w:hint="default" w:eastAsia="宋体"/>
                      <w:color w:val="auto"/>
                      <w:lang w:val="en-US" w:eastAsia="zh-CN"/>
                    </w:rPr>
                  </w:pPr>
                  <w:r>
                    <w:rPr>
                      <w:rFonts w:hint="eastAsia"/>
                      <w:color w:val="auto"/>
                      <w:lang w:val="en-US" w:eastAsia="zh-CN"/>
                    </w:rPr>
                    <w:t>30</w:t>
                  </w:r>
                </w:p>
              </w:tc>
            </w:tr>
            <w:tr w14:paraId="0DB2BB0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345" w:type="pct"/>
                  <w:vMerge w:val="continue"/>
                  <w:tcBorders>
                    <w:tl2br w:val="nil"/>
                    <w:tr2bl w:val="nil"/>
                  </w:tcBorders>
                  <w:noWrap w:val="0"/>
                  <w:vAlign w:val="center"/>
                </w:tcPr>
                <w:p w14:paraId="0D5EC204">
                  <w:pPr>
                    <w:pStyle w:val="80"/>
                    <w:rPr>
                      <w:color w:val="auto"/>
                    </w:rPr>
                  </w:pPr>
                </w:p>
              </w:tc>
              <w:tc>
                <w:tcPr>
                  <w:tcW w:w="1623" w:type="pct"/>
                  <w:vMerge w:val="continue"/>
                  <w:tcBorders>
                    <w:tl2br w:val="nil"/>
                    <w:tr2bl w:val="nil"/>
                  </w:tcBorders>
                  <w:noWrap w:val="0"/>
                  <w:vAlign w:val="center"/>
                </w:tcPr>
                <w:p w14:paraId="0D2E6D7B">
                  <w:pPr>
                    <w:pStyle w:val="80"/>
                    <w:rPr>
                      <w:color w:val="auto"/>
                    </w:rPr>
                  </w:pPr>
                </w:p>
              </w:tc>
              <w:tc>
                <w:tcPr>
                  <w:tcW w:w="673" w:type="pct"/>
                  <w:tcBorders>
                    <w:tl2br w:val="nil"/>
                    <w:tr2bl w:val="nil"/>
                  </w:tcBorders>
                  <w:noWrap w:val="0"/>
                  <w:vAlign w:val="center"/>
                </w:tcPr>
                <w:p w14:paraId="5E48D1A4">
                  <w:pPr>
                    <w:pStyle w:val="80"/>
                    <w:rPr>
                      <w:rFonts w:hint="default" w:eastAsia="宋体"/>
                      <w:color w:val="auto"/>
                      <w:lang w:val="en-US" w:eastAsia="zh-CN"/>
                    </w:rPr>
                  </w:pPr>
                  <w:r>
                    <w:rPr>
                      <w:rFonts w:hint="eastAsia"/>
                      <w:color w:val="auto"/>
                      <w:lang w:val="en-US" w:eastAsia="zh-CN"/>
                    </w:rPr>
                    <w:t>烟气黑度</w:t>
                  </w:r>
                </w:p>
              </w:tc>
              <w:tc>
                <w:tcPr>
                  <w:tcW w:w="841" w:type="pct"/>
                  <w:vMerge w:val="continue"/>
                  <w:tcBorders>
                    <w:tl2br w:val="nil"/>
                    <w:tr2bl w:val="nil"/>
                  </w:tcBorders>
                  <w:noWrap w:val="0"/>
                  <w:vAlign w:val="center"/>
                </w:tcPr>
                <w:p w14:paraId="485A6188">
                  <w:pPr>
                    <w:pStyle w:val="80"/>
                    <w:rPr>
                      <w:color w:val="auto"/>
                    </w:rPr>
                  </w:pPr>
                </w:p>
              </w:tc>
              <w:tc>
                <w:tcPr>
                  <w:tcW w:w="686" w:type="pct"/>
                  <w:tcBorders>
                    <w:tl2br w:val="nil"/>
                    <w:tr2bl w:val="nil"/>
                  </w:tcBorders>
                  <w:noWrap w:val="0"/>
                  <w:vAlign w:val="center"/>
                </w:tcPr>
                <w:p w14:paraId="0E6973C0">
                  <w:pPr>
                    <w:pStyle w:val="80"/>
                    <w:rPr>
                      <w:rFonts w:hint="eastAsia" w:eastAsia="宋体"/>
                      <w:color w:val="auto"/>
                      <w:lang w:eastAsia="zh-CN"/>
                    </w:rPr>
                  </w:pPr>
                  <w:r>
                    <w:rPr>
                      <w:rFonts w:hint="eastAsia"/>
                      <w:color w:val="auto"/>
                      <w:lang w:val="en-US" w:eastAsia="zh-CN"/>
                    </w:rPr>
                    <w:t>级</w:t>
                  </w:r>
                </w:p>
              </w:tc>
              <w:tc>
                <w:tcPr>
                  <w:tcW w:w="830" w:type="pct"/>
                  <w:tcBorders>
                    <w:tl2br w:val="nil"/>
                    <w:tr2bl w:val="nil"/>
                  </w:tcBorders>
                  <w:noWrap w:val="0"/>
                  <w:vAlign w:val="center"/>
                </w:tcPr>
                <w:p w14:paraId="345E6C41">
                  <w:pPr>
                    <w:pStyle w:val="80"/>
                    <w:rPr>
                      <w:rFonts w:hint="default" w:eastAsia="宋体"/>
                      <w:color w:val="auto"/>
                      <w:lang w:val="en-US" w:eastAsia="zh-CN"/>
                    </w:rPr>
                  </w:pPr>
                  <w:r>
                    <w:rPr>
                      <w:rFonts w:hint="eastAsia"/>
                      <w:color w:val="auto"/>
                      <w:lang w:val="en-US" w:eastAsia="zh-CN"/>
                    </w:rPr>
                    <w:t>≤1</w:t>
                  </w:r>
                </w:p>
              </w:tc>
            </w:tr>
          </w:tbl>
          <w:p w14:paraId="0B584F10">
            <w:pPr>
              <w:pStyle w:val="76"/>
              <w:rPr>
                <w:color w:val="auto"/>
              </w:rPr>
            </w:pPr>
            <w:r>
              <w:rPr>
                <w:rFonts w:hint="eastAsia"/>
                <w:bCs/>
                <w:color w:val="auto"/>
              </w:rPr>
              <w:t>（</w:t>
            </w:r>
            <w:r>
              <w:rPr>
                <w:rFonts w:hint="eastAsia"/>
                <w:bCs/>
                <w:color w:val="auto"/>
                <w:lang w:val="en-US" w:eastAsia="zh-CN"/>
              </w:rPr>
              <w:t>2</w:t>
            </w:r>
            <w:r>
              <w:rPr>
                <w:rFonts w:hint="eastAsia"/>
                <w:bCs/>
                <w:color w:val="auto"/>
              </w:rPr>
              <w:t>）</w:t>
            </w:r>
            <w:r>
              <w:rPr>
                <w:color w:val="auto"/>
              </w:rPr>
              <w:t>噪声</w:t>
            </w:r>
          </w:p>
          <w:p w14:paraId="2E2941A3">
            <w:pPr>
              <w:pStyle w:val="76"/>
              <w:rPr>
                <w:color w:val="auto"/>
              </w:rPr>
            </w:pPr>
            <w:r>
              <w:rPr>
                <w:color w:val="auto"/>
              </w:rPr>
              <w:t>施工期噪声执行</w:t>
            </w:r>
            <w:r>
              <w:rPr>
                <w:rFonts w:hint="eastAsia"/>
                <w:color w:val="auto"/>
                <w:lang w:eastAsia="zh-CN"/>
              </w:rPr>
              <w:t>《建筑施工噪声排放标准》(GB12523一2025)</w:t>
            </w:r>
            <w:r>
              <w:rPr>
                <w:color w:val="auto"/>
              </w:rPr>
              <w:t>。</w:t>
            </w:r>
          </w:p>
          <w:p w14:paraId="60EA471D">
            <w:pPr>
              <w:pStyle w:val="72"/>
              <w:rPr>
                <w:rFonts w:hint="default" w:ascii="Times New Roman" w:hAnsi="Times New Roman" w:eastAsia="宋体" w:cs="Times New Roman"/>
                <w:color w:val="auto"/>
              </w:rPr>
            </w:pPr>
            <w:r>
              <w:rPr>
                <w:rFonts w:hint="default" w:ascii="Times New Roman" w:hAnsi="Times New Roman" w:eastAsia="宋体" w:cs="Times New Roman"/>
                <w:color w:val="auto"/>
              </w:rPr>
              <w:t>表</w:t>
            </w:r>
            <w:r>
              <w:rPr>
                <w:rFonts w:hint="eastAsia" w:ascii="Times New Roman" w:hAnsi="Times New Roman" w:eastAsia="宋体" w:cs="Times New Roman"/>
                <w:color w:val="auto"/>
              </w:rPr>
              <w:t>3-</w:t>
            </w:r>
            <w:r>
              <w:rPr>
                <w:rFonts w:hint="eastAsia" w:ascii="Times New Roman" w:hAnsi="Times New Roman" w:eastAsia="宋体" w:cs="Times New Roman"/>
                <w:color w:val="auto"/>
                <w:lang w:val="en-US" w:eastAsia="zh-CN"/>
              </w:rPr>
              <w:t>7</w:t>
            </w:r>
            <w:r>
              <w:rPr>
                <w:rFonts w:hint="default" w:ascii="Times New Roman" w:hAnsi="Times New Roman" w:eastAsia="宋体" w:cs="Times New Roman"/>
                <w:color w:val="auto"/>
              </w:rPr>
              <w:t xml:space="preserve">  噪声排放标准    单位：dB（A）</w:t>
            </w:r>
          </w:p>
          <w:tbl>
            <w:tblPr>
              <w:tblStyle w:val="31"/>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1162"/>
              <w:gridCol w:w="4984"/>
            </w:tblGrid>
            <w:tr w14:paraId="30D32DF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592" w:type="dxa"/>
                  <w:tcBorders>
                    <w:tl2br w:val="nil"/>
                    <w:tr2bl w:val="nil"/>
                  </w:tcBorders>
                  <w:noWrap w:val="0"/>
                  <w:vAlign w:val="center"/>
                </w:tcPr>
                <w:p w14:paraId="4A92B36C">
                  <w:pPr>
                    <w:pStyle w:val="65"/>
                    <w:spacing w:line="320" w:lineRule="exact"/>
                    <w:rPr>
                      <w:color w:val="auto"/>
                      <w:kern w:val="2"/>
                    </w:rPr>
                  </w:pPr>
                  <w:r>
                    <w:rPr>
                      <w:color w:val="auto"/>
                      <w:kern w:val="2"/>
                    </w:rPr>
                    <w:t>昼间</w:t>
                  </w:r>
                </w:p>
              </w:tc>
              <w:tc>
                <w:tcPr>
                  <w:tcW w:w="1162" w:type="dxa"/>
                  <w:tcBorders>
                    <w:tl2br w:val="nil"/>
                    <w:tr2bl w:val="nil"/>
                  </w:tcBorders>
                  <w:noWrap w:val="0"/>
                  <w:vAlign w:val="center"/>
                </w:tcPr>
                <w:p w14:paraId="1F06658B">
                  <w:pPr>
                    <w:pStyle w:val="65"/>
                    <w:spacing w:line="320" w:lineRule="exact"/>
                    <w:rPr>
                      <w:color w:val="auto"/>
                      <w:kern w:val="2"/>
                    </w:rPr>
                  </w:pPr>
                  <w:r>
                    <w:rPr>
                      <w:color w:val="auto"/>
                      <w:kern w:val="2"/>
                    </w:rPr>
                    <w:t>夜间</w:t>
                  </w:r>
                </w:p>
              </w:tc>
              <w:tc>
                <w:tcPr>
                  <w:tcW w:w="4984" w:type="dxa"/>
                  <w:tcBorders>
                    <w:tl2br w:val="nil"/>
                    <w:tr2bl w:val="nil"/>
                  </w:tcBorders>
                  <w:noWrap w:val="0"/>
                  <w:vAlign w:val="center"/>
                </w:tcPr>
                <w:p w14:paraId="22D54367">
                  <w:pPr>
                    <w:pStyle w:val="65"/>
                    <w:spacing w:line="320" w:lineRule="exact"/>
                    <w:rPr>
                      <w:color w:val="auto"/>
                      <w:kern w:val="2"/>
                    </w:rPr>
                  </w:pPr>
                  <w:r>
                    <w:rPr>
                      <w:color w:val="auto"/>
                      <w:kern w:val="2"/>
                    </w:rPr>
                    <w:t>标准来源</w:t>
                  </w:r>
                </w:p>
              </w:tc>
            </w:tr>
            <w:tr w14:paraId="7A69C77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7" w:hRule="atLeast"/>
                <w:jc w:val="center"/>
              </w:trPr>
              <w:tc>
                <w:tcPr>
                  <w:tcW w:w="1592" w:type="dxa"/>
                  <w:tcBorders>
                    <w:tl2br w:val="nil"/>
                    <w:tr2bl w:val="nil"/>
                  </w:tcBorders>
                  <w:noWrap w:val="0"/>
                  <w:vAlign w:val="center"/>
                </w:tcPr>
                <w:p w14:paraId="0416C9C9">
                  <w:pPr>
                    <w:pStyle w:val="65"/>
                    <w:spacing w:line="320" w:lineRule="exact"/>
                    <w:rPr>
                      <w:rFonts w:hint="eastAsia"/>
                      <w:color w:val="auto"/>
                      <w:kern w:val="2"/>
                    </w:rPr>
                  </w:pPr>
                  <w:r>
                    <w:rPr>
                      <w:color w:val="auto"/>
                      <w:kern w:val="2"/>
                    </w:rPr>
                    <w:t>7</w:t>
                  </w:r>
                  <w:r>
                    <w:rPr>
                      <w:rFonts w:hint="eastAsia"/>
                      <w:color w:val="auto"/>
                      <w:kern w:val="2"/>
                    </w:rPr>
                    <w:t>0</w:t>
                  </w:r>
                </w:p>
              </w:tc>
              <w:tc>
                <w:tcPr>
                  <w:tcW w:w="1162" w:type="dxa"/>
                  <w:tcBorders>
                    <w:tl2br w:val="nil"/>
                    <w:tr2bl w:val="nil"/>
                  </w:tcBorders>
                  <w:noWrap w:val="0"/>
                  <w:vAlign w:val="center"/>
                </w:tcPr>
                <w:p w14:paraId="08CAF3E8">
                  <w:pPr>
                    <w:pStyle w:val="65"/>
                    <w:spacing w:line="320" w:lineRule="exact"/>
                    <w:rPr>
                      <w:rFonts w:hint="eastAsia"/>
                      <w:color w:val="auto"/>
                      <w:kern w:val="2"/>
                    </w:rPr>
                  </w:pPr>
                  <w:r>
                    <w:rPr>
                      <w:color w:val="auto"/>
                      <w:kern w:val="2"/>
                    </w:rPr>
                    <w:t>5</w:t>
                  </w:r>
                  <w:r>
                    <w:rPr>
                      <w:rFonts w:hint="eastAsia"/>
                      <w:color w:val="auto"/>
                      <w:kern w:val="2"/>
                    </w:rPr>
                    <w:t>5</w:t>
                  </w:r>
                </w:p>
              </w:tc>
              <w:tc>
                <w:tcPr>
                  <w:tcW w:w="4984" w:type="dxa"/>
                  <w:tcBorders>
                    <w:tl2br w:val="nil"/>
                    <w:tr2bl w:val="nil"/>
                  </w:tcBorders>
                  <w:noWrap w:val="0"/>
                  <w:vAlign w:val="center"/>
                </w:tcPr>
                <w:p w14:paraId="512E4138">
                  <w:pPr>
                    <w:pStyle w:val="65"/>
                    <w:spacing w:line="320" w:lineRule="exact"/>
                    <w:jc w:val="both"/>
                    <w:rPr>
                      <w:rFonts w:hint="eastAsia" w:eastAsia="宋体"/>
                      <w:color w:val="auto"/>
                      <w:kern w:val="2"/>
                      <w:lang w:eastAsia="zh-CN"/>
                    </w:rPr>
                  </w:pPr>
                  <w:r>
                    <w:rPr>
                      <w:rFonts w:hint="eastAsia"/>
                      <w:color w:val="auto"/>
                      <w:kern w:val="2"/>
                      <w:lang w:eastAsia="zh-CN"/>
                    </w:rPr>
                    <w:t>《建筑施工噪声排放标准》(GB12523一2025)</w:t>
                  </w:r>
                </w:p>
              </w:tc>
            </w:tr>
          </w:tbl>
          <w:p w14:paraId="72385CA3">
            <w:pPr>
              <w:pStyle w:val="76"/>
              <w:rPr>
                <w:color w:val="auto"/>
              </w:rPr>
            </w:pPr>
            <w:r>
              <w:rPr>
                <w:color w:val="auto"/>
              </w:rPr>
              <w:t>本项目运营期养护道班厂界噪声执行《工业企业厂界环境噪声排放标准》（GB 12348-2008）中2、4类标准。</w:t>
            </w:r>
          </w:p>
          <w:p w14:paraId="13F312EC">
            <w:pPr>
              <w:pStyle w:val="76"/>
              <w:rPr>
                <w:color w:val="auto"/>
              </w:rPr>
            </w:pPr>
          </w:p>
          <w:p w14:paraId="5B2CD4D1">
            <w:pPr>
              <w:pStyle w:val="76"/>
              <w:rPr>
                <w:color w:val="auto"/>
              </w:rPr>
            </w:pPr>
          </w:p>
          <w:p w14:paraId="40FE74C2">
            <w:pPr>
              <w:pStyle w:val="72"/>
              <w:rPr>
                <w:rFonts w:hint="eastAsia" w:ascii="宋体" w:hAnsi="宋体" w:eastAsia="宋体" w:cs="宋体"/>
                <w:color w:val="auto"/>
              </w:rPr>
            </w:pPr>
            <w:r>
              <w:rPr>
                <w:rFonts w:hint="eastAsia" w:ascii="宋体" w:hAnsi="宋体" w:eastAsia="宋体" w:cs="宋体"/>
                <w:color w:val="auto"/>
              </w:rPr>
              <w:t>表3-</w:t>
            </w:r>
            <w:r>
              <w:rPr>
                <w:rFonts w:hint="eastAsia" w:ascii="宋体" w:hAnsi="宋体" w:eastAsia="宋体" w:cs="宋体"/>
                <w:color w:val="auto"/>
                <w:lang w:val="en-US" w:eastAsia="zh-CN"/>
              </w:rPr>
              <w:t>8</w:t>
            </w:r>
            <w:r>
              <w:rPr>
                <w:rFonts w:hint="eastAsia" w:ascii="宋体" w:hAnsi="宋体" w:eastAsia="宋体" w:cs="宋体"/>
                <w:color w:val="auto"/>
              </w:rPr>
              <w:t xml:space="preserve"> </w:t>
            </w:r>
            <w:r>
              <w:rPr>
                <w:rFonts w:hint="eastAsia" w:ascii="宋体" w:hAnsi="宋体" w:eastAsia="宋体" w:cs="宋体"/>
                <w:color w:val="auto"/>
                <w:lang w:val="en-US" w:eastAsia="zh-CN"/>
              </w:rPr>
              <w:t xml:space="preserve"> </w:t>
            </w:r>
            <w:r>
              <w:rPr>
                <w:rFonts w:hint="eastAsia" w:ascii="宋体" w:hAnsi="宋体" w:eastAsia="宋体" w:cs="宋体"/>
                <w:color w:val="auto"/>
              </w:rPr>
              <w:t>运营期噪声排放标准    单位：dB（A）</w:t>
            </w:r>
          </w:p>
          <w:tbl>
            <w:tblPr>
              <w:tblStyle w:val="3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2386"/>
              <w:gridCol w:w="819"/>
              <w:gridCol w:w="850"/>
              <w:gridCol w:w="3683"/>
            </w:tblGrid>
            <w:tr w14:paraId="2185136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542" w:type="pct"/>
                  <w:tcBorders>
                    <w:tl2br w:val="nil"/>
                    <w:tr2bl w:val="nil"/>
                  </w:tcBorders>
                  <w:noWrap w:val="0"/>
                  <w:vAlign w:val="center"/>
                </w:tcPr>
                <w:p w14:paraId="56BC06B5">
                  <w:pPr>
                    <w:pStyle w:val="80"/>
                    <w:rPr>
                      <w:color w:val="auto"/>
                    </w:rPr>
                  </w:pPr>
                  <w:r>
                    <w:rPr>
                      <w:color w:val="auto"/>
                    </w:rPr>
                    <w:t>类别</w:t>
                  </w:r>
                </w:p>
              </w:tc>
              <w:tc>
                <w:tcPr>
                  <w:tcW w:w="529" w:type="pct"/>
                  <w:tcBorders>
                    <w:tl2br w:val="nil"/>
                    <w:tr2bl w:val="nil"/>
                  </w:tcBorders>
                  <w:noWrap w:val="0"/>
                  <w:vAlign w:val="center"/>
                </w:tcPr>
                <w:p w14:paraId="4A30875C">
                  <w:pPr>
                    <w:pStyle w:val="80"/>
                    <w:rPr>
                      <w:color w:val="auto"/>
                    </w:rPr>
                  </w:pPr>
                  <w:r>
                    <w:rPr>
                      <w:color w:val="auto"/>
                    </w:rPr>
                    <w:t>昼间</w:t>
                  </w:r>
                </w:p>
              </w:tc>
              <w:tc>
                <w:tcPr>
                  <w:tcW w:w="549" w:type="pct"/>
                  <w:tcBorders>
                    <w:tl2br w:val="nil"/>
                    <w:tr2bl w:val="nil"/>
                  </w:tcBorders>
                  <w:noWrap w:val="0"/>
                  <w:vAlign w:val="center"/>
                </w:tcPr>
                <w:p w14:paraId="570B0066">
                  <w:pPr>
                    <w:pStyle w:val="80"/>
                    <w:rPr>
                      <w:color w:val="auto"/>
                    </w:rPr>
                  </w:pPr>
                  <w:r>
                    <w:rPr>
                      <w:color w:val="auto"/>
                    </w:rPr>
                    <w:t>夜间</w:t>
                  </w:r>
                </w:p>
              </w:tc>
              <w:tc>
                <w:tcPr>
                  <w:tcW w:w="2379" w:type="pct"/>
                  <w:tcBorders>
                    <w:tl2br w:val="nil"/>
                    <w:tr2bl w:val="nil"/>
                  </w:tcBorders>
                  <w:noWrap w:val="0"/>
                  <w:vAlign w:val="center"/>
                </w:tcPr>
                <w:p w14:paraId="4E0A85ED">
                  <w:pPr>
                    <w:pStyle w:val="80"/>
                    <w:rPr>
                      <w:color w:val="auto"/>
                    </w:rPr>
                  </w:pPr>
                  <w:r>
                    <w:rPr>
                      <w:color w:val="auto"/>
                    </w:rPr>
                    <w:t>标准来源</w:t>
                  </w:r>
                </w:p>
              </w:tc>
            </w:tr>
            <w:tr w14:paraId="79056B9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542" w:type="pct"/>
                  <w:tcBorders>
                    <w:tl2br w:val="nil"/>
                    <w:tr2bl w:val="nil"/>
                  </w:tcBorders>
                  <w:noWrap w:val="0"/>
                  <w:vAlign w:val="center"/>
                </w:tcPr>
                <w:p w14:paraId="3C906F99">
                  <w:pPr>
                    <w:pStyle w:val="80"/>
                    <w:rPr>
                      <w:color w:val="auto"/>
                    </w:rPr>
                  </w:pPr>
                  <w:r>
                    <w:rPr>
                      <w:color w:val="auto"/>
                    </w:rPr>
                    <w:t>2类</w:t>
                  </w:r>
                </w:p>
              </w:tc>
              <w:tc>
                <w:tcPr>
                  <w:tcW w:w="529" w:type="pct"/>
                  <w:tcBorders>
                    <w:tl2br w:val="nil"/>
                    <w:tr2bl w:val="nil"/>
                  </w:tcBorders>
                  <w:noWrap w:val="0"/>
                  <w:vAlign w:val="center"/>
                </w:tcPr>
                <w:p w14:paraId="4BA2F700">
                  <w:pPr>
                    <w:pStyle w:val="80"/>
                    <w:rPr>
                      <w:color w:val="auto"/>
                    </w:rPr>
                  </w:pPr>
                  <w:r>
                    <w:rPr>
                      <w:color w:val="auto"/>
                    </w:rPr>
                    <w:t>60</w:t>
                  </w:r>
                </w:p>
              </w:tc>
              <w:tc>
                <w:tcPr>
                  <w:tcW w:w="549" w:type="pct"/>
                  <w:tcBorders>
                    <w:tl2br w:val="nil"/>
                    <w:tr2bl w:val="nil"/>
                  </w:tcBorders>
                  <w:noWrap w:val="0"/>
                  <w:vAlign w:val="center"/>
                </w:tcPr>
                <w:p w14:paraId="6919AF23">
                  <w:pPr>
                    <w:pStyle w:val="80"/>
                    <w:rPr>
                      <w:color w:val="auto"/>
                    </w:rPr>
                  </w:pPr>
                  <w:r>
                    <w:rPr>
                      <w:color w:val="auto"/>
                    </w:rPr>
                    <w:t>50</w:t>
                  </w:r>
                </w:p>
              </w:tc>
              <w:tc>
                <w:tcPr>
                  <w:tcW w:w="2379" w:type="pct"/>
                  <w:vMerge w:val="restart"/>
                  <w:tcBorders>
                    <w:tl2br w:val="nil"/>
                    <w:tr2bl w:val="nil"/>
                  </w:tcBorders>
                  <w:noWrap w:val="0"/>
                  <w:vAlign w:val="center"/>
                </w:tcPr>
                <w:p w14:paraId="4B8A5D26">
                  <w:pPr>
                    <w:pStyle w:val="80"/>
                    <w:rPr>
                      <w:color w:val="auto"/>
                    </w:rPr>
                  </w:pPr>
                  <w:r>
                    <w:rPr>
                      <w:color w:val="auto"/>
                    </w:rPr>
                    <w:t>《工业企业厂界环境噪声排放标准》</w:t>
                  </w:r>
                </w:p>
                <w:p w14:paraId="4BC23953">
                  <w:pPr>
                    <w:pStyle w:val="80"/>
                    <w:rPr>
                      <w:color w:val="auto"/>
                    </w:rPr>
                  </w:pPr>
                  <w:r>
                    <w:rPr>
                      <w:color w:val="auto"/>
                    </w:rPr>
                    <w:t>（GB12348-2008）</w:t>
                  </w:r>
                </w:p>
              </w:tc>
            </w:tr>
            <w:tr w14:paraId="28B0BE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1542" w:type="pct"/>
                  <w:tcBorders>
                    <w:tl2br w:val="nil"/>
                    <w:tr2bl w:val="nil"/>
                  </w:tcBorders>
                  <w:noWrap w:val="0"/>
                  <w:vAlign w:val="center"/>
                </w:tcPr>
                <w:p w14:paraId="66044293">
                  <w:pPr>
                    <w:pStyle w:val="80"/>
                    <w:rPr>
                      <w:color w:val="auto"/>
                    </w:rPr>
                  </w:pPr>
                  <w:r>
                    <w:rPr>
                      <w:color w:val="auto"/>
                    </w:rPr>
                    <w:t>4类（南侧公路</w:t>
                  </w:r>
                  <w:r>
                    <w:rPr>
                      <w:rFonts w:hint="eastAsia"/>
                      <w:color w:val="auto"/>
                    </w:rPr>
                    <w:t>一侧</w:t>
                  </w:r>
                  <w:r>
                    <w:rPr>
                      <w:color w:val="auto"/>
                    </w:rPr>
                    <w:t>）</w:t>
                  </w:r>
                </w:p>
              </w:tc>
              <w:tc>
                <w:tcPr>
                  <w:tcW w:w="529" w:type="pct"/>
                  <w:tcBorders>
                    <w:tl2br w:val="nil"/>
                    <w:tr2bl w:val="nil"/>
                  </w:tcBorders>
                  <w:noWrap w:val="0"/>
                  <w:vAlign w:val="center"/>
                </w:tcPr>
                <w:p w14:paraId="67697A84">
                  <w:pPr>
                    <w:pStyle w:val="80"/>
                    <w:rPr>
                      <w:color w:val="auto"/>
                    </w:rPr>
                  </w:pPr>
                  <w:r>
                    <w:rPr>
                      <w:color w:val="auto"/>
                    </w:rPr>
                    <w:t>70</w:t>
                  </w:r>
                </w:p>
              </w:tc>
              <w:tc>
                <w:tcPr>
                  <w:tcW w:w="549" w:type="pct"/>
                  <w:tcBorders>
                    <w:tl2br w:val="nil"/>
                    <w:tr2bl w:val="nil"/>
                  </w:tcBorders>
                  <w:noWrap w:val="0"/>
                  <w:vAlign w:val="center"/>
                </w:tcPr>
                <w:p w14:paraId="4FD18115">
                  <w:pPr>
                    <w:pStyle w:val="80"/>
                    <w:rPr>
                      <w:color w:val="auto"/>
                    </w:rPr>
                  </w:pPr>
                  <w:r>
                    <w:rPr>
                      <w:color w:val="auto"/>
                    </w:rPr>
                    <w:t>55</w:t>
                  </w:r>
                </w:p>
              </w:tc>
              <w:tc>
                <w:tcPr>
                  <w:tcW w:w="2379" w:type="pct"/>
                  <w:vMerge w:val="continue"/>
                  <w:tcBorders>
                    <w:tl2br w:val="nil"/>
                    <w:tr2bl w:val="nil"/>
                  </w:tcBorders>
                  <w:noWrap w:val="0"/>
                  <w:vAlign w:val="center"/>
                </w:tcPr>
                <w:p w14:paraId="74B015FB">
                  <w:pPr>
                    <w:pStyle w:val="80"/>
                    <w:rPr>
                      <w:color w:val="auto"/>
                    </w:rPr>
                  </w:pPr>
                </w:p>
              </w:tc>
            </w:tr>
          </w:tbl>
          <w:p w14:paraId="0EA30727">
            <w:pPr>
              <w:pStyle w:val="76"/>
              <w:rPr>
                <w:rFonts w:hint="eastAsia"/>
                <w:color w:val="auto"/>
                <w:kern w:val="21"/>
              </w:rPr>
            </w:pPr>
            <w:r>
              <w:rPr>
                <w:rFonts w:hint="eastAsia"/>
                <w:color w:val="auto"/>
              </w:rPr>
              <w:t>（</w:t>
            </w:r>
            <w:r>
              <w:rPr>
                <w:rFonts w:hint="eastAsia"/>
                <w:color w:val="auto"/>
                <w:lang w:val="en-US" w:eastAsia="zh-CN"/>
              </w:rPr>
              <w:t>3</w:t>
            </w:r>
            <w:r>
              <w:rPr>
                <w:rFonts w:hint="eastAsia"/>
                <w:color w:val="auto"/>
              </w:rPr>
              <w:t>）</w:t>
            </w:r>
            <w:r>
              <w:rPr>
                <w:rFonts w:hint="eastAsia"/>
                <w:color w:val="auto"/>
                <w:kern w:val="21"/>
              </w:rPr>
              <w:t>废水</w:t>
            </w:r>
          </w:p>
          <w:p w14:paraId="19FA7571">
            <w:pPr>
              <w:pStyle w:val="76"/>
              <w:rPr>
                <w:color w:val="auto"/>
              </w:rPr>
            </w:pPr>
            <w:r>
              <w:rPr>
                <w:snapToGrid w:val="0"/>
                <w:color w:val="auto"/>
              </w:rPr>
              <w:t>本项目运行期</w:t>
            </w:r>
            <w:r>
              <w:rPr>
                <w:rFonts w:hint="eastAsia"/>
                <w:snapToGrid w:val="0"/>
                <w:color w:val="auto"/>
              </w:rPr>
              <w:t>养护道班</w:t>
            </w:r>
            <w:r>
              <w:rPr>
                <w:snapToGrid w:val="0"/>
                <w:color w:val="auto"/>
              </w:rPr>
              <w:t>废水排入</w:t>
            </w:r>
            <w:r>
              <w:rPr>
                <w:color w:val="auto"/>
              </w:rPr>
              <w:t>防渗化粪池，</w:t>
            </w:r>
            <w:r>
              <w:rPr>
                <w:rFonts w:hint="eastAsia"/>
                <w:color w:val="auto"/>
              </w:rPr>
              <w:t>定期清掏堆肥</w:t>
            </w:r>
            <w:r>
              <w:rPr>
                <w:rFonts w:hint="eastAsia"/>
                <w:color w:val="auto"/>
                <w:lang w:eastAsia="zh-CN"/>
              </w:rPr>
              <w:t>；施工废水设置临时防渗沉淀池处理后，回用于场地降尘</w:t>
            </w:r>
            <w:r>
              <w:rPr>
                <w:color w:val="auto"/>
              </w:rPr>
              <w:t>。</w:t>
            </w:r>
          </w:p>
          <w:p w14:paraId="47535BC2">
            <w:pPr>
              <w:pStyle w:val="76"/>
              <w:rPr>
                <w:color w:val="auto"/>
              </w:rPr>
            </w:pPr>
            <w:r>
              <w:rPr>
                <w:rFonts w:hint="eastAsia"/>
                <w:bCs/>
                <w:color w:val="auto"/>
              </w:rPr>
              <w:t>（</w:t>
            </w:r>
            <w:r>
              <w:rPr>
                <w:rFonts w:hint="eastAsia"/>
                <w:bCs/>
                <w:color w:val="auto"/>
                <w:lang w:val="en-US" w:eastAsia="zh-CN"/>
              </w:rPr>
              <w:t>4</w:t>
            </w:r>
            <w:r>
              <w:rPr>
                <w:rFonts w:hint="eastAsia"/>
                <w:bCs/>
                <w:color w:val="auto"/>
              </w:rPr>
              <w:t>）</w:t>
            </w:r>
            <w:r>
              <w:rPr>
                <w:color w:val="auto"/>
              </w:rPr>
              <w:t>固体废物</w:t>
            </w:r>
          </w:p>
          <w:p w14:paraId="31C52D4F">
            <w:pPr>
              <w:pStyle w:val="76"/>
              <w:rPr>
                <w:color w:val="auto"/>
              </w:rPr>
            </w:pPr>
            <w:r>
              <w:rPr>
                <w:color w:val="auto"/>
              </w:rPr>
              <w:t>固体废物执行《一般工业固体废物贮存和填埋污染控制标准》（GB18599-2020）</w:t>
            </w:r>
            <w:r>
              <w:rPr>
                <w:rFonts w:hint="eastAsia"/>
                <w:color w:val="auto"/>
              </w:rPr>
              <w:t>标准要求</w:t>
            </w:r>
            <w:r>
              <w:rPr>
                <w:color w:val="auto"/>
              </w:rPr>
              <w:t>。</w:t>
            </w:r>
          </w:p>
        </w:tc>
      </w:tr>
      <w:tr w14:paraId="2AA87E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60" w:hRule="atLeast"/>
          <w:jc w:val="center"/>
        </w:trPr>
        <w:tc>
          <w:tcPr>
            <w:tcW w:w="456" w:type="dxa"/>
            <w:noWrap w:val="0"/>
            <w:vAlign w:val="center"/>
          </w:tcPr>
          <w:p w14:paraId="6C95EA8E">
            <w:pPr>
              <w:adjustRightInd w:val="0"/>
              <w:snapToGrid w:val="0"/>
              <w:jc w:val="center"/>
              <w:rPr>
                <w:rFonts w:hint="eastAsia" w:ascii="宋体" w:hAnsi="宋体" w:cs="宋体"/>
                <w:color w:val="auto"/>
                <w:kern w:val="0"/>
              </w:rPr>
            </w:pPr>
            <w:r>
              <w:rPr>
                <w:rFonts w:hint="eastAsia" w:ascii="宋体" w:hAnsi="宋体" w:cs="宋体"/>
                <w:color w:val="auto"/>
                <w:kern w:val="0"/>
              </w:rPr>
              <w:t>其他</w:t>
            </w:r>
          </w:p>
        </w:tc>
        <w:tc>
          <w:tcPr>
            <w:tcW w:w="7954" w:type="dxa"/>
            <w:noWrap w:val="0"/>
            <w:vAlign w:val="center"/>
          </w:tcPr>
          <w:p w14:paraId="6239EC17">
            <w:pPr>
              <w:spacing w:line="500" w:lineRule="exact"/>
              <w:ind w:firstLine="482"/>
              <w:rPr>
                <w:rFonts w:hint="eastAsia"/>
                <w:color w:val="auto"/>
                <w:kern w:val="0"/>
              </w:rPr>
            </w:pPr>
          </w:p>
          <w:p w14:paraId="40BEF58C">
            <w:pPr>
              <w:spacing w:line="500" w:lineRule="exact"/>
              <w:ind w:firstLine="482"/>
              <w:rPr>
                <w:rFonts w:hint="eastAsia"/>
                <w:color w:val="auto"/>
                <w:kern w:val="0"/>
                <w:lang w:eastAsia="zh-CN"/>
              </w:rPr>
            </w:pPr>
          </w:p>
          <w:p w14:paraId="2D73AD09">
            <w:pPr>
              <w:pStyle w:val="23"/>
              <w:rPr>
                <w:rFonts w:hint="eastAsia"/>
                <w:color w:val="auto"/>
                <w:kern w:val="0"/>
                <w:lang w:eastAsia="zh-CN"/>
              </w:rPr>
            </w:pPr>
          </w:p>
          <w:p w14:paraId="37B26D0F">
            <w:pPr>
              <w:rPr>
                <w:rFonts w:hint="eastAsia"/>
                <w:color w:val="auto"/>
                <w:lang w:eastAsia="zh-CN"/>
              </w:rPr>
            </w:pPr>
          </w:p>
          <w:p w14:paraId="297080F9">
            <w:pPr>
              <w:spacing w:line="500" w:lineRule="exact"/>
              <w:ind w:firstLine="482"/>
              <w:rPr>
                <w:rFonts w:hint="eastAsia"/>
                <w:color w:val="auto"/>
                <w:kern w:val="0"/>
              </w:rPr>
            </w:pPr>
            <w:r>
              <w:rPr>
                <w:rFonts w:hint="eastAsia"/>
                <w:color w:val="auto"/>
                <w:kern w:val="0"/>
              </w:rPr>
              <w:t>无</w:t>
            </w:r>
          </w:p>
          <w:p w14:paraId="4C714298">
            <w:pPr>
              <w:pStyle w:val="23"/>
              <w:rPr>
                <w:rFonts w:hint="eastAsia"/>
                <w:color w:val="auto"/>
                <w:kern w:val="0"/>
              </w:rPr>
            </w:pPr>
          </w:p>
          <w:p w14:paraId="55EC6032">
            <w:pPr>
              <w:rPr>
                <w:rFonts w:hint="eastAsia"/>
                <w:color w:val="auto"/>
                <w:kern w:val="0"/>
              </w:rPr>
            </w:pPr>
          </w:p>
          <w:p w14:paraId="16C24663">
            <w:pPr>
              <w:pStyle w:val="2"/>
              <w:rPr>
                <w:rFonts w:hint="eastAsia"/>
                <w:color w:val="auto"/>
                <w:kern w:val="0"/>
              </w:rPr>
            </w:pPr>
          </w:p>
          <w:p w14:paraId="679FE159">
            <w:pPr>
              <w:rPr>
                <w:rFonts w:hint="eastAsia"/>
                <w:color w:val="auto"/>
                <w:kern w:val="0"/>
              </w:rPr>
            </w:pPr>
          </w:p>
          <w:p w14:paraId="7EAABEAB">
            <w:pPr>
              <w:pStyle w:val="2"/>
              <w:rPr>
                <w:rFonts w:hint="eastAsia"/>
                <w:color w:val="auto"/>
                <w:kern w:val="0"/>
              </w:rPr>
            </w:pPr>
          </w:p>
          <w:p w14:paraId="7622324A">
            <w:pPr>
              <w:rPr>
                <w:rFonts w:hint="eastAsia"/>
                <w:color w:val="auto"/>
                <w:kern w:val="0"/>
              </w:rPr>
            </w:pPr>
          </w:p>
          <w:p w14:paraId="2E2017EF">
            <w:pPr>
              <w:pStyle w:val="2"/>
              <w:rPr>
                <w:rFonts w:hint="eastAsia"/>
                <w:color w:val="auto"/>
                <w:kern w:val="0"/>
              </w:rPr>
            </w:pPr>
          </w:p>
          <w:p w14:paraId="54775490">
            <w:pPr>
              <w:rPr>
                <w:rFonts w:hint="eastAsia"/>
                <w:color w:val="auto"/>
                <w:kern w:val="0"/>
              </w:rPr>
            </w:pPr>
          </w:p>
          <w:p w14:paraId="583D3EB8">
            <w:pPr>
              <w:pStyle w:val="2"/>
              <w:rPr>
                <w:rFonts w:hint="eastAsia"/>
                <w:color w:val="auto"/>
              </w:rPr>
            </w:pPr>
          </w:p>
          <w:p w14:paraId="5D914C71">
            <w:pPr>
              <w:pStyle w:val="23"/>
              <w:rPr>
                <w:color w:val="auto"/>
              </w:rPr>
            </w:pPr>
          </w:p>
          <w:p w14:paraId="65AC7627">
            <w:pPr>
              <w:rPr>
                <w:color w:val="auto"/>
              </w:rPr>
            </w:pPr>
          </w:p>
          <w:p w14:paraId="7609A708">
            <w:pPr>
              <w:pStyle w:val="23"/>
              <w:rPr>
                <w:color w:val="auto"/>
              </w:rPr>
            </w:pPr>
          </w:p>
          <w:p w14:paraId="1C2B6C12">
            <w:pPr>
              <w:rPr>
                <w:color w:val="auto"/>
              </w:rPr>
            </w:pPr>
          </w:p>
        </w:tc>
      </w:tr>
    </w:tbl>
    <w:p w14:paraId="3B8B0A56">
      <w:pPr>
        <w:rPr>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140B6402">
      <w:pPr>
        <w:pStyle w:val="26"/>
        <w:spacing w:before="0" w:beforeAutospacing="0" w:after="120" w:afterLines="50" w:afterAutospacing="0"/>
        <w:jc w:val="center"/>
        <w:outlineLvl w:val="0"/>
        <w:rPr>
          <w:rFonts w:ascii="黑体" w:hAnsi="黑体" w:eastAsia="黑体"/>
          <w:snapToGrid w:val="0"/>
          <w:color w:val="auto"/>
          <w:kern w:val="21"/>
          <w:sz w:val="30"/>
          <w:szCs w:val="30"/>
          <w:highlight w:val="none"/>
        </w:rPr>
      </w:pPr>
      <w:bookmarkStart w:id="14" w:name="_Toc23563"/>
      <w:r>
        <w:rPr>
          <w:rFonts w:hint="eastAsia" w:ascii="黑体" w:hAnsi="黑体" w:eastAsia="黑体"/>
          <w:snapToGrid w:val="0"/>
          <w:color w:val="auto"/>
          <w:kern w:val="21"/>
          <w:sz w:val="30"/>
          <w:szCs w:val="30"/>
          <w:highlight w:val="none"/>
        </w:rPr>
        <w:t>四、生态环境影响分析</w:t>
      </w:r>
      <w:bookmarkEnd w:id="14"/>
    </w:p>
    <w:tbl>
      <w:tblPr>
        <w:tblStyle w:val="31"/>
        <w:tblW w:w="899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8187"/>
      </w:tblGrid>
      <w:tr w14:paraId="7A6393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732" w:hRule="atLeast"/>
          <w:jc w:val="center"/>
        </w:trPr>
        <w:tc>
          <w:tcPr>
            <w:tcW w:w="812" w:type="dxa"/>
            <w:noWrap w:val="0"/>
            <w:tcMar>
              <w:left w:w="28" w:type="dxa"/>
              <w:right w:w="28" w:type="dxa"/>
            </w:tcMar>
            <w:vAlign w:val="center"/>
          </w:tcPr>
          <w:p w14:paraId="163927C5">
            <w:pPr>
              <w:pStyle w:val="26"/>
              <w:adjustRightInd w:val="0"/>
              <w:snapToGrid w:val="0"/>
              <w:spacing w:before="0" w:beforeAutospacing="0" w:after="0" w:afterAutospacing="0"/>
              <w:jc w:val="center"/>
              <w:rPr>
                <w:rFonts w:hint="eastAsia" w:cs="宋体"/>
                <w:bCs/>
                <w:color w:val="auto"/>
                <w:kern w:val="2"/>
              </w:rPr>
            </w:pPr>
            <w:bookmarkStart w:id="15" w:name="_Hlk49796138"/>
            <w:r>
              <w:rPr>
                <w:rFonts w:hint="eastAsia" w:cs="宋体"/>
                <w:bCs/>
                <w:color w:val="auto"/>
                <w:spacing w:val="10"/>
                <w:kern w:val="2"/>
              </w:rPr>
              <w:t>施工期生态环境影响分析</w:t>
            </w:r>
            <w:bookmarkEnd w:id="15"/>
          </w:p>
        </w:tc>
        <w:tc>
          <w:tcPr>
            <w:tcW w:w="8187" w:type="dxa"/>
            <w:noWrap w:val="0"/>
            <w:vAlign w:val="top"/>
          </w:tcPr>
          <w:p w14:paraId="6835E49A">
            <w:pPr>
              <w:ind w:firstLine="422"/>
              <w:rPr>
                <w:b/>
                <w:bCs/>
                <w:color w:val="auto"/>
              </w:rPr>
            </w:pPr>
            <w:r>
              <w:rPr>
                <w:b/>
                <w:bCs/>
                <w:color w:val="auto"/>
              </w:rPr>
              <w:t>1</w:t>
            </w:r>
            <w:r>
              <w:rPr>
                <w:rFonts w:hint="eastAsia"/>
                <w:b/>
                <w:bCs/>
                <w:color w:val="auto"/>
              </w:rPr>
              <w:t>.</w:t>
            </w:r>
            <w:r>
              <w:rPr>
                <w:b/>
                <w:bCs/>
                <w:color w:val="auto"/>
              </w:rPr>
              <w:t>生态环境</w:t>
            </w:r>
          </w:p>
          <w:p w14:paraId="7AD4B4BC">
            <w:pPr>
              <w:ind w:firstLine="420"/>
              <w:rPr>
                <w:color w:val="auto"/>
              </w:rPr>
            </w:pPr>
            <w:r>
              <w:rPr>
                <w:color w:val="auto"/>
              </w:rPr>
              <w:t>本项目为线性工程，其生态影响主要体现在施工期。施工期生态影响主要体现在占地方面，本工程</w:t>
            </w:r>
            <w:r>
              <w:rPr>
                <w:rFonts w:hint="eastAsia"/>
                <w:color w:val="auto"/>
                <w:lang w:val="en-US" w:eastAsia="zh-CN"/>
              </w:rPr>
              <w:t>无</w:t>
            </w:r>
            <w:r>
              <w:rPr>
                <w:rFonts w:hint="eastAsia"/>
                <w:color w:val="auto"/>
              </w:rPr>
              <w:t>新增永久占地</w:t>
            </w:r>
            <w:r>
              <w:rPr>
                <w:rFonts w:hint="eastAsia"/>
                <w:color w:val="auto"/>
                <w:lang w:eastAsia="zh-CN"/>
              </w:rPr>
              <w:t>，</w:t>
            </w:r>
            <w:r>
              <w:rPr>
                <w:rFonts w:hint="eastAsia"/>
                <w:color w:val="auto"/>
                <w:lang w:val="en-US" w:eastAsia="zh-CN"/>
              </w:rPr>
              <w:t>施工期间不设施工便道，临时占地</w:t>
            </w:r>
            <w:r>
              <w:rPr>
                <w:rFonts w:hint="eastAsia"/>
                <w:color w:val="auto"/>
              </w:rPr>
              <w:t>工程</w:t>
            </w:r>
            <w:r>
              <w:rPr>
                <w:rFonts w:hint="eastAsia"/>
                <w:color w:val="auto"/>
                <w:lang w:val="en-US" w:eastAsia="zh-CN"/>
              </w:rPr>
              <w:t>包括</w:t>
            </w:r>
            <w:r>
              <w:rPr>
                <w:color w:val="auto"/>
              </w:rPr>
              <w:t>施工驻地</w:t>
            </w:r>
            <w:r>
              <w:rPr>
                <w:rFonts w:hint="eastAsia"/>
                <w:color w:val="auto"/>
              </w:rPr>
              <w:t>、</w:t>
            </w:r>
            <w:r>
              <w:rPr>
                <w:rFonts w:hint="eastAsia"/>
                <w:color w:val="auto"/>
                <w:lang w:val="en-US" w:eastAsia="zh-CN"/>
              </w:rPr>
              <w:t>沥青混凝土拌合站</w:t>
            </w:r>
            <w:r>
              <w:rPr>
                <w:rFonts w:hint="eastAsia"/>
                <w:color w:val="auto"/>
                <w:lang w:eastAsia="zh-CN"/>
              </w:rPr>
              <w:t>，</w:t>
            </w:r>
            <w:r>
              <w:rPr>
                <w:rFonts w:hint="eastAsia"/>
                <w:color w:val="auto"/>
                <w:lang w:val="en-US" w:eastAsia="zh-CN"/>
              </w:rPr>
              <w:t>其中施工驻地</w:t>
            </w:r>
            <w:r>
              <w:rPr>
                <w:rFonts w:hint="eastAsia"/>
                <w:color w:val="auto"/>
              </w:rPr>
              <w:t>占地面积</w:t>
            </w:r>
            <w:r>
              <w:rPr>
                <w:rFonts w:hint="eastAsia"/>
                <w:color w:val="auto"/>
                <w:lang w:val="en-US" w:eastAsia="zh-CN"/>
              </w:rPr>
              <w:t>约2600</w:t>
            </w:r>
            <w:r>
              <w:rPr>
                <w:rFonts w:hint="eastAsia"/>
                <w:color w:val="auto"/>
              </w:rPr>
              <w:t>m</w:t>
            </w:r>
            <w:r>
              <w:rPr>
                <w:rFonts w:hint="eastAsia"/>
                <w:color w:val="auto"/>
                <w:vertAlign w:val="superscript"/>
              </w:rPr>
              <w:t>2</w:t>
            </w:r>
            <w:r>
              <w:rPr>
                <w:rFonts w:hint="eastAsia" w:cs="宋体"/>
                <w:color w:val="auto"/>
                <w:kern w:val="0"/>
                <w:lang w:bidi="ar"/>
              </w:rPr>
              <w:t>，</w:t>
            </w:r>
            <w:r>
              <w:rPr>
                <w:rFonts w:hint="eastAsia"/>
                <w:color w:val="auto"/>
              </w:rPr>
              <w:t>租赁现有闲置</w:t>
            </w:r>
            <w:r>
              <w:rPr>
                <w:rFonts w:hint="eastAsia" w:ascii="Times New Roman" w:hAnsi="Times New Roman" w:eastAsia="宋体" w:cs="Times New Roman"/>
                <w:color w:val="auto"/>
              </w:rPr>
              <w:t>场地，地类为工业用地</w:t>
            </w:r>
            <w:r>
              <w:rPr>
                <w:rFonts w:hint="eastAsia" w:ascii="Times New Roman" w:hAnsi="Times New Roman" w:eastAsia="宋体" w:cs="Times New Roman"/>
                <w:color w:val="auto"/>
                <w:lang w:eastAsia="zh-CN"/>
              </w:rPr>
              <w:t>；</w:t>
            </w:r>
            <w:r>
              <w:rPr>
                <w:rFonts w:hint="eastAsia" w:cs="Times New Roman"/>
                <w:color w:val="auto"/>
                <w:lang w:val="en-US" w:eastAsia="zh-CN"/>
              </w:rPr>
              <w:t>沥青混凝土拌合站</w:t>
            </w:r>
            <w:r>
              <w:rPr>
                <w:rFonts w:hint="eastAsia" w:ascii="Times New Roman" w:hAnsi="Times New Roman" w:eastAsia="宋体" w:cs="Times New Roman"/>
                <w:color w:val="auto"/>
              </w:rPr>
              <w:t>占地面积</w:t>
            </w:r>
            <w:r>
              <w:rPr>
                <w:rFonts w:hint="eastAsia" w:ascii="Times New Roman" w:hAnsi="Times New Roman" w:eastAsia="宋体" w:cs="Times New Roman"/>
                <w:color w:val="auto"/>
                <w:lang w:val="en-US" w:eastAsia="zh-CN"/>
              </w:rPr>
              <w:t>约</w:t>
            </w:r>
            <w:r>
              <w:rPr>
                <w:rFonts w:hint="eastAsia" w:cs="Times New Roman"/>
                <w:color w:val="auto"/>
                <w:lang w:val="en-US" w:eastAsia="zh-CN"/>
              </w:rPr>
              <w:t>36</w:t>
            </w:r>
            <w:r>
              <w:rPr>
                <w:rFonts w:ascii="Times New Roman" w:hAnsi="Times New Roman" w:eastAsia="宋体" w:cs="Times New Roman"/>
                <w:color w:val="auto"/>
              </w:rPr>
              <w:t>000</w:t>
            </w:r>
            <w:r>
              <w:rPr>
                <w:rFonts w:hint="eastAsia" w:ascii="Times New Roman" w:hAnsi="Times New Roman" w:eastAsia="宋体" w:cs="Times New Roman"/>
                <w:color w:val="auto"/>
              </w:rPr>
              <w:t>m</w:t>
            </w:r>
            <w:r>
              <w:rPr>
                <w:rFonts w:hint="eastAsia" w:ascii="Times New Roman" w:hAnsi="Times New Roman" w:eastAsia="宋体" w:cs="Times New Roman"/>
                <w:color w:val="auto"/>
                <w:vertAlign w:val="superscript"/>
              </w:rPr>
              <w:t>2</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租赁现有</w:t>
            </w:r>
            <w:r>
              <w:rPr>
                <w:rFonts w:hint="eastAsia" w:cs="Times New Roman"/>
                <w:color w:val="auto"/>
                <w:lang w:val="en-US" w:eastAsia="zh-CN"/>
              </w:rPr>
              <w:t>沥青混凝土拌合站</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地类为</w:t>
            </w:r>
            <w:r>
              <w:rPr>
                <w:rFonts w:hint="eastAsia" w:ascii="Times New Roman" w:hAnsi="Times New Roman" w:eastAsia="宋体" w:cs="Times New Roman"/>
                <w:color w:val="auto"/>
                <w:lang w:val="en-US" w:eastAsia="zh-CN"/>
              </w:rPr>
              <w:t>工业用地</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工程占地范围内未发现重要野生植物及重要野生动物栖息地分布。</w:t>
            </w:r>
            <w:r>
              <w:rPr>
                <w:rFonts w:ascii="Times New Roman" w:hAnsi="Times New Roman" w:eastAsia="宋体" w:cs="Times New Roman"/>
                <w:color w:val="auto"/>
              </w:rPr>
              <w:t>项目建设</w:t>
            </w:r>
            <w:r>
              <w:rPr>
                <w:rFonts w:hint="eastAsia" w:ascii="Times New Roman" w:hAnsi="Times New Roman" w:eastAsia="宋体" w:cs="Times New Roman"/>
                <w:color w:val="auto"/>
                <w:lang w:val="en-US" w:eastAsia="zh-CN"/>
              </w:rPr>
              <w:t>不会</w:t>
            </w:r>
            <w:r>
              <w:rPr>
                <w:rFonts w:ascii="Times New Roman" w:hAnsi="Times New Roman" w:eastAsia="宋体" w:cs="Times New Roman"/>
                <w:color w:val="auto"/>
              </w:rPr>
              <w:t>造成生物量的永久损失，</w:t>
            </w:r>
            <w:r>
              <w:rPr>
                <w:rFonts w:hint="eastAsia" w:ascii="Times New Roman" w:hAnsi="Times New Roman" w:eastAsia="宋体" w:cs="Times New Roman"/>
                <w:color w:val="auto"/>
                <w:lang w:val="en-US" w:eastAsia="zh-CN"/>
              </w:rPr>
              <w:t>施工过程中产生的扬尘、施工噪声等会对周边植被生长、动物生活产生</w:t>
            </w:r>
            <w:r>
              <w:rPr>
                <w:rFonts w:ascii="Times New Roman" w:hAnsi="Times New Roman" w:eastAsia="宋体" w:cs="Times New Roman"/>
                <w:color w:val="auto"/>
              </w:rPr>
              <w:t>一定程度</w:t>
            </w:r>
            <w:r>
              <w:rPr>
                <w:rFonts w:hint="eastAsia" w:ascii="Times New Roman" w:hAnsi="Times New Roman" w:eastAsia="宋体" w:cs="Times New Roman"/>
                <w:color w:val="auto"/>
                <w:lang w:val="en-US" w:eastAsia="zh-CN"/>
              </w:rPr>
              <w:t>的影响</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桥梁</w:t>
            </w:r>
            <w:r>
              <w:rPr>
                <w:rFonts w:hint="eastAsia" w:ascii="Times New Roman" w:hAnsi="Times New Roman" w:eastAsia="宋体" w:cs="Times New Roman"/>
                <w:color w:val="auto"/>
              </w:rPr>
              <w:t>维修锥坡砌体</w:t>
            </w:r>
            <w:r>
              <w:rPr>
                <w:rFonts w:hint="eastAsia" w:ascii="Times New Roman" w:hAnsi="Times New Roman" w:eastAsia="宋体" w:cs="Times New Roman"/>
                <w:color w:val="auto"/>
                <w:lang w:val="en-US" w:eastAsia="zh-CN"/>
              </w:rPr>
              <w:t>和</w:t>
            </w:r>
            <w:r>
              <w:rPr>
                <w:rFonts w:hint="eastAsia" w:ascii="Times New Roman" w:hAnsi="Times New Roman" w:eastAsia="宋体" w:cs="Times New Roman"/>
                <w:color w:val="auto"/>
              </w:rPr>
              <w:t>侧脚</w:t>
            </w:r>
            <w:r>
              <w:rPr>
                <w:rFonts w:hint="eastAsia" w:ascii="Times New Roman" w:hAnsi="Times New Roman" w:eastAsia="宋体" w:cs="Times New Roman"/>
                <w:color w:val="auto"/>
                <w:lang w:val="en-US" w:eastAsia="zh-CN"/>
              </w:rPr>
              <w:t>，施工过程</w:t>
            </w:r>
            <w:r>
              <w:rPr>
                <w:rFonts w:hint="eastAsia" w:ascii="Times New Roman" w:hAnsi="Times New Roman" w:eastAsia="宋体" w:cs="Times New Roman"/>
                <w:color w:val="auto"/>
              </w:rPr>
              <w:t>导致水体中悬浮物增加</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对水生生物产生一定的影响。本项目</w:t>
            </w:r>
            <w:r>
              <w:rPr>
                <w:rFonts w:ascii="Times New Roman" w:hAnsi="Times New Roman" w:eastAsia="宋体" w:cs="Times New Roman"/>
                <w:color w:val="auto"/>
              </w:rPr>
              <w:t>通过采</w:t>
            </w:r>
            <w:r>
              <w:rPr>
                <w:color w:val="auto"/>
              </w:rPr>
              <w:t>取相应的</w:t>
            </w:r>
            <w:r>
              <w:rPr>
                <w:rFonts w:hint="eastAsia"/>
                <w:color w:val="auto"/>
                <w:lang w:val="en-US" w:eastAsia="zh-CN"/>
              </w:rPr>
              <w:t>污染防治措施，</w:t>
            </w:r>
            <w:r>
              <w:rPr>
                <w:color w:val="auto"/>
              </w:rPr>
              <w:t>可减缓本项目建设带来的不良影响。从区域角度看，本项目</w:t>
            </w:r>
            <w:r>
              <w:rPr>
                <w:rFonts w:hint="eastAsia"/>
                <w:color w:val="auto"/>
                <w:lang w:val="en-US" w:eastAsia="zh-CN"/>
              </w:rPr>
              <w:t>施工期间对外环境影响较小</w:t>
            </w:r>
            <w:r>
              <w:rPr>
                <w:color w:val="auto"/>
              </w:rPr>
              <w:t>，项目建设不会对生态系统的稳定性产生不利影响。</w:t>
            </w:r>
          </w:p>
          <w:p w14:paraId="4DFC6520">
            <w:pPr>
              <w:ind w:firstLine="420"/>
              <w:rPr>
                <w:color w:val="auto"/>
              </w:rPr>
            </w:pPr>
            <w:r>
              <w:rPr>
                <w:color w:val="auto"/>
              </w:rPr>
              <w:t>生态环境影响分析详见生态环境影响评价专题报告。</w:t>
            </w:r>
          </w:p>
          <w:p w14:paraId="0FBBDD0D">
            <w:pPr>
              <w:ind w:firstLine="420"/>
              <w:rPr>
                <w:color w:val="auto"/>
                <w:lang w:val="zh-CN"/>
              </w:rPr>
            </w:pPr>
            <w:r>
              <w:rPr>
                <w:rFonts w:hint="eastAsia"/>
                <w:color w:val="auto"/>
              </w:rPr>
              <w:t>2.</w:t>
            </w:r>
            <w:r>
              <w:rPr>
                <w:color w:val="auto"/>
                <w:lang w:val="zh-CN"/>
              </w:rPr>
              <w:t>噪声</w:t>
            </w:r>
          </w:p>
          <w:p w14:paraId="2333F1F0">
            <w:pPr>
              <w:ind w:firstLine="420"/>
              <w:rPr>
                <w:color w:val="auto"/>
              </w:rPr>
            </w:pPr>
            <w:r>
              <w:rPr>
                <w:color w:val="auto"/>
              </w:rPr>
              <w:t>本项目施工期噪声影响主要体现在施工机械对沿线居民的影响。根据预测结果，</w:t>
            </w:r>
            <w:r>
              <w:rPr>
                <w:rFonts w:hint="eastAsia"/>
                <w:color w:val="auto"/>
              </w:rPr>
              <w:t>部分敏感点</w:t>
            </w:r>
            <w:r>
              <w:rPr>
                <w:color w:val="auto"/>
              </w:rPr>
              <w:t>噪声无法满足</w:t>
            </w:r>
            <w:r>
              <w:rPr>
                <w:rFonts w:hint="eastAsia"/>
                <w:color w:val="auto"/>
              </w:rPr>
              <w:t>《声环境质量标准》（GB3096-2008）中</w:t>
            </w:r>
            <w:r>
              <w:rPr>
                <w:rFonts w:hint="eastAsia"/>
                <w:color w:val="auto"/>
                <w:lang w:val="en-US" w:eastAsia="zh-CN"/>
              </w:rPr>
              <w:t>4a</w:t>
            </w:r>
            <w:r>
              <w:rPr>
                <w:rFonts w:hint="eastAsia"/>
                <w:color w:val="auto"/>
              </w:rPr>
              <w:t>类</w:t>
            </w:r>
            <w:r>
              <w:rPr>
                <w:color w:val="auto"/>
              </w:rPr>
              <w:t>标准要求，</w:t>
            </w:r>
            <w:r>
              <w:rPr>
                <w:rFonts w:hint="eastAsia"/>
                <w:color w:val="auto"/>
              </w:rPr>
              <w:t>昼间最大超标量为</w:t>
            </w:r>
            <w:r>
              <w:rPr>
                <w:rFonts w:hint="eastAsia"/>
                <w:color w:val="auto"/>
                <w:lang w:val="en-US" w:eastAsia="zh-CN"/>
              </w:rPr>
              <w:t>4.9</w:t>
            </w:r>
            <w:r>
              <w:rPr>
                <w:color w:val="auto"/>
              </w:rPr>
              <w:t>dB(A)</w:t>
            </w:r>
            <w:r>
              <w:rPr>
                <w:rFonts w:hint="eastAsia"/>
                <w:color w:val="auto"/>
              </w:rPr>
              <w:t>，夜间最大超标量为</w:t>
            </w:r>
            <w:r>
              <w:rPr>
                <w:rFonts w:hint="eastAsia"/>
                <w:color w:val="auto"/>
                <w:lang w:val="en-US" w:eastAsia="zh-CN"/>
              </w:rPr>
              <w:t>9.55</w:t>
            </w:r>
            <w:r>
              <w:rPr>
                <w:color w:val="auto"/>
              </w:rPr>
              <w:t>dB(A)</w:t>
            </w:r>
            <w:r>
              <w:rPr>
                <w:rFonts w:hint="eastAsia"/>
                <w:color w:val="auto"/>
              </w:rPr>
              <w:t>，</w:t>
            </w:r>
            <w:r>
              <w:rPr>
                <w:color w:val="auto"/>
              </w:rPr>
              <w:t>禁止夜间施工（6：00-22：00）</w:t>
            </w:r>
            <w:r>
              <w:rPr>
                <w:rFonts w:hint="eastAsia"/>
                <w:color w:val="auto"/>
              </w:rPr>
              <w:t>，</w:t>
            </w:r>
            <w:r>
              <w:rPr>
                <w:color w:val="auto"/>
              </w:rPr>
              <w:t>施工场界设置</w:t>
            </w:r>
            <w:r>
              <w:rPr>
                <w:rFonts w:hint="eastAsia"/>
                <w:color w:val="auto"/>
              </w:rPr>
              <w:t>移动式隔声、防尘挡板</w:t>
            </w:r>
            <w:r>
              <w:rPr>
                <w:color w:val="auto"/>
              </w:rPr>
              <w:t>，弱化施工噪声对居民影响</w:t>
            </w:r>
            <w:r>
              <w:rPr>
                <w:rFonts w:hint="eastAsia"/>
                <w:color w:val="auto"/>
              </w:rPr>
              <w:t>。采取措施后</w:t>
            </w:r>
            <w:r>
              <w:rPr>
                <w:rFonts w:hint="eastAsia"/>
                <w:color w:val="auto"/>
                <w:lang w:val="en-US" w:eastAsia="zh-CN"/>
              </w:rPr>
              <w:t>各</w:t>
            </w:r>
            <w:r>
              <w:rPr>
                <w:rFonts w:hint="eastAsia"/>
                <w:color w:val="auto"/>
              </w:rPr>
              <w:t>敏感点昼间噪声《声环境质量标准》（GB3096-2008）中</w:t>
            </w:r>
            <w:r>
              <w:rPr>
                <w:rFonts w:hint="eastAsia"/>
                <w:color w:val="auto"/>
                <w:lang w:val="en-US" w:eastAsia="zh-CN"/>
              </w:rPr>
              <w:t>4a</w:t>
            </w:r>
            <w:r>
              <w:rPr>
                <w:rFonts w:hint="eastAsia"/>
                <w:color w:val="auto"/>
              </w:rPr>
              <w:t>类</w:t>
            </w:r>
            <w:r>
              <w:rPr>
                <w:color w:val="auto"/>
              </w:rPr>
              <w:t>标准要求</w:t>
            </w:r>
            <w:r>
              <w:rPr>
                <w:rFonts w:hint="eastAsia"/>
                <w:color w:val="auto"/>
              </w:rPr>
              <w:t>。</w:t>
            </w:r>
          </w:p>
          <w:p w14:paraId="6650D2DE">
            <w:pPr>
              <w:ind w:firstLine="420"/>
              <w:rPr>
                <w:color w:val="auto"/>
              </w:rPr>
            </w:pPr>
            <w:r>
              <w:rPr>
                <w:rFonts w:hint="eastAsia"/>
                <w:color w:val="auto"/>
              </w:rPr>
              <w:t>施工期声环境影响分析</w:t>
            </w:r>
            <w:r>
              <w:rPr>
                <w:color w:val="auto"/>
              </w:rPr>
              <w:t>详见声环境影响评价专题报告。</w:t>
            </w:r>
          </w:p>
          <w:p w14:paraId="46076DAC">
            <w:pPr>
              <w:ind w:firstLine="420"/>
              <w:rPr>
                <w:color w:val="auto"/>
              </w:rPr>
            </w:pPr>
            <w:r>
              <w:rPr>
                <w:color w:val="auto"/>
              </w:rPr>
              <w:t>3</w:t>
            </w:r>
            <w:r>
              <w:rPr>
                <w:rFonts w:hint="eastAsia"/>
                <w:color w:val="auto"/>
              </w:rPr>
              <w:t>.</w:t>
            </w:r>
            <w:r>
              <w:rPr>
                <w:color w:val="auto"/>
              </w:rPr>
              <w:t>环境空气</w:t>
            </w:r>
          </w:p>
          <w:p w14:paraId="62254056">
            <w:pPr>
              <w:ind w:firstLine="420"/>
              <w:rPr>
                <w:color w:val="auto"/>
              </w:rPr>
            </w:pPr>
            <w:r>
              <w:rPr>
                <w:rFonts w:hint="eastAsia"/>
                <w:color w:val="auto"/>
              </w:rPr>
              <w:t>（1）施工扬尘</w:t>
            </w:r>
          </w:p>
          <w:p w14:paraId="172E0970">
            <w:pPr>
              <w:ind w:firstLine="420"/>
              <w:rPr>
                <w:color w:val="auto"/>
              </w:rPr>
            </w:pPr>
            <w:r>
              <w:rPr>
                <w:color w:val="auto"/>
              </w:rPr>
              <w:t>本项目施工期拆除旧路</w:t>
            </w:r>
            <w:r>
              <w:rPr>
                <w:rFonts w:hint="eastAsia"/>
                <w:color w:val="auto"/>
                <w:lang w:eastAsia="zh-CN"/>
              </w:rPr>
              <w:t>、</w:t>
            </w:r>
            <w:r>
              <w:rPr>
                <w:rFonts w:hint="eastAsia"/>
                <w:color w:val="auto"/>
                <w:lang w:val="en-US" w:eastAsia="zh-CN"/>
              </w:rPr>
              <w:t>维修桥梁和涵洞、铺设路面</w:t>
            </w:r>
            <w:r>
              <w:rPr>
                <w:color w:val="auto"/>
              </w:rPr>
              <w:t>等过程会产生一定粉尘，砂土等散体材料储料场在风力作用下会产生一定扬尘，砂土等散体物质运输引起粉尘污染，对环境影响较严重，影响范围较大。</w:t>
            </w:r>
          </w:p>
          <w:p w14:paraId="645F0E66">
            <w:pPr>
              <w:ind w:firstLine="420"/>
              <w:rPr>
                <w:color w:val="auto"/>
              </w:rPr>
            </w:pPr>
            <w:r>
              <w:rPr>
                <w:color w:val="auto"/>
              </w:rPr>
              <w:t>本项目施工扬尘污染源强采用类比进行，根据交通部公路所对京津塘高速公路施工车辆扬尘监测，见下表，在风速2m/s情况下、道路下风向50m处TSP浓度大于10mg/m</w:t>
            </w:r>
            <w:r>
              <w:rPr>
                <w:color w:val="auto"/>
                <w:vertAlign w:val="superscript"/>
              </w:rPr>
              <w:t>3</w:t>
            </w:r>
            <w:r>
              <w:rPr>
                <w:color w:val="auto"/>
              </w:rPr>
              <w:t>，距离路边150m处TSP浓度大于5mg/m</w:t>
            </w:r>
            <w:r>
              <w:rPr>
                <w:color w:val="auto"/>
                <w:vertAlign w:val="superscript"/>
              </w:rPr>
              <w:t>3</w:t>
            </w:r>
            <w:r>
              <w:rPr>
                <w:color w:val="auto"/>
              </w:rPr>
              <w:t>。</w:t>
            </w:r>
          </w:p>
          <w:p w14:paraId="3D05D40F">
            <w:pPr>
              <w:ind w:firstLine="420"/>
              <w:rPr>
                <w:color w:val="auto"/>
              </w:rPr>
            </w:pPr>
            <w:r>
              <w:rPr>
                <w:color w:val="auto"/>
              </w:rPr>
              <w:t>本项目道路等级、施工强度均小于京津塘公路，因此本工程类比分析数据有效，类比施工扬尘源强详见下表。</w:t>
            </w:r>
          </w:p>
          <w:p w14:paraId="0D232199">
            <w:pPr>
              <w:snapToGrid w:val="0"/>
              <w:spacing w:line="240" w:lineRule="auto"/>
              <w:ind w:firstLine="422"/>
              <w:jc w:val="center"/>
              <w:rPr>
                <w:b/>
                <w:color w:val="auto"/>
              </w:rPr>
            </w:pPr>
            <w:r>
              <w:rPr>
                <w:b/>
                <w:color w:val="auto"/>
              </w:rPr>
              <w:t>表4-1  京津塘高速公路施工期车辆扬尘监测结果</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0"/>
              <w:gridCol w:w="1990"/>
              <w:gridCol w:w="1990"/>
              <w:gridCol w:w="1991"/>
            </w:tblGrid>
            <w:tr w14:paraId="70ED5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tcBorders>
                    <w:top w:val="single" w:color="auto" w:sz="4" w:space="0"/>
                    <w:left w:val="nil"/>
                    <w:bottom w:val="single" w:color="auto" w:sz="4" w:space="0"/>
                    <w:right w:val="single" w:color="auto" w:sz="4" w:space="0"/>
                  </w:tcBorders>
                  <w:vAlign w:val="center"/>
                </w:tcPr>
                <w:p w14:paraId="084D3CC8">
                  <w:pPr>
                    <w:spacing w:line="320" w:lineRule="exact"/>
                    <w:ind w:firstLine="0" w:firstLineChars="0"/>
                    <w:jc w:val="center"/>
                    <w:rPr>
                      <w:b/>
                      <w:bCs/>
                      <w:color w:val="auto"/>
                      <w:sz w:val="21"/>
                      <w:szCs w:val="21"/>
                    </w:rPr>
                  </w:pPr>
                  <w:r>
                    <w:rPr>
                      <w:b/>
                      <w:bCs/>
                      <w:color w:val="auto"/>
                      <w:sz w:val="21"/>
                      <w:szCs w:val="21"/>
                    </w:rPr>
                    <w:t>监测地点</w:t>
                  </w:r>
                </w:p>
              </w:tc>
              <w:tc>
                <w:tcPr>
                  <w:tcW w:w="1250" w:type="pct"/>
                  <w:tcBorders>
                    <w:top w:val="single" w:color="auto" w:sz="4" w:space="0"/>
                    <w:left w:val="single" w:color="auto" w:sz="4" w:space="0"/>
                    <w:bottom w:val="single" w:color="auto" w:sz="4" w:space="0"/>
                    <w:right w:val="single" w:color="auto" w:sz="4" w:space="0"/>
                  </w:tcBorders>
                  <w:vAlign w:val="center"/>
                </w:tcPr>
                <w:p w14:paraId="6E14B0AF">
                  <w:pPr>
                    <w:spacing w:line="320" w:lineRule="exact"/>
                    <w:ind w:firstLine="0" w:firstLineChars="0"/>
                    <w:jc w:val="center"/>
                    <w:rPr>
                      <w:b/>
                      <w:bCs/>
                      <w:color w:val="auto"/>
                      <w:sz w:val="21"/>
                      <w:szCs w:val="21"/>
                    </w:rPr>
                  </w:pPr>
                  <w:r>
                    <w:rPr>
                      <w:b/>
                      <w:bCs/>
                      <w:color w:val="auto"/>
                      <w:sz w:val="21"/>
                      <w:szCs w:val="21"/>
                    </w:rPr>
                    <w:t>扬尘污染源</w:t>
                  </w:r>
                </w:p>
              </w:tc>
              <w:tc>
                <w:tcPr>
                  <w:tcW w:w="1250" w:type="pct"/>
                  <w:tcBorders>
                    <w:top w:val="single" w:color="auto" w:sz="4" w:space="0"/>
                    <w:left w:val="single" w:color="auto" w:sz="4" w:space="0"/>
                    <w:bottom w:val="single" w:color="auto" w:sz="4" w:space="0"/>
                    <w:right w:val="single" w:color="auto" w:sz="4" w:space="0"/>
                  </w:tcBorders>
                  <w:vAlign w:val="center"/>
                </w:tcPr>
                <w:p w14:paraId="3AC9892A">
                  <w:pPr>
                    <w:spacing w:line="320" w:lineRule="exact"/>
                    <w:ind w:firstLine="0" w:firstLineChars="0"/>
                    <w:jc w:val="center"/>
                    <w:rPr>
                      <w:b/>
                      <w:bCs/>
                      <w:color w:val="auto"/>
                      <w:sz w:val="21"/>
                      <w:szCs w:val="21"/>
                    </w:rPr>
                  </w:pPr>
                  <w:r>
                    <w:rPr>
                      <w:b/>
                      <w:bCs/>
                      <w:color w:val="auto"/>
                      <w:sz w:val="21"/>
                      <w:szCs w:val="21"/>
                    </w:rPr>
                    <w:t>采样点距离（m）</w:t>
                  </w:r>
                </w:p>
              </w:tc>
              <w:tc>
                <w:tcPr>
                  <w:tcW w:w="1250" w:type="pct"/>
                  <w:tcBorders>
                    <w:top w:val="single" w:color="auto" w:sz="4" w:space="0"/>
                    <w:left w:val="single" w:color="auto" w:sz="4" w:space="0"/>
                    <w:bottom w:val="single" w:color="auto" w:sz="4" w:space="0"/>
                    <w:right w:val="nil"/>
                  </w:tcBorders>
                  <w:vAlign w:val="center"/>
                </w:tcPr>
                <w:p w14:paraId="30170FF2">
                  <w:pPr>
                    <w:spacing w:line="320" w:lineRule="exact"/>
                    <w:ind w:firstLine="0" w:firstLineChars="0"/>
                    <w:jc w:val="center"/>
                    <w:rPr>
                      <w:b/>
                      <w:bCs/>
                      <w:color w:val="auto"/>
                      <w:sz w:val="21"/>
                      <w:szCs w:val="21"/>
                    </w:rPr>
                  </w:pPr>
                  <w:r>
                    <w:rPr>
                      <w:b/>
                      <w:bCs/>
                      <w:color w:val="auto"/>
                      <w:sz w:val="21"/>
                      <w:szCs w:val="21"/>
                    </w:rPr>
                    <w:t>监测结果（mg/m</w:t>
                  </w:r>
                  <w:r>
                    <w:rPr>
                      <w:b/>
                      <w:bCs/>
                      <w:color w:val="auto"/>
                      <w:sz w:val="21"/>
                      <w:szCs w:val="21"/>
                      <w:vertAlign w:val="superscript"/>
                    </w:rPr>
                    <w:t>3</w:t>
                  </w:r>
                  <w:r>
                    <w:rPr>
                      <w:b/>
                      <w:bCs/>
                      <w:color w:val="auto"/>
                      <w:sz w:val="21"/>
                      <w:szCs w:val="21"/>
                    </w:rPr>
                    <w:t>）</w:t>
                  </w:r>
                </w:p>
              </w:tc>
            </w:tr>
            <w:tr w14:paraId="483D8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restart"/>
                  <w:tcBorders>
                    <w:top w:val="single" w:color="auto" w:sz="4" w:space="0"/>
                    <w:left w:val="nil"/>
                    <w:bottom w:val="single" w:color="auto" w:sz="4" w:space="0"/>
                    <w:right w:val="single" w:color="auto" w:sz="4" w:space="0"/>
                  </w:tcBorders>
                  <w:vAlign w:val="center"/>
                </w:tcPr>
                <w:p w14:paraId="68301DEA">
                  <w:pPr>
                    <w:spacing w:line="320" w:lineRule="exact"/>
                    <w:ind w:firstLine="0" w:firstLineChars="0"/>
                    <w:jc w:val="center"/>
                    <w:rPr>
                      <w:color w:val="auto"/>
                      <w:sz w:val="21"/>
                      <w:szCs w:val="21"/>
                    </w:rPr>
                  </w:pPr>
                  <w:r>
                    <w:rPr>
                      <w:color w:val="auto"/>
                      <w:sz w:val="21"/>
                      <w:szCs w:val="21"/>
                    </w:rPr>
                    <w:t>武清杨村施工路边</w:t>
                  </w:r>
                </w:p>
              </w:tc>
              <w:tc>
                <w:tcPr>
                  <w:tcW w:w="1250" w:type="pct"/>
                  <w:vMerge w:val="restart"/>
                  <w:tcBorders>
                    <w:top w:val="single" w:color="auto" w:sz="4" w:space="0"/>
                    <w:left w:val="single" w:color="auto" w:sz="4" w:space="0"/>
                    <w:bottom w:val="single" w:color="auto" w:sz="4" w:space="0"/>
                    <w:right w:val="single" w:color="auto" w:sz="4" w:space="0"/>
                  </w:tcBorders>
                  <w:vAlign w:val="center"/>
                </w:tcPr>
                <w:p w14:paraId="7BA293F7">
                  <w:pPr>
                    <w:spacing w:line="320" w:lineRule="exact"/>
                    <w:ind w:firstLine="0" w:firstLineChars="0"/>
                    <w:jc w:val="center"/>
                    <w:rPr>
                      <w:color w:val="auto"/>
                      <w:sz w:val="21"/>
                      <w:szCs w:val="21"/>
                    </w:rPr>
                  </w:pPr>
                  <w:r>
                    <w:rPr>
                      <w:color w:val="auto"/>
                      <w:sz w:val="21"/>
                      <w:szCs w:val="21"/>
                    </w:rPr>
                    <w:t>铺设水泥稳定类路顶基层时运输车辆扬尘</w:t>
                  </w:r>
                </w:p>
              </w:tc>
              <w:tc>
                <w:tcPr>
                  <w:tcW w:w="1250" w:type="pct"/>
                  <w:tcBorders>
                    <w:top w:val="single" w:color="auto" w:sz="4" w:space="0"/>
                    <w:left w:val="single" w:color="auto" w:sz="4" w:space="0"/>
                    <w:bottom w:val="single" w:color="auto" w:sz="4" w:space="0"/>
                    <w:right w:val="single" w:color="auto" w:sz="4" w:space="0"/>
                  </w:tcBorders>
                  <w:vAlign w:val="center"/>
                </w:tcPr>
                <w:p w14:paraId="548E4A68">
                  <w:pPr>
                    <w:spacing w:line="320" w:lineRule="exact"/>
                    <w:ind w:firstLine="0" w:firstLineChars="0"/>
                    <w:jc w:val="center"/>
                    <w:rPr>
                      <w:color w:val="auto"/>
                      <w:sz w:val="21"/>
                      <w:szCs w:val="21"/>
                    </w:rPr>
                  </w:pPr>
                  <w:r>
                    <w:rPr>
                      <w:color w:val="auto"/>
                      <w:sz w:val="21"/>
                      <w:szCs w:val="21"/>
                    </w:rPr>
                    <w:t>50</w:t>
                  </w:r>
                </w:p>
              </w:tc>
              <w:tc>
                <w:tcPr>
                  <w:tcW w:w="1250" w:type="pct"/>
                  <w:tcBorders>
                    <w:top w:val="single" w:color="auto" w:sz="4" w:space="0"/>
                    <w:left w:val="single" w:color="auto" w:sz="4" w:space="0"/>
                    <w:bottom w:val="single" w:color="auto" w:sz="4" w:space="0"/>
                    <w:right w:val="nil"/>
                  </w:tcBorders>
                  <w:vAlign w:val="center"/>
                </w:tcPr>
                <w:p w14:paraId="6701818E">
                  <w:pPr>
                    <w:spacing w:line="320" w:lineRule="exact"/>
                    <w:ind w:firstLine="0" w:firstLineChars="0"/>
                    <w:jc w:val="center"/>
                    <w:rPr>
                      <w:color w:val="auto"/>
                      <w:sz w:val="21"/>
                      <w:szCs w:val="21"/>
                    </w:rPr>
                  </w:pPr>
                  <w:r>
                    <w:rPr>
                      <w:color w:val="auto"/>
                      <w:sz w:val="21"/>
                      <w:szCs w:val="21"/>
                    </w:rPr>
                    <w:t>11.652</w:t>
                  </w:r>
                </w:p>
              </w:tc>
            </w:tr>
            <w:tr w14:paraId="4B270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continue"/>
                  <w:tcBorders>
                    <w:top w:val="single" w:color="auto" w:sz="4" w:space="0"/>
                    <w:left w:val="nil"/>
                    <w:bottom w:val="single" w:color="auto" w:sz="4" w:space="0"/>
                    <w:right w:val="single" w:color="auto" w:sz="4" w:space="0"/>
                  </w:tcBorders>
                  <w:vAlign w:val="center"/>
                </w:tcPr>
                <w:p w14:paraId="737663AA">
                  <w:pPr>
                    <w:spacing w:line="320" w:lineRule="exact"/>
                    <w:ind w:firstLine="0" w:firstLineChars="0"/>
                    <w:jc w:val="center"/>
                    <w:rPr>
                      <w:color w:val="auto"/>
                      <w:sz w:val="21"/>
                      <w:szCs w:val="21"/>
                    </w:rPr>
                  </w:pPr>
                </w:p>
              </w:tc>
              <w:tc>
                <w:tcPr>
                  <w:tcW w:w="1250" w:type="pct"/>
                  <w:vMerge w:val="continue"/>
                  <w:tcBorders>
                    <w:top w:val="single" w:color="auto" w:sz="4" w:space="0"/>
                    <w:left w:val="single" w:color="auto" w:sz="4" w:space="0"/>
                    <w:bottom w:val="single" w:color="auto" w:sz="4" w:space="0"/>
                    <w:right w:val="single" w:color="auto" w:sz="4" w:space="0"/>
                  </w:tcBorders>
                  <w:vAlign w:val="center"/>
                </w:tcPr>
                <w:p w14:paraId="15439B4E">
                  <w:pPr>
                    <w:spacing w:line="320" w:lineRule="exact"/>
                    <w:ind w:firstLine="0" w:firstLineChars="0"/>
                    <w:jc w:val="center"/>
                    <w:rPr>
                      <w:color w:val="auto"/>
                      <w:sz w:val="21"/>
                      <w:szCs w:val="21"/>
                    </w:rPr>
                  </w:pPr>
                </w:p>
              </w:tc>
              <w:tc>
                <w:tcPr>
                  <w:tcW w:w="1250" w:type="pct"/>
                  <w:tcBorders>
                    <w:top w:val="single" w:color="auto" w:sz="4" w:space="0"/>
                    <w:left w:val="single" w:color="auto" w:sz="4" w:space="0"/>
                    <w:bottom w:val="single" w:color="auto" w:sz="4" w:space="0"/>
                    <w:right w:val="single" w:color="auto" w:sz="4" w:space="0"/>
                  </w:tcBorders>
                  <w:vAlign w:val="center"/>
                </w:tcPr>
                <w:p w14:paraId="7F6924CD">
                  <w:pPr>
                    <w:spacing w:line="320" w:lineRule="exact"/>
                    <w:ind w:firstLine="0" w:firstLineChars="0"/>
                    <w:jc w:val="center"/>
                    <w:rPr>
                      <w:color w:val="auto"/>
                      <w:sz w:val="21"/>
                      <w:szCs w:val="21"/>
                    </w:rPr>
                  </w:pPr>
                  <w:r>
                    <w:rPr>
                      <w:color w:val="auto"/>
                      <w:sz w:val="21"/>
                      <w:szCs w:val="21"/>
                    </w:rPr>
                    <w:t>100</w:t>
                  </w:r>
                </w:p>
              </w:tc>
              <w:tc>
                <w:tcPr>
                  <w:tcW w:w="1250" w:type="pct"/>
                  <w:tcBorders>
                    <w:top w:val="single" w:color="auto" w:sz="4" w:space="0"/>
                    <w:left w:val="single" w:color="auto" w:sz="4" w:space="0"/>
                    <w:bottom w:val="single" w:color="auto" w:sz="4" w:space="0"/>
                    <w:right w:val="nil"/>
                  </w:tcBorders>
                  <w:vAlign w:val="center"/>
                </w:tcPr>
                <w:p w14:paraId="397E3AD7">
                  <w:pPr>
                    <w:spacing w:line="320" w:lineRule="exact"/>
                    <w:ind w:firstLine="0" w:firstLineChars="0"/>
                    <w:jc w:val="center"/>
                    <w:rPr>
                      <w:color w:val="auto"/>
                      <w:sz w:val="21"/>
                      <w:szCs w:val="21"/>
                    </w:rPr>
                  </w:pPr>
                  <w:r>
                    <w:rPr>
                      <w:color w:val="auto"/>
                      <w:sz w:val="21"/>
                      <w:szCs w:val="21"/>
                    </w:rPr>
                    <w:t>9.694</w:t>
                  </w:r>
                </w:p>
              </w:tc>
            </w:tr>
            <w:tr w14:paraId="3C14E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50" w:type="pct"/>
                  <w:vMerge w:val="continue"/>
                  <w:tcBorders>
                    <w:top w:val="single" w:color="auto" w:sz="4" w:space="0"/>
                    <w:left w:val="nil"/>
                    <w:bottom w:val="single" w:color="auto" w:sz="4" w:space="0"/>
                    <w:right w:val="single" w:color="auto" w:sz="4" w:space="0"/>
                  </w:tcBorders>
                  <w:vAlign w:val="center"/>
                </w:tcPr>
                <w:p w14:paraId="18C03193">
                  <w:pPr>
                    <w:spacing w:line="320" w:lineRule="exact"/>
                    <w:ind w:firstLine="0" w:firstLineChars="0"/>
                    <w:jc w:val="center"/>
                    <w:rPr>
                      <w:color w:val="auto"/>
                      <w:sz w:val="21"/>
                      <w:szCs w:val="21"/>
                    </w:rPr>
                  </w:pPr>
                </w:p>
              </w:tc>
              <w:tc>
                <w:tcPr>
                  <w:tcW w:w="1250" w:type="pct"/>
                  <w:vMerge w:val="continue"/>
                  <w:tcBorders>
                    <w:top w:val="single" w:color="auto" w:sz="4" w:space="0"/>
                    <w:left w:val="single" w:color="auto" w:sz="4" w:space="0"/>
                    <w:bottom w:val="single" w:color="auto" w:sz="4" w:space="0"/>
                    <w:right w:val="single" w:color="auto" w:sz="4" w:space="0"/>
                  </w:tcBorders>
                  <w:vAlign w:val="center"/>
                </w:tcPr>
                <w:p w14:paraId="52834210">
                  <w:pPr>
                    <w:spacing w:line="320" w:lineRule="exact"/>
                    <w:ind w:firstLine="0" w:firstLineChars="0"/>
                    <w:jc w:val="center"/>
                    <w:rPr>
                      <w:color w:val="auto"/>
                      <w:sz w:val="21"/>
                      <w:szCs w:val="21"/>
                    </w:rPr>
                  </w:pPr>
                </w:p>
              </w:tc>
              <w:tc>
                <w:tcPr>
                  <w:tcW w:w="1250" w:type="pct"/>
                  <w:tcBorders>
                    <w:top w:val="single" w:color="auto" w:sz="4" w:space="0"/>
                    <w:left w:val="single" w:color="auto" w:sz="4" w:space="0"/>
                    <w:bottom w:val="single" w:color="auto" w:sz="4" w:space="0"/>
                    <w:right w:val="single" w:color="auto" w:sz="4" w:space="0"/>
                  </w:tcBorders>
                  <w:vAlign w:val="center"/>
                </w:tcPr>
                <w:p w14:paraId="75B02184">
                  <w:pPr>
                    <w:spacing w:line="320" w:lineRule="exact"/>
                    <w:ind w:firstLine="0" w:firstLineChars="0"/>
                    <w:jc w:val="center"/>
                    <w:rPr>
                      <w:color w:val="auto"/>
                      <w:sz w:val="21"/>
                      <w:szCs w:val="21"/>
                    </w:rPr>
                  </w:pPr>
                  <w:r>
                    <w:rPr>
                      <w:color w:val="auto"/>
                      <w:sz w:val="21"/>
                      <w:szCs w:val="21"/>
                    </w:rPr>
                    <w:t>150</w:t>
                  </w:r>
                </w:p>
              </w:tc>
              <w:tc>
                <w:tcPr>
                  <w:tcW w:w="1250" w:type="pct"/>
                  <w:tcBorders>
                    <w:top w:val="single" w:color="auto" w:sz="4" w:space="0"/>
                    <w:left w:val="single" w:color="auto" w:sz="4" w:space="0"/>
                    <w:bottom w:val="single" w:color="auto" w:sz="4" w:space="0"/>
                    <w:right w:val="nil"/>
                  </w:tcBorders>
                  <w:vAlign w:val="center"/>
                </w:tcPr>
                <w:p w14:paraId="4157BE11">
                  <w:pPr>
                    <w:spacing w:line="320" w:lineRule="exact"/>
                    <w:ind w:firstLine="0" w:firstLineChars="0"/>
                    <w:jc w:val="center"/>
                    <w:rPr>
                      <w:color w:val="auto"/>
                      <w:sz w:val="21"/>
                      <w:szCs w:val="21"/>
                    </w:rPr>
                  </w:pPr>
                  <w:r>
                    <w:rPr>
                      <w:color w:val="auto"/>
                      <w:sz w:val="21"/>
                      <w:szCs w:val="21"/>
                    </w:rPr>
                    <w:t>5.09</w:t>
                  </w:r>
                  <w:r>
                    <w:rPr>
                      <w:color w:val="auto"/>
                      <w:sz w:val="21"/>
                      <w:szCs w:val="21"/>
                    </w:rPr>
                    <w:cr/>
                  </w:r>
                  <w:r>
                    <w:rPr>
                      <w:color w:val="auto"/>
                      <w:sz w:val="21"/>
                      <w:szCs w:val="21"/>
                    </w:rPr>
                    <w:t>3</w:t>
                  </w:r>
                </w:p>
              </w:tc>
            </w:tr>
          </w:tbl>
          <w:p w14:paraId="51FCF82F">
            <w:pPr>
              <w:ind w:firstLine="420"/>
              <w:rPr>
                <w:color w:val="auto"/>
              </w:rPr>
            </w:pPr>
            <w:r>
              <w:rPr>
                <w:color w:val="auto"/>
              </w:rPr>
              <w:t>施工扬尘将对沿线居民区产生一定的影响。通过洒水、防尘挡板等措施，可有效地防止扬尘的产生，降低对周围环境空气的影响，施工场界颗粒物浓度符合《大气污染物综合排放标准》（GB16297-1996）表2无组织排放监控浓度限值要求，且施工期短暂，对周围环境的影响控制在可接受的范围内。</w:t>
            </w:r>
          </w:p>
          <w:p w14:paraId="35C8DAA3">
            <w:pPr>
              <w:snapToGrid w:val="0"/>
              <w:spacing w:line="480" w:lineRule="exact"/>
              <w:ind w:firstLine="420"/>
              <w:rPr>
                <w:color w:val="auto"/>
              </w:rPr>
            </w:pPr>
            <w:r>
              <w:rPr>
                <w:rFonts w:hint="eastAsia"/>
                <w:color w:val="auto"/>
              </w:rPr>
              <w:t>（</w:t>
            </w:r>
            <w:r>
              <w:rPr>
                <w:rFonts w:hint="eastAsia"/>
                <w:color w:val="auto"/>
                <w:lang w:val="en-US" w:eastAsia="zh-CN"/>
              </w:rPr>
              <w:t>2</w:t>
            </w:r>
            <w:r>
              <w:rPr>
                <w:rFonts w:hint="eastAsia"/>
                <w:color w:val="auto"/>
              </w:rPr>
              <w:t>）</w:t>
            </w:r>
            <w:r>
              <w:rPr>
                <w:color w:val="auto"/>
              </w:rPr>
              <w:t>沥青烟的影响</w:t>
            </w:r>
          </w:p>
          <w:p w14:paraId="47E2E039">
            <w:pPr>
              <w:snapToGrid w:val="0"/>
              <w:spacing w:line="360" w:lineRule="auto"/>
              <w:ind w:firstLine="420"/>
              <w:rPr>
                <w:color w:val="auto"/>
              </w:rPr>
            </w:pPr>
            <w:r>
              <w:rPr>
                <w:rFonts w:hint="eastAsia"/>
                <w:color w:val="auto"/>
                <w:lang w:val="en-US" w:eastAsia="zh-CN"/>
              </w:rPr>
              <w:t>本项目不设基层拌合站，为外购商品混凝土，仅设置面层拌合站</w:t>
            </w:r>
            <w:r>
              <w:rPr>
                <w:rFonts w:hint="eastAsia" w:cs="宋体"/>
                <w:color w:val="auto"/>
                <w:kern w:val="0"/>
                <w:lang w:bidi="ar"/>
              </w:rPr>
              <w:t>。</w:t>
            </w:r>
            <w:r>
              <w:rPr>
                <w:rFonts w:hint="eastAsia"/>
                <w:color w:val="auto"/>
              </w:rPr>
              <w:t>面层拌合站在拌合时会产生少量的沥青烟和</w:t>
            </w:r>
            <w:r>
              <w:rPr>
                <w:color w:val="auto"/>
              </w:rPr>
              <w:t>苯并[a]芘</w:t>
            </w:r>
            <w:r>
              <w:rPr>
                <w:rFonts w:hint="eastAsia"/>
                <w:color w:val="auto"/>
              </w:rPr>
              <w:t>，沥青烟和</w:t>
            </w:r>
            <w:r>
              <w:rPr>
                <w:color w:val="auto"/>
              </w:rPr>
              <w:t>苯并[a]芘</w:t>
            </w:r>
            <w:r>
              <w:rPr>
                <w:rFonts w:hint="eastAsia"/>
                <w:color w:val="auto"/>
              </w:rPr>
              <w:t>在公路铺设的过程中会有微量的挥发，随着摊铺后冷却，烟气散发量将逐渐减少，而且施工是暂时的，随着施工的结束，沥青烟污染也将随之结束。根据交通部公路所在京津唐大羊坊沥青搅拌站的监测结果表明，在设备正常运行时，配备相应沥青烟净化器，污染物可以达标排放，本项目沥青混凝土拌合设备自带集气系统和烟气治理设施，沥青烟和</w:t>
            </w:r>
            <w:r>
              <w:rPr>
                <w:color w:val="auto"/>
              </w:rPr>
              <w:t>苯并[a]芘</w:t>
            </w:r>
            <w:r>
              <w:rPr>
                <w:rFonts w:hint="eastAsia"/>
                <w:color w:val="auto"/>
              </w:rPr>
              <w:t>浓度排放浓度均符合《大气污染物综合排放标准》（GB16297-1996）要求，对周围环境影响较小。</w:t>
            </w:r>
          </w:p>
          <w:p w14:paraId="1C5E2D2E">
            <w:pPr>
              <w:spacing w:line="360" w:lineRule="auto"/>
              <w:ind w:firstLine="420"/>
              <w:rPr>
                <w:color w:val="auto"/>
              </w:rPr>
            </w:pPr>
            <w:r>
              <w:rPr>
                <w:color w:val="auto"/>
              </w:rPr>
              <w:t>《公路环境保护设计规范》（JTGB 04-2010）中要求：</w:t>
            </w:r>
            <w:r>
              <w:rPr>
                <w:rFonts w:hint="eastAsia"/>
                <w:color w:val="auto"/>
                <w:lang w:eastAsia="zh-CN"/>
              </w:rPr>
              <w:t>沥青混凝土拌合站</w:t>
            </w:r>
            <w:r>
              <w:rPr>
                <w:color w:val="auto"/>
              </w:rPr>
              <w:t>应距离环境敏感点大于300m，并且应设置在当地施工季节最小频率风向的被保护对象的上风侧。本工程沥青混凝土面层拌和站300m范围内无居民分布，满足《公路环境保护设计规范》（JTGB 04-2010）要求。</w:t>
            </w:r>
          </w:p>
          <w:p w14:paraId="65341FCF">
            <w:pPr>
              <w:ind w:firstLine="420"/>
              <w:rPr>
                <w:rFonts w:hint="default" w:eastAsia="宋体"/>
                <w:color w:val="auto"/>
                <w:lang w:val="en-US" w:eastAsia="zh-CN"/>
              </w:rPr>
            </w:pPr>
            <w:r>
              <w:rPr>
                <w:rFonts w:hint="eastAsia"/>
                <w:color w:val="auto"/>
              </w:rPr>
              <w:t>（</w:t>
            </w:r>
            <w:r>
              <w:rPr>
                <w:rFonts w:hint="eastAsia"/>
                <w:color w:val="auto"/>
                <w:lang w:val="en-US" w:eastAsia="zh-CN"/>
              </w:rPr>
              <w:t>3</w:t>
            </w:r>
            <w:r>
              <w:rPr>
                <w:rFonts w:hint="eastAsia"/>
                <w:color w:val="auto"/>
              </w:rPr>
              <w:t>）</w:t>
            </w:r>
            <w:r>
              <w:rPr>
                <w:rFonts w:hint="eastAsia"/>
                <w:color w:val="auto"/>
                <w:lang w:val="en-US" w:eastAsia="zh-CN"/>
              </w:rPr>
              <w:t>沥青搅拌站导热油炉废气</w:t>
            </w:r>
          </w:p>
          <w:p w14:paraId="49938C15">
            <w:pPr>
              <w:spacing w:line="360" w:lineRule="auto"/>
              <w:ind w:firstLine="420"/>
              <w:rPr>
                <w:rFonts w:hint="default" w:eastAsia="宋体"/>
                <w:color w:val="auto"/>
                <w:highlight w:val="yellow"/>
                <w:lang w:val="en-US" w:eastAsia="zh-CN"/>
              </w:rPr>
            </w:pPr>
            <w:r>
              <w:rPr>
                <w:rFonts w:hint="eastAsia"/>
                <w:color w:val="auto"/>
                <w:highlight w:val="none"/>
                <w:lang w:val="en-US" w:eastAsia="zh-CN"/>
              </w:rPr>
              <w:t>沥青搅拌站设置1台导热油炉，燃烧烟气采用布袋除尘器处理后由18m烟囱排放，烟气经处理后可达到</w:t>
            </w:r>
            <w:r>
              <w:rPr>
                <w:color w:val="auto"/>
              </w:rPr>
              <w:t>《</w:t>
            </w:r>
            <w:r>
              <w:rPr>
                <w:rFonts w:hint="eastAsia"/>
                <w:color w:val="auto"/>
                <w:lang w:val="en-US" w:eastAsia="zh-CN"/>
              </w:rPr>
              <w:t>锅炉</w:t>
            </w:r>
            <w:r>
              <w:rPr>
                <w:color w:val="auto"/>
              </w:rPr>
              <w:t>大气污染物排放标准》（GB1</w:t>
            </w:r>
            <w:r>
              <w:rPr>
                <w:rFonts w:hint="eastAsia"/>
                <w:color w:val="auto"/>
                <w:lang w:val="en-US" w:eastAsia="zh-CN"/>
              </w:rPr>
              <w:t>3271</w:t>
            </w:r>
            <w:r>
              <w:rPr>
                <w:color w:val="auto"/>
              </w:rPr>
              <w:t>-</w:t>
            </w:r>
            <w:r>
              <w:rPr>
                <w:rFonts w:hint="eastAsia"/>
                <w:color w:val="auto"/>
                <w:lang w:val="en-US" w:eastAsia="zh-CN"/>
              </w:rPr>
              <w:t>2014</w:t>
            </w:r>
            <w:r>
              <w:rPr>
                <w:color w:val="auto"/>
              </w:rPr>
              <w:t>）表2标准</w:t>
            </w:r>
            <w:r>
              <w:rPr>
                <w:rFonts w:hint="eastAsia"/>
                <w:color w:val="auto"/>
                <w:lang w:val="en-US" w:eastAsia="zh-CN"/>
              </w:rPr>
              <w:t>要求，对周边大气环境影响较小。</w:t>
            </w:r>
          </w:p>
          <w:p w14:paraId="32A1B203">
            <w:pPr>
              <w:ind w:firstLine="420"/>
              <w:rPr>
                <w:color w:val="auto"/>
              </w:rPr>
            </w:pPr>
            <w:r>
              <w:rPr>
                <w:rFonts w:hint="eastAsia"/>
                <w:color w:val="auto"/>
              </w:rPr>
              <w:t>（4）施工机械及运输车辆尾气</w:t>
            </w:r>
          </w:p>
          <w:p w14:paraId="5CDCC9D9">
            <w:pPr>
              <w:ind w:firstLine="420"/>
              <w:rPr>
                <w:color w:val="auto"/>
              </w:rPr>
            </w:pPr>
            <w:r>
              <w:rPr>
                <w:rFonts w:hint="eastAsia"/>
                <w:color w:val="auto"/>
              </w:rPr>
              <w:t>施工机械及运输车辆尾气</w:t>
            </w:r>
            <w:r>
              <w:rPr>
                <w:color w:val="auto"/>
              </w:rPr>
              <w:t>主要污染物为柴油燃烧产生的氮氧化物、一氧化碳、碳氢化合物等，该类大气污染物属于分散的移动源排放，排放量由使用的车辆、机械和设备的性能、数量以及作业率决定。总体来说由于其产生量少，排放点分散，其排放时间有限，因此不会对周围环境造成显著影响。施工单位在施工过程中应使用低污染排放的设备，加强对施工机械的日常维护和保养，减少施工机械的故障运行，保证设备在正常工况条件下运转，减少车辆怠速时间，以减少机动车尾气的排放量，降低环境影响。</w:t>
            </w:r>
          </w:p>
          <w:p w14:paraId="42ABD31F">
            <w:pPr>
              <w:ind w:firstLine="420"/>
              <w:rPr>
                <w:color w:val="auto"/>
              </w:rPr>
            </w:pPr>
            <w:r>
              <w:rPr>
                <w:rFonts w:hint="eastAsia"/>
                <w:color w:val="auto"/>
              </w:rPr>
              <w:t>综上所述，本</w:t>
            </w:r>
            <w:r>
              <w:rPr>
                <w:color w:val="auto"/>
              </w:rPr>
              <w:t>项目施工期产生的废气对周围环境影响较小</w:t>
            </w:r>
            <w:r>
              <w:rPr>
                <w:rFonts w:hint="eastAsia"/>
                <w:color w:val="auto"/>
              </w:rPr>
              <w:t>。</w:t>
            </w:r>
          </w:p>
          <w:p w14:paraId="4A787A07">
            <w:pPr>
              <w:ind w:firstLine="422"/>
              <w:rPr>
                <w:b/>
                <w:bCs/>
                <w:color w:val="auto"/>
              </w:rPr>
            </w:pPr>
            <w:r>
              <w:rPr>
                <w:b/>
                <w:bCs/>
                <w:color w:val="auto"/>
              </w:rPr>
              <w:t>4</w:t>
            </w:r>
            <w:r>
              <w:rPr>
                <w:rFonts w:hint="eastAsia"/>
                <w:b/>
                <w:bCs/>
                <w:color w:val="auto"/>
              </w:rPr>
              <w:t>.</w:t>
            </w:r>
            <w:r>
              <w:rPr>
                <w:b/>
                <w:bCs/>
                <w:color w:val="auto"/>
              </w:rPr>
              <w:t>地表水环境</w:t>
            </w:r>
          </w:p>
          <w:p w14:paraId="76A31FA5">
            <w:pPr>
              <w:ind w:firstLine="420"/>
              <w:rPr>
                <w:color w:val="auto"/>
              </w:rPr>
            </w:pPr>
            <w:r>
              <w:rPr>
                <w:rFonts w:hint="eastAsia"/>
                <w:color w:val="auto"/>
              </w:rPr>
              <w:t>（1）生活污水</w:t>
            </w:r>
          </w:p>
          <w:p w14:paraId="65439D76">
            <w:pPr>
              <w:ind w:firstLine="420"/>
              <w:rPr>
                <w:color w:val="auto"/>
              </w:rPr>
            </w:pPr>
            <w:r>
              <w:rPr>
                <w:rFonts w:hint="eastAsia"/>
                <w:color w:val="auto"/>
              </w:rPr>
              <w:t>本项目施工期工作人员生活污水主要污染物为COD、氨氮、SS等。施工期生活污水利用沿线的公共卫生设施，不外排</w:t>
            </w:r>
            <w:r>
              <w:rPr>
                <w:rFonts w:hint="eastAsia"/>
                <w:color w:val="auto"/>
                <w:lang w:eastAsia="zh-CN"/>
              </w:rPr>
              <w:t>。</w:t>
            </w:r>
            <w:r>
              <w:rPr>
                <w:rFonts w:hint="eastAsia"/>
                <w:color w:val="auto"/>
              </w:rPr>
              <w:t>施工生产生活区生活污水排入防渗旱厕，定期清掏，外运堆肥处理，不排入周边地表水体，不会对地表水体造成不良影响。</w:t>
            </w:r>
          </w:p>
          <w:p w14:paraId="1A971CD0">
            <w:pPr>
              <w:ind w:firstLine="420"/>
              <w:rPr>
                <w:color w:val="auto"/>
              </w:rPr>
            </w:pPr>
            <w:r>
              <w:rPr>
                <w:rFonts w:hint="eastAsia"/>
                <w:color w:val="auto"/>
              </w:rPr>
              <w:t>（2）拌合站生产废水</w:t>
            </w:r>
          </w:p>
          <w:p w14:paraId="637A3D85">
            <w:pPr>
              <w:ind w:firstLine="420"/>
              <w:rPr>
                <w:color w:val="auto"/>
              </w:rPr>
            </w:pPr>
            <w:r>
              <w:rPr>
                <w:rFonts w:hint="eastAsia"/>
                <w:color w:val="auto"/>
              </w:rPr>
              <w:t>本项目</w:t>
            </w:r>
            <w:r>
              <w:rPr>
                <w:color w:val="auto"/>
              </w:rPr>
              <w:t>沥青混凝土面层拌和站</w:t>
            </w:r>
            <w:r>
              <w:rPr>
                <w:rFonts w:hint="eastAsia"/>
                <w:color w:val="auto"/>
              </w:rPr>
              <w:t>拌和等过程会有废水产生，主要污染物为SS，浓度约5000mg/L，生产废水经设置的临时沉淀池沉淀处理后，回用于拌合站场地洒水降尘，不外排。</w:t>
            </w:r>
          </w:p>
          <w:p w14:paraId="4F283BCE">
            <w:pPr>
              <w:ind w:firstLine="422"/>
              <w:rPr>
                <w:b/>
                <w:bCs/>
                <w:color w:val="auto"/>
              </w:rPr>
            </w:pPr>
            <w:r>
              <w:rPr>
                <w:b/>
                <w:bCs/>
                <w:color w:val="auto"/>
              </w:rPr>
              <w:t>5</w:t>
            </w:r>
            <w:r>
              <w:rPr>
                <w:rFonts w:hint="eastAsia"/>
                <w:b/>
                <w:bCs/>
                <w:color w:val="auto"/>
              </w:rPr>
              <w:t>.</w:t>
            </w:r>
            <w:r>
              <w:rPr>
                <w:b/>
                <w:bCs/>
                <w:color w:val="auto"/>
              </w:rPr>
              <w:t>固体废物</w:t>
            </w:r>
          </w:p>
          <w:p w14:paraId="185539E0">
            <w:pPr>
              <w:ind w:firstLine="420"/>
              <w:rPr>
                <w:color w:val="auto"/>
              </w:rPr>
            </w:pPr>
            <w:r>
              <w:rPr>
                <w:color w:val="auto"/>
              </w:rPr>
              <w:t>本项目施工期固体废物主要</w:t>
            </w:r>
            <w:r>
              <w:rPr>
                <w:rFonts w:hint="eastAsia"/>
                <w:color w:val="auto"/>
                <w:lang w:val="en-US" w:eastAsia="zh-CN"/>
              </w:rPr>
              <w:t>为路面拆除、桥梁维修</w:t>
            </w:r>
            <w:r>
              <w:rPr>
                <w:color w:val="auto"/>
              </w:rPr>
              <w:t>等产生的</w:t>
            </w:r>
            <w:r>
              <w:rPr>
                <w:rFonts w:hint="eastAsia"/>
                <w:color w:val="auto"/>
                <w:lang w:val="en-US" w:eastAsia="zh-CN"/>
              </w:rPr>
              <w:t>建筑垃圾</w:t>
            </w:r>
            <w:r>
              <w:rPr>
                <w:color w:val="auto"/>
              </w:rPr>
              <w:t>、以及施工</w:t>
            </w:r>
            <w:r>
              <w:rPr>
                <w:rFonts w:hint="eastAsia"/>
                <w:color w:val="auto"/>
              </w:rPr>
              <w:t>人员</w:t>
            </w:r>
            <w:r>
              <w:rPr>
                <w:color w:val="auto"/>
              </w:rPr>
              <w:t>产生的生活垃圾等。建筑垃圾</w:t>
            </w:r>
            <w:r>
              <w:rPr>
                <w:rFonts w:hint="eastAsia"/>
                <w:color w:val="auto"/>
              </w:rPr>
              <w:t>运送至指定地点处理，</w:t>
            </w:r>
            <w:r>
              <w:rPr>
                <w:color w:val="auto"/>
              </w:rPr>
              <w:t>生活垃圾集中收集后，运至市政指定地点由市政统一处理。</w:t>
            </w:r>
          </w:p>
          <w:p w14:paraId="726DDB45">
            <w:pPr>
              <w:pStyle w:val="76"/>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olor w:val="auto"/>
              </w:rPr>
            </w:pPr>
            <w:r>
              <w:rPr>
                <w:color w:val="auto"/>
              </w:rPr>
              <w:t>本项目施工期固体废物均得到了妥善地处理处置，对环境影响较小，且影响是暂时的，施工固体废物将随着施工的结束而不再产生。因此，本项目施工期固体废物污染较小，可被周边环境所接受。</w:t>
            </w:r>
          </w:p>
          <w:p w14:paraId="6334BF70">
            <w:pPr>
              <w:pStyle w:val="76"/>
              <w:rPr>
                <w:rFonts w:hint="eastAsia" w:eastAsia="宋体"/>
                <w:color w:val="auto"/>
                <w:lang w:eastAsia="zh-CN"/>
              </w:rPr>
            </w:pPr>
          </w:p>
          <w:p w14:paraId="3AE2F89D">
            <w:pPr>
              <w:pStyle w:val="76"/>
              <w:rPr>
                <w:rFonts w:hint="eastAsia" w:eastAsia="宋体"/>
                <w:color w:val="auto"/>
                <w:lang w:eastAsia="zh-CN"/>
              </w:rPr>
            </w:pPr>
          </w:p>
          <w:p w14:paraId="66495D76">
            <w:pPr>
              <w:pStyle w:val="76"/>
              <w:rPr>
                <w:rFonts w:hint="eastAsia" w:eastAsia="宋体"/>
                <w:color w:val="auto"/>
                <w:lang w:eastAsia="zh-CN"/>
              </w:rPr>
            </w:pPr>
          </w:p>
          <w:p w14:paraId="33473C96">
            <w:pPr>
              <w:pStyle w:val="76"/>
              <w:rPr>
                <w:rFonts w:hint="eastAsia"/>
                <w:color w:val="auto"/>
              </w:rPr>
            </w:pPr>
          </w:p>
        </w:tc>
      </w:tr>
      <w:tr w14:paraId="0B530E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27" w:hRule="atLeast"/>
          <w:jc w:val="center"/>
        </w:trPr>
        <w:tc>
          <w:tcPr>
            <w:tcW w:w="812" w:type="dxa"/>
            <w:noWrap w:val="0"/>
            <w:tcMar>
              <w:left w:w="28" w:type="dxa"/>
              <w:right w:w="28" w:type="dxa"/>
            </w:tcMar>
            <w:vAlign w:val="center"/>
          </w:tcPr>
          <w:p w14:paraId="434F8C1A">
            <w:pPr>
              <w:pStyle w:val="26"/>
              <w:adjustRightInd w:val="0"/>
              <w:snapToGrid w:val="0"/>
              <w:spacing w:before="0" w:beforeAutospacing="0" w:after="0" w:afterAutospacing="0"/>
              <w:jc w:val="center"/>
              <w:rPr>
                <w:rFonts w:hint="eastAsia" w:cs="宋体"/>
                <w:bCs/>
                <w:color w:val="auto"/>
                <w:kern w:val="2"/>
              </w:rPr>
            </w:pPr>
            <w:r>
              <w:rPr>
                <w:rFonts w:hint="eastAsia" w:cs="宋体"/>
                <w:bCs/>
                <w:color w:val="auto"/>
                <w:spacing w:val="10"/>
                <w:kern w:val="2"/>
              </w:rPr>
              <w:t>运营期生态环境影响分析</w:t>
            </w:r>
          </w:p>
        </w:tc>
        <w:tc>
          <w:tcPr>
            <w:tcW w:w="8187" w:type="dxa"/>
            <w:noWrap w:val="0"/>
            <w:vAlign w:val="top"/>
          </w:tcPr>
          <w:p w14:paraId="34849B90">
            <w:pPr>
              <w:pStyle w:val="76"/>
              <w:rPr>
                <w:color w:val="auto"/>
              </w:rPr>
            </w:pPr>
            <w:r>
              <w:rPr>
                <w:rFonts w:hint="eastAsia"/>
                <w:color w:val="auto"/>
              </w:rPr>
              <w:t>1、</w:t>
            </w:r>
            <w:r>
              <w:rPr>
                <w:color w:val="auto"/>
              </w:rPr>
              <w:t>生态影响分析</w:t>
            </w:r>
          </w:p>
          <w:p w14:paraId="6B2BAA45">
            <w:pPr>
              <w:pStyle w:val="76"/>
              <w:rPr>
                <w:color w:val="auto"/>
              </w:rPr>
            </w:pPr>
            <w:r>
              <w:rPr>
                <w:rFonts w:hint="eastAsia"/>
                <w:color w:val="auto"/>
              </w:rPr>
              <w:t>本项目不新增永久占地，不会改变沿线土地利用。项目所在区域土地类型以耕地为主，产生的边缘效应基本不会改变项目两侧的植被类型，对其影响较小。项目建成后为不封闭，基本不会对现有野生动物生境造成分割，动物生境片断化对动物影响不大；项目共设置涵洞48道，可充分发挥通行作用，基本不会影响地面动物迁移途经、觅食等，对动物影响较小。通过对本项目边坡采取绿化措施，对周围景观的影响是可以接受的。综上所述，本项目运营期对生态环境的影响可以接受的。</w:t>
            </w:r>
          </w:p>
          <w:p w14:paraId="4BA9AFB9">
            <w:pPr>
              <w:pStyle w:val="76"/>
              <w:rPr>
                <w:color w:val="auto"/>
                <w:kern w:val="21"/>
              </w:rPr>
            </w:pPr>
            <w:r>
              <w:rPr>
                <w:color w:val="auto"/>
              </w:rPr>
              <w:t>运营期生态影响分析具体内容详见</w:t>
            </w:r>
            <w:r>
              <w:rPr>
                <w:rFonts w:hint="eastAsia"/>
                <w:color w:val="auto"/>
              </w:rPr>
              <w:t>生态环境影响专项评价报告</w:t>
            </w:r>
            <w:r>
              <w:rPr>
                <w:color w:val="auto"/>
              </w:rPr>
              <w:t>。</w:t>
            </w:r>
          </w:p>
          <w:p w14:paraId="09E8BAB8">
            <w:pPr>
              <w:pStyle w:val="76"/>
              <w:rPr>
                <w:color w:val="auto"/>
              </w:rPr>
            </w:pPr>
            <w:r>
              <w:rPr>
                <w:rFonts w:hint="eastAsia"/>
                <w:color w:val="auto"/>
              </w:rPr>
              <w:t>2、环境空气</w:t>
            </w:r>
          </w:p>
          <w:p w14:paraId="635F2DC8">
            <w:pPr>
              <w:pStyle w:val="76"/>
              <w:rPr>
                <w:rFonts w:hint="eastAsia"/>
                <w:color w:val="auto"/>
              </w:rPr>
            </w:pPr>
            <w:r>
              <w:rPr>
                <w:color w:val="auto"/>
              </w:rPr>
              <w:t>本项目</w:t>
            </w:r>
            <w:r>
              <w:rPr>
                <w:rFonts w:hint="eastAsia"/>
                <w:color w:val="auto"/>
              </w:rPr>
              <w:t>沿线设置2个</w:t>
            </w:r>
            <w:r>
              <w:rPr>
                <w:rFonts w:hint="eastAsia"/>
                <w:color w:val="auto"/>
                <w:lang w:val="en-US" w:eastAsia="zh-CN"/>
              </w:rPr>
              <w:t>养护</w:t>
            </w:r>
            <w:r>
              <w:rPr>
                <w:rFonts w:hint="eastAsia"/>
                <w:color w:val="auto"/>
              </w:rPr>
              <w:t>道班，每个</w:t>
            </w:r>
            <w:r>
              <w:rPr>
                <w:rFonts w:hint="eastAsia"/>
                <w:color w:val="auto"/>
                <w:lang w:val="en-US" w:eastAsia="zh-CN"/>
              </w:rPr>
              <w:t>养护</w:t>
            </w:r>
            <w:r>
              <w:rPr>
                <w:rFonts w:hint="eastAsia"/>
                <w:color w:val="auto"/>
              </w:rPr>
              <w:t>道班有工作人员3个，不设置食堂，工作人员为附近居民，不在道班内就餐</w:t>
            </w:r>
            <w:r>
              <w:rPr>
                <w:color w:val="auto"/>
              </w:rPr>
              <w:t>。</w:t>
            </w:r>
            <w:r>
              <w:rPr>
                <w:rFonts w:hint="eastAsia"/>
                <w:color w:val="auto"/>
              </w:rPr>
              <w:t>本项目运营期产生的废气主要为汽车尾气。</w:t>
            </w:r>
          </w:p>
          <w:p w14:paraId="10B4B718">
            <w:pPr>
              <w:pStyle w:val="76"/>
              <w:rPr>
                <w:color w:val="auto"/>
              </w:rPr>
            </w:pPr>
            <w:r>
              <w:rPr>
                <w:color w:val="auto"/>
              </w:rPr>
              <w:t>本项目营运期大气污染源主要是各种机动车辆排放的尾气，主要污染物为CO、NOx、THC、TSP等。汽车尾气排放量的大小与交通量的大小、车辆的类型以及汽车运行的工况有关。根据近几年已建公路的竣工环境保护验收调查报告的综合结果，汽车尾气对环境的影响范围和程度十分有限，其中TSP扬尘主要源于环境本底，路面起尘贡献值较小；CO、NOx、THC均不存在超标现象。</w:t>
            </w:r>
          </w:p>
          <w:p w14:paraId="2C234957">
            <w:pPr>
              <w:pStyle w:val="76"/>
              <w:rPr>
                <w:color w:val="auto"/>
              </w:rPr>
            </w:pPr>
            <w:r>
              <w:rPr>
                <w:color w:val="auto"/>
              </w:rPr>
              <w:t>随着我国单车排放标准的不断提高，单车尾气的排放量将会不断降低，这对车辆尾气的环境污染可起到一定缓解作用。此外，本项目公路为开放式区域，扩散条件良好，本项目建设优化了道路路线，使之运行顺畅，可有效减少汽车怠速及路况不好降低汽车行驶速度而引起的大量尾气的排放。同时</w:t>
            </w:r>
            <w:r>
              <w:rPr>
                <w:rFonts w:hint="eastAsia"/>
                <w:color w:val="auto"/>
              </w:rPr>
              <w:t>道路两侧主要为耕地、林地，</w:t>
            </w:r>
            <w:r>
              <w:rPr>
                <w:color w:val="auto"/>
              </w:rPr>
              <w:t>可吸收或吸附汽车尾气污染物，可减少机动车尾气对环境空气的影响。因此，本工程运营期车辆尾气及扬尘排放污染物对环境的影响较小。</w:t>
            </w:r>
          </w:p>
          <w:p w14:paraId="4FC98C35">
            <w:pPr>
              <w:pStyle w:val="76"/>
              <w:rPr>
                <w:color w:val="auto"/>
                <w:kern w:val="21"/>
              </w:rPr>
            </w:pPr>
            <w:r>
              <w:rPr>
                <w:rFonts w:hint="eastAsia"/>
                <w:color w:val="auto"/>
                <w:kern w:val="21"/>
              </w:rPr>
              <w:t>3、地表水环境</w:t>
            </w:r>
          </w:p>
          <w:p w14:paraId="0CAE7133">
            <w:pPr>
              <w:pStyle w:val="76"/>
              <w:rPr>
                <w:color w:val="auto"/>
              </w:rPr>
            </w:pPr>
            <w:r>
              <w:rPr>
                <w:color w:val="auto"/>
              </w:rPr>
              <w:t>（1）路面径流</w:t>
            </w:r>
          </w:p>
          <w:p w14:paraId="203CA0F9">
            <w:pPr>
              <w:pStyle w:val="76"/>
              <w:rPr>
                <w:color w:val="auto"/>
              </w:rPr>
            </w:pPr>
            <w:r>
              <w:rPr>
                <w:color w:val="auto"/>
              </w:rPr>
              <w:t>营运期废水主要来自于路面径流污水，其主要污染物主要为COD、SS等，污染物浓度受限于多种因素，如车流量、车辆类型、降雨强度等，因此具有一定程度不确定性。</w:t>
            </w:r>
          </w:p>
          <w:p w14:paraId="524913C9">
            <w:pPr>
              <w:pStyle w:val="76"/>
              <w:rPr>
                <w:color w:val="auto"/>
              </w:rPr>
            </w:pPr>
            <w:r>
              <w:rPr>
                <w:color w:val="auto"/>
              </w:rPr>
              <w:t>根据西安道路学院环境工程研究所多次测定给出的路面径流产生的污水污染物浓度值，降雨初期到形成路面径流前30分钟，径流中悬浮物和石油类物质浓度较高，30分钟后污染物浓度随降雨历时延长逐渐降低。本工程路面径流通过路面漫流汇入道路两侧排水沟，伴随着雨水稀释、泥沙对污染物吸附、沉降等各种作用，雨水在边沟汇入周边水系时，污染物浓度已经大大降低，不会对周边地表水造成影响。</w:t>
            </w:r>
          </w:p>
          <w:p w14:paraId="32C40A6F">
            <w:pPr>
              <w:pStyle w:val="76"/>
              <w:rPr>
                <w:color w:val="auto"/>
              </w:rPr>
            </w:pPr>
            <w:r>
              <w:rPr>
                <w:color w:val="auto"/>
              </w:rPr>
              <w:t>（2）养护道班废水</w:t>
            </w:r>
          </w:p>
          <w:p w14:paraId="53CB7068">
            <w:pPr>
              <w:pStyle w:val="76"/>
              <w:rPr>
                <w:color w:val="auto"/>
              </w:rPr>
            </w:pPr>
            <w:r>
              <w:rPr>
                <w:color w:val="auto"/>
              </w:rPr>
              <w:t>本项目设置养护道班</w:t>
            </w:r>
            <w:r>
              <w:rPr>
                <w:rFonts w:hint="eastAsia"/>
                <w:color w:val="auto"/>
              </w:rPr>
              <w:t>2</w:t>
            </w:r>
            <w:r>
              <w:rPr>
                <w:color w:val="auto"/>
              </w:rPr>
              <w:t>处，共有职工</w:t>
            </w:r>
            <w:r>
              <w:rPr>
                <w:rFonts w:hint="eastAsia"/>
                <w:color w:val="auto"/>
              </w:rPr>
              <w:t>6</w:t>
            </w:r>
            <w:r>
              <w:rPr>
                <w:color w:val="auto"/>
              </w:rPr>
              <w:t>人，运营期废水主要为员工生活污水，参考黑龙江省地方标准《用水定额》（DB23/T727-2021）中农村居民生活用水定额，员工生活污水量按80L/人·d计，生活用水总量为</w:t>
            </w:r>
            <w:r>
              <w:rPr>
                <w:rFonts w:hint="eastAsia"/>
                <w:color w:val="auto"/>
              </w:rPr>
              <w:t>0.48</w:t>
            </w:r>
            <w:r>
              <w:rPr>
                <w:color w:val="auto"/>
              </w:rPr>
              <w:t>m</w:t>
            </w:r>
            <w:r>
              <w:rPr>
                <w:color w:val="auto"/>
                <w:vertAlign w:val="superscript"/>
              </w:rPr>
              <w:t>3</w:t>
            </w:r>
            <w:r>
              <w:rPr>
                <w:color w:val="auto"/>
              </w:rPr>
              <w:t>/d、</w:t>
            </w:r>
            <w:r>
              <w:rPr>
                <w:rFonts w:hint="eastAsia"/>
                <w:color w:val="auto"/>
              </w:rPr>
              <w:t>175.2</w:t>
            </w:r>
            <w:r>
              <w:rPr>
                <w:color w:val="auto"/>
              </w:rPr>
              <w:t>m</w:t>
            </w:r>
            <w:r>
              <w:rPr>
                <w:color w:val="auto"/>
                <w:vertAlign w:val="superscript"/>
              </w:rPr>
              <w:t>3</w:t>
            </w:r>
            <w:r>
              <w:rPr>
                <w:color w:val="auto"/>
              </w:rPr>
              <w:t>/a，废水排放系数按80%计，则生活污水量为0.</w:t>
            </w:r>
            <w:r>
              <w:rPr>
                <w:rFonts w:hint="eastAsia"/>
                <w:color w:val="auto"/>
              </w:rPr>
              <w:t>38</w:t>
            </w:r>
            <w:r>
              <w:rPr>
                <w:color w:val="auto"/>
              </w:rPr>
              <w:t>m</w:t>
            </w:r>
            <w:r>
              <w:rPr>
                <w:color w:val="auto"/>
                <w:vertAlign w:val="superscript"/>
              </w:rPr>
              <w:t>3</w:t>
            </w:r>
            <w:r>
              <w:rPr>
                <w:color w:val="auto"/>
              </w:rPr>
              <w:t>/d、</w:t>
            </w:r>
            <w:r>
              <w:rPr>
                <w:rFonts w:hint="eastAsia"/>
                <w:color w:val="auto"/>
              </w:rPr>
              <w:t>140.2</w:t>
            </w:r>
            <w:r>
              <w:rPr>
                <w:color w:val="auto"/>
              </w:rPr>
              <w:t>m</w:t>
            </w:r>
            <w:r>
              <w:rPr>
                <w:color w:val="auto"/>
                <w:vertAlign w:val="superscript"/>
              </w:rPr>
              <w:t>3</w:t>
            </w:r>
            <w:r>
              <w:rPr>
                <w:color w:val="auto"/>
              </w:rPr>
              <w:t>/a</w:t>
            </w:r>
            <w:r>
              <w:rPr>
                <w:rFonts w:hint="eastAsia" w:cs="宋体"/>
                <w:color w:val="auto"/>
                <w:kern w:val="21"/>
                <w:szCs w:val="21"/>
              </w:rPr>
              <w:t>，</w:t>
            </w:r>
            <w:r>
              <w:rPr>
                <w:color w:val="auto"/>
              </w:rPr>
              <w:t>生活污水排入</w:t>
            </w:r>
            <w:r>
              <w:rPr>
                <w:rFonts w:hint="eastAsia"/>
                <w:color w:val="auto"/>
              </w:rPr>
              <w:t>防渗</w:t>
            </w:r>
            <w:r>
              <w:rPr>
                <w:color w:val="auto"/>
              </w:rPr>
              <w:t>化粪池，</w:t>
            </w:r>
            <w:r>
              <w:rPr>
                <w:rFonts w:hint="eastAsia"/>
                <w:color w:val="auto"/>
              </w:rPr>
              <w:t>定期</w:t>
            </w:r>
            <w:r>
              <w:rPr>
                <w:rFonts w:hint="eastAsia"/>
                <w:color w:val="auto"/>
                <w:lang w:val="en-US" w:eastAsia="zh-CN"/>
              </w:rPr>
              <w:t>清掏堆肥</w:t>
            </w:r>
            <w:r>
              <w:rPr>
                <w:color w:val="auto"/>
              </w:rPr>
              <w:t>，对地表水环境影响较小。</w:t>
            </w:r>
          </w:p>
          <w:p w14:paraId="6D067300">
            <w:pPr>
              <w:pStyle w:val="76"/>
              <w:rPr>
                <w:color w:val="auto"/>
              </w:rPr>
            </w:pPr>
            <w:r>
              <w:rPr>
                <w:rFonts w:hint="eastAsia"/>
                <w:color w:val="auto"/>
              </w:rPr>
              <w:t>4、声环境</w:t>
            </w:r>
          </w:p>
          <w:p w14:paraId="23C83ABA">
            <w:pPr>
              <w:pStyle w:val="76"/>
              <w:rPr>
                <w:color w:val="auto"/>
              </w:rPr>
            </w:pPr>
            <w:r>
              <w:rPr>
                <w:color w:val="auto"/>
              </w:rPr>
              <w:t>本项目设置了声环境影响专项评价，具体</w:t>
            </w:r>
            <w:r>
              <w:rPr>
                <w:rFonts w:hint="eastAsia"/>
                <w:color w:val="auto"/>
              </w:rPr>
              <w:t>见</w:t>
            </w:r>
            <w:r>
              <w:rPr>
                <w:color w:val="auto"/>
              </w:rPr>
              <w:t>声环境影响专项评价报告，运营期声环境影响</w:t>
            </w:r>
            <w:r>
              <w:rPr>
                <w:rFonts w:hint="eastAsia"/>
                <w:color w:val="auto"/>
              </w:rPr>
              <w:t>评价</w:t>
            </w:r>
            <w:r>
              <w:rPr>
                <w:color w:val="auto"/>
              </w:rPr>
              <w:t>结论概括如下：</w:t>
            </w:r>
          </w:p>
          <w:p w14:paraId="47CF61E9">
            <w:pPr>
              <w:pStyle w:val="76"/>
              <w:ind w:firstLine="471"/>
              <w:rPr>
                <w:rFonts w:hint="eastAsia"/>
                <w:color w:val="auto"/>
              </w:rPr>
            </w:pPr>
            <w:r>
              <w:rPr>
                <w:rFonts w:hint="eastAsia"/>
                <w:color w:val="auto"/>
              </w:rPr>
              <w:t>（1）</w:t>
            </w:r>
            <w:r>
              <w:rPr>
                <w:color w:val="auto"/>
              </w:rPr>
              <w:t>公路两侧声功能区达标</w:t>
            </w:r>
            <w:r>
              <w:rPr>
                <w:rFonts w:hint="eastAsia"/>
                <w:color w:val="auto"/>
              </w:rPr>
              <w:t>情况</w:t>
            </w:r>
          </w:p>
          <w:p w14:paraId="56E68229">
            <w:pPr>
              <w:pStyle w:val="76"/>
              <w:ind w:firstLine="471"/>
              <w:rPr>
                <w:rFonts w:hint="eastAsia"/>
                <w:color w:val="auto"/>
              </w:rPr>
            </w:pPr>
            <w:r>
              <w:rPr>
                <w:rFonts w:hint="eastAsia"/>
                <w:color w:val="auto"/>
              </w:rPr>
              <w:t>在</w:t>
            </w:r>
            <w:r>
              <w:rPr>
                <w:color w:val="auto"/>
              </w:rPr>
              <w:t>不考虑路基高差</w:t>
            </w:r>
            <w:r>
              <w:rPr>
                <w:rFonts w:hint="eastAsia"/>
                <w:color w:val="auto"/>
              </w:rPr>
              <w:t>、</w:t>
            </w:r>
            <w:r>
              <w:rPr>
                <w:color w:val="auto"/>
              </w:rPr>
              <w:t>建筑物和树林遮挡屏蔽、背景噪声等因素，</w:t>
            </w:r>
            <w:r>
              <w:rPr>
                <w:rFonts w:hint="eastAsia"/>
                <w:color w:val="auto"/>
              </w:rPr>
              <w:t>也不</w:t>
            </w:r>
            <w:r>
              <w:rPr>
                <w:color w:val="auto"/>
              </w:rPr>
              <w:t>考虑地面衰减、空气吸收衰减</w:t>
            </w:r>
            <w:r>
              <w:rPr>
                <w:rFonts w:hint="eastAsia"/>
                <w:color w:val="auto"/>
              </w:rPr>
              <w:t>等因素，</w:t>
            </w:r>
            <w:r>
              <w:rPr>
                <w:color w:val="auto"/>
              </w:rPr>
              <w:t>本项目沿线功能区达标</w:t>
            </w:r>
            <w:r>
              <w:rPr>
                <w:rFonts w:hint="eastAsia"/>
                <w:color w:val="auto"/>
              </w:rPr>
              <w:t>情况</w:t>
            </w:r>
            <w:r>
              <w:rPr>
                <w:color w:val="auto"/>
              </w:rPr>
              <w:t>如下：</w:t>
            </w:r>
          </w:p>
          <w:p w14:paraId="1909EDA9">
            <w:pPr>
              <w:pStyle w:val="76"/>
              <w:ind w:firstLine="471"/>
              <w:rPr>
                <w:color w:val="auto"/>
              </w:rPr>
            </w:pPr>
            <w:r>
              <w:rPr>
                <w:rFonts w:hint="eastAsia" w:ascii="Times New Roman" w:hAnsi="Times New Roman" w:eastAsia="宋体" w:cs="Times New Roman"/>
                <w:color w:val="auto"/>
                <w:lang w:val="en-US" w:eastAsia="zh-CN"/>
              </w:rPr>
              <w:t>K370+000～K370+630为一般路段，非过境段，周边无敏感目标分布，为4车道，</w:t>
            </w:r>
            <w:r>
              <w:rPr>
                <w:rFonts w:hint="eastAsia" w:ascii="Times New Roman" w:hAnsi="Times New Roman" w:eastAsia="宋体" w:cs="Times New Roman"/>
                <w:color w:val="auto"/>
              </w:rPr>
              <w:t>设计</w:t>
            </w:r>
            <w:r>
              <w:rPr>
                <w:rFonts w:hint="eastAsia" w:ascii="Times New Roman" w:hAnsi="Times New Roman" w:eastAsia="宋体" w:cs="Times New Roman"/>
                <w:color w:val="auto"/>
                <w:lang w:val="en-US" w:eastAsia="zh-CN"/>
              </w:rPr>
              <w:t>车速</w:t>
            </w:r>
            <w:r>
              <w:rPr>
                <w:rFonts w:ascii="Times New Roman" w:hAnsi="Times New Roman" w:eastAsia="宋体" w:cs="Times New Roman"/>
                <w:color w:val="auto"/>
              </w:rPr>
              <w:t>60km/h，</w:t>
            </w:r>
            <w:r>
              <w:rPr>
                <w:rFonts w:hint="eastAsia" w:ascii="Times New Roman" w:hAnsi="Times New Roman" w:eastAsia="宋体" w:cs="Times New Roman"/>
                <w:color w:val="auto"/>
                <w:lang w:val="en-US" w:eastAsia="zh-CN"/>
              </w:rPr>
              <w:t>2类区和</w:t>
            </w:r>
            <w:r>
              <w:rPr>
                <w:rFonts w:ascii="Times New Roman" w:hAnsi="Times New Roman" w:eastAsia="宋体" w:cs="Times New Roman"/>
                <w:color w:val="auto"/>
              </w:rPr>
              <w:t>4a类区</w:t>
            </w:r>
            <w:r>
              <w:rPr>
                <w:color w:val="auto"/>
              </w:rPr>
              <w:t>昼间</w:t>
            </w:r>
            <w:r>
              <w:rPr>
                <w:rFonts w:hint="eastAsia"/>
                <w:color w:val="auto"/>
                <w:lang w:val="en-US" w:eastAsia="zh-CN"/>
              </w:rPr>
              <w:t>的</w:t>
            </w:r>
            <w:r>
              <w:rPr>
                <w:color w:val="auto"/>
              </w:rPr>
              <w:t>近</w:t>
            </w:r>
            <w:r>
              <w:rPr>
                <w:rFonts w:hint="eastAsia"/>
                <w:color w:val="auto"/>
              </w:rPr>
              <w:t>、中、远</w:t>
            </w:r>
            <w:r>
              <w:rPr>
                <w:color w:val="auto"/>
              </w:rPr>
              <w:t>期功能区均达标</w:t>
            </w:r>
            <w:r>
              <w:rPr>
                <w:rFonts w:hint="eastAsia"/>
                <w:color w:val="auto"/>
                <w:lang w:eastAsia="zh-CN"/>
              </w:rPr>
              <w:t>，</w:t>
            </w:r>
            <w:r>
              <w:rPr>
                <w:rFonts w:hint="eastAsia"/>
                <w:color w:val="auto"/>
                <w:lang w:val="en-US" w:eastAsia="zh-CN"/>
              </w:rPr>
              <w:t>4a类区近期、中期、远期夜间道路中心线外22m、24m、26m处</w:t>
            </w:r>
            <w:r>
              <w:rPr>
                <w:rFonts w:hint="default"/>
                <w:color w:val="auto"/>
              </w:rPr>
              <w:t>达标</w:t>
            </w:r>
            <w:r>
              <w:rPr>
                <w:rFonts w:hint="eastAsia"/>
                <w:color w:val="auto"/>
                <w:lang w:val="en-US" w:eastAsia="zh-CN"/>
              </w:rPr>
              <w:t>，2</w:t>
            </w:r>
            <w:r>
              <w:rPr>
                <w:rFonts w:hint="default"/>
                <w:color w:val="auto"/>
                <w:lang w:val="en-US" w:eastAsia="zh-CN"/>
              </w:rPr>
              <w:t>类功能区</w:t>
            </w:r>
            <w:r>
              <w:rPr>
                <w:rFonts w:hint="eastAsia"/>
                <w:color w:val="auto"/>
                <w:lang w:val="en-US" w:eastAsia="zh-CN"/>
              </w:rPr>
              <w:t>近期夜间达标，中期、远期夜间道路中心线外52m、55m</w:t>
            </w:r>
            <w:r>
              <w:rPr>
                <w:rFonts w:hint="default"/>
                <w:color w:val="auto"/>
              </w:rPr>
              <w:t>达标</w:t>
            </w:r>
            <w:r>
              <w:rPr>
                <w:rFonts w:hint="eastAsia"/>
                <w:color w:val="auto"/>
              </w:rPr>
              <w:t>。</w:t>
            </w:r>
          </w:p>
          <w:p w14:paraId="39FB51C5">
            <w:pPr>
              <w:pStyle w:val="76"/>
              <w:ind w:firstLine="471"/>
              <w:rPr>
                <w:color w:val="auto"/>
              </w:rPr>
            </w:pPr>
            <w:r>
              <w:rPr>
                <w:rFonts w:hint="eastAsia" w:ascii="Times New Roman" w:hAnsi="Times New Roman" w:eastAsia="宋体" w:cs="Times New Roman"/>
                <w:color w:val="auto"/>
                <w:lang w:val="en-US" w:eastAsia="zh-CN"/>
              </w:rPr>
              <w:t>K370+630～</w:t>
            </w:r>
            <w:r>
              <w:rPr>
                <w:rFonts w:hint="eastAsia" w:ascii="Times New Roman" w:hAnsi="Times New Roman" w:eastAsia="宋体" w:cs="Times New Roman"/>
                <w:color w:val="auto"/>
              </w:rPr>
              <w:t>K377+450</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K380+800~K</w:t>
            </w:r>
            <w:r>
              <w:rPr>
                <w:rFonts w:hint="eastAsia" w:ascii="Times New Roman" w:hAnsi="Times New Roman" w:eastAsia="宋体" w:cs="Times New Roman"/>
                <w:color w:val="auto"/>
                <w:lang w:val="en-US" w:eastAsia="zh-CN"/>
              </w:rPr>
              <w:t>398</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950、</w:t>
            </w:r>
            <w:r>
              <w:rPr>
                <w:rFonts w:hint="eastAsia" w:ascii="Times New Roman" w:hAnsi="Times New Roman" w:eastAsia="宋体" w:cs="Times New Roman"/>
                <w:color w:val="auto"/>
              </w:rPr>
              <w:t>K</w:t>
            </w:r>
            <w:r>
              <w:rPr>
                <w:rFonts w:hint="eastAsia" w:ascii="Times New Roman" w:hAnsi="Times New Roman" w:eastAsia="宋体" w:cs="Times New Roman"/>
                <w:color w:val="auto"/>
                <w:lang w:val="en-US" w:eastAsia="zh-CN"/>
              </w:rPr>
              <w:t>399</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260</w:t>
            </w:r>
            <w:r>
              <w:rPr>
                <w:rFonts w:hint="eastAsia" w:ascii="Times New Roman" w:hAnsi="Times New Roman" w:eastAsia="宋体" w:cs="Times New Roman"/>
                <w:color w:val="auto"/>
              </w:rPr>
              <w:t>~K</w:t>
            </w:r>
            <w:r>
              <w:rPr>
                <w:rFonts w:hint="eastAsia" w:ascii="Times New Roman" w:hAnsi="Times New Roman" w:eastAsia="宋体" w:cs="Times New Roman"/>
                <w:color w:val="auto"/>
                <w:lang w:val="en-US" w:eastAsia="zh-CN"/>
              </w:rPr>
              <w:t>402</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0</w:t>
            </w:r>
            <w:r>
              <w:rPr>
                <w:rFonts w:hint="eastAsia" w:ascii="Times New Roman" w:hAnsi="Times New Roman" w:eastAsia="宋体" w:cs="Times New Roman"/>
                <w:color w:val="auto"/>
              </w:rPr>
              <w:t>50</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K</w:t>
            </w:r>
            <w:r>
              <w:rPr>
                <w:rFonts w:hint="eastAsia" w:ascii="Times New Roman" w:hAnsi="Times New Roman" w:eastAsia="宋体" w:cs="Times New Roman"/>
                <w:color w:val="auto"/>
                <w:lang w:val="en-US" w:eastAsia="zh-CN"/>
              </w:rPr>
              <w:t>402+97</w:t>
            </w:r>
            <w:r>
              <w:rPr>
                <w:rFonts w:hint="eastAsia" w:ascii="Times New Roman" w:hAnsi="Times New Roman" w:eastAsia="宋体" w:cs="Times New Roman"/>
                <w:color w:val="auto"/>
              </w:rPr>
              <w:t>0~K</w:t>
            </w:r>
            <w:r>
              <w:rPr>
                <w:rFonts w:hint="default" w:ascii="Times New Roman" w:hAnsi="Times New Roman" w:eastAsia="宋体" w:cs="Times New Roman"/>
                <w:color w:val="auto"/>
                <w:lang w:val="en-US"/>
              </w:rPr>
              <w:t>409</w:t>
            </w:r>
            <w:r>
              <w:rPr>
                <w:rFonts w:hint="eastAsia" w:ascii="Times New Roman" w:hAnsi="Times New Roman" w:eastAsia="宋体" w:cs="Times New Roman"/>
                <w:color w:val="auto"/>
              </w:rPr>
              <w:t>+</w:t>
            </w:r>
            <w:r>
              <w:rPr>
                <w:rFonts w:hint="default" w:ascii="Times New Roman" w:hAnsi="Times New Roman" w:eastAsia="宋体" w:cs="Times New Roman"/>
                <w:color w:val="auto"/>
                <w:lang w:val="en-US"/>
              </w:rPr>
              <w:t>200</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auto"/>
              </w:rPr>
              <w:t>K</w:t>
            </w:r>
            <w:r>
              <w:rPr>
                <w:rFonts w:hint="default" w:ascii="Times New Roman" w:hAnsi="Times New Roman" w:eastAsia="宋体" w:cs="Times New Roman"/>
                <w:color w:val="auto"/>
                <w:lang w:val="en-US"/>
              </w:rPr>
              <w:t>409</w:t>
            </w:r>
            <w:r>
              <w:rPr>
                <w:rFonts w:hint="eastAsia" w:ascii="Times New Roman" w:hAnsi="Times New Roman" w:eastAsia="宋体" w:cs="Times New Roman"/>
                <w:color w:val="auto"/>
              </w:rPr>
              <w:t>+4</w:t>
            </w:r>
            <w:r>
              <w:rPr>
                <w:rFonts w:hint="default" w:ascii="Times New Roman" w:hAnsi="Times New Roman" w:eastAsia="宋体" w:cs="Times New Roman"/>
                <w:color w:val="auto"/>
                <w:lang w:val="en-US"/>
              </w:rPr>
              <w:t>40</w:t>
            </w:r>
            <w:r>
              <w:rPr>
                <w:rFonts w:hint="eastAsia" w:ascii="Times New Roman" w:hAnsi="Times New Roman" w:eastAsia="宋体" w:cs="Times New Roman"/>
                <w:color w:val="auto"/>
              </w:rPr>
              <w:t>~K</w:t>
            </w:r>
            <w:r>
              <w:rPr>
                <w:rFonts w:hint="eastAsia" w:ascii="Times New Roman" w:hAnsi="Times New Roman" w:eastAsia="宋体" w:cs="Times New Roman"/>
                <w:color w:val="auto"/>
                <w:lang w:val="en-US" w:eastAsia="zh-CN"/>
              </w:rPr>
              <w:t>412</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86</w:t>
            </w:r>
            <w:r>
              <w:rPr>
                <w:rFonts w:hint="eastAsia" w:ascii="Times New Roman" w:hAnsi="Times New Roman" w:eastAsia="宋体" w:cs="Times New Roman"/>
                <w:color w:val="auto"/>
              </w:rPr>
              <w:t>0</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K</w:t>
            </w:r>
            <w:r>
              <w:rPr>
                <w:rFonts w:hint="eastAsia" w:ascii="Times New Roman" w:hAnsi="Times New Roman" w:eastAsia="宋体" w:cs="Times New Roman"/>
                <w:color w:val="auto"/>
                <w:lang w:val="en-US" w:eastAsia="zh-CN"/>
              </w:rPr>
              <w:t>413</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2</w:t>
            </w:r>
            <w:r>
              <w:rPr>
                <w:rFonts w:hint="eastAsia" w:ascii="Times New Roman" w:hAnsi="Times New Roman" w:eastAsia="宋体" w:cs="Times New Roman"/>
                <w:color w:val="auto"/>
              </w:rPr>
              <w:t>50~</w:t>
            </w:r>
            <w:r>
              <w:rPr>
                <w:rFonts w:hint="eastAsia" w:ascii="Times New Roman" w:hAnsi="Times New Roman" w:eastAsia="宋体" w:cs="Times New Roman"/>
                <w:color w:val="auto"/>
                <w:lang w:val="en-US" w:eastAsia="zh-CN"/>
              </w:rPr>
              <w:t>K414+953.7为一般路段，为非过境段，部分路段单侧有居民区分布，为2车道</w:t>
            </w:r>
            <w:r>
              <w:rPr>
                <w:rFonts w:hint="eastAsia" w:ascii="Times New Roman" w:hAnsi="Times New Roman" w:eastAsia="宋体" w:cs="Times New Roman"/>
                <w:color w:val="auto"/>
              </w:rPr>
              <w:t>，设计</w:t>
            </w:r>
            <w:r>
              <w:rPr>
                <w:rFonts w:hint="eastAsia" w:ascii="Times New Roman" w:hAnsi="Times New Roman" w:eastAsia="宋体" w:cs="Times New Roman"/>
                <w:color w:val="auto"/>
                <w:lang w:val="en-US" w:eastAsia="zh-CN"/>
              </w:rPr>
              <w:t>车速6</w:t>
            </w:r>
            <w:r>
              <w:rPr>
                <w:rFonts w:hint="eastAsia" w:ascii="Times New Roman" w:hAnsi="Times New Roman" w:eastAsia="宋体" w:cs="Times New Roman"/>
                <w:color w:val="auto"/>
              </w:rPr>
              <w:t>0km/h，</w:t>
            </w:r>
            <w:r>
              <w:rPr>
                <w:rFonts w:hint="eastAsia" w:ascii="Times New Roman" w:hAnsi="Times New Roman" w:eastAsia="宋体" w:cs="Times New Roman"/>
                <w:color w:val="auto"/>
                <w:lang w:val="en-US" w:eastAsia="zh-CN"/>
              </w:rPr>
              <w:t>2类区和</w:t>
            </w:r>
            <w:r>
              <w:rPr>
                <w:rFonts w:ascii="Times New Roman" w:hAnsi="Times New Roman" w:eastAsia="宋体" w:cs="Times New Roman"/>
                <w:color w:val="auto"/>
              </w:rPr>
              <w:t>4a类区</w:t>
            </w:r>
            <w:r>
              <w:rPr>
                <w:color w:val="auto"/>
              </w:rPr>
              <w:t>昼间</w:t>
            </w:r>
            <w:r>
              <w:rPr>
                <w:rFonts w:hint="eastAsia"/>
                <w:color w:val="auto"/>
                <w:lang w:val="en-US" w:eastAsia="zh-CN"/>
              </w:rPr>
              <w:t>的</w:t>
            </w:r>
            <w:r>
              <w:rPr>
                <w:color w:val="auto"/>
              </w:rPr>
              <w:t>近</w:t>
            </w:r>
            <w:r>
              <w:rPr>
                <w:rFonts w:hint="eastAsia"/>
                <w:color w:val="auto"/>
              </w:rPr>
              <w:t>、中、远</w:t>
            </w:r>
            <w:r>
              <w:rPr>
                <w:color w:val="auto"/>
              </w:rPr>
              <w:t>期功能区均达标</w:t>
            </w:r>
            <w:r>
              <w:rPr>
                <w:rFonts w:hint="eastAsia"/>
                <w:color w:val="auto"/>
                <w:lang w:eastAsia="zh-CN"/>
              </w:rPr>
              <w:t>，</w:t>
            </w:r>
            <w:r>
              <w:rPr>
                <w:rFonts w:hint="eastAsia"/>
                <w:color w:val="auto"/>
                <w:lang w:val="en-US" w:eastAsia="zh-CN"/>
              </w:rPr>
              <w:t>4a类区近期、中期、远期夜间道路中心线外22m、24m、26m处</w:t>
            </w:r>
            <w:r>
              <w:rPr>
                <w:rFonts w:hint="default"/>
                <w:color w:val="auto"/>
              </w:rPr>
              <w:t>达标</w:t>
            </w:r>
            <w:r>
              <w:rPr>
                <w:rFonts w:hint="eastAsia"/>
                <w:color w:val="auto"/>
                <w:lang w:val="en-US" w:eastAsia="zh-CN"/>
              </w:rPr>
              <w:t>，2</w:t>
            </w:r>
            <w:r>
              <w:rPr>
                <w:rFonts w:hint="default"/>
                <w:color w:val="auto"/>
                <w:lang w:val="en-US" w:eastAsia="zh-CN"/>
              </w:rPr>
              <w:t>类功能区</w:t>
            </w:r>
            <w:r>
              <w:rPr>
                <w:rFonts w:hint="eastAsia"/>
                <w:color w:val="auto"/>
                <w:lang w:val="en-US" w:eastAsia="zh-CN"/>
              </w:rPr>
              <w:t>近期夜间达标，中期、远期夜间道路中心线外52m、55m</w:t>
            </w:r>
            <w:r>
              <w:rPr>
                <w:rFonts w:hint="default"/>
                <w:color w:val="auto"/>
              </w:rPr>
              <w:t>达标</w:t>
            </w:r>
            <w:r>
              <w:rPr>
                <w:rFonts w:hint="eastAsia"/>
                <w:color w:val="auto"/>
              </w:rPr>
              <w:t>。</w:t>
            </w:r>
          </w:p>
          <w:p w14:paraId="4EC1654C">
            <w:pPr>
              <w:pStyle w:val="76"/>
              <w:ind w:firstLine="471"/>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K377+450～K380+800知一镇路段，为过境段，设计车速30km/h，</w:t>
            </w:r>
            <w:r>
              <w:rPr>
                <w:rFonts w:hint="eastAsia" w:ascii="Times New Roman" w:hAnsi="Times New Roman" w:eastAsia="宋体" w:cs="Times New Roman"/>
                <w:color w:val="auto"/>
                <w:lang w:val="en-US" w:eastAsia="zh-CN"/>
              </w:rPr>
              <w:t>2类区和</w:t>
            </w:r>
            <w:r>
              <w:rPr>
                <w:rFonts w:ascii="Times New Roman" w:hAnsi="Times New Roman" w:eastAsia="宋体" w:cs="Times New Roman"/>
                <w:color w:val="auto"/>
              </w:rPr>
              <w:t>4a类区</w:t>
            </w:r>
            <w:r>
              <w:rPr>
                <w:color w:val="auto"/>
              </w:rPr>
              <w:t>昼间</w:t>
            </w:r>
            <w:r>
              <w:rPr>
                <w:rFonts w:hint="eastAsia"/>
                <w:color w:val="auto"/>
                <w:lang w:val="en-US" w:eastAsia="zh-CN"/>
              </w:rPr>
              <w:t>的</w:t>
            </w:r>
            <w:r>
              <w:rPr>
                <w:color w:val="auto"/>
              </w:rPr>
              <w:t>近</w:t>
            </w:r>
            <w:r>
              <w:rPr>
                <w:rFonts w:hint="eastAsia"/>
                <w:color w:val="auto"/>
              </w:rPr>
              <w:t>、中、远</w:t>
            </w:r>
            <w:r>
              <w:rPr>
                <w:color w:val="auto"/>
              </w:rPr>
              <w:t>期功能区均达标</w:t>
            </w:r>
            <w:r>
              <w:rPr>
                <w:rFonts w:hint="eastAsia"/>
                <w:color w:val="auto"/>
                <w:lang w:eastAsia="zh-CN"/>
              </w:rPr>
              <w:t>，</w:t>
            </w:r>
            <w:r>
              <w:rPr>
                <w:rFonts w:hint="eastAsia"/>
                <w:color w:val="auto"/>
                <w:lang w:val="en-US" w:eastAsia="zh-CN"/>
              </w:rPr>
              <w:t>4a类区近期、中期、远期夜间道路中心线外22m、24m、26m处</w:t>
            </w:r>
            <w:r>
              <w:rPr>
                <w:rFonts w:hint="default"/>
                <w:color w:val="auto"/>
              </w:rPr>
              <w:t>达标</w:t>
            </w:r>
            <w:r>
              <w:rPr>
                <w:rFonts w:hint="eastAsia"/>
                <w:color w:val="auto"/>
                <w:lang w:val="en-US" w:eastAsia="zh-CN"/>
              </w:rPr>
              <w:t>，2</w:t>
            </w:r>
            <w:r>
              <w:rPr>
                <w:rFonts w:hint="default"/>
                <w:color w:val="auto"/>
                <w:lang w:val="en-US" w:eastAsia="zh-CN"/>
              </w:rPr>
              <w:t>类功能区</w:t>
            </w:r>
            <w:r>
              <w:rPr>
                <w:rFonts w:hint="eastAsia"/>
                <w:color w:val="auto"/>
                <w:lang w:val="en-US" w:eastAsia="zh-CN"/>
              </w:rPr>
              <w:t>近期和中期夜间达标，远期夜间道路中心线外48m达标</w:t>
            </w:r>
            <w:r>
              <w:rPr>
                <w:rFonts w:hint="eastAsia" w:ascii="Times New Roman" w:hAnsi="Times New Roman" w:eastAsia="宋体" w:cs="Times New Roman"/>
                <w:color w:val="auto"/>
                <w:kern w:val="2"/>
                <w:sz w:val="24"/>
                <w:szCs w:val="24"/>
                <w:lang w:val="en-US" w:eastAsia="zh-CN" w:bidi="ar-SA"/>
              </w:rPr>
              <w:t>。</w:t>
            </w:r>
          </w:p>
          <w:p w14:paraId="59DB8985">
            <w:pPr>
              <w:pStyle w:val="76"/>
              <w:ind w:firstLine="471"/>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K398+950~K399+260果园村路段、K</w:t>
            </w:r>
            <w:r>
              <w:rPr>
                <w:rFonts w:hint="default" w:ascii="Times New Roman" w:hAnsi="Times New Roman" w:eastAsia="宋体" w:cs="Times New Roman"/>
                <w:color w:val="auto"/>
                <w:kern w:val="2"/>
                <w:sz w:val="24"/>
                <w:szCs w:val="24"/>
                <w:lang w:val="en-US" w:eastAsia="zh-CN" w:bidi="ar-SA"/>
              </w:rPr>
              <w:t>409</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200</w:t>
            </w:r>
            <w:r>
              <w:rPr>
                <w:rFonts w:hint="eastAsia" w:ascii="Times New Roman" w:hAnsi="Times New Roman" w:eastAsia="宋体" w:cs="Times New Roman"/>
                <w:color w:val="auto"/>
                <w:kern w:val="2"/>
                <w:sz w:val="24"/>
                <w:szCs w:val="24"/>
                <w:lang w:val="en-US" w:eastAsia="zh-CN" w:bidi="ar-SA"/>
              </w:rPr>
              <w:t>~K</w:t>
            </w:r>
            <w:r>
              <w:rPr>
                <w:rFonts w:hint="default" w:ascii="Times New Roman" w:hAnsi="Times New Roman" w:eastAsia="宋体" w:cs="Times New Roman"/>
                <w:color w:val="auto"/>
                <w:kern w:val="2"/>
                <w:sz w:val="24"/>
                <w:szCs w:val="24"/>
                <w:lang w:val="en-US" w:eastAsia="zh-CN" w:bidi="ar-SA"/>
              </w:rPr>
              <w:t>409</w:t>
            </w:r>
            <w:r>
              <w:rPr>
                <w:rFonts w:hint="eastAsia" w:ascii="Times New Roman" w:hAnsi="Times New Roman" w:eastAsia="宋体" w:cs="Times New Roman"/>
                <w:color w:val="auto"/>
                <w:kern w:val="2"/>
                <w:sz w:val="24"/>
                <w:szCs w:val="24"/>
                <w:lang w:val="en-US" w:eastAsia="zh-CN" w:bidi="ar-SA"/>
              </w:rPr>
              <w:t>+4</w:t>
            </w:r>
            <w:r>
              <w:rPr>
                <w:rFonts w:hint="default" w:ascii="Times New Roman" w:hAnsi="Times New Roman" w:eastAsia="宋体" w:cs="Times New Roman"/>
                <w:color w:val="auto"/>
                <w:kern w:val="2"/>
                <w:sz w:val="24"/>
                <w:szCs w:val="24"/>
                <w:lang w:val="en-US" w:eastAsia="zh-CN" w:bidi="ar-SA"/>
              </w:rPr>
              <w:t>40</w:t>
            </w:r>
            <w:r>
              <w:rPr>
                <w:rFonts w:hint="eastAsia" w:ascii="Times New Roman" w:hAnsi="Times New Roman" w:eastAsia="宋体" w:cs="Times New Roman"/>
                <w:color w:val="auto"/>
                <w:kern w:val="2"/>
                <w:sz w:val="24"/>
                <w:szCs w:val="24"/>
                <w:lang w:val="en-US" w:eastAsia="zh-CN" w:bidi="ar-SA"/>
              </w:rPr>
              <w:t>石嘴子村路段、K412+860~K413+250兴隆岗村路段，为过境段，设计车速40km/h，各路段较短，居民区较少，</w:t>
            </w:r>
            <w:r>
              <w:rPr>
                <w:rFonts w:hint="eastAsia" w:ascii="Times New Roman" w:hAnsi="Times New Roman" w:eastAsia="宋体" w:cs="Times New Roman"/>
                <w:color w:val="auto"/>
                <w:lang w:val="en-US" w:eastAsia="zh-CN"/>
              </w:rPr>
              <w:t>2类区和</w:t>
            </w:r>
            <w:r>
              <w:rPr>
                <w:rFonts w:ascii="Times New Roman" w:hAnsi="Times New Roman" w:eastAsia="宋体" w:cs="Times New Roman"/>
                <w:color w:val="auto"/>
              </w:rPr>
              <w:t>4a类区</w:t>
            </w:r>
            <w:r>
              <w:rPr>
                <w:color w:val="auto"/>
              </w:rPr>
              <w:t>昼间</w:t>
            </w:r>
            <w:r>
              <w:rPr>
                <w:rFonts w:hint="eastAsia"/>
                <w:color w:val="auto"/>
                <w:lang w:val="en-US" w:eastAsia="zh-CN"/>
              </w:rPr>
              <w:t>的</w:t>
            </w:r>
            <w:r>
              <w:rPr>
                <w:color w:val="auto"/>
              </w:rPr>
              <w:t>近</w:t>
            </w:r>
            <w:r>
              <w:rPr>
                <w:rFonts w:hint="eastAsia"/>
                <w:color w:val="auto"/>
              </w:rPr>
              <w:t>、中、远</w:t>
            </w:r>
            <w:r>
              <w:rPr>
                <w:color w:val="auto"/>
              </w:rPr>
              <w:t>期功能区均达标</w:t>
            </w:r>
            <w:r>
              <w:rPr>
                <w:rFonts w:hint="eastAsia"/>
                <w:color w:val="auto"/>
                <w:lang w:eastAsia="zh-CN"/>
              </w:rPr>
              <w:t>，</w:t>
            </w:r>
            <w:r>
              <w:rPr>
                <w:rFonts w:hint="eastAsia"/>
                <w:color w:val="auto"/>
                <w:lang w:val="en-US" w:eastAsia="zh-CN"/>
              </w:rPr>
              <w:t>4a类区近期、中期、远期夜间道路中心线外21m、25m、25m处</w:t>
            </w:r>
            <w:r>
              <w:rPr>
                <w:rFonts w:hint="default"/>
                <w:color w:val="auto"/>
              </w:rPr>
              <w:t>达标</w:t>
            </w:r>
            <w:r>
              <w:rPr>
                <w:rFonts w:hint="eastAsia"/>
                <w:color w:val="auto"/>
                <w:lang w:val="en-US" w:eastAsia="zh-CN"/>
              </w:rPr>
              <w:t>，2</w:t>
            </w:r>
            <w:r>
              <w:rPr>
                <w:rFonts w:hint="default"/>
                <w:color w:val="auto"/>
                <w:lang w:val="en-US" w:eastAsia="zh-CN"/>
              </w:rPr>
              <w:t>类功能区</w:t>
            </w:r>
            <w:r>
              <w:rPr>
                <w:rFonts w:hint="eastAsia"/>
                <w:color w:val="auto"/>
                <w:lang w:val="en-US" w:eastAsia="zh-CN"/>
              </w:rPr>
              <w:t>近期夜间达标，中期、远期夜间道路中心线外50m、53m达标</w:t>
            </w:r>
            <w:r>
              <w:rPr>
                <w:rFonts w:hint="eastAsia" w:ascii="Times New Roman" w:hAnsi="Times New Roman" w:eastAsia="宋体" w:cs="Times New Roman"/>
                <w:color w:val="auto"/>
                <w:kern w:val="2"/>
                <w:sz w:val="24"/>
                <w:szCs w:val="24"/>
                <w:lang w:val="en-US" w:eastAsia="zh-CN" w:bidi="ar-SA"/>
              </w:rPr>
              <w:t>。</w:t>
            </w:r>
          </w:p>
          <w:p w14:paraId="2642F746">
            <w:pPr>
              <w:pStyle w:val="76"/>
              <w:ind w:firstLine="471"/>
              <w:rPr>
                <w:rFonts w:hint="eastAsia" w:ascii="Times New Roman" w:hAnsi="Times New Roman" w:eastAsia="宋体" w:cs="Times New Roman"/>
                <w:color w:val="auto"/>
                <w:kern w:val="2"/>
                <w:sz w:val="24"/>
                <w:szCs w:val="24"/>
                <w:lang w:val="en-US" w:eastAsia="zh-CN" w:bidi="ar-SA"/>
              </w:rPr>
            </w:pPr>
            <w:r>
              <w:rPr>
                <w:rFonts w:hint="eastAsia" w:ascii="Times New Roman" w:hAnsi="Times New Roman" w:eastAsia="宋体" w:cs="Times New Roman"/>
                <w:color w:val="auto"/>
                <w:kern w:val="2"/>
                <w:sz w:val="24"/>
                <w:szCs w:val="24"/>
                <w:lang w:val="en-US" w:eastAsia="zh-CN" w:bidi="ar-SA"/>
              </w:rPr>
              <w:t>K402+050~K402+970马家岗村路段，为过境段，设计车速40km/h，该路段较长，居民区较多，</w:t>
            </w:r>
            <w:r>
              <w:rPr>
                <w:rFonts w:hint="eastAsia" w:ascii="Times New Roman" w:hAnsi="Times New Roman" w:eastAsia="宋体" w:cs="Times New Roman"/>
                <w:color w:val="auto"/>
                <w:lang w:val="en-US" w:eastAsia="zh-CN"/>
              </w:rPr>
              <w:t>2类区和</w:t>
            </w:r>
            <w:r>
              <w:rPr>
                <w:rFonts w:ascii="Times New Roman" w:hAnsi="Times New Roman" w:eastAsia="宋体" w:cs="Times New Roman"/>
                <w:color w:val="auto"/>
              </w:rPr>
              <w:t>4a类区</w:t>
            </w:r>
            <w:r>
              <w:rPr>
                <w:color w:val="auto"/>
              </w:rPr>
              <w:t>昼间</w:t>
            </w:r>
            <w:r>
              <w:rPr>
                <w:rFonts w:hint="eastAsia"/>
                <w:color w:val="auto"/>
                <w:lang w:val="en-US" w:eastAsia="zh-CN"/>
              </w:rPr>
              <w:t>的</w:t>
            </w:r>
            <w:r>
              <w:rPr>
                <w:color w:val="auto"/>
              </w:rPr>
              <w:t>近</w:t>
            </w:r>
            <w:r>
              <w:rPr>
                <w:rFonts w:hint="eastAsia"/>
                <w:color w:val="auto"/>
              </w:rPr>
              <w:t>、中、远</w:t>
            </w:r>
            <w:r>
              <w:rPr>
                <w:color w:val="auto"/>
              </w:rPr>
              <w:t>期功能区均达标</w:t>
            </w:r>
            <w:r>
              <w:rPr>
                <w:rFonts w:hint="eastAsia"/>
                <w:color w:val="auto"/>
                <w:lang w:eastAsia="zh-CN"/>
              </w:rPr>
              <w:t>，</w:t>
            </w:r>
            <w:r>
              <w:rPr>
                <w:rFonts w:hint="eastAsia"/>
                <w:color w:val="auto"/>
                <w:lang w:val="en-US" w:eastAsia="zh-CN"/>
              </w:rPr>
              <w:t>4a类区近期、中期、远期夜间道路中心线外21m、24m、25m处</w:t>
            </w:r>
            <w:r>
              <w:rPr>
                <w:rFonts w:hint="default"/>
                <w:color w:val="auto"/>
              </w:rPr>
              <w:t>达标</w:t>
            </w:r>
            <w:r>
              <w:rPr>
                <w:rFonts w:hint="eastAsia"/>
                <w:color w:val="auto"/>
                <w:lang w:val="en-US" w:eastAsia="zh-CN"/>
              </w:rPr>
              <w:t>，2</w:t>
            </w:r>
            <w:r>
              <w:rPr>
                <w:rFonts w:hint="default"/>
                <w:color w:val="auto"/>
                <w:lang w:val="en-US" w:eastAsia="zh-CN"/>
              </w:rPr>
              <w:t>类功能区</w:t>
            </w:r>
            <w:r>
              <w:rPr>
                <w:rFonts w:hint="eastAsia"/>
                <w:color w:val="auto"/>
                <w:lang w:val="en-US" w:eastAsia="zh-CN"/>
              </w:rPr>
              <w:t>近期、中期、远期夜间道路中心线外44m、52m、52m达标</w:t>
            </w:r>
            <w:r>
              <w:rPr>
                <w:rFonts w:hint="eastAsia" w:ascii="Times New Roman" w:hAnsi="Times New Roman" w:eastAsia="宋体" w:cs="Times New Roman"/>
                <w:color w:val="auto"/>
                <w:kern w:val="2"/>
                <w:sz w:val="24"/>
                <w:szCs w:val="24"/>
                <w:lang w:val="en-US" w:eastAsia="zh-CN" w:bidi="ar-SA"/>
              </w:rPr>
              <w:t>。</w:t>
            </w:r>
          </w:p>
          <w:p w14:paraId="628944D5">
            <w:pPr>
              <w:pStyle w:val="76"/>
              <w:ind w:firstLine="471"/>
              <w:rPr>
                <w:color w:val="auto"/>
              </w:rPr>
            </w:pPr>
            <w:r>
              <w:rPr>
                <w:rFonts w:hint="eastAsia"/>
                <w:color w:val="auto"/>
              </w:rPr>
              <w:t>（2）</w:t>
            </w:r>
            <w:r>
              <w:rPr>
                <w:color w:val="auto"/>
              </w:rPr>
              <w:t>道路沿线声环境保护目标预测</w:t>
            </w:r>
          </w:p>
          <w:p w14:paraId="7AEC9390">
            <w:pPr>
              <w:pStyle w:val="76"/>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color w:val="auto"/>
                <w:sz w:val="24"/>
                <w:szCs w:val="24"/>
              </w:rPr>
            </w:pPr>
            <w:r>
              <w:rPr>
                <w:rFonts w:hint="eastAsia"/>
                <w:color w:val="auto"/>
                <w:sz w:val="24"/>
                <w:szCs w:val="24"/>
              </w:rPr>
              <w:t>考虑地形高程、</w:t>
            </w:r>
            <w:r>
              <w:rPr>
                <w:rFonts w:hint="eastAsia"/>
                <w:color w:val="auto"/>
                <w:sz w:val="24"/>
                <w:szCs w:val="24"/>
                <w:lang w:val="en-US" w:eastAsia="zh-CN"/>
              </w:rPr>
              <w:t>建筑物阻隔，</w:t>
            </w:r>
            <w:r>
              <w:rPr>
                <w:rFonts w:hint="eastAsia"/>
                <w:color w:val="auto"/>
                <w:sz w:val="24"/>
                <w:szCs w:val="24"/>
              </w:rPr>
              <w:t>考虑空气吸声、考虑背景噪声叠加、考虑地面粗糙度、考虑上坡修正等因素情况下：</w:t>
            </w:r>
          </w:p>
          <w:p w14:paraId="495493A2">
            <w:pPr>
              <w:pStyle w:val="13"/>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非过境段中幸福六组、果园四组、果园一组、兴隆岗二组近期、中期和远期昼夜间均能够满足《声环境质量标准》标准要求；山头村、石嘴子二组、兴凯湖四组的2类声功能区近、中、远期昼间、夜间均满足《声环境质量标准》（GB3096-2008）2类区标准；山头村、石嘴子二组、兴凯湖四组的4a类声功能区近、中、远期昼间均满足《声环境质量标准》（GB3096-2008）4a类区标准，4a类声功能区近、中、远期夜间均</w:t>
            </w:r>
            <w:r>
              <w:rPr>
                <w:rFonts w:hint="eastAsia"/>
                <w:color w:val="auto"/>
                <w:sz w:val="24"/>
                <w:szCs w:val="24"/>
                <w:lang w:val="en-US" w:eastAsia="zh-CN"/>
              </w:rPr>
              <w:t>存在超标现象，最大超标量为石嘴子二组3.3dB(A)。</w:t>
            </w:r>
          </w:p>
          <w:p w14:paraId="012F5CC3">
            <w:pPr>
              <w:pStyle w:val="76"/>
              <w:bidi w:val="0"/>
              <w:rPr>
                <w:rFonts w:hint="eastAsia"/>
                <w:color w:val="auto"/>
                <w:lang w:val="en-US" w:eastAsia="zh-CN"/>
              </w:rPr>
            </w:pPr>
            <w:r>
              <w:rPr>
                <w:rFonts w:hint="eastAsia"/>
                <w:color w:val="auto"/>
                <w:lang w:val="en-US" w:eastAsia="zh-CN"/>
              </w:rPr>
              <w:t>知一镇过境段</w:t>
            </w:r>
            <w:r>
              <w:rPr>
                <w:rFonts w:hint="default"/>
                <w:color w:val="auto"/>
                <w:lang w:val="en-US" w:eastAsia="zh-CN"/>
              </w:rPr>
              <w:t>（</w:t>
            </w:r>
            <w:r>
              <w:rPr>
                <w:rFonts w:hint="eastAsia"/>
                <w:color w:val="auto"/>
                <w:lang w:val="en-US" w:eastAsia="zh-CN"/>
              </w:rPr>
              <w:t>设计车速30km/h</w:t>
            </w:r>
            <w:r>
              <w:rPr>
                <w:rFonts w:hint="default"/>
                <w:color w:val="auto"/>
                <w:lang w:val="en-US" w:eastAsia="zh-CN"/>
              </w:rPr>
              <w:t>）</w:t>
            </w:r>
            <w:r>
              <w:rPr>
                <w:rFonts w:hint="eastAsia"/>
                <w:color w:val="auto"/>
                <w:lang w:val="en-US" w:eastAsia="zh-CN"/>
              </w:rPr>
              <w:t>中向化村、知一镇中学以及知一镇第二排住宅（即2类区）近期、中期和远期昼夜间均能够满足《声环境质量标准》标准要求；知一镇第一排住宅（即4a类声功能区）的近、中、远期昼间均满足《声环境质量标准》（GB3096-2008）2类区标准，近、中、远期夜间均存在超标现象，最大超标量为第一排住宅三层2.1dB(A)。</w:t>
            </w:r>
          </w:p>
          <w:p w14:paraId="2D9067D2">
            <w:pPr>
              <w:pStyle w:val="76"/>
              <w:bidi w:val="0"/>
              <w:rPr>
                <w:rFonts w:hint="eastAsia"/>
                <w:color w:val="auto"/>
                <w:lang w:val="en-US" w:eastAsia="zh-CN"/>
              </w:rPr>
            </w:pPr>
            <w:r>
              <w:rPr>
                <w:rFonts w:hint="eastAsia"/>
                <w:color w:val="auto"/>
                <w:lang w:val="en-US" w:eastAsia="zh-CN"/>
              </w:rPr>
              <w:t>过境</w:t>
            </w:r>
            <w:r>
              <w:rPr>
                <w:rFonts w:hint="default"/>
                <w:color w:val="auto"/>
                <w:lang w:val="en-US" w:eastAsia="zh-CN"/>
              </w:rPr>
              <w:t>段（</w:t>
            </w:r>
            <w:r>
              <w:rPr>
                <w:rFonts w:hint="eastAsia"/>
                <w:color w:val="auto"/>
                <w:lang w:val="en-US" w:eastAsia="zh-CN"/>
              </w:rPr>
              <w:t>设计车速40km/h</w:t>
            </w:r>
            <w:r>
              <w:rPr>
                <w:rFonts w:hint="default"/>
                <w:color w:val="auto"/>
                <w:lang w:val="en-US" w:eastAsia="zh-CN"/>
              </w:rPr>
              <w:t>）</w:t>
            </w:r>
            <w:r>
              <w:rPr>
                <w:rFonts w:hint="eastAsia"/>
                <w:color w:val="auto"/>
                <w:lang w:val="en-US" w:eastAsia="zh-CN"/>
              </w:rPr>
              <w:t>中果园村、马家岗村、石嘴子村、兴隆岗村以及兴凯湖乡人民政府等2类声功能区近期、中期和远期昼夜间均能够满足《声环境质量标准》2类区标准；兴凯湖明德小学近、中、远期昼间均满足《声环境质量标准》（GB3096-2008）2类区标准，夜间存在超标现象，最大超标量为教学楼三层2.5dB(A)；果园村、马家岗村、石嘴子村、兴隆岗村的4a类声功能区近、中、远期昼间均满足《声环境质量标准》（GB3096-2008）4a类区标准，4a类声功能区近、中、远期夜间均存在超标现象，最大超标量为兴隆岗村3.5dB(A)。</w:t>
            </w:r>
          </w:p>
          <w:p w14:paraId="0C7076DA">
            <w:pPr>
              <w:pStyle w:val="76"/>
              <w:rPr>
                <w:color w:val="auto"/>
              </w:rPr>
            </w:pPr>
            <w:r>
              <w:rPr>
                <w:color w:val="auto"/>
              </w:rPr>
              <w:t>（3）养护</w:t>
            </w:r>
            <w:r>
              <w:rPr>
                <w:rFonts w:hint="eastAsia"/>
                <w:color w:val="auto"/>
              </w:rPr>
              <w:t>道班</w:t>
            </w:r>
            <w:r>
              <w:rPr>
                <w:color w:val="auto"/>
              </w:rPr>
              <w:t>厂界噪声影响分析</w:t>
            </w:r>
          </w:p>
          <w:p w14:paraId="299BEB09">
            <w:pPr>
              <w:pStyle w:val="76"/>
              <w:rPr>
                <w:color w:val="auto"/>
              </w:rPr>
            </w:pPr>
            <w:r>
              <w:rPr>
                <w:color w:val="auto"/>
              </w:rPr>
              <w:t>本项目运营期养护道班</w:t>
            </w:r>
            <w:r>
              <w:rPr>
                <w:rFonts w:hint="eastAsia"/>
                <w:color w:val="auto"/>
              </w:rPr>
              <w:t>水泵</w:t>
            </w:r>
            <w:r>
              <w:rPr>
                <w:color w:val="auto"/>
              </w:rPr>
              <w:t>运转产生噪声，噪声声级为60~70dB（A）。</w:t>
            </w:r>
            <w:r>
              <w:rPr>
                <w:rFonts w:hint="eastAsia"/>
                <w:color w:val="auto"/>
              </w:rPr>
              <w:t>水泵</w:t>
            </w:r>
            <w:r>
              <w:rPr>
                <w:color w:val="auto"/>
              </w:rPr>
              <w:t>采取基础减振，采取措施后，厂界噪声可满足《工业企业厂界环境噪声排放标准》（GB12348-2008）中2</w:t>
            </w:r>
            <w:r>
              <w:rPr>
                <w:rFonts w:hint="eastAsia"/>
                <w:color w:val="auto"/>
              </w:rPr>
              <w:t>、4</w:t>
            </w:r>
            <w:r>
              <w:rPr>
                <w:color w:val="auto"/>
              </w:rPr>
              <w:t>类标准，对周围声环境影响较小。</w:t>
            </w:r>
          </w:p>
          <w:p w14:paraId="2EB8FB31">
            <w:pPr>
              <w:pStyle w:val="76"/>
              <w:rPr>
                <w:color w:val="auto"/>
              </w:rPr>
            </w:pPr>
            <w:r>
              <w:rPr>
                <w:rFonts w:hint="eastAsia"/>
                <w:color w:val="auto"/>
              </w:rPr>
              <w:t>运营期养护道班进出汽车实际均属于低速（小于15km/h）行驶，辐射声级低于65dB(A)，远低于公路汽车行驶噪声，经距离衰减，其厂界噪声能够满足《工业企业厂界环境噪声排放标准》（GB12348-2008）中2、4类标准，不会对周围环境产生影响。</w:t>
            </w:r>
          </w:p>
          <w:p w14:paraId="641E28E7">
            <w:pPr>
              <w:pStyle w:val="76"/>
              <w:rPr>
                <w:color w:val="auto"/>
              </w:rPr>
            </w:pPr>
            <w:r>
              <w:rPr>
                <w:color w:val="auto"/>
              </w:rPr>
              <w:t>5、固体废物</w:t>
            </w:r>
          </w:p>
          <w:p w14:paraId="1A8D9324">
            <w:pPr>
              <w:pStyle w:val="76"/>
              <w:rPr>
                <w:color w:val="auto"/>
              </w:rPr>
            </w:pPr>
            <w:r>
              <w:rPr>
                <w:color w:val="auto"/>
              </w:rPr>
              <w:t>（1）生活垃圾</w:t>
            </w:r>
          </w:p>
          <w:p w14:paraId="4C1F59F3">
            <w:pPr>
              <w:pStyle w:val="76"/>
              <w:rPr>
                <w:color w:val="auto"/>
              </w:rPr>
            </w:pPr>
            <w:r>
              <w:rPr>
                <w:color w:val="auto"/>
              </w:rPr>
              <w:t>本项目运营期养护道班员工生活垃圾按0.5kg/（人·天）计，</w:t>
            </w:r>
            <w:r>
              <w:rPr>
                <w:rFonts w:hint="eastAsia"/>
                <w:color w:val="auto"/>
                <w:lang w:val="en-US" w:eastAsia="zh-CN"/>
              </w:rPr>
              <w:t>两个道班</w:t>
            </w:r>
            <w:r>
              <w:rPr>
                <w:color w:val="auto"/>
              </w:rPr>
              <w:t>日常工作人员共计</w:t>
            </w:r>
            <w:r>
              <w:rPr>
                <w:rFonts w:hint="eastAsia"/>
                <w:color w:val="auto"/>
              </w:rPr>
              <w:t>6</w:t>
            </w:r>
            <w:r>
              <w:rPr>
                <w:color w:val="auto"/>
              </w:rPr>
              <w:t>人，生活垃圾产生量为</w:t>
            </w:r>
            <w:r>
              <w:rPr>
                <w:rFonts w:hint="eastAsia"/>
                <w:color w:val="auto"/>
              </w:rPr>
              <w:t>3</w:t>
            </w:r>
            <w:r>
              <w:rPr>
                <w:color w:val="auto"/>
              </w:rPr>
              <w:t>kg/d、</w:t>
            </w:r>
            <w:r>
              <w:rPr>
                <w:rFonts w:hint="eastAsia"/>
                <w:color w:val="auto"/>
              </w:rPr>
              <w:t>1.095</w:t>
            </w:r>
            <w:r>
              <w:rPr>
                <w:color w:val="auto"/>
              </w:rPr>
              <w:t>t/a，生活垃圾集中收集后，交由环卫部门统一处置，对环境影响较小。</w:t>
            </w:r>
          </w:p>
          <w:p w14:paraId="2D80B73B">
            <w:pPr>
              <w:pStyle w:val="76"/>
              <w:rPr>
                <w:color w:val="auto"/>
              </w:rPr>
            </w:pPr>
            <w:r>
              <w:rPr>
                <w:color w:val="auto"/>
              </w:rPr>
              <w:t>（2）一般固废</w:t>
            </w:r>
          </w:p>
          <w:p w14:paraId="64AAA618">
            <w:pPr>
              <w:pStyle w:val="76"/>
              <w:rPr>
                <w:color w:val="auto"/>
                <w:szCs w:val="28"/>
              </w:rPr>
            </w:pPr>
            <w:r>
              <w:rPr>
                <w:color w:val="auto"/>
              </w:rPr>
              <w:t>本项目运营期养护道班产生一般固废如废弃零部件、废轮胎、废包装物等，产生量为</w:t>
            </w:r>
            <w:r>
              <w:rPr>
                <w:rFonts w:hint="eastAsia"/>
                <w:color w:val="auto"/>
                <w:szCs w:val="28"/>
              </w:rPr>
              <w:t>1</w:t>
            </w:r>
            <w:r>
              <w:rPr>
                <w:color w:val="auto"/>
                <w:szCs w:val="28"/>
              </w:rPr>
              <w:t>.0t/a，集中收集由物资回收公司综合利用</w:t>
            </w:r>
            <w:r>
              <w:rPr>
                <w:color w:val="auto"/>
              </w:rPr>
              <w:t>，严禁随意丢弃，对环境影响较小</w:t>
            </w:r>
            <w:r>
              <w:rPr>
                <w:color w:val="auto"/>
                <w:szCs w:val="28"/>
              </w:rPr>
              <w:t>。</w:t>
            </w:r>
          </w:p>
          <w:p w14:paraId="63484506">
            <w:pPr>
              <w:pStyle w:val="76"/>
              <w:rPr>
                <w:color w:val="auto"/>
                <w:szCs w:val="28"/>
              </w:rPr>
            </w:pPr>
            <w:r>
              <w:rPr>
                <w:rFonts w:hint="eastAsia"/>
                <w:color w:val="auto"/>
                <w:szCs w:val="28"/>
              </w:rPr>
              <w:t>（3）路面废物</w:t>
            </w:r>
          </w:p>
          <w:p w14:paraId="65910FA3">
            <w:pPr>
              <w:pStyle w:val="76"/>
              <w:rPr>
                <w:color w:val="auto"/>
              </w:rPr>
            </w:pPr>
            <w:r>
              <w:rPr>
                <w:rFonts w:hint="eastAsia"/>
                <w:color w:val="auto"/>
              </w:rPr>
              <w:t>道路营运后，加强道路日常清洁及维护；运输车辆撒落的运载物、发生交通事故的车辆装载的货物、客车乘客丢弃的物品等固体废物，交由市政部门统一清运。</w:t>
            </w:r>
          </w:p>
          <w:p w14:paraId="365E5A64">
            <w:pPr>
              <w:pStyle w:val="76"/>
              <w:rPr>
                <w:color w:val="auto"/>
              </w:rPr>
            </w:pPr>
          </w:p>
          <w:p w14:paraId="0F762C30">
            <w:pPr>
              <w:pStyle w:val="76"/>
              <w:rPr>
                <w:color w:val="auto"/>
              </w:rPr>
            </w:pPr>
          </w:p>
          <w:p w14:paraId="7A3FC953">
            <w:pPr>
              <w:pStyle w:val="76"/>
              <w:rPr>
                <w:color w:val="auto"/>
              </w:rPr>
            </w:pPr>
          </w:p>
          <w:p w14:paraId="5841577D">
            <w:pPr>
              <w:pStyle w:val="76"/>
              <w:rPr>
                <w:color w:val="auto"/>
              </w:rPr>
            </w:pPr>
          </w:p>
          <w:p w14:paraId="69204F66">
            <w:pPr>
              <w:pStyle w:val="76"/>
              <w:rPr>
                <w:rFonts w:hint="eastAsia"/>
                <w:color w:val="auto"/>
              </w:rPr>
            </w:pPr>
          </w:p>
        </w:tc>
      </w:tr>
      <w:tr w14:paraId="066D00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45" w:hRule="atLeast"/>
          <w:jc w:val="center"/>
        </w:trPr>
        <w:tc>
          <w:tcPr>
            <w:tcW w:w="812" w:type="dxa"/>
            <w:noWrap w:val="0"/>
            <w:vAlign w:val="center"/>
          </w:tcPr>
          <w:p w14:paraId="194BAE20">
            <w:pPr>
              <w:pStyle w:val="26"/>
              <w:adjustRightInd w:val="0"/>
              <w:snapToGrid w:val="0"/>
              <w:spacing w:before="0" w:beforeAutospacing="0" w:after="0" w:afterAutospacing="0"/>
              <w:jc w:val="center"/>
              <w:rPr>
                <w:rFonts w:hint="eastAsia" w:cs="宋体"/>
                <w:bCs/>
                <w:color w:val="auto"/>
                <w:kern w:val="2"/>
              </w:rPr>
            </w:pPr>
            <w:r>
              <w:rPr>
                <w:rFonts w:hint="eastAsia" w:cs="宋体"/>
                <w:bCs/>
                <w:color w:val="auto"/>
                <w:kern w:val="2"/>
              </w:rPr>
              <w:t>选址选线环境合理性分析</w:t>
            </w:r>
          </w:p>
        </w:tc>
        <w:tc>
          <w:tcPr>
            <w:tcW w:w="8187" w:type="dxa"/>
            <w:noWrap w:val="0"/>
            <w:vAlign w:val="top"/>
          </w:tcPr>
          <w:p w14:paraId="3809650C">
            <w:pPr>
              <w:pStyle w:val="76"/>
              <w:rPr>
                <w:color w:val="auto"/>
              </w:rPr>
            </w:pPr>
            <w:r>
              <w:rPr>
                <w:rFonts w:hint="eastAsia"/>
                <w:color w:val="auto"/>
              </w:rPr>
              <w:t>1、路线方案的选址合理性分析</w:t>
            </w:r>
          </w:p>
          <w:p w14:paraId="3CCF7C3F">
            <w:pPr>
              <w:pStyle w:val="76"/>
              <w:rPr>
                <w:color w:val="auto"/>
              </w:rPr>
            </w:pPr>
            <w:r>
              <w:rPr>
                <w:rFonts w:hint="eastAsia"/>
                <w:color w:val="auto"/>
              </w:rPr>
              <w:t>本项目所在路段属于</w:t>
            </w:r>
            <w:r>
              <w:rPr>
                <w:color w:val="auto"/>
              </w:rPr>
              <w:t>《</w:t>
            </w:r>
            <w:r>
              <w:rPr>
                <w:rFonts w:hint="eastAsia"/>
                <w:color w:val="auto"/>
                <w:lang w:val="zh-CN"/>
              </w:rPr>
              <w:t>黑龙江省省道网规划（2023年—2035年）</w:t>
            </w:r>
            <w:r>
              <w:rPr>
                <w:color w:val="auto"/>
              </w:rPr>
              <w:t>》</w:t>
            </w:r>
            <w:r>
              <w:rPr>
                <w:rFonts w:hint="eastAsia"/>
                <w:color w:val="auto"/>
              </w:rPr>
              <w:t>（黑交发[2024]20号）普通省道网“北南纵线（18条）”中的“S202二九一农场-北兴农场”的一部分。本次对现有道路进行改造，以路面改造为主，建设内容包括路面改造、路基排水工程局部维修、桥面改造、伸缩装置维修、搭板维修、标志、护栏等安全设施的维修等。本项目不涉及道路改线，不涉及新增永久占地，项目建设方案合理。</w:t>
            </w:r>
          </w:p>
          <w:p w14:paraId="6200ED44">
            <w:pPr>
              <w:pStyle w:val="76"/>
              <w:rPr>
                <w:color w:val="auto"/>
              </w:rPr>
            </w:pPr>
            <w:r>
              <w:rPr>
                <w:rFonts w:hint="eastAsia"/>
                <w:color w:val="auto"/>
              </w:rPr>
              <w:t>2、辅助工程选址合理性分析</w:t>
            </w:r>
          </w:p>
          <w:p w14:paraId="39E16608">
            <w:pPr>
              <w:pStyle w:val="76"/>
              <w:rPr>
                <w:color w:val="auto"/>
              </w:rPr>
            </w:pPr>
            <w:r>
              <w:rPr>
                <w:rFonts w:hint="eastAsia"/>
                <w:color w:val="auto"/>
              </w:rPr>
              <w:t>本项目利用现有2处养护道班，分别</w:t>
            </w:r>
            <w:r>
              <w:rPr>
                <w:rFonts w:hint="eastAsia"/>
                <w:color w:val="auto"/>
                <w:lang w:val="en-US" w:eastAsia="zh-CN"/>
              </w:rPr>
              <w:t>为</w:t>
            </w:r>
            <w:r>
              <w:rPr>
                <w:rFonts w:hint="eastAsia"/>
                <w:color w:val="auto"/>
              </w:rPr>
              <w:t>位于</w:t>
            </w:r>
            <w:r>
              <w:rPr>
                <w:rFonts w:hint="eastAsia"/>
                <w:color w:val="auto"/>
                <w:kern w:val="0"/>
              </w:rPr>
              <w:t>K380+700</w:t>
            </w:r>
            <w:r>
              <w:rPr>
                <w:rFonts w:hint="eastAsia"/>
                <w:color w:val="auto"/>
                <w:kern w:val="0"/>
                <w:lang w:val="en-US" w:eastAsia="zh-CN"/>
              </w:rPr>
              <w:t>向化村的山里道班和位于</w:t>
            </w:r>
            <w:r>
              <w:rPr>
                <w:rFonts w:hint="eastAsia"/>
                <w:color w:val="auto"/>
                <w:kern w:val="0"/>
              </w:rPr>
              <w:t>K397+300</w:t>
            </w:r>
            <w:r>
              <w:rPr>
                <w:rFonts w:hint="eastAsia"/>
                <w:color w:val="auto"/>
                <w:kern w:val="0"/>
                <w:lang w:val="en-US" w:eastAsia="zh-CN"/>
              </w:rPr>
              <w:t>果园四组的</w:t>
            </w:r>
            <w:r>
              <w:rPr>
                <w:rFonts w:hint="eastAsia"/>
                <w:color w:val="auto"/>
                <w:kern w:val="0"/>
              </w:rPr>
              <w:t>果园道班</w:t>
            </w:r>
            <w:r>
              <w:rPr>
                <w:rFonts w:hint="eastAsia"/>
                <w:color w:val="auto"/>
              </w:rPr>
              <w:t>，占地面积分别为560m</w:t>
            </w:r>
            <w:r>
              <w:rPr>
                <w:rFonts w:hint="eastAsia"/>
                <w:color w:val="auto"/>
                <w:vertAlign w:val="superscript"/>
              </w:rPr>
              <w:t>2</w:t>
            </w:r>
            <w:r>
              <w:rPr>
                <w:rFonts w:hint="eastAsia"/>
                <w:color w:val="auto"/>
              </w:rPr>
              <w:t>和2010m</w:t>
            </w:r>
            <w:r>
              <w:rPr>
                <w:rFonts w:hint="eastAsia"/>
                <w:color w:val="auto"/>
                <w:vertAlign w:val="superscript"/>
              </w:rPr>
              <w:t>2</w:t>
            </w:r>
            <w:r>
              <w:rPr>
                <w:rFonts w:hint="eastAsia"/>
                <w:color w:val="auto"/>
              </w:rPr>
              <w:t>，供暖采用电取暖，养护道班均不涉及自然保护区、森林公园、水源保护区、基本农田、生态保护红线等敏感区</w:t>
            </w:r>
            <w:r>
              <w:rPr>
                <w:color w:val="auto"/>
              </w:rPr>
              <w:t>，</w:t>
            </w:r>
            <w:r>
              <w:rPr>
                <w:rFonts w:hint="eastAsia"/>
                <w:color w:val="auto"/>
              </w:rPr>
              <w:t>养护道班以办公为主，无高噪声污染源</w:t>
            </w:r>
            <w:r>
              <w:rPr>
                <w:color w:val="auto"/>
              </w:rPr>
              <w:t>，设置合理</w:t>
            </w:r>
            <w:r>
              <w:rPr>
                <w:rFonts w:hint="eastAsia"/>
                <w:color w:val="auto"/>
              </w:rPr>
              <w:t>。</w:t>
            </w:r>
          </w:p>
          <w:p w14:paraId="63956BB4">
            <w:pPr>
              <w:pStyle w:val="76"/>
              <w:rPr>
                <w:color w:val="auto"/>
              </w:rPr>
            </w:pPr>
            <w:r>
              <w:rPr>
                <w:rFonts w:hint="eastAsia"/>
                <w:color w:val="auto"/>
              </w:rPr>
              <w:t>3、临时工程选址合理性分析</w:t>
            </w:r>
          </w:p>
          <w:p w14:paraId="4B62FD9A">
            <w:pPr>
              <w:pStyle w:val="76"/>
              <w:rPr>
                <w:color w:val="auto"/>
              </w:rPr>
            </w:pPr>
            <w:r>
              <w:rPr>
                <w:rFonts w:hint="eastAsia"/>
                <w:color w:val="auto"/>
              </w:rPr>
              <w:t>（1）拌合站选址合理性分析</w:t>
            </w:r>
          </w:p>
          <w:p w14:paraId="32FA980E">
            <w:pPr>
              <w:pStyle w:val="76"/>
              <w:rPr>
                <w:color w:val="auto"/>
              </w:rPr>
            </w:pPr>
            <w:r>
              <w:rPr>
                <w:rFonts w:hint="eastAsia"/>
                <w:color w:val="auto"/>
              </w:rPr>
              <w:t>①</w:t>
            </w:r>
            <w:r>
              <w:rPr>
                <w:color w:val="auto"/>
              </w:rPr>
              <w:t>设置原则</w:t>
            </w:r>
          </w:p>
          <w:p w14:paraId="1D243BCF">
            <w:pPr>
              <w:pStyle w:val="76"/>
              <w:rPr>
                <w:color w:val="auto"/>
              </w:rPr>
            </w:pPr>
            <w:r>
              <w:rPr>
                <w:color w:val="auto"/>
              </w:rPr>
              <w:t>根据《自然资源部关于规范临时用地管理的通知》（自然资规[2021]2号）要求，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w:t>
            </w:r>
          </w:p>
          <w:p w14:paraId="4F9AA78B">
            <w:pPr>
              <w:pStyle w:val="76"/>
              <w:rPr>
                <w:color w:val="auto"/>
              </w:rPr>
            </w:pPr>
            <w:r>
              <w:rPr>
                <w:color w:val="auto"/>
              </w:rPr>
              <w:t>拌合站不占用基本草原、永久基本农田、自然保护区、森林公园、风景名胜区及饮用水水源保护区等，</w:t>
            </w:r>
            <w:r>
              <w:rPr>
                <w:rFonts w:hint="eastAsia"/>
                <w:color w:val="auto"/>
                <w:lang w:eastAsia="zh-CN"/>
              </w:rPr>
              <w:t>沥青混凝土拌合站</w:t>
            </w:r>
            <w:r>
              <w:rPr>
                <w:color w:val="auto"/>
              </w:rPr>
              <w:t>距环境保护目标距离不宜小于300m，混凝土拌合站距环境保护目标距离不宜小于200m，且位置应交通便利，避免运距过长，减少施工便道的修建。</w:t>
            </w:r>
          </w:p>
          <w:p w14:paraId="24AFB09C">
            <w:pPr>
              <w:pStyle w:val="76"/>
              <w:rPr>
                <w:color w:val="auto"/>
              </w:rPr>
            </w:pPr>
            <w:r>
              <w:rPr>
                <w:rFonts w:hint="eastAsia"/>
                <w:color w:val="auto"/>
              </w:rPr>
              <w:t>②</w:t>
            </w:r>
            <w:r>
              <w:rPr>
                <w:color w:val="auto"/>
              </w:rPr>
              <w:t>设置合理性分析</w:t>
            </w:r>
          </w:p>
          <w:p w14:paraId="5A644340">
            <w:pPr>
              <w:pStyle w:val="76"/>
              <w:rPr>
                <w:color w:val="auto"/>
              </w:rPr>
            </w:pPr>
            <w:r>
              <w:rPr>
                <w:color w:val="auto"/>
              </w:rPr>
              <w:t>本项目</w:t>
            </w:r>
            <w:r>
              <w:rPr>
                <w:rFonts w:hint="eastAsia"/>
                <w:color w:val="auto"/>
              </w:rPr>
              <w:t>仅</w:t>
            </w:r>
            <w:r>
              <w:rPr>
                <w:color w:val="auto"/>
              </w:rPr>
              <w:t>设置</w:t>
            </w:r>
            <w:r>
              <w:rPr>
                <w:rFonts w:hint="eastAsia"/>
                <w:color w:val="auto"/>
              </w:rPr>
              <w:t>1</w:t>
            </w:r>
            <w:r>
              <w:rPr>
                <w:color w:val="auto"/>
              </w:rPr>
              <w:t>处</w:t>
            </w:r>
            <w:r>
              <w:rPr>
                <w:rFonts w:hint="eastAsia"/>
                <w:color w:val="auto"/>
              </w:rPr>
              <w:t>沥青</w:t>
            </w:r>
            <w:r>
              <w:rPr>
                <w:rFonts w:hint="eastAsia"/>
                <w:color w:val="auto"/>
                <w:lang w:val="en-US" w:eastAsia="zh-CN"/>
              </w:rPr>
              <w:t>混凝土</w:t>
            </w:r>
            <w:r>
              <w:rPr>
                <w:color w:val="auto"/>
              </w:rPr>
              <w:t>拌合站</w:t>
            </w:r>
            <w:r>
              <w:rPr>
                <w:rFonts w:hint="eastAsia"/>
                <w:color w:val="auto"/>
              </w:rPr>
              <w:t>，为工业用地，</w:t>
            </w:r>
            <w:r>
              <w:rPr>
                <w:color w:val="auto"/>
              </w:rPr>
              <w:t>不占用耕地和基本农田，选址合理性分析见表4-</w:t>
            </w:r>
            <w:r>
              <w:rPr>
                <w:rFonts w:hint="eastAsia"/>
                <w:color w:val="auto"/>
                <w:lang w:val="en-US" w:eastAsia="zh-CN"/>
              </w:rPr>
              <w:t>1</w:t>
            </w:r>
            <w:r>
              <w:rPr>
                <w:color w:val="auto"/>
              </w:rPr>
              <w:t>。</w:t>
            </w:r>
          </w:p>
          <w:p w14:paraId="05CC73DD">
            <w:pPr>
              <w:pStyle w:val="72"/>
              <w:rPr>
                <w:rFonts w:hint="eastAsia" w:ascii="宋体" w:hAnsi="宋体" w:eastAsia="宋体" w:cs="宋体"/>
                <w:b w:val="0"/>
                <w:bCs w:val="0"/>
                <w:color w:val="auto"/>
              </w:rPr>
            </w:pPr>
            <w:r>
              <w:rPr>
                <w:rFonts w:hint="eastAsia" w:ascii="宋体" w:hAnsi="宋体" w:eastAsia="宋体" w:cs="宋体"/>
                <w:b w:val="0"/>
                <w:bCs w:val="0"/>
                <w:color w:val="auto"/>
              </w:rPr>
              <w:t>表4-</w:t>
            </w:r>
            <w:r>
              <w:rPr>
                <w:rFonts w:hint="eastAsia" w:ascii="宋体" w:hAnsi="宋体" w:eastAsia="宋体" w:cs="宋体"/>
                <w:b w:val="0"/>
                <w:bCs w:val="0"/>
                <w:color w:val="auto"/>
                <w:lang w:val="en-US" w:eastAsia="zh-CN"/>
              </w:rPr>
              <w:t>1</w:t>
            </w:r>
            <w:r>
              <w:rPr>
                <w:rFonts w:hint="eastAsia" w:ascii="宋体" w:hAnsi="宋体" w:eastAsia="宋体" w:cs="宋体"/>
                <w:b w:val="0"/>
                <w:bCs w:val="0"/>
                <w:color w:val="auto"/>
              </w:rPr>
              <w:t xml:space="preserve">  拌合站设置合理性分析</w:t>
            </w:r>
          </w:p>
          <w:tbl>
            <w:tblPr>
              <w:tblStyle w:val="31"/>
              <w:tblW w:w="5000" w:type="pct"/>
              <w:tblInd w:w="0" w:type="dxa"/>
              <w:tblBorders>
                <w:top w:val="single" w:color="auto" w:sz="4" w:space="0"/>
                <w:left w:val="none" w:color="auto" w:sz="0" w:space="0"/>
                <w:bottom w:val="single" w:color="auto" w:sz="4"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40"/>
              <w:gridCol w:w="1409"/>
              <w:gridCol w:w="1339"/>
              <w:gridCol w:w="1017"/>
              <w:gridCol w:w="3366"/>
            </w:tblGrid>
            <w:tr w14:paraId="46586ABB">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527" w:type="pct"/>
                  <w:tcBorders>
                    <w:tl2br w:val="nil"/>
                    <w:tr2bl w:val="nil"/>
                  </w:tcBorders>
                  <w:vAlign w:val="center"/>
                </w:tcPr>
                <w:p w14:paraId="31303E26">
                  <w:pPr>
                    <w:pStyle w:val="80"/>
                    <w:rPr>
                      <w:color w:val="auto"/>
                    </w:rPr>
                  </w:pPr>
                  <w:r>
                    <w:rPr>
                      <w:color w:val="auto"/>
                    </w:rPr>
                    <w:t>工程名称</w:t>
                  </w:r>
                </w:p>
              </w:tc>
              <w:tc>
                <w:tcPr>
                  <w:tcW w:w="884" w:type="pct"/>
                  <w:tcBorders>
                    <w:tl2br w:val="nil"/>
                    <w:tr2bl w:val="nil"/>
                  </w:tcBorders>
                  <w:vAlign w:val="center"/>
                </w:tcPr>
                <w:p w14:paraId="62711C55">
                  <w:pPr>
                    <w:pStyle w:val="80"/>
                    <w:rPr>
                      <w:color w:val="auto"/>
                    </w:rPr>
                  </w:pPr>
                  <w:r>
                    <w:rPr>
                      <w:color w:val="auto"/>
                    </w:rPr>
                    <w:t>上路桩号</w:t>
                  </w:r>
                </w:p>
              </w:tc>
              <w:tc>
                <w:tcPr>
                  <w:tcW w:w="840" w:type="pct"/>
                  <w:tcBorders>
                    <w:tl2br w:val="nil"/>
                    <w:tr2bl w:val="nil"/>
                  </w:tcBorders>
                  <w:vAlign w:val="center"/>
                </w:tcPr>
                <w:p w14:paraId="5B01AF5F">
                  <w:pPr>
                    <w:pStyle w:val="80"/>
                    <w:rPr>
                      <w:color w:val="auto"/>
                    </w:rPr>
                  </w:pPr>
                  <w:r>
                    <w:rPr>
                      <w:color w:val="auto"/>
                    </w:rPr>
                    <w:t>占地类型</w:t>
                  </w:r>
                </w:p>
              </w:tc>
              <w:tc>
                <w:tcPr>
                  <w:tcW w:w="638" w:type="pct"/>
                  <w:tcBorders>
                    <w:tl2br w:val="nil"/>
                    <w:tr2bl w:val="nil"/>
                  </w:tcBorders>
                  <w:vAlign w:val="center"/>
                </w:tcPr>
                <w:p w14:paraId="7EB1E481">
                  <w:pPr>
                    <w:pStyle w:val="80"/>
                    <w:rPr>
                      <w:color w:val="auto"/>
                    </w:rPr>
                  </w:pPr>
                  <w:r>
                    <w:rPr>
                      <w:color w:val="auto"/>
                    </w:rPr>
                    <w:t>面积（hm</w:t>
                  </w:r>
                  <w:r>
                    <w:rPr>
                      <w:color w:val="auto"/>
                      <w:vertAlign w:val="superscript"/>
                    </w:rPr>
                    <w:t>2</w:t>
                  </w:r>
                  <w:r>
                    <w:rPr>
                      <w:color w:val="auto"/>
                    </w:rPr>
                    <w:t>）</w:t>
                  </w:r>
                </w:p>
              </w:tc>
              <w:tc>
                <w:tcPr>
                  <w:tcW w:w="2112" w:type="pct"/>
                  <w:tcBorders>
                    <w:tl2br w:val="nil"/>
                    <w:tr2bl w:val="nil"/>
                  </w:tcBorders>
                  <w:vAlign w:val="center"/>
                </w:tcPr>
                <w:p w14:paraId="3342FEC2">
                  <w:pPr>
                    <w:pStyle w:val="80"/>
                    <w:rPr>
                      <w:color w:val="auto"/>
                    </w:rPr>
                  </w:pPr>
                  <w:r>
                    <w:rPr>
                      <w:color w:val="auto"/>
                    </w:rPr>
                    <w:t>选址合理性分析</w:t>
                  </w:r>
                </w:p>
              </w:tc>
            </w:tr>
            <w:tr w14:paraId="44F79D75">
              <w:tblPrEx>
                <w:tblBorders>
                  <w:top w:val="single" w:color="auto" w:sz="4" w:space="0"/>
                  <w:left w:val="none" w:color="auto" w:sz="0" w:space="0"/>
                  <w:bottom w:val="sing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527" w:type="pct"/>
                  <w:tcBorders>
                    <w:tl2br w:val="nil"/>
                    <w:tr2bl w:val="nil"/>
                  </w:tcBorders>
                  <w:vAlign w:val="center"/>
                </w:tcPr>
                <w:p w14:paraId="5B5DF317">
                  <w:pPr>
                    <w:pStyle w:val="88"/>
                    <w:rPr>
                      <w:rFonts w:hint="eastAsia" w:eastAsia="宋体"/>
                      <w:color w:val="auto"/>
                      <w:lang w:eastAsia="zh-CN"/>
                    </w:rPr>
                  </w:pPr>
                  <w:r>
                    <w:rPr>
                      <w:rFonts w:hint="eastAsia"/>
                      <w:color w:val="auto"/>
                      <w:lang w:eastAsia="zh-CN"/>
                    </w:rPr>
                    <w:t>沥青混凝土拌合站</w:t>
                  </w:r>
                </w:p>
              </w:tc>
              <w:tc>
                <w:tcPr>
                  <w:tcW w:w="884" w:type="pct"/>
                  <w:tcBorders>
                    <w:tl2br w:val="nil"/>
                    <w:tr2bl w:val="nil"/>
                  </w:tcBorders>
                  <w:vAlign w:val="center"/>
                </w:tcPr>
                <w:p w14:paraId="0376854F">
                  <w:pPr>
                    <w:pStyle w:val="88"/>
                    <w:rPr>
                      <w:rFonts w:hint="default"/>
                      <w:color w:val="auto"/>
                    </w:rPr>
                  </w:pPr>
                  <w:r>
                    <w:rPr>
                      <w:color w:val="auto"/>
                    </w:rPr>
                    <w:t>K381+540左0.38km</w:t>
                  </w:r>
                </w:p>
              </w:tc>
              <w:tc>
                <w:tcPr>
                  <w:tcW w:w="840" w:type="pct"/>
                  <w:tcBorders>
                    <w:tl2br w:val="nil"/>
                    <w:tr2bl w:val="nil"/>
                  </w:tcBorders>
                  <w:vAlign w:val="center"/>
                </w:tcPr>
                <w:p w14:paraId="205A1D68">
                  <w:pPr>
                    <w:pStyle w:val="88"/>
                    <w:rPr>
                      <w:rFonts w:hint="default"/>
                      <w:color w:val="auto"/>
                    </w:rPr>
                  </w:pPr>
                  <w:r>
                    <w:rPr>
                      <w:color w:val="auto"/>
                    </w:rPr>
                    <w:t>工业用地</w:t>
                  </w:r>
                </w:p>
              </w:tc>
              <w:tc>
                <w:tcPr>
                  <w:tcW w:w="638" w:type="pct"/>
                  <w:tcBorders>
                    <w:tl2br w:val="nil"/>
                    <w:tr2bl w:val="nil"/>
                  </w:tcBorders>
                  <w:vAlign w:val="center"/>
                </w:tcPr>
                <w:p w14:paraId="6AC52E5D">
                  <w:pPr>
                    <w:pStyle w:val="88"/>
                    <w:rPr>
                      <w:rFonts w:hint="default" w:eastAsia="宋体"/>
                      <w:color w:val="auto"/>
                      <w:lang w:val="en-US" w:eastAsia="zh-CN"/>
                    </w:rPr>
                  </w:pPr>
                  <w:r>
                    <w:rPr>
                      <w:rFonts w:hint="eastAsia"/>
                      <w:color w:val="auto"/>
                      <w:lang w:val="en-US" w:eastAsia="zh-CN"/>
                    </w:rPr>
                    <w:t>3.6</w:t>
                  </w:r>
                </w:p>
              </w:tc>
              <w:tc>
                <w:tcPr>
                  <w:tcW w:w="2112" w:type="pct"/>
                  <w:tcBorders>
                    <w:tl2br w:val="nil"/>
                    <w:tr2bl w:val="nil"/>
                  </w:tcBorders>
                  <w:vAlign w:val="center"/>
                </w:tcPr>
                <w:p w14:paraId="5E3C171D">
                  <w:pPr>
                    <w:pStyle w:val="80"/>
                    <w:rPr>
                      <w:rFonts w:hint="eastAsia" w:eastAsia="宋体"/>
                      <w:color w:val="auto"/>
                      <w:lang w:eastAsia="zh-CN"/>
                    </w:rPr>
                  </w:pPr>
                  <w:r>
                    <w:rPr>
                      <w:color w:val="auto"/>
                    </w:rPr>
                    <w:t>不在生态保护红线内，不占用特殊、重要生态环境敏感区，选址周边300m范围无居民分布，距离最近的保护目标为拌合站东</w:t>
                  </w:r>
                  <w:r>
                    <w:rPr>
                      <w:rFonts w:hint="eastAsia"/>
                      <w:color w:val="auto"/>
                    </w:rPr>
                    <w:t>北</w:t>
                  </w:r>
                  <w:r>
                    <w:rPr>
                      <w:color w:val="auto"/>
                    </w:rPr>
                    <w:t>侧约</w:t>
                  </w:r>
                  <w:r>
                    <w:rPr>
                      <w:rFonts w:hint="eastAsia"/>
                      <w:color w:val="auto"/>
                      <w:lang w:val="en-US" w:eastAsia="zh-CN"/>
                    </w:rPr>
                    <w:t>350</w:t>
                  </w:r>
                  <w:r>
                    <w:rPr>
                      <w:color w:val="auto"/>
                    </w:rPr>
                    <w:t>m的</w:t>
                  </w:r>
                  <w:r>
                    <w:rPr>
                      <w:rFonts w:hint="eastAsia"/>
                      <w:color w:val="auto"/>
                      <w:lang w:val="en-US" w:eastAsia="zh-CN"/>
                    </w:rPr>
                    <w:t>归仁</w:t>
                  </w:r>
                  <w:r>
                    <w:rPr>
                      <w:color w:val="auto"/>
                    </w:rPr>
                    <w:t>村，不占用耕地和永久基本农田及饮用水水源保护区，</w:t>
                  </w:r>
                  <w:r>
                    <w:rPr>
                      <w:rFonts w:hint="eastAsia"/>
                      <w:color w:val="auto"/>
                    </w:rPr>
                    <w:t>利用现有乡道，该拌合站运距较近，拌合站</w:t>
                  </w:r>
                  <w:r>
                    <w:rPr>
                      <w:color w:val="auto"/>
                    </w:rPr>
                    <w:t>设置</w:t>
                  </w:r>
                  <w:r>
                    <w:rPr>
                      <w:rFonts w:hint="eastAsia"/>
                      <w:color w:val="auto"/>
                    </w:rPr>
                    <w:t>相对</w:t>
                  </w:r>
                  <w:r>
                    <w:rPr>
                      <w:color w:val="auto"/>
                    </w:rPr>
                    <w:t>合理</w:t>
                  </w:r>
                  <w:r>
                    <w:rPr>
                      <w:rFonts w:hint="eastAsia"/>
                      <w:color w:val="auto"/>
                      <w:lang w:eastAsia="zh-CN"/>
                    </w:rPr>
                    <w:t>。</w:t>
                  </w:r>
                </w:p>
              </w:tc>
            </w:tr>
          </w:tbl>
          <w:p w14:paraId="52C7B06E">
            <w:pPr>
              <w:pStyle w:val="76"/>
              <w:spacing w:line="360" w:lineRule="auto"/>
              <w:rPr>
                <w:color w:val="auto"/>
                <w:sz w:val="24"/>
                <w:szCs w:val="24"/>
              </w:rPr>
            </w:pPr>
            <w:r>
              <w:rPr>
                <w:rFonts w:hint="eastAsia"/>
                <w:color w:val="auto"/>
                <w:sz w:val="24"/>
                <w:szCs w:val="24"/>
              </w:rPr>
              <w:t>（2）施工驻地选址合理性</w:t>
            </w:r>
          </w:p>
          <w:p w14:paraId="2FC0B99B">
            <w:pPr>
              <w:pStyle w:val="80"/>
              <w:wordWrap/>
              <w:topLinePunct/>
              <w:spacing w:line="360" w:lineRule="auto"/>
              <w:ind w:firstLine="480" w:firstLineChars="200"/>
              <w:jc w:val="both"/>
              <w:rPr>
                <w:color w:val="auto"/>
                <w:sz w:val="24"/>
                <w:szCs w:val="24"/>
              </w:rPr>
            </w:pPr>
            <w:r>
              <w:rPr>
                <w:rFonts w:hint="eastAsia"/>
                <w:color w:val="auto"/>
                <w:sz w:val="24"/>
                <w:szCs w:val="24"/>
              </w:rPr>
              <w:t>本项目设置1处施工驻地，位于K370西南侧约7.2km，占地面积2600m</w:t>
            </w:r>
            <w:r>
              <w:rPr>
                <w:rFonts w:hint="eastAsia"/>
                <w:color w:val="auto"/>
                <w:sz w:val="24"/>
                <w:szCs w:val="24"/>
                <w:vertAlign w:val="superscript"/>
              </w:rPr>
              <w:t>2</w:t>
            </w:r>
            <w:r>
              <w:rPr>
                <w:rFonts w:hint="eastAsia"/>
                <w:color w:val="auto"/>
                <w:sz w:val="24"/>
                <w:szCs w:val="24"/>
              </w:rPr>
              <w:t>，租赁现有闲置场地，用地为工业用地</w:t>
            </w:r>
            <w:r>
              <w:rPr>
                <w:color w:val="auto"/>
                <w:sz w:val="24"/>
                <w:szCs w:val="24"/>
              </w:rPr>
              <w:t>，施工驻地进行人员休息、机械存放，无生产作业环节，</w:t>
            </w:r>
            <w:r>
              <w:rPr>
                <w:rFonts w:hint="eastAsia"/>
                <w:color w:val="auto"/>
                <w:sz w:val="24"/>
                <w:szCs w:val="24"/>
              </w:rPr>
              <w:t>对周围环境影响较小，且施工驻地周边交通运输条件较好，选址合理。</w:t>
            </w:r>
          </w:p>
          <w:p w14:paraId="3D7AC98D">
            <w:pPr>
              <w:pStyle w:val="76"/>
              <w:rPr>
                <w:rFonts w:hint="eastAsia"/>
                <w:color w:val="auto"/>
              </w:rPr>
            </w:pPr>
          </w:p>
        </w:tc>
      </w:tr>
    </w:tbl>
    <w:p w14:paraId="14606247">
      <w:pPr>
        <w:rPr>
          <w:rFonts w:hint="eastAsia"/>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2C478E67">
      <w:pPr>
        <w:pStyle w:val="26"/>
        <w:spacing w:before="0" w:beforeAutospacing="0" w:after="120" w:afterLines="50" w:afterAutospacing="0"/>
        <w:jc w:val="center"/>
        <w:outlineLvl w:val="0"/>
        <w:rPr>
          <w:rFonts w:hint="eastAsia" w:ascii="黑体" w:hAnsi="黑体" w:eastAsia="黑体"/>
          <w:snapToGrid w:val="0"/>
          <w:color w:val="auto"/>
          <w:kern w:val="21"/>
          <w:sz w:val="30"/>
          <w:szCs w:val="30"/>
          <w:highlight w:val="none"/>
        </w:rPr>
      </w:pPr>
      <w:bookmarkStart w:id="16" w:name="_Toc516"/>
      <w:r>
        <w:rPr>
          <w:rFonts w:hint="eastAsia" w:ascii="黑体" w:hAnsi="黑体" w:eastAsia="黑体"/>
          <w:snapToGrid w:val="0"/>
          <w:color w:val="auto"/>
          <w:kern w:val="21"/>
          <w:sz w:val="30"/>
          <w:szCs w:val="30"/>
          <w:highlight w:val="none"/>
        </w:rPr>
        <w:t>五、主要生态环境保护措施</w:t>
      </w:r>
      <w:bookmarkEnd w:id="16"/>
    </w:p>
    <w:tbl>
      <w:tblPr>
        <w:tblStyle w:val="31"/>
        <w:tblW w:w="870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56"/>
        <w:gridCol w:w="8050"/>
      </w:tblGrid>
      <w:tr w14:paraId="400723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0F6A2EFF">
            <w:pPr>
              <w:adjustRightInd w:val="0"/>
              <w:snapToGrid w:val="0"/>
              <w:jc w:val="center"/>
              <w:rPr>
                <w:rFonts w:ascii="宋体" w:hAnsi="宋体"/>
                <w:bCs/>
                <w:color w:val="auto"/>
              </w:rPr>
            </w:pPr>
            <w:r>
              <w:rPr>
                <w:rFonts w:hint="eastAsia" w:ascii="宋体" w:hAnsi="宋体" w:cs="宋体"/>
                <w:bCs/>
                <w:color w:val="auto"/>
                <w:spacing w:val="10"/>
              </w:rPr>
              <w:t>施工期生态环境保护措施</w:t>
            </w:r>
          </w:p>
        </w:tc>
        <w:tc>
          <w:tcPr>
            <w:tcW w:w="8050" w:type="dxa"/>
            <w:noWrap w:val="0"/>
            <w:vAlign w:val="top"/>
          </w:tcPr>
          <w:p w14:paraId="41C8F83B">
            <w:pPr>
              <w:ind w:firstLine="420"/>
              <w:rPr>
                <w:color w:val="auto"/>
              </w:rPr>
            </w:pPr>
            <w:r>
              <w:rPr>
                <w:color w:val="auto"/>
              </w:rPr>
              <w:t>1</w:t>
            </w:r>
            <w:r>
              <w:rPr>
                <w:rFonts w:hint="eastAsia"/>
                <w:color w:val="auto"/>
              </w:rPr>
              <w:t>、</w:t>
            </w:r>
            <w:r>
              <w:rPr>
                <w:color w:val="auto"/>
              </w:rPr>
              <w:t>生态环境减缓措施</w:t>
            </w:r>
          </w:p>
          <w:p w14:paraId="1367AEE3">
            <w:pPr>
              <w:ind w:firstLine="420"/>
              <w:rPr>
                <w:color w:val="auto"/>
              </w:rPr>
            </w:pPr>
            <w:r>
              <w:rPr>
                <w:color w:val="auto"/>
              </w:rPr>
              <w:t>本项目施工期生态保护</w:t>
            </w:r>
            <w:r>
              <w:rPr>
                <w:rFonts w:hint="eastAsia"/>
                <w:color w:val="auto"/>
              </w:rPr>
              <w:t>措施包括</w:t>
            </w:r>
            <w:r>
              <w:rPr>
                <w:color w:val="auto"/>
              </w:rPr>
              <w:t>植被保护</w:t>
            </w:r>
            <w:r>
              <w:rPr>
                <w:rFonts w:hint="eastAsia"/>
                <w:color w:val="auto"/>
              </w:rPr>
              <w:t>措施</w:t>
            </w:r>
            <w:r>
              <w:rPr>
                <w:color w:val="auto"/>
              </w:rPr>
              <w:t>、野生动物保护</w:t>
            </w:r>
            <w:r>
              <w:rPr>
                <w:rFonts w:hint="eastAsia"/>
                <w:color w:val="auto"/>
              </w:rPr>
              <w:t>措施</w:t>
            </w:r>
            <w:r>
              <w:rPr>
                <w:color w:val="auto"/>
              </w:rPr>
              <w:t>、水生生物保护</w:t>
            </w:r>
            <w:r>
              <w:rPr>
                <w:rFonts w:hint="eastAsia"/>
                <w:color w:val="auto"/>
              </w:rPr>
              <w:t>措施</w:t>
            </w:r>
            <w:r>
              <w:rPr>
                <w:rFonts w:hint="eastAsia"/>
                <w:color w:val="auto"/>
                <w:lang w:val="en-US" w:eastAsia="zh-CN"/>
              </w:rPr>
              <w:t>等</w:t>
            </w:r>
            <w:r>
              <w:rPr>
                <w:color w:val="auto"/>
              </w:rPr>
              <w:t>，同时配套生态监测与环境管理机制，形成全流程防护体系</w:t>
            </w:r>
            <w:r>
              <w:rPr>
                <w:rFonts w:hint="eastAsia"/>
                <w:color w:val="auto"/>
              </w:rPr>
              <w:t>。</w:t>
            </w:r>
          </w:p>
          <w:p w14:paraId="1EA95D9F">
            <w:pPr>
              <w:ind w:firstLine="420"/>
              <w:rPr>
                <w:color w:val="auto"/>
              </w:rPr>
            </w:pPr>
            <w:r>
              <w:rPr>
                <w:rFonts w:hint="eastAsia"/>
                <w:color w:val="auto"/>
              </w:rPr>
              <w:t>（1）</w:t>
            </w:r>
            <w:r>
              <w:rPr>
                <w:color w:val="auto"/>
              </w:rPr>
              <w:t>植被</w:t>
            </w:r>
            <w:r>
              <w:rPr>
                <w:rFonts w:hint="eastAsia"/>
                <w:color w:val="auto"/>
              </w:rPr>
              <w:t>保护措施</w:t>
            </w:r>
          </w:p>
          <w:p w14:paraId="3A684963">
            <w:pPr>
              <w:ind w:firstLine="420"/>
              <w:rPr>
                <w:color w:val="auto"/>
              </w:rPr>
            </w:pPr>
            <w:r>
              <w:rPr>
                <w:rFonts w:hint="eastAsia"/>
                <w:color w:val="auto"/>
                <w:lang w:val="en-US" w:eastAsia="zh-CN"/>
              </w:rPr>
              <w:t>本工程不新增</w:t>
            </w:r>
            <w:r>
              <w:rPr>
                <w:color w:val="auto"/>
              </w:rPr>
              <w:t>永久</w:t>
            </w:r>
            <w:r>
              <w:rPr>
                <w:rFonts w:hint="eastAsia"/>
                <w:color w:val="auto"/>
                <w:lang w:val="en-US" w:eastAsia="zh-CN"/>
              </w:rPr>
              <w:t>占地，</w:t>
            </w:r>
            <w:r>
              <w:rPr>
                <w:color w:val="auto"/>
              </w:rPr>
              <w:t>临时占地</w:t>
            </w:r>
            <w:r>
              <w:rPr>
                <w:rFonts w:hint="eastAsia"/>
                <w:color w:val="auto"/>
                <w:lang w:val="en-US" w:eastAsia="zh-CN"/>
              </w:rPr>
              <w:t>为工业用地，</w:t>
            </w:r>
            <w:r>
              <w:rPr>
                <w:color w:val="auto"/>
              </w:rPr>
              <w:t>施工期优先通过</w:t>
            </w:r>
            <w:r>
              <w:rPr>
                <w:rFonts w:hint="eastAsia"/>
                <w:color w:val="auto"/>
              </w:rPr>
              <w:t>“</w:t>
            </w:r>
            <w:r>
              <w:rPr>
                <w:color w:val="auto"/>
              </w:rPr>
              <w:t>控范围、保表土、严合规</w:t>
            </w:r>
            <w:r>
              <w:rPr>
                <w:rFonts w:hint="eastAsia"/>
                <w:color w:val="auto"/>
              </w:rPr>
              <w:t>”</w:t>
            </w:r>
            <w:r>
              <w:rPr>
                <w:color w:val="auto"/>
              </w:rPr>
              <w:t>减少植被与土地破坏</w:t>
            </w:r>
            <w:r>
              <w:rPr>
                <w:rFonts w:hint="eastAsia"/>
                <w:color w:val="auto"/>
              </w:rPr>
              <w:t>，</w:t>
            </w:r>
            <w:r>
              <w:rPr>
                <w:color w:val="auto"/>
              </w:rPr>
              <w:t>严格按设计土地范围控制</w:t>
            </w:r>
            <w:r>
              <w:rPr>
                <w:rFonts w:hint="eastAsia"/>
                <w:color w:val="auto"/>
                <w:lang w:val="en-US" w:eastAsia="zh-CN"/>
              </w:rPr>
              <w:t>施工</w:t>
            </w:r>
            <w:r>
              <w:rPr>
                <w:color w:val="auto"/>
              </w:rPr>
              <w:t>作业面，禁止人员车辆进入非施工区</w:t>
            </w:r>
            <w:r>
              <w:rPr>
                <w:rFonts w:hint="eastAsia"/>
                <w:color w:val="auto"/>
                <w:lang w:eastAsia="zh-CN"/>
              </w:rPr>
              <w:t>，</w:t>
            </w:r>
            <w:r>
              <w:rPr>
                <w:rFonts w:hint="eastAsia"/>
                <w:color w:val="auto"/>
                <w:lang w:val="en-US" w:eastAsia="zh-CN"/>
              </w:rPr>
              <w:t>确保不破坏工程周边植被</w:t>
            </w:r>
            <w:r>
              <w:rPr>
                <w:color w:val="auto"/>
              </w:rPr>
              <w:t>。</w:t>
            </w:r>
          </w:p>
          <w:p w14:paraId="2D5EDC5E">
            <w:pPr>
              <w:ind w:firstLine="420"/>
              <w:rPr>
                <w:color w:val="auto"/>
              </w:rPr>
            </w:pPr>
            <w:r>
              <w:rPr>
                <w:rFonts w:hint="eastAsia"/>
                <w:color w:val="auto"/>
              </w:rPr>
              <w:t>（2）</w:t>
            </w:r>
            <w:r>
              <w:rPr>
                <w:color w:val="auto"/>
              </w:rPr>
              <w:t>野生动物保护</w:t>
            </w:r>
            <w:r>
              <w:rPr>
                <w:rFonts w:hint="eastAsia"/>
                <w:color w:val="auto"/>
              </w:rPr>
              <w:t>措施</w:t>
            </w:r>
          </w:p>
          <w:p w14:paraId="15E33742">
            <w:pPr>
              <w:ind w:firstLine="420"/>
              <w:rPr>
                <w:color w:val="auto"/>
              </w:rPr>
            </w:pPr>
            <w:r>
              <w:rPr>
                <w:color w:val="auto"/>
              </w:rPr>
              <w:t>施工后及时清理杂物，保留积水坑塘、湿地等两栖类生境，严禁捕猎行为；通过选用低噪声设备、合理安排施工时间（</w:t>
            </w:r>
            <w:r>
              <w:rPr>
                <w:rFonts w:hint="eastAsia"/>
                <w:color w:val="auto"/>
                <w:lang w:val="en-US" w:eastAsia="zh-CN"/>
              </w:rPr>
              <w:t>保护区内施工</w:t>
            </w:r>
            <w:r>
              <w:rPr>
                <w:color w:val="auto"/>
              </w:rPr>
              <w:t>避开鸟类</w:t>
            </w:r>
            <w:r>
              <w:rPr>
                <w:rFonts w:hint="eastAsia"/>
                <w:color w:val="auto"/>
                <w:lang w:val="en-US" w:eastAsia="zh-CN"/>
              </w:rPr>
              <w:t>主要</w:t>
            </w:r>
            <w:r>
              <w:rPr>
                <w:color w:val="auto"/>
              </w:rPr>
              <w:t>繁殖期）、缩短施工时长等减少机械振动与噪声干扰；规范生活污水、垃圾处置，避免污染影响动物种群；严控高噪声、强振动设备使用。</w:t>
            </w:r>
          </w:p>
          <w:p w14:paraId="51A43670">
            <w:pPr>
              <w:ind w:firstLine="420"/>
              <w:rPr>
                <w:color w:val="auto"/>
              </w:rPr>
            </w:pPr>
            <w:r>
              <w:rPr>
                <w:rFonts w:hint="eastAsia"/>
                <w:color w:val="auto"/>
              </w:rPr>
              <w:t>（3）</w:t>
            </w:r>
            <w:r>
              <w:rPr>
                <w:color w:val="auto"/>
              </w:rPr>
              <w:t>水生生物保护</w:t>
            </w:r>
            <w:r>
              <w:rPr>
                <w:rFonts w:hint="eastAsia"/>
                <w:color w:val="auto"/>
              </w:rPr>
              <w:t>措施</w:t>
            </w:r>
          </w:p>
          <w:p w14:paraId="3A9ECE16">
            <w:pPr>
              <w:ind w:firstLine="420"/>
              <w:rPr>
                <w:color w:val="auto"/>
              </w:rPr>
            </w:pPr>
            <w:r>
              <w:rPr>
                <w:rFonts w:hint="eastAsia" w:cs="宋体"/>
                <w:bCs/>
                <w:color w:val="auto"/>
                <w:kern w:val="21"/>
                <w:szCs w:val="21"/>
              </w:rPr>
              <w:t>本项目</w:t>
            </w:r>
            <w:r>
              <w:rPr>
                <w:rFonts w:hint="eastAsia" w:cs="宋体"/>
                <w:bCs/>
                <w:color w:val="auto"/>
                <w:kern w:val="21"/>
                <w:szCs w:val="21"/>
                <w:lang w:val="en-US" w:eastAsia="zh-CN"/>
              </w:rPr>
              <w:t>桥梁工程主要为维修搭板、桥面铺装、拆除重建护栏、更换伸缩装置、</w:t>
            </w:r>
            <w:r>
              <w:rPr>
                <w:rFonts w:hint="eastAsia" w:cs="宋体"/>
                <w:bCs/>
                <w:color w:val="auto"/>
                <w:kern w:val="21"/>
                <w:szCs w:val="21"/>
              </w:rPr>
              <w:t>维修锥坡砌体</w:t>
            </w:r>
            <w:r>
              <w:rPr>
                <w:rFonts w:hint="eastAsia" w:cs="宋体"/>
                <w:bCs/>
                <w:color w:val="auto"/>
                <w:kern w:val="21"/>
                <w:szCs w:val="21"/>
                <w:lang w:val="en-US" w:eastAsia="zh-CN"/>
              </w:rPr>
              <w:t>和</w:t>
            </w:r>
            <w:r>
              <w:rPr>
                <w:rFonts w:hint="eastAsia" w:cs="宋体"/>
                <w:bCs/>
                <w:color w:val="auto"/>
                <w:kern w:val="21"/>
                <w:szCs w:val="21"/>
              </w:rPr>
              <w:t>侧脚</w:t>
            </w:r>
            <w:r>
              <w:rPr>
                <w:rFonts w:hint="eastAsia" w:cs="宋体"/>
                <w:bCs/>
                <w:color w:val="auto"/>
                <w:kern w:val="21"/>
                <w:szCs w:val="21"/>
                <w:lang w:eastAsia="zh-CN"/>
              </w:rPr>
              <w:t>、</w:t>
            </w:r>
            <w:r>
              <w:rPr>
                <w:rFonts w:hint="eastAsia" w:cs="宋体"/>
                <w:bCs/>
                <w:color w:val="auto"/>
                <w:kern w:val="21"/>
                <w:szCs w:val="21"/>
              </w:rPr>
              <w:t>维修防撞墙</w:t>
            </w:r>
            <w:r>
              <w:rPr>
                <w:rFonts w:hint="eastAsia" w:cs="宋体"/>
                <w:bCs/>
                <w:color w:val="auto"/>
                <w:kern w:val="21"/>
                <w:szCs w:val="21"/>
                <w:lang w:val="en-US" w:eastAsia="zh-CN"/>
              </w:rPr>
              <w:t>等，不涉及桥梁拆除、桥墩工程</w:t>
            </w:r>
            <w:r>
              <w:rPr>
                <w:rFonts w:hint="eastAsia" w:cs="宋体"/>
                <w:bCs/>
                <w:color w:val="auto"/>
                <w:kern w:val="21"/>
                <w:szCs w:val="21"/>
                <w:lang w:eastAsia="zh-CN"/>
              </w:rPr>
              <w:t>。</w:t>
            </w:r>
            <w:r>
              <w:rPr>
                <w:rFonts w:hint="eastAsia" w:cs="宋体"/>
                <w:bCs/>
                <w:color w:val="auto"/>
                <w:kern w:val="21"/>
                <w:szCs w:val="21"/>
                <w:lang w:val="en-US" w:eastAsia="zh-CN"/>
              </w:rPr>
              <w:t>仅进行</w:t>
            </w:r>
            <w:r>
              <w:rPr>
                <w:rFonts w:hint="eastAsia" w:cs="宋体"/>
                <w:bCs/>
                <w:color w:val="auto"/>
                <w:kern w:val="21"/>
                <w:szCs w:val="21"/>
              </w:rPr>
              <w:t>维修锥坡砌体</w:t>
            </w:r>
            <w:r>
              <w:rPr>
                <w:rFonts w:hint="eastAsia" w:cs="宋体"/>
                <w:bCs/>
                <w:color w:val="auto"/>
                <w:kern w:val="21"/>
                <w:szCs w:val="21"/>
                <w:lang w:val="en-US" w:eastAsia="zh-CN"/>
              </w:rPr>
              <w:t>和</w:t>
            </w:r>
            <w:r>
              <w:rPr>
                <w:rFonts w:hint="eastAsia" w:cs="宋体"/>
                <w:bCs/>
                <w:color w:val="auto"/>
                <w:kern w:val="21"/>
                <w:szCs w:val="21"/>
              </w:rPr>
              <w:t>侧脚</w:t>
            </w:r>
            <w:r>
              <w:rPr>
                <w:rFonts w:hint="eastAsia" w:cs="宋体"/>
                <w:bCs/>
                <w:color w:val="auto"/>
                <w:kern w:val="21"/>
                <w:szCs w:val="21"/>
                <w:lang w:val="en-US" w:eastAsia="zh-CN"/>
              </w:rPr>
              <w:t>，施工</w:t>
            </w:r>
            <w:r>
              <w:rPr>
                <w:rFonts w:hint="eastAsia" w:cs="宋体"/>
                <w:bCs/>
                <w:color w:val="auto"/>
                <w:kern w:val="21"/>
                <w:szCs w:val="21"/>
              </w:rPr>
              <w:t>导致水体中悬浮物增加</w:t>
            </w:r>
            <w:r>
              <w:rPr>
                <w:rFonts w:hint="eastAsia" w:cs="宋体"/>
                <w:bCs/>
                <w:color w:val="auto"/>
                <w:kern w:val="21"/>
                <w:szCs w:val="21"/>
                <w:lang w:eastAsia="zh-CN"/>
              </w:rPr>
              <w:t>，</w:t>
            </w:r>
            <w:r>
              <w:rPr>
                <w:rFonts w:hint="eastAsia" w:cs="宋体"/>
                <w:bCs/>
                <w:color w:val="auto"/>
                <w:kern w:val="21"/>
                <w:szCs w:val="21"/>
                <w:lang w:val="en-US" w:eastAsia="zh-CN"/>
              </w:rPr>
              <w:t>本项目施工</w:t>
            </w:r>
            <w:r>
              <w:rPr>
                <w:rFonts w:hint="eastAsia" w:cs="宋体"/>
                <w:bCs/>
                <w:color w:val="auto"/>
                <w:kern w:val="21"/>
                <w:szCs w:val="21"/>
              </w:rPr>
              <w:t>选择枯水期</w:t>
            </w:r>
            <w:r>
              <w:rPr>
                <w:rFonts w:hint="eastAsia" w:cs="宋体"/>
                <w:bCs/>
                <w:color w:val="auto"/>
                <w:kern w:val="21"/>
                <w:szCs w:val="21"/>
                <w:lang w:eastAsia="zh-CN"/>
              </w:rPr>
              <w:t>（</w:t>
            </w:r>
            <w:r>
              <w:rPr>
                <w:rFonts w:hint="eastAsia" w:cs="宋体"/>
                <w:bCs/>
                <w:color w:val="auto"/>
                <w:kern w:val="21"/>
                <w:szCs w:val="21"/>
                <w:lang w:val="en-US" w:eastAsia="zh-CN"/>
              </w:rPr>
              <w:t>4-5月</w:t>
            </w:r>
            <w:r>
              <w:rPr>
                <w:rFonts w:hint="eastAsia" w:cs="宋体"/>
                <w:bCs/>
                <w:color w:val="auto"/>
                <w:kern w:val="21"/>
                <w:szCs w:val="21"/>
                <w:lang w:eastAsia="zh-CN"/>
              </w:rPr>
              <w:t>）</w:t>
            </w:r>
            <w:r>
              <w:rPr>
                <w:rFonts w:hint="eastAsia" w:cs="宋体"/>
                <w:bCs/>
                <w:color w:val="auto"/>
                <w:kern w:val="21"/>
                <w:szCs w:val="21"/>
              </w:rPr>
              <w:t>施工，</w:t>
            </w:r>
            <w:r>
              <w:rPr>
                <w:rFonts w:hint="eastAsia" w:cs="宋体"/>
                <w:bCs/>
                <w:color w:val="auto"/>
                <w:kern w:val="21"/>
                <w:szCs w:val="21"/>
                <w:lang w:val="en-US" w:eastAsia="zh-CN"/>
              </w:rPr>
              <w:t>减少</w:t>
            </w:r>
            <w:r>
              <w:rPr>
                <w:rFonts w:hint="eastAsia" w:cs="宋体"/>
                <w:bCs/>
                <w:color w:val="auto"/>
                <w:kern w:val="21"/>
                <w:szCs w:val="21"/>
              </w:rPr>
              <w:t>水体扰动。</w:t>
            </w:r>
            <w:r>
              <w:rPr>
                <w:color w:val="auto"/>
              </w:rPr>
              <w:t>生活污水排入防渗旱厕，设备保养维修残油、固体废物严禁入水体，建筑材料远离地表水体存放并遮盖。同时，加强施工人员教育，杜绝私捕乱捞。</w:t>
            </w:r>
          </w:p>
          <w:p w14:paraId="27F0B3C0">
            <w:pPr>
              <w:numPr>
                <w:ilvl w:val="0"/>
                <w:numId w:val="4"/>
              </w:numPr>
              <w:ind w:firstLine="420"/>
              <w:rPr>
                <w:rFonts w:hint="eastAsia"/>
                <w:color w:val="auto"/>
                <w:lang w:val="en-US" w:eastAsia="zh-CN"/>
              </w:rPr>
            </w:pPr>
            <w:r>
              <w:rPr>
                <w:color w:val="auto"/>
              </w:rPr>
              <w:t>生态敏感区</w:t>
            </w:r>
            <w:r>
              <w:rPr>
                <w:rFonts w:hint="eastAsia"/>
                <w:color w:val="auto"/>
                <w:lang w:val="en-US" w:eastAsia="zh-CN"/>
              </w:rPr>
              <w:t>措施</w:t>
            </w:r>
          </w:p>
          <w:p w14:paraId="4880BD54">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jc w:val="both"/>
              <w:textAlignment w:val="auto"/>
              <w:rPr>
                <w:rFonts w:hint="eastAsia"/>
                <w:color w:val="auto"/>
                <w:lang w:val="en-US" w:eastAsia="zh-CN"/>
              </w:rPr>
            </w:pPr>
            <w:r>
              <w:rPr>
                <w:rFonts w:hint="eastAsia"/>
                <w:color w:val="auto"/>
                <w:lang w:val="en-US" w:eastAsia="zh-CN"/>
              </w:rPr>
              <w:t>在施工期，为保护红线区内的水源涵养功能与生态功能，应执行相应的水土资源保护措施。在跨越沟渠沼泽的施工点要确保施工废水与泥沙不外泄；所有施工废水要进行收集处理，实现施工废水零外排。同时，严禁在红线区内设置任何临时场地，并将产生的废弃路面及时利用，或者运输至柳毛乡混凝土搅拌站，彻底杜绝对水体的潜在污染。</w:t>
            </w:r>
          </w:p>
          <w:p w14:paraId="54D2E8FC">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jc w:val="both"/>
              <w:textAlignment w:val="auto"/>
              <w:rPr>
                <w:rFonts w:hint="eastAsia"/>
                <w:color w:val="auto"/>
                <w:lang w:val="en-US" w:eastAsia="zh-CN"/>
              </w:rPr>
            </w:pPr>
            <w:r>
              <w:rPr>
                <w:rFonts w:hint="eastAsia"/>
                <w:color w:val="auto"/>
                <w:lang w:val="en-US" w:eastAsia="zh-CN"/>
              </w:rPr>
              <w:t>为最大限度降低对区域生态环境影响，施工时应采取系统性综合保护措施。首先，应通过设立界桩或围网严格限定施工范围，并采用短距离、快节奏的分段施工模式，以缩短对区域生态环境的干扰时间。在时间上，主动避开野生动物迁徙和繁殖的关键时期，严禁进行高干扰作业，并在鸟类繁殖前进行巢穴排查，对发现的鸟巢设置保护圈暂停施工。同时，通过选用低噪声设备、实施洒水降尘和密闭运输等方式，有效控制施工中的噪声与扬尘污染。</w:t>
            </w:r>
          </w:p>
          <w:p w14:paraId="334C7C3D">
            <w:pPr>
              <w:ind w:firstLine="420"/>
              <w:rPr>
                <w:rFonts w:hint="eastAsia"/>
                <w:color w:val="auto"/>
              </w:rPr>
            </w:pPr>
            <w:r>
              <w:rPr>
                <w:rFonts w:hint="eastAsia"/>
                <w:color w:val="auto"/>
              </w:rPr>
              <w:t>在工程施工结束后，</w:t>
            </w:r>
            <w:r>
              <w:rPr>
                <w:rFonts w:hint="eastAsia"/>
                <w:color w:val="auto"/>
                <w:lang w:val="en-US" w:eastAsia="zh-CN"/>
              </w:rPr>
              <w:t>及时</w:t>
            </w:r>
            <w:r>
              <w:rPr>
                <w:rFonts w:hint="eastAsia"/>
                <w:color w:val="auto"/>
              </w:rPr>
              <w:t>完成废料清理。为降低公路运营对野生动物的阻隔影响，应结合区域野生动物习性，优化和完善已设立的动物通道及其引导设施，确保其有效性和利用率，维护生态系统的完整性与连通性。</w:t>
            </w:r>
          </w:p>
          <w:p w14:paraId="6CE4B7B9">
            <w:pPr>
              <w:ind w:firstLine="420"/>
              <w:rPr>
                <w:rFonts w:hint="eastAsia"/>
                <w:color w:val="auto"/>
              </w:rPr>
            </w:pPr>
            <w:r>
              <w:rPr>
                <w:rFonts w:hint="eastAsia"/>
                <w:color w:val="auto"/>
              </w:rPr>
              <w:t>生态保护红线内的植被恢复以“增强水源涵养功能”为核心，施工前须精确划定施工活动边界，红线内严禁任何超范围作业，并对红线区内的原生植被和表土进行重点保护与异地养护。工程结束后，</w:t>
            </w:r>
            <w:r>
              <w:rPr>
                <w:rFonts w:hint="eastAsia"/>
                <w:color w:val="auto"/>
                <w:lang w:val="en-US" w:eastAsia="zh-CN"/>
              </w:rPr>
              <w:t>道路边坡</w:t>
            </w:r>
            <w:r>
              <w:rPr>
                <w:rFonts w:hint="eastAsia"/>
                <w:color w:val="auto"/>
              </w:rPr>
              <w:t>利用原生表土和乡土物种进行生态重建，确保恢复的植被类型与周边原生境一致，形成生态连贯性。此外，还需建立长期的生态监测体系，对恢复区域的植被成活与长势、野生动物回归情况以及关键生态过程进行持续跟踪评估，并根据监测结果及时实施适应性管护，确保生态保护红线得到实质性的、永久的守护与修复。</w:t>
            </w:r>
          </w:p>
          <w:p w14:paraId="7E0454E7">
            <w:pPr>
              <w:ind w:firstLine="420"/>
              <w:rPr>
                <w:color w:val="auto"/>
              </w:rPr>
            </w:pPr>
            <w:r>
              <w:rPr>
                <w:rFonts w:hint="eastAsia"/>
                <w:color w:val="auto"/>
              </w:rPr>
              <w:t>（6）</w:t>
            </w:r>
            <w:r>
              <w:rPr>
                <w:color w:val="auto"/>
              </w:rPr>
              <w:t>生态监测与环境管理</w:t>
            </w:r>
          </w:p>
          <w:p w14:paraId="504E0DBC">
            <w:pPr>
              <w:ind w:firstLine="420"/>
              <w:rPr>
                <w:color w:val="auto"/>
              </w:rPr>
            </w:pPr>
            <w:r>
              <w:rPr>
                <w:color w:val="auto"/>
              </w:rPr>
              <w:t>监测方面，施工期每季度在生态敏感区附近开展野生动物监测，重点关注其分布与栖息状况。管理方面，施工前通过公告、宣传册、警示牌等加强施工人员环保与野生动植物保护教育；严禁破坏施工区外林地、鸟巢、鸟卵，禁止捕杀野生动物；严控外来生物入侵，禁止带入家禽家畜、非本地植物，绿化带优先选用本地植被。</w:t>
            </w:r>
          </w:p>
          <w:p w14:paraId="5E89DE93">
            <w:pPr>
              <w:ind w:firstLine="420"/>
              <w:rPr>
                <w:color w:val="auto"/>
              </w:rPr>
            </w:pPr>
            <w:r>
              <w:rPr>
                <w:color w:val="auto"/>
              </w:rPr>
              <w:t>采取上述措施后</w:t>
            </w:r>
            <w:r>
              <w:rPr>
                <w:rFonts w:hint="eastAsia"/>
                <w:color w:val="auto"/>
              </w:rPr>
              <w:t>，</w:t>
            </w:r>
            <w:r>
              <w:rPr>
                <w:color w:val="auto"/>
              </w:rPr>
              <w:t>施工期对生态环境影响较小</w:t>
            </w:r>
            <w:r>
              <w:rPr>
                <w:rFonts w:hint="eastAsia"/>
                <w:color w:val="auto"/>
              </w:rPr>
              <w:t>。本项目设置生态专项评价，施工期具体生态措施详见生态环境影响评价专题报告。</w:t>
            </w:r>
          </w:p>
          <w:p w14:paraId="26363962">
            <w:pPr>
              <w:ind w:firstLine="420"/>
              <w:rPr>
                <w:color w:val="auto"/>
              </w:rPr>
            </w:pPr>
            <w:r>
              <w:rPr>
                <w:color w:val="auto"/>
              </w:rPr>
              <w:t>2</w:t>
            </w:r>
            <w:r>
              <w:rPr>
                <w:rFonts w:hint="eastAsia"/>
                <w:color w:val="auto"/>
              </w:rPr>
              <w:t>、</w:t>
            </w:r>
            <w:r>
              <w:rPr>
                <w:color w:val="auto"/>
              </w:rPr>
              <w:t>声环境保护措施</w:t>
            </w:r>
          </w:p>
          <w:p w14:paraId="5049B7BB">
            <w:pPr>
              <w:ind w:firstLine="420"/>
              <w:rPr>
                <w:color w:val="auto"/>
              </w:rPr>
            </w:pPr>
            <w:r>
              <w:rPr>
                <w:color w:val="auto"/>
              </w:rPr>
              <w:t>为实现施工噪声达标排放，在施工过程中做到以下措施：</w:t>
            </w:r>
          </w:p>
          <w:p w14:paraId="5A946602">
            <w:pPr>
              <w:ind w:firstLine="420"/>
              <w:rPr>
                <w:color w:val="auto"/>
              </w:rPr>
            </w:pPr>
            <w:r>
              <w:rPr>
                <w:color w:val="auto"/>
              </w:rPr>
              <w:t>（1）尽量选用低噪声的施工机械和工艺，高噪声施工机械采取消声减震措施。合理布局，施工设备、机械尽量安排在远离敏感目标的一侧。振动较大的机械设备应加装减振机座，同时应加强各类施工设备的维护和保养，保持其良好的运转，以便从根本上降低噪声源强；</w:t>
            </w:r>
          </w:p>
          <w:p w14:paraId="180A5318">
            <w:pPr>
              <w:ind w:firstLine="420"/>
              <w:rPr>
                <w:color w:val="auto"/>
              </w:rPr>
            </w:pPr>
            <w:r>
              <w:rPr>
                <w:color w:val="auto"/>
              </w:rPr>
              <w:t>（2）重型运输汽车等产生噪声的施工机械进场必须先试车，确定润滑良好，各紧固件无松动，无不良噪声后方可投入使用；</w:t>
            </w:r>
          </w:p>
          <w:p w14:paraId="55F496AC">
            <w:pPr>
              <w:ind w:firstLine="420"/>
              <w:rPr>
                <w:color w:val="auto"/>
              </w:rPr>
            </w:pPr>
            <w:r>
              <w:rPr>
                <w:color w:val="auto"/>
              </w:rPr>
              <w:t>（3）应加强管理，合理安排施工时间和施工场所，禁止在夜间施工；合理制定施工计划，避免大量噪声设备同时使用；</w:t>
            </w:r>
          </w:p>
          <w:p w14:paraId="7B9EAF6E">
            <w:pPr>
              <w:ind w:firstLine="420"/>
              <w:rPr>
                <w:color w:val="auto"/>
              </w:rPr>
            </w:pPr>
            <w:r>
              <w:rPr>
                <w:color w:val="auto"/>
              </w:rPr>
              <w:t>（4）接触高噪声施工人员必须佩戴防声头盔、耳罩、耳塞等个人防噪用具；合理安排施工人员轮流操作强噪声的施工机械，减少接触高噪声的时间，或穿插安排高噪声和低噪声的工作；</w:t>
            </w:r>
          </w:p>
          <w:p w14:paraId="45F8DA25">
            <w:pPr>
              <w:ind w:firstLine="420"/>
              <w:rPr>
                <w:color w:val="auto"/>
              </w:rPr>
            </w:pPr>
            <w:r>
              <w:rPr>
                <w:color w:val="auto"/>
              </w:rPr>
              <w:t>（5）加强对运输车辆的管理，对司机进行环保意识教育，运输车辆经过声敏感点时必须减速，禁止鸣笛及夜间禁止运输；运输车辆必须定时检查、维修以保证车况良好减少汽车交通噪声对沿途声敏感点的影响。</w:t>
            </w:r>
          </w:p>
          <w:p w14:paraId="7EBEFDE6">
            <w:pPr>
              <w:ind w:firstLine="420"/>
              <w:rPr>
                <w:color w:val="auto"/>
              </w:rPr>
            </w:pPr>
            <w:r>
              <w:rPr>
                <w:color w:val="auto"/>
              </w:rPr>
              <w:t>（6）施工厂界安装</w:t>
            </w:r>
            <w:r>
              <w:rPr>
                <w:rFonts w:hint="eastAsia"/>
                <w:color w:val="auto"/>
              </w:rPr>
              <w:t>移动式隔声、防尘挡板</w:t>
            </w:r>
            <w:r>
              <w:rPr>
                <w:rFonts w:hint="eastAsia"/>
                <w:color w:val="auto"/>
                <w:lang w:eastAsia="zh-CN"/>
              </w:rPr>
              <w:t>，</w:t>
            </w:r>
            <w:r>
              <w:rPr>
                <w:rFonts w:hint="eastAsia"/>
                <w:color w:val="auto"/>
              </w:rPr>
              <w:t>沿线敏感点</w:t>
            </w:r>
            <w:r>
              <w:rPr>
                <w:rFonts w:hint="eastAsia"/>
                <w:color w:val="auto"/>
                <w:lang w:val="en-US" w:eastAsia="zh-CN"/>
              </w:rPr>
              <w:t>处</w:t>
            </w:r>
            <w:r>
              <w:rPr>
                <w:rFonts w:hint="eastAsia"/>
                <w:color w:val="auto"/>
              </w:rPr>
              <w:t>设置</w:t>
            </w:r>
            <w:r>
              <w:rPr>
                <w:rFonts w:hint="eastAsia"/>
                <w:color w:val="auto"/>
                <w:lang w:eastAsia="zh-CN"/>
              </w:rPr>
              <w:t>，</w:t>
            </w:r>
            <w:r>
              <w:rPr>
                <w:rFonts w:hint="eastAsia"/>
                <w:color w:val="auto"/>
              </w:rPr>
              <w:t>移动式隔声、防尘挡板长度</w:t>
            </w:r>
            <w:r>
              <w:rPr>
                <w:rFonts w:hint="eastAsia"/>
                <w:color w:val="auto"/>
                <w:lang w:val="en-US" w:eastAsia="zh-CN"/>
              </w:rPr>
              <w:t>100m，高度3m。</w:t>
            </w:r>
          </w:p>
          <w:p w14:paraId="27EF9FCC">
            <w:pPr>
              <w:ind w:firstLine="420"/>
              <w:rPr>
                <w:color w:val="auto"/>
              </w:rPr>
            </w:pPr>
            <w:r>
              <w:rPr>
                <w:rFonts w:hint="eastAsia"/>
                <w:color w:val="auto"/>
              </w:rPr>
              <w:t>采取上述措施，施工场界噪声排放满足</w:t>
            </w:r>
            <w:r>
              <w:rPr>
                <w:rFonts w:hint="eastAsia"/>
                <w:color w:val="auto"/>
                <w:lang w:eastAsia="zh-CN"/>
              </w:rPr>
              <w:t>《建筑施工噪声排放标准》(GB12523一2025)</w:t>
            </w:r>
            <w:r>
              <w:rPr>
                <w:rFonts w:hint="eastAsia"/>
                <w:color w:val="auto"/>
              </w:rPr>
              <w:t>，即昼间70dB(A)、夜间55dB(A)；沿线环境敏感目标在公路施工期时，其声环境可达到《声环境质量标准》（GB3096－2008）中</w:t>
            </w:r>
            <w:r>
              <w:rPr>
                <w:rFonts w:hint="eastAsia"/>
                <w:color w:val="auto"/>
                <w:lang w:val="en-US" w:eastAsia="zh-CN"/>
              </w:rPr>
              <w:t>2</w:t>
            </w:r>
            <w:r>
              <w:rPr>
                <w:rFonts w:hint="eastAsia"/>
                <w:color w:val="auto"/>
              </w:rPr>
              <w:t>类标准。</w:t>
            </w:r>
          </w:p>
          <w:p w14:paraId="4A31F3CC">
            <w:pPr>
              <w:ind w:firstLine="420"/>
              <w:rPr>
                <w:color w:val="auto"/>
              </w:rPr>
            </w:pPr>
            <w:r>
              <w:rPr>
                <w:rFonts w:hint="eastAsia"/>
                <w:color w:val="auto"/>
              </w:rPr>
              <w:t>施工期声环境环境保护措施详见声环境影响评价专题报告。</w:t>
            </w:r>
          </w:p>
          <w:p w14:paraId="6AEE2F98">
            <w:pPr>
              <w:ind w:firstLine="420"/>
              <w:rPr>
                <w:color w:val="auto"/>
              </w:rPr>
            </w:pPr>
            <w:r>
              <w:rPr>
                <w:color w:val="auto"/>
              </w:rPr>
              <w:t>3</w:t>
            </w:r>
            <w:r>
              <w:rPr>
                <w:rFonts w:hint="eastAsia"/>
                <w:color w:val="auto"/>
              </w:rPr>
              <w:t>、</w:t>
            </w:r>
            <w:r>
              <w:rPr>
                <w:color w:val="auto"/>
              </w:rPr>
              <w:t>环境空气保护措施</w:t>
            </w:r>
          </w:p>
          <w:p w14:paraId="747C7505">
            <w:pPr>
              <w:ind w:firstLine="420"/>
              <w:rPr>
                <w:color w:val="auto"/>
              </w:rPr>
            </w:pPr>
            <w:r>
              <w:rPr>
                <w:color w:val="auto"/>
              </w:rPr>
              <w:t xml:space="preserve">为进一步减轻施工期对环境空气的影响，应采取以下措施： </w:t>
            </w:r>
          </w:p>
          <w:p w14:paraId="19177FB3">
            <w:pPr>
              <w:ind w:firstLine="420"/>
              <w:rPr>
                <w:color w:val="auto"/>
              </w:rPr>
            </w:pPr>
            <w:r>
              <w:rPr>
                <w:color w:val="auto"/>
              </w:rPr>
              <w:t>（1）施工前制定控制工地扬尘方案，采取有效防尘措施；开工前建设单位应当按照标准在施工现场周边设置围挡，施工单位应当对围挡进行维护。</w:t>
            </w:r>
          </w:p>
          <w:p w14:paraId="20416B5A">
            <w:pPr>
              <w:ind w:firstLine="420"/>
              <w:rPr>
                <w:color w:val="auto"/>
              </w:rPr>
            </w:pPr>
            <w:r>
              <w:rPr>
                <w:color w:val="auto"/>
              </w:rPr>
              <w:t>（2）施工单位应当在施工现场出入口公示施工现场负责人、环保监督员、扬尘污染控制措施、举报电话等信息。</w:t>
            </w:r>
          </w:p>
          <w:p w14:paraId="666A17B7">
            <w:pPr>
              <w:ind w:firstLine="420"/>
              <w:rPr>
                <w:color w:val="auto"/>
              </w:rPr>
            </w:pPr>
            <w:r>
              <w:rPr>
                <w:color w:val="auto"/>
              </w:rPr>
              <w:t>（3）建筑材料临时堆土场应进行遮盖、设置围挡；施工场地适当洒水，旧路面二次破碎过程应加强洒水抑尘，以减少扬尘污染</w:t>
            </w:r>
            <w:r>
              <w:rPr>
                <w:rFonts w:hint="eastAsia"/>
                <w:color w:val="auto"/>
              </w:rPr>
              <w:t>，</w:t>
            </w:r>
            <w:r>
              <w:rPr>
                <w:color w:val="auto"/>
              </w:rPr>
              <w:t>同时应设置雾炮车、固定式洒水抑尘设施，降低扬尘污染。</w:t>
            </w:r>
          </w:p>
          <w:p w14:paraId="32F00E7F">
            <w:pPr>
              <w:ind w:firstLine="420"/>
              <w:rPr>
                <w:color w:val="auto"/>
              </w:rPr>
            </w:pPr>
            <w:r>
              <w:rPr>
                <w:color w:val="auto"/>
              </w:rPr>
              <w:t>（5）运输渣土、砂石、土方等散装物料的车辆应当采取密闭或者其他措施防止物料遗撒造成扬尘污染，并按照规定路线行驶。装卸物料应当采取密闭或者洒水降尘等防止扬尘污染。</w:t>
            </w:r>
          </w:p>
          <w:p w14:paraId="57EF3718">
            <w:pPr>
              <w:ind w:firstLine="420"/>
              <w:rPr>
                <w:color w:val="auto"/>
              </w:rPr>
            </w:pPr>
            <w:r>
              <w:rPr>
                <w:color w:val="auto"/>
              </w:rPr>
              <w:t xml:space="preserve">（6）本项目拌合站周边300m范围内无居民分布，若在项目施工过程中拌合站位置有变动，则距离敏感目标不宜小于300m。 </w:t>
            </w:r>
          </w:p>
          <w:p w14:paraId="687B6DF7">
            <w:pPr>
              <w:ind w:firstLine="420"/>
              <w:rPr>
                <w:rFonts w:ascii="Times New Roman" w:hAnsi="Times New Roman" w:eastAsia="宋体" w:cs="Times New Roman"/>
                <w:color w:val="auto"/>
              </w:rPr>
            </w:pP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7</w:t>
            </w:r>
            <w:r>
              <w:rPr>
                <w:rFonts w:ascii="Times New Roman" w:hAnsi="Times New Roman" w:eastAsia="宋体" w:cs="Times New Roman"/>
                <w:color w:val="auto"/>
              </w:rPr>
              <w:t>）</w:t>
            </w:r>
            <w:r>
              <w:rPr>
                <w:rFonts w:hint="eastAsia" w:ascii="Times New Roman" w:hAnsi="Times New Roman" w:eastAsia="宋体" w:cs="Times New Roman"/>
                <w:color w:val="auto"/>
              </w:rPr>
              <w:t>面层拌合站沥青烟通过采用先进沥青混凝土搅和设备、密闭设备等措施，并配备沥青烟净化器</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可保障沥青烟达到《大气污染物综合排放标准》（GB16297-1996）表2无组织排放监控浓度限值</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导热油炉产生的烟气采用布袋除尘器处理，经18m排气筒排放。</w:t>
            </w:r>
            <w:r>
              <w:rPr>
                <w:rFonts w:hint="eastAsia" w:ascii="Times New Roman" w:hAnsi="Times New Roman" w:eastAsia="宋体" w:cs="Times New Roman"/>
                <w:color w:val="auto"/>
              </w:rPr>
              <w:t>路面沥青拌合材料用卡车密封式运至筑路现场，摊铺时应注意对施工人员的劳动防护。</w:t>
            </w:r>
          </w:p>
          <w:p w14:paraId="6E5336B9">
            <w:pPr>
              <w:ind w:firstLine="420"/>
              <w:rPr>
                <w:color w:val="auto"/>
              </w:rPr>
            </w:pPr>
            <w:r>
              <w:rPr>
                <w:color w:val="auto"/>
              </w:rPr>
              <w:t>（</w:t>
            </w:r>
            <w:r>
              <w:rPr>
                <w:rFonts w:hint="eastAsia"/>
                <w:color w:val="auto"/>
                <w:lang w:val="en-US" w:eastAsia="zh-CN"/>
              </w:rPr>
              <w:t>8</w:t>
            </w:r>
            <w:r>
              <w:rPr>
                <w:color w:val="auto"/>
              </w:rPr>
              <w:t>）选用符合环保要求的燃油施工机械设备及其运输车辆；加强运输管理，合理安排施工车辆行驶路线，尽量避开居民集中区；加强对施工机械、运输车辆的维修保养，禁止施工机械超负荷工作和车辆运输超载。</w:t>
            </w:r>
          </w:p>
          <w:p w14:paraId="1FBA869D">
            <w:pPr>
              <w:ind w:firstLine="420"/>
              <w:rPr>
                <w:color w:val="auto"/>
              </w:rPr>
            </w:pPr>
            <w:r>
              <w:rPr>
                <w:color w:val="auto"/>
              </w:rPr>
              <w:t>（</w:t>
            </w:r>
            <w:r>
              <w:rPr>
                <w:rFonts w:hint="eastAsia"/>
                <w:color w:val="auto"/>
                <w:lang w:val="en-US" w:eastAsia="zh-CN"/>
              </w:rPr>
              <w:t>9</w:t>
            </w:r>
            <w:r>
              <w:rPr>
                <w:color w:val="auto"/>
              </w:rPr>
              <w:t>）加强对施工人员的环保教育，提高全体施工人员的环保意识，坚持文明施工、科学施工、减少施工期的大气污染。</w:t>
            </w:r>
          </w:p>
          <w:p w14:paraId="6387E197">
            <w:pPr>
              <w:ind w:firstLine="420"/>
              <w:rPr>
                <w:color w:val="auto"/>
              </w:rPr>
            </w:pPr>
            <w:r>
              <w:rPr>
                <w:color w:val="auto"/>
              </w:rPr>
              <w:t>综上所述，采取上述相应防治措施后，施工场界处扬尘满足《大气污染物综合排放标准》（GB16297-1996）表2</w:t>
            </w:r>
            <w:r>
              <w:rPr>
                <w:rFonts w:hint="eastAsia"/>
                <w:color w:val="auto"/>
              </w:rPr>
              <w:t>标准限值</w:t>
            </w:r>
            <w:r>
              <w:rPr>
                <w:color w:val="auto"/>
              </w:rPr>
              <w:t>要求，对环境空气影响较小。</w:t>
            </w:r>
          </w:p>
          <w:p w14:paraId="55071731">
            <w:pPr>
              <w:ind w:firstLine="420"/>
              <w:rPr>
                <w:color w:val="auto"/>
              </w:rPr>
            </w:pPr>
            <w:r>
              <w:rPr>
                <w:rFonts w:hint="eastAsia"/>
                <w:color w:val="auto"/>
              </w:rPr>
              <w:t>4、</w:t>
            </w:r>
            <w:r>
              <w:rPr>
                <w:color w:val="auto"/>
              </w:rPr>
              <w:t>地表水保护措施</w:t>
            </w:r>
          </w:p>
          <w:p w14:paraId="30B248EA">
            <w:pPr>
              <w:ind w:firstLine="420"/>
              <w:rPr>
                <w:color w:val="auto"/>
              </w:rPr>
            </w:pPr>
            <w:r>
              <w:rPr>
                <w:color w:val="auto"/>
              </w:rPr>
              <w:t>（1）</w:t>
            </w:r>
            <w:r>
              <w:rPr>
                <w:rFonts w:hint="eastAsia"/>
                <w:color w:val="auto"/>
              </w:rPr>
              <w:t>本项目施工期生活污水利用沿线的公共卫生设施，不外排，施工生产生活区生活污水排入防渗旱厕，定期清掏，外运堆肥处理，不排入周边地表水体。</w:t>
            </w:r>
          </w:p>
          <w:p w14:paraId="7AAA6748">
            <w:pPr>
              <w:ind w:firstLine="420"/>
              <w:rPr>
                <w:color w:val="auto"/>
              </w:rPr>
            </w:pPr>
            <w:r>
              <w:rPr>
                <w:color w:val="auto"/>
              </w:rPr>
              <w:t>（2）施工生产废水设置沉淀池集中收集，生产废水经沉淀后回收利用，禁止向水体排放。</w:t>
            </w:r>
          </w:p>
          <w:p w14:paraId="7C9F4EFB">
            <w:pPr>
              <w:ind w:firstLine="420"/>
              <w:rPr>
                <w:color w:val="auto"/>
              </w:rPr>
            </w:pPr>
            <w:r>
              <w:rPr>
                <w:rFonts w:hint="eastAsia"/>
                <w:color w:val="auto"/>
              </w:rPr>
              <w:t xml:space="preserve">（3）施工期间建筑材料堆放场地远离地表水体且无汇入支流空旷地带存放，并进行遮盖，防止雨水冲刷进入地表水体。 </w:t>
            </w:r>
          </w:p>
          <w:p w14:paraId="352BBE4A">
            <w:pPr>
              <w:ind w:firstLine="420"/>
              <w:rPr>
                <w:color w:val="auto"/>
              </w:rPr>
            </w:pPr>
            <w:r>
              <w:rPr>
                <w:rFonts w:hint="eastAsia"/>
                <w:color w:val="auto"/>
              </w:rPr>
              <w:t>（4）优化施工组织设计，合理有序进行施工。合理安排桥梁</w:t>
            </w:r>
            <w:r>
              <w:rPr>
                <w:rFonts w:hint="eastAsia"/>
                <w:color w:val="auto"/>
                <w:lang w:val="en-US" w:eastAsia="zh-CN"/>
              </w:rPr>
              <w:t>维修</w:t>
            </w:r>
            <w:r>
              <w:rPr>
                <w:rFonts w:hint="eastAsia"/>
                <w:color w:val="auto"/>
              </w:rPr>
              <w:t>施工时间，施工选在枯水期，</w:t>
            </w:r>
            <w:r>
              <w:rPr>
                <w:rFonts w:hint="eastAsia"/>
                <w:color w:val="auto"/>
                <w:lang w:val="en-US" w:eastAsia="zh-CN"/>
              </w:rPr>
              <w:t>减少水体扰动</w:t>
            </w:r>
            <w:r>
              <w:rPr>
                <w:rFonts w:hint="eastAsia"/>
                <w:color w:val="auto"/>
              </w:rPr>
              <w:t xml:space="preserve">。 </w:t>
            </w:r>
          </w:p>
          <w:p w14:paraId="0496EA78">
            <w:pPr>
              <w:ind w:firstLine="420"/>
              <w:rPr>
                <w:color w:val="auto"/>
              </w:rPr>
            </w:pPr>
            <w:r>
              <w:rPr>
                <w:rFonts w:hint="eastAsia"/>
                <w:color w:val="auto"/>
              </w:rPr>
              <w:t>（</w:t>
            </w:r>
            <w:r>
              <w:rPr>
                <w:rFonts w:hint="eastAsia"/>
                <w:color w:val="auto"/>
                <w:lang w:val="en-US" w:eastAsia="zh-CN"/>
              </w:rPr>
              <w:t>5</w:t>
            </w:r>
            <w:r>
              <w:rPr>
                <w:rFonts w:hint="eastAsia"/>
                <w:color w:val="auto"/>
              </w:rPr>
              <w:t>）加强施工管理和工程监理工作，防止发生水污染事件，严格检查施工机械，防止油料发生泄漏污染水体；施工期要注意文明施工，沥青路面施工遇雨应及时停止供料，除已铺好的沥青混合料应快铺快压，其余不得继续铺设，尽量减少对水环境的影响。</w:t>
            </w:r>
          </w:p>
          <w:p w14:paraId="4FD41D11">
            <w:pPr>
              <w:ind w:firstLine="420"/>
              <w:rPr>
                <w:color w:val="auto"/>
              </w:rPr>
            </w:pPr>
            <w:r>
              <w:rPr>
                <w:rFonts w:hint="eastAsia"/>
                <w:color w:val="auto"/>
              </w:rPr>
              <w:t>采取上述措施，本项目施工对地表水影响较小。</w:t>
            </w:r>
          </w:p>
          <w:p w14:paraId="21792042">
            <w:pPr>
              <w:ind w:firstLine="420"/>
              <w:rPr>
                <w:color w:val="auto"/>
              </w:rPr>
            </w:pPr>
            <w:r>
              <w:rPr>
                <w:rFonts w:hint="eastAsia"/>
                <w:color w:val="auto"/>
                <w:lang w:val="en-US" w:eastAsia="zh-CN"/>
              </w:rPr>
              <w:t>5</w:t>
            </w:r>
            <w:r>
              <w:rPr>
                <w:rFonts w:hint="eastAsia"/>
                <w:color w:val="auto"/>
              </w:rPr>
              <w:t>、地下水保护</w:t>
            </w:r>
            <w:r>
              <w:rPr>
                <w:color w:val="auto"/>
              </w:rPr>
              <w:t>措施</w:t>
            </w:r>
          </w:p>
          <w:p w14:paraId="0D88A4C5">
            <w:pPr>
              <w:ind w:firstLine="420"/>
              <w:rPr>
                <w:color w:val="auto"/>
              </w:rPr>
            </w:pPr>
            <w:r>
              <w:rPr>
                <w:rFonts w:hint="eastAsia"/>
                <w:color w:val="auto"/>
              </w:rPr>
              <w:t>（1）施工材料合理堆放在占地范围内，沿线堆放的表土外表面苫盖密目网，防止堆置期间产生流失；</w:t>
            </w:r>
          </w:p>
          <w:p w14:paraId="38DFFD30">
            <w:pPr>
              <w:ind w:firstLine="420"/>
              <w:rPr>
                <w:color w:val="auto"/>
              </w:rPr>
            </w:pPr>
            <w:r>
              <w:rPr>
                <w:rFonts w:hint="eastAsia"/>
                <w:color w:val="auto"/>
              </w:rPr>
              <w:t>（2）设立防渗沉淀池，妥善处理施工期产生的废水；</w:t>
            </w:r>
          </w:p>
          <w:p w14:paraId="2B761D3E">
            <w:pPr>
              <w:ind w:firstLine="420"/>
              <w:rPr>
                <w:color w:val="auto"/>
              </w:rPr>
            </w:pPr>
            <w:r>
              <w:rPr>
                <w:rFonts w:hint="eastAsia"/>
                <w:color w:val="auto"/>
              </w:rPr>
              <w:t>（3）定期清理施工现场：包括清除垃圾、废弃物和其他污染物，确保施工现场的卫生和整洁，避免污染地下水的风险；</w:t>
            </w:r>
          </w:p>
          <w:p w14:paraId="4372AD37">
            <w:pPr>
              <w:ind w:firstLine="420"/>
              <w:rPr>
                <w:color w:val="auto"/>
              </w:rPr>
            </w:pPr>
            <w:r>
              <w:rPr>
                <w:rFonts w:hint="eastAsia"/>
                <w:color w:val="auto"/>
              </w:rPr>
              <w:t>（4）临时沉淀池应全部采取防渗措施，渗透系数≤1×10</w:t>
            </w:r>
            <w:r>
              <w:rPr>
                <w:rFonts w:hint="eastAsia"/>
                <w:color w:val="auto"/>
                <w:vertAlign w:val="superscript"/>
              </w:rPr>
              <w:t>-7</w:t>
            </w:r>
            <w:r>
              <w:rPr>
                <w:rFonts w:hint="eastAsia"/>
                <w:color w:val="auto"/>
              </w:rPr>
              <w:t>cm/s，以免污水下渗污染地下水。</w:t>
            </w:r>
          </w:p>
          <w:p w14:paraId="1FBFFBFE">
            <w:pPr>
              <w:ind w:firstLine="420"/>
              <w:rPr>
                <w:color w:val="auto"/>
              </w:rPr>
            </w:pPr>
            <w:r>
              <w:rPr>
                <w:rFonts w:hint="eastAsia"/>
                <w:color w:val="auto"/>
                <w:lang w:val="en-US" w:eastAsia="zh-CN"/>
              </w:rPr>
              <w:t>6</w:t>
            </w:r>
            <w:r>
              <w:rPr>
                <w:rFonts w:hint="eastAsia"/>
                <w:color w:val="auto"/>
              </w:rPr>
              <w:t>、</w:t>
            </w:r>
            <w:r>
              <w:rPr>
                <w:color w:val="auto"/>
              </w:rPr>
              <w:t xml:space="preserve">固体废物防治措施 </w:t>
            </w:r>
          </w:p>
          <w:p w14:paraId="71D8F1EC">
            <w:pPr>
              <w:ind w:firstLine="420"/>
              <w:rPr>
                <w:rFonts w:hint="eastAsia"/>
                <w:color w:val="auto"/>
              </w:rPr>
            </w:pPr>
            <w:r>
              <w:rPr>
                <w:rFonts w:hint="eastAsia"/>
                <w:color w:val="auto"/>
              </w:rPr>
              <w:t>施工人员生活垃圾集中收集后，运至市政指定地点由市政统一处理，严禁随意丢弃。</w:t>
            </w:r>
            <w:r>
              <w:rPr>
                <w:rFonts w:hint="eastAsia"/>
                <w:color w:val="auto"/>
                <w:lang w:val="en-US" w:eastAsia="zh-CN"/>
              </w:rPr>
              <w:t>路面拆除、桥梁维修</w:t>
            </w:r>
            <w:r>
              <w:rPr>
                <w:color w:val="auto"/>
              </w:rPr>
              <w:t>等产生的</w:t>
            </w:r>
            <w:r>
              <w:rPr>
                <w:rFonts w:hint="eastAsia"/>
                <w:color w:val="auto"/>
                <w:lang w:val="en-US" w:eastAsia="zh-CN"/>
              </w:rPr>
              <w:t>建筑垃圾</w:t>
            </w:r>
            <w:r>
              <w:rPr>
                <w:rFonts w:hint="eastAsia"/>
                <w:color w:val="auto"/>
              </w:rPr>
              <w:t>运送至指定地点处理。</w:t>
            </w:r>
          </w:p>
          <w:p w14:paraId="70139AB1">
            <w:pPr>
              <w:widowControl/>
              <w:jc w:val="left"/>
              <w:rPr>
                <w:color w:val="auto"/>
              </w:rPr>
            </w:pPr>
            <w:r>
              <w:rPr>
                <w:color w:val="auto"/>
              </w:rPr>
              <w:t>施工期固体废物</w:t>
            </w:r>
            <w:r>
              <w:rPr>
                <w:rFonts w:hint="eastAsia"/>
                <w:color w:val="auto"/>
                <w:lang w:val="en-US" w:eastAsia="zh-CN"/>
              </w:rPr>
              <w:t>均</w:t>
            </w:r>
            <w:r>
              <w:rPr>
                <w:color w:val="auto"/>
              </w:rPr>
              <w:t>妥善地处理处置</w:t>
            </w:r>
            <w:r>
              <w:rPr>
                <w:rFonts w:hint="eastAsia"/>
                <w:color w:val="auto"/>
              </w:rPr>
              <w:t>。本项目施工期固体废物对周围环境影响较小</w:t>
            </w:r>
            <w:r>
              <w:rPr>
                <w:rFonts w:hint="eastAsia"/>
                <w:color w:val="auto"/>
                <w:lang w:eastAsia="zh-CN"/>
              </w:rPr>
              <w:t>，</w:t>
            </w:r>
            <w:r>
              <w:rPr>
                <w:rFonts w:hint="eastAsia"/>
                <w:color w:val="auto"/>
                <w:lang w:val="en-US" w:eastAsia="zh-CN"/>
              </w:rPr>
              <w:t>具有合理性</w:t>
            </w:r>
            <w:r>
              <w:rPr>
                <w:rFonts w:hint="eastAsia"/>
                <w:color w:val="auto"/>
              </w:rPr>
              <w:t>。</w:t>
            </w:r>
          </w:p>
          <w:p w14:paraId="2AA84ECD">
            <w:pPr>
              <w:spacing w:line="360" w:lineRule="auto"/>
              <w:ind w:firstLine="420"/>
              <w:rPr>
                <w:color w:val="auto"/>
              </w:rPr>
            </w:pPr>
            <w:r>
              <w:rPr>
                <w:rFonts w:hint="eastAsia"/>
                <w:color w:val="auto"/>
                <w:lang w:val="en-US" w:eastAsia="zh-CN"/>
              </w:rPr>
              <w:t>7</w:t>
            </w:r>
            <w:r>
              <w:rPr>
                <w:rFonts w:hint="eastAsia"/>
                <w:color w:val="auto"/>
              </w:rPr>
              <w:t>、水土保持措施</w:t>
            </w:r>
          </w:p>
          <w:p w14:paraId="0E900587">
            <w:pPr>
              <w:spacing w:line="360" w:lineRule="auto"/>
              <w:ind w:firstLine="420"/>
              <w:rPr>
                <w:color w:val="auto"/>
              </w:rPr>
            </w:pPr>
            <w:r>
              <w:rPr>
                <w:rFonts w:hint="eastAsia"/>
                <w:color w:val="auto"/>
              </w:rPr>
              <w:t>（1）严格按照设计和水保方案的措施进行施工，施工中应完善边沟、排截水沟等排水工程，保持排水通畅，施工中若造成堵塞，应及时清除。</w:t>
            </w:r>
          </w:p>
          <w:p w14:paraId="18BFEAD3">
            <w:pPr>
              <w:pStyle w:val="76"/>
              <w:spacing w:line="360" w:lineRule="auto"/>
              <w:rPr>
                <w:rFonts w:hint="eastAsia"/>
                <w:color w:val="auto"/>
              </w:rPr>
            </w:pPr>
            <w:r>
              <w:rPr>
                <w:rFonts w:hint="eastAsia"/>
                <w:color w:val="auto"/>
              </w:rPr>
              <w:t>（2）做好公路沿线水土保持工作，减少水土流失，施工中合理安排工期，尽量避免和减少雨季进行路基开挖。</w:t>
            </w:r>
          </w:p>
        </w:tc>
      </w:tr>
      <w:tr w14:paraId="27FEA6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7641905A">
            <w:pPr>
              <w:adjustRightInd w:val="0"/>
              <w:snapToGrid w:val="0"/>
              <w:jc w:val="center"/>
              <w:rPr>
                <w:rFonts w:hint="eastAsia" w:ascii="宋体" w:hAnsi="宋体" w:cs="宋体"/>
                <w:bCs/>
                <w:color w:val="auto"/>
                <w:spacing w:val="10"/>
              </w:rPr>
            </w:pPr>
            <w:r>
              <w:rPr>
                <w:rFonts w:hint="eastAsia" w:ascii="宋体" w:hAnsi="宋体" w:cs="宋体"/>
                <w:bCs/>
                <w:color w:val="auto"/>
                <w:spacing w:val="10"/>
              </w:rPr>
              <w:t>运营期生态环境保护措施</w:t>
            </w:r>
          </w:p>
        </w:tc>
        <w:tc>
          <w:tcPr>
            <w:tcW w:w="8050" w:type="dxa"/>
            <w:noWrap w:val="0"/>
            <w:vAlign w:val="top"/>
          </w:tcPr>
          <w:p w14:paraId="0E8106C1">
            <w:pPr>
              <w:pStyle w:val="76"/>
              <w:rPr>
                <w:color w:val="auto"/>
              </w:rPr>
            </w:pPr>
            <w:r>
              <w:rPr>
                <w:color w:val="auto"/>
              </w:rPr>
              <w:t>1、生态保护措施</w:t>
            </w:r>
            <w:r>
              <w:rPr>
                <w:rFonts w:hint="eastAsia"/>
                <w:color w:val="auto"/>
              </w:rPr>
              <w:t xml:space="preserve"> </w:t>
            </w:r>
          </w:p>
          <w:p w14:paraId="5EB651B3">
            <w:pPr>
              <w:pStyle w:val="76"/>
              <w:rPr>
                <w:color w:val="auto"/>
              </w:rPr>
            </w:pPr>
            <w:bookmarkStart w:id="17" w:name="OLE_LINK4"/>
            <w:r>
              <w:rPr>
                <w:color w:val="auto"/>
              </w:rPr>
              <w:t>本项目设置</w:t>
            </w:r>
            <w:r>
              <w:rPr>
                <w:rFonts w:hint="eastAsia"/>
                <w:color w:val="auto"/>
              </w:rPr>
              <w:t>有</w:t>
            </w:r>
            <w:r>
              <w:rPr>
                <w:color w:val="auto"/>
              </w:rPr>
              <w:t>桥梁1</w:t>
            </w:r>
            <w:r>
              <w:rPr>
                <w:rFonts w:hint="eastAsia"/>
                <w:color w:val="auto"/>
              </w:rPr>
              <w:t>1</w:t>
            </w:r>
            <w:r>
              <w:rPr>
                <w:color w:val="auto"/>
              </w:rPr>
              <w:t>座、涵洞</w:t>
            </w:r>
            <w:r>
              <w:rPr>
                <w:rFonts w:hint="eastAsia"/>
                <w:color w:val="auto"/>
              </w:rPr>
              <w:t>48</w:t>
            </w:r>
            <w:r>
              <w:rPr>
                <w:color w:val="auto"/>
              </w:rPr>
              <w:t>道，可充分发挥通行作用，消除因公路建设而产生的分离和阻隔，故公路阻隔对动物影响很小。</w:t>
            </w:r>
          </w:p>
          <w:bookmarkEnd w:id="17"/>
          <w:p w14:paraId="5D9014D1">
            <w:pPr>
              <w:pStyle w:val="76"/>
              <w:rPr>
                <w:color w:val="auto"/>
              </w:rPr>
            </w:pPr>
            <w:r>
              <w:rPr>
                <w:rFonts w:hint="eastAsia"/>
                <w:color w:val="auto"/>
              </w:rPr>
              <w:t>2、环境空气保护措施</w:t>
            </w:r>
          </w:p>
          <w:p w14:paraId="5E2E653C">
            <w:pPr>
              <w:pStyle w:val="76"/>
              <w:rPr>
                <w:color w:val="auto"/>
              </w:rPr>
            </w:pPr>
            <w:r>
              <w:rPr>
                <w:color w:val="auto"/>
              </w:rPr>
              <w:t>（1）加强公路管理及路面养护，保持公路良好运营状态。</w:t>
            </w:r>
          </w:p>
          <w:p w14:paraId="100155F6">
            <w:pPr>
              <w:pStyle w:val="76"/>
              <w:rPr>
                <w:color w:val="auto"/>
              </w:rPr>
            </w:pPr>
            <w:r>
              <w:rPr>
                <w:color w:val="auto"/>
              </w:rPr>
              <w:t>（2）</w:t>
            </w:r>
            <w:bookmarkStart w:id="18" w:name="OLE_LINK5"/>
            <w:r>
              <w:rPr>
                <w:color w:val="auto"/>
              </w:rPr>
              <w:t>公路两侧种植适宜当地生长的林草，增加沿线植被覆盖率，养护道班周围加强绿化，改善路边景观及行车环境。</w:t>
            </w:r>
            <w:bookmarkEnd w:id="18"/>
          </w:p>
          <w:p w14:paraId="031446B6">
            <w:pPr>
              <w:pStyle w:val="76"/>
              <w:rPr>
                <w:color w:val="auto"/>
              </w:rPr>
            </w:pPr>
            <w:r>
              <w:rPr>
                <w:color w:val="auto"/>
              </w:rPr>
              <w:t>综上，采取以上防治措施可保证大气污染物达标排放，大大降低对周围环境空气的影响，本项目大气污染防治措施是可行的。</w:t>
            </w:r>
          </w:p>
          <w:p w14:paraId="4B3BDBEF">
            <w:pPr>
              <w:pStyle w:val="76"/>
              <w:rPr>
                <w:color w:val="auto"/>
              </w:rPr>
            </w:pPr>
            <w:r>
              <w:rPr>
                <w:rFonts w:hint="eastAsia"/>
                <w:color w:val="auto"/>
              </w:rPr>
              <w:t>3、噪声污染防治措施</w:t>
            </w:r>
          </w:p>
          <w:p w14:paraId="1368C612">
            <w:pPr>
              <w:pStyle w:val="76"/>
              <w:rPr>
                <w:color w:val="auto"/>
              </w:rPr>
            </w:pPr>
            <w:r>
              <w:rPr>
                <w:rFonts w:hint="eastAsia"/>
                <w:color w:val="auto"/>
              </w:rPr>
              <w:t>（1）工程措施</w:t>
            </w:r>
          </w:p>
          <w:p w14:paraId="52E6ACB5">
            <w:pPr>
              <w:pStyle w:val="76"/>
              <w:ind w:firstLine="471"/>
              <w:rPr>
                <w:color w:val="auto"/>
              </w:rPr>
            </w:pPr>
            <w:r>
              <w:rPr>
                <w:rFonts w:hint="eastAsia"/>
                <w:color w:val="auto"/>
              </w:rPr>
              <w:t>根据《省道名山至兴凯湖公路兴光至兴凯湖博物馆段路面改造工程施工图设计》，K398</w:t>
            </w:r>
            <w:r>
              <w:rPr>
                <w:color w:val="auto"/>
              </w:rPr>
              <w:t>+</w:t>
            </w:r>
            <w:r>
              <w:rPr>
                <w:rFonts w:hint="eastAsia"/>
                <w:color w:val="auto"/>
              </w:rPr>
              <w:t>950~K399</w:t>
            </w:r>
            <w:r>
              <w:rPr>
                <w:color w:val="auto"/>
              </w:rPr>
              <w:t>+</w:t>
            </w:r>
            <w:r>
              <w:rPr>
                <w:rFonts w:hint="eastAsia"/>
                <w:color w:val="auto"/>
              </w:rPr>
              <w:t>260果园村路段、K</w:t>
            </w:r>
            <w:r>
              <w:rPr>
                <w:color w:val="auto"/>
              </w:rPr>
              <w:t>409</w:t>
            </w:r>
            <w:r>
              <w:rPr>
                <w:rFonts w:hint="eastAsia"/>
                <w:color w:val="auto"/>
              </w:rPr>
              <w:t>+</w:t>
            </w:r>
            <w:r>
              <w:rPr>
                <w:color w:val="auto"/>
              </w:rPr>
              <w:t>200</w:t>
            </w:r>
            <w:r>
              <w:rPr>
                <w:rFonts w:hint="eastAsia"/>
                <w:color w:val="auto"/>
              </w:rPr>
              <w:t>~K</w:t>
            </w:r>
            <w:r>
              <w:rPr>
                <w:color w:val="auto"/>
              </w:rPr>
              <w:t>409</w:t>
            </w:r>
            <w:r>
              <w:rPr>
                <w:rFonts w:hint="eastAsia"/>
                <w:color w:val="auto"/>
              </w:rPr>
              <w:t>+</w:t>
            </w:r>
            <w:r>
              <w:rPr>
                <w:color w:val="auto"/>
              </w:rPr>
              <w:t>440</w:t>
            </w:r>
            <w:r>
              <w:rPr>
                <w:rFonts w:hint="eastAsia"/>
                <w:color w:val="auto"/>
              </w:rPr>
              <w:t>石嘴子村路段、K412+86</w:t>
            </w:r>
            <w:r>
              <w:rPr>
                <w:color w:val="auto"/>
              </w:rPr>
              <w:t>0</w:t>
            </w:r>
            <w:r>
              <w:rPr>
                <w:rFonts w:hint="eastAsia"/>
                <w:color w:val="auto"/>
              </w:rPr>
              <w:t>~K413+2</w:t>
            </w:r>
            <w:r>
              <w:rPr>
                <w:color w:val="auto"/>
              </w:rPr>
              <w:t>50</w:t>
            </w:r>
            <w:r>
              <w:rPr>
                <w:rFonts w:hint="eastAsia"/>
                <w:color w:val="auto"/>
              </w:rPr>
              <w:t>兴隆岗村、K402+05</w:t>
            </w:r>
            <w:r>
              <w:rPr>
                <w:color w:val="auto"/>
              </w:rPr>
              <w:t>0</w:t>
            </w:r>
            <w:r>
              <w:rPr>
                <w:rFonts w:hint="eastAsia"/>
                <w:color w:val="auto"/>
              </w:rPr>
              <w:t>~K402+97</w:t>
            </w:r>
            <w:r>
              <w:rPr>
                <w:color w:val="auto"/>
              </w:rPr>
              <w:t>0</w:t>
            </w:r>
            <w:r>
              <w:rPr>
                <w:rFonts w:hint="eastAsia"/>
                <w:color w:val="auto"/>
              </w:rPr>
              <w:t>马家岗村路段共4段限速4</w:t>
            </w:r>
            <w:r>
              <w:rPr>
                <w:color w:val="auto"/>
              </w:rPr>
              <w:t>0</w:t>
            </w:r>
            <w:r>
              <w:rPr>
                <w:rFonts w:hint="eastAsia"/>
                <w:color w:val="auto"/>
              </w:rPr>
              <w:t>km</w:t>
            </w:r>
            <w:r>
              <w:rPr>
                <w:color w:val="auto"/>
              </w:rPr>
              <w:t>/</w:t>
            </w:r>
            <w:r>
              <w:rPr>
                <w:rFonts w:hint="eastAsia"/>
                <w:color w:val="auto"/>
              </w:rPr>
              <w:t>h，K377+450～K380+800知一镇路段限速3</w:t>
            </w:r>
            <w:r>
              <w:rPr>
                <w:color w:val="auto"/>
              </w:rPr>
              <w:t>0</w:t>
            </w:r>
            <w:r>
              <w:rPr>
                <w:rFonts w:hint="eastAsia"/>
                <w:color w:val="auto"/>
              </w:rPr>
              <w:t>km</w:t>
            </w:r>
            <w:r>
              <w:rPr>
                <w:color w:val="auto"/>
              </w:rPr>
              <w:t>/</w:t>
            </w:r>
            <w:r>
              <w:rPr>
                <w:rFonts w:hint="eastAsia"/>
                <w:color w:val="auto"/>
              </w:rPr>
              <w:t>h</w:t>
            </w:r>
            <w:r>
              <w:rPr>
                <w:color w:val="auto"/>
              </w:rPr>
              <w:t>。</w:t>
            </w:r>
            <w:r>
              <w:rPr>
                <w:rFonts w:hint="eastAsia" w:ascii="Times New Roman" w:hAnsi="Times New Roman" w:eastAsia="宋体" w:cs="Times New Roman"/>
                <w:color w:val="auto"/>
                <w:lang w:val="en-US" w:eastAsia="zh-CN"/>
              </w:rPr>
              <w:t>根据本次预测结果，</w:t>
            </w:r>
            <w:r>
              <w:rPr>
                <w:rFonts w:hint="eastAsia"/>
                <w:color w:val="auto"/>
                <w:lang w:val="en-US" w:eastAsia="zh-CN"/>
              </w:rPr>
              <w:t>近期、中期、远期超标敏感目标数量均为135个，拟采取</w:t>
            </w:r>
            <w:r>
              <w:rPr>
                <w:rFonts w:hint="default"/>
                <w:color w:val="auto"/>
                <w:lang w:val="en-US" w:eastAsia="zh-CN"/>
              </w:rPr>
              <w:t>双层中空玻璃窗</w:t>
            </w:r>
            <w:r>
              <w:rPr>
                <w:rFonts w:hint="eastAsia"/>
                <w:color w:val="auto"/>
                <w:lang w:val="en-US" w:eastAsia="zh-CN"/>
              </w:rPr>
              <w:t>措施，对临路134户超标居民和兴凯湖明德小学安装</w:t>
            </w:r>
            <w:r>
              <w:rPr>
                <w:rFonts w:hint="default"/>
                <w:color w:val="auto"/>
                <w:lang w:val="en-US" w:eastAsia="zh-CN"/>
              </w:rPr>
              <w:t>双层中空玻璃窗</w:t>
            </w:r>
            <w:r>
              <w:rPr>
                <w:rFonts w:hint="eastAsia"/>
                <w:color w:val="auto"/>
                <w:lang w:val="en-US" w:eastAsia="zh-CN"/>
              </w:rPr>
              <w:t>，保证</w:t>
            </w:r>
            <w:r>
              <w:rPr>
                <w:rFonts w:hint="eastAsia" w:ascii="Times New Roman" w:hAnsi="Times New Roman" w:eastAsia="宋体" w:cs="Times New Roman"/>
                <w:color w:val="auto"/>
                <w:lang w:val="en-US" w:eastAsia="zh-CN"/>
              </w:rPr>
              <w:t>各</w:t>
            </w:r>
            <w:r>
              <w:rPr>
                <w:color w:val="auto"/>
              </w:rPr>
              <w:t>声环境保护目标噪声能够满足《声环境质量标准》（GB 3096-2008）中2类、4a类标准要求，</w:t>
            </w:r>
            <w:r>
              <w:rPr>
                <w:rFonts w:hint="eastAsia"/>
                <w:color w:val="auto"/>
                <w:lang w:val="en-US" w:eastAsia="zh-CN"/>
              </w:rPr>
              <w:t>因此采取措施后，本项目</w:t>
            </w:r>
            <w:r>
              <w:rPr>
                <w:color w:val="auto"/>
              </w:rPr>
              <w:t>环境影响可接受。</w:t>
            </w:r>
          </w:p>
          <w:p w14:paraId="3618DFC2">
            <w:pPr>
              <w:pStyle w:val="76"/>
              <w:rPr>
                <w:color w:val="auto"/>
              </w:rPr>
            </w:pPr>
            <w:r>
              <w:rPr>
                <w:rFonts w:hint="eastAsia"/>
                <w:color w:val="auto"/>
              </w:rPr>
              <w:t>（2）辅助工程措施</w:t>
            </w:r>
          </w:p>
          <w:p w14:paraId="7F95A243">
            <w:pPr>
              <w:pStyle w:val="76"/>
              <w:rPr>
                <w:color w:val="auto"/>
              </w:rPr>
            </w:pPr>
            <w:r>
              <w:rPr>
                <w:rFonts w:hint="eastAsia"/>
                <w:color w:val="auto"/>
              </w:rPr>
              <w:t>本项目运营期养护道班水泵等运转产生噪声，采取基础减振，采取措施后厂界噪声可满足《工业企业厂界环境噪声排放标准》（GB12348-2008）中2、4类标准。运营期养护道班进出汽车属于低速行驶，远低于公路汽车行驶噪声，故厂界噪声能够满足《工业企业厂界环境噪声排放标准》（GB12348-2008）中2、4类标准。</w:t>
            </w:r>
          </w:p>
          <w:p w14:paraId="53B58585">
            <w:pPr>
              <w:pStyle w:val="76"/>
              <w:rPr>
                <w:color w:val="auto"/>
              </w:rPr>
            </w:pPr>
            <w:r>
              <w:rPr>
                <w:rFonts w:hint="eastAsia"/>
                <w:color w:val="auto"/>
              </w:rPr>
              <w:t>（3）管理措施</w:t>
            </w:r>
          </w:p>
          <w:p w14:paraId="086353D3">
            <w:pPr>
              <w:pStyle w:val="76"/>
              <w:rPr>
                <w:color w:val="auto"/>
              </w:rPr>
            </w:pPr>
            <w:r>
              <w:rPr>
                <w:rFonts w:hint="eastAsia"/>
                <w:color w:val="auto"/>
              </w:rPr>
              <w:t>①</w:t>
            </w:r>
            <w:r>
              <w:rPr>
                <w:color w:val="auto"/>
              </w:rPr>
              <w:t>根据《地面交通噪声污染防治技术政策》相关要求，合理布局道路两侧规划建筑，道路与敏感建筑物之间加强绿化，同时建议沿线在控制距离内不宜规划建设医院、学校等对声环境质量要求较高的环境保护敏感建筑</w:t>
            </w:r>
            <w:r>
              <w:rPr>
                <w:rFonts w:hint="eastAsia"/>
                <w:color w:val="auto"/>
              </w:rPr>
              <w:t>。如在控制范围内建设敏感建筑物，</w:t>
            </w:r>
            <w:r>
              <w:rPr>
                <w:color w:val="auto"/>
              </w:rPr>
              <w:t>对规划敏感建筑物隔声设计、采用隔声门窗等措施，避免交通噪声对规划敏感建筑物的影响，确保室内声环境符合</w:t>
            </w:r>
            <w:r>
              <w:rPr>
                <w:rFonts w:hint="eastAsia"/>
                <w:color w:val="auto"/>
              </w:rPr>
              <w:t>《建筑环境通用规范》（GB55016-2021）</w:t>
            </w:r>
            <w:r>
              <w:rPr>
                <w:color w:val="auto"/>
              </w:rPr>
              <w:t>要求。</w:t>
            </w:r>
          </w:p>
          <w:p w14:paraId="50E2DC52">
            <w:pPr>
              <w:pStyle w:val="76"/>
              <w:rPr>
                <w:color w:val="auto"/>
              </w:rPr>
            </w:pPr>
            <w:r>
              <w:rPr>
                <w:rFonts w:hint="eastAsia"/>
                <w:color w:val="auto"/>
              </w:rPr>
              <w:t>②</w:t>
            </w:r>
            <w:r>
              <w:rPr>
                <w:color w:val="auto"/>
              </w:rPr>
              <w:t>交通管理部门宜利用交通管理手段，在噪声敏感建筑物集中区域和敏感时段通过采取限鸣（含禁鸣）、</w:t>
            </w:r>
            <w:r>
              <w:rPr>
                <w:rFonts w:hint="eastAsia"/>
                <w:color w:val="auto"/>
              </w:rPr>
              <w:t>限速</w:t>
            </w:r>
            <w:r>
              <w:rPr>
                <w:color w:val="auto"/>
              </w:rPr>
              <w:t>等措施，合理控制道路交通参数（车流量、车速、车型等），降低交通噪声。</w:t>
            </w:r>
          </w:p>
          <w:p w14:paraId="7ACD36AD">
            <w:pPr>
              <w:pStyle w:val="76"/>
              <w:rPr>
                <w:color w:val="auto"/>
              </w:rPr>
            </w:pPr>
            <w:r>
              <w:rPr>
                <w:rFonts w:hint="eastAsia"/>
                <w:color w:val="auto"/>
              </w:rPr>
              <w:t>③</w:t>
            </w:r>
            <w:r>
              <w:rPr>
                <w:color w:val="auto"/>
              </w:rPr>
              <w:t>对道路进行经常性维护，提高路面平整度，降低道路交通噪声。</w:t>
            </w:r>
          </w:p>
          <w:p w14:paraId="5AAB83E9">
            <w:pPr>
              <w:pStyle w:val="76"/>
              <w:rPr>
                <w:color w:val="auto"/>
              </w:rPr>
            </w:pPr>
            <w:r>
              <w:rPr>
                <w:rFonts w:hint="eastAsia"/>
                <w:color w:val="auto"/>
              </w:rPr>
              <w:t>④生态环境主管</w:t>
            </w:r>
            <w:r>
              <w:rPr>
                <w:color w:val="auto"/>
              </w:rPr>
              <w:t>部门应加强对地面交通噪声监测，对环境噪声超标地面交通设施提出噪声削减意见或要求，监督有关部门实施。</w:t>
            </w:r>
          </w:p>
          <w:p w14:paraId="0802CB43">
            <w:pPr>
              <w:pStyle w:val="76"/>
              <w:rPr>
                <w:color w:val="auto"/>
              </w:rPr>
            </w:pPr>
            <w:r>
              <w:rPr>
                <w:rFonts w:hint="eastAsia"/>
                <w:color w:val="auto"/>
              </w:rPr>
              <w:t>4、固体废物污染防治措施</w:t>
            </w:r>
          </w:p>
          <w:p w14:paraId="5131F58B">
            <w:pPr>
              <w:pStyle w:val="76"/>
              <w:rPr>
                <w:color w:val="auto"/>
              </w:rPr>
            </w:pPr>
            <w:r>
              <w:rPr>
                <w:rFonts w:hint="eastAsia"/>
                <w:color w:val="auto"/>
              </w:rPr>
              <w:t>（</w:t>
            </w:r>
            <w:r>
              <w:rPr>
                <w:color w:val="auto"/>
              </w:rPr>
              <w:t>1</w:t>
            </w:r>
            <w:r>
              <w:rPr>
                <w:rFonts w:hint="eastAsia"/>
                <w:color w:val="auto"/>
              </w:rPr>
              <w:t>）</w:t>
            </w:r>
            <w:r>
              <w:rPr>
                <w:color w:val="auto"/>
              </w:rPr>
              <w:t>运营期养护道班生活垃圾圾集中收集后，运至市政指定地点由市政统一处理。</w:t>
            </w:r>
          </w:p>
          <w:p w14:paraId="6543B198">
            <w:pPr>
              <w:pStyle w:val="76"/>
              <w:rPr>
                <w:color w:val="auto"/>
              </w:rPr>
            </w:pPr>
            <w:r>
              <w:rPr>
                <w:rFonts w:hint="eastAsia"/>
                <w:color w:val="auto"/>
              </w:rPr>
              <w:t>（</w:t>
            </w:r>
            <w:r>
              <w:rPr>
                <w:color w:val="auto"/>
              </w:rPr>
              <w:t>2</w:t>
            </w:r>
            <w:r>
              <w:rPr>
                <w:rFonts w:hint="eastAsia"/>
                <w:color w:val="auto"/>
              </w:rPr>
              <w:t>）</w:t>
            </w:r>
            <w:r>
              <w:rPr>
                <w:color w:val="auto"/>
              </w:rPr>
              <w:t>养护道班产生的一般固废如废弃零部件、废轮胎、废包装物等，</w:t>
            </w:r>
            <w:r>
              <w:rPr>
                <w:color w:val="auto"/>
                <w:szCs w:val="28"/>
              </w:rPr>
              <w:t>集中收集由物资回收公司综合利用</w:t>
            </w:r>
            <w:r>
              <w:rPr>
                <w:color w:val="auto"/>
              </w:rPr>
              <w:t>，严禁随意丢弃。</w:t>
            </w:r>
          </w:p>
          <w:p w14:paraId="6F58308B">
            <w:pPr>
              <w:pStyle w:val="76"/>
              <w:rPr>
                <w:color w:val="auto"/>
              </w:rPr>
            </w:pPr>
            <w:r>
              <w:rPr>
                <w:color w:val="auto"/>
              </w:rPr>
              <w:t>（</w:t>
            </w:r>
            <w:r>
              <w:rPr>
                <w:rFonts w:hint="eastAsia"/>
                <w:color w:val="auto"/>
              </w:rPr>
              <w:t>3</w:t>
            </w:r>
            <w:r>
              <w:rPr>
                <w:color w:val="auto"/>
              </w:rPr>
              <w:t>）</w:t>
            </w:r>
            <w:r>
              <w:rPr>
                <w:rFonts w:hint="eastAsia"/>
                <w:color w:val="auto"/>
              </w:rPr>
              <w:t>道路营运后，加强道路日常清洁及维护；运输车辆撒落的运载物、发生交通事故的车辆装载的货物、客车乘客丢弃的物品等固体废物，交由市政部门统一清运。</w:t>
            </w:r>
          </w:p>
          <w:p w14:paraId="67022E4C">
            <w:pPr>
              <w:pStyle w:val="76"/>
              <w:rPr>
                <w:color w:val="auto"/>
              </w:rPr>
            </w:pPr>
            <w:r>
              <w:rPr>
                <w:rFonts w:hint="eastAsia"/>
                <w:color w:val="auto"/>
              </w:rPr>
              <w:t>5、水污染防治措施</w:t>
            </w:r>
          </w:p>
          <w:p w14:paraId="3381522F">
            <w:pPr>
              <w:pStyle w:val="76"/>
              <w:rPr>
                <w:color w:val="auto"/>
              </w:rPr>
            </w:pPr>
            <w:r>
              <w:rPr>
                <w:color w:val="auto"/>
              </w:rPr>
              <w:t>（1）运营期路（桥）面径流通过漫流汇入公路两侧排水沟，伴随着雨水稀释、泥沙对污染物吸附、沉降等各种作用，雨水在边沟汇入周边水系时，污染物浓度已经大大降低，不会污染周边地表水体。</w:t>
            </w:r>
          </w:p>
          <w:p w14:paraId="2E2A0926">
            <w:pPr>
              <w:pStyle w:val="76"/>
              <w:rPr>
                <w:color w:val="auto"/>
              </w:rPr>
            </w:pPr>
            <w:r>
              <w:rPr>
                <w:color w:val="auto"/>
              </w:rPr>
              <w:t>（2）运营期养护道班生活污水排入</w:t>
            </w:r>
            <w:r>
              <w:rPr>
                <w:rFonts w:hint="eastAsia"/>
                <w:color w:val="auto"/>
              </w:rPr>
              <w:t>防渗</w:t>
            </w:r>
            <w:r>
              <w:rPr>
                <w:color w:val="auto"/>
              </w:rPr>
              <w:t>化粪池，</w:t>
            </w:r>
            <w:r>
              <w:rPr>
                <w:rFonts w:hint="eastAsia"/>
                <w:color w:val="auto"/>
              </w:rPr>
              <w:t>定期清掏堆肥</w:t>
            </w:r>
            <w:r>
              <w:rPr>
                <w:color w:val="auto"/>
              </w:rPr>
              <w:t>。</w:t>
            </w:r>
          </w:p>
          <w:p w14:paraId="1F34441C">
            <w:pPr>
              <w:pStyle w:val="76"/>
              <w:rPr>
                <w:color w:val="auto"/>
              </w:rPr>
            </w:pPr>
            <w:r>
              <w:rPr>
                <w:color w:val="auto"/>
              </w:rPr>
              <w:t>综上所述，本项目废水不会对地表水环境产生影响。</w:t>
            </w:r>
          </w:p>
          <w:p w14:paraId="4B08C1F7">
            <w:pPr>
              <w:pStyle w:val="76"/>
              <w:rPr>
                <w:color w:val="auto"/>
              </w:rPr>
            </w:pPr>
            <w:r>
              <w:rPr>
                <w:rFonts w:hint="eastAsia"/>
                <w:color w:val="auto"/>
              </w:rPr>
              <w:t>6、环境风险防范措施</w:t>
            </w:r>
          </w:p>
          <w:p w14:paraId="213CC967">
            <w:pPr>
              <w:pStyle w:val="76"/>
              <w:rPr>
                <w:color w:val="auto"/>
              </w:rPr>
            </w:pPr>
            <w:r>
              <w:rPr>
                <w:rFonts w:hint="eastAsia"/>
                <w:color w:val="auto"/>
              </w:rPr>
              <w:t>（1）风险事故防范措施</w:t>
            </w:r>
          </w:p>
          <w:p w14:paraId="59577575">
            <w:pPr>
              <w:pStyle w:val="76"/>
              <w:rPr>
                <w:color w:val="auto"/>
              </w:rPr>
            </w:pPr>
            <w:r>
              <w:rPr>
                <w:rFonts w:hint="eastAsia"/>
                <w:color w:val="auto"/>
              </w:rPr>
              <w:t>①在桥梁跨越地表水的区域内运输危险化学品发生事故时，相关驾驶人员、押运人员应当立即采取相应的警示和安全措施，并向当地公安部门报告。公安部门接到报告后，组织做好污染事件现场附近的交通管制，控制事态发展，并按照编制的《突发环境事件应急预案》要求，向</w:t>
            </w:r>
            <w:r>
              <w:rPr>
                <w:rFonts w:hint="eastAsia"/>
                <w:color w:val="auto"/>
                <w:lang w:val="en-US" w:eastAsia="zh-CN"/>
              </w:rPr>
              <w:t>密山</w:t>
            </w:r>
            <w:r>
              <w:rPr>
                <w:rFonts w:hint="eastAsia"/>
                <w:color w:val="auto"/>
              </w:rPr>
              <w:t>市人民政府和相关部门报告。</w:t>
            </w:r>
          </w:p>
          <w:p w14:paraId="269C866B">
            <w:pPr>
              <w:pStyle w:val="76"/>
              <w:rPr>
                <w:color w:val="auto"/>
              </w:rPr>
            </w:pPr>
            <w:r>
              <w:rPr>
                <w:rFonts w:hint="eastAsia"/>
                <w:color w:val="auto"/>
              </w:rPr>
              <w:t>②道路运营管理部门配备必要环境风险应急材料，包括应急人员和器材（包括通讯器材、防护器材和处理、处置器材），并对相关人员进行必要的培训和演练。</w:t>
            </w:r>
          </w:p>
          <w:p w14:paraId="077548C8">
            <w:pPr>
              <w:pStyle w:val="76"/>
              <w:rPr>
                <w:color w:val="auto"/>
              </w:rPr>
            </w:pPr>
            <w:r>
              <w:rPr>
                <w:rFonts w:hint="eastAsia"/>
                <w:color w:val="auto"/>
              </w:rPr>
              <w:t>③</w:t>
            </w:r>
            <w:r>
              <w:rPr>
                <w:rFonts w:hint="eastAsia"/>
                <w:color w:val="auto"/>
                <w:lang w:val="en-US" w:eastAsia="zh-CN"/>
              </w:rPr>
              <w:t>桥梁道路倾斜，</w:t>
            </w:r>
            <w:r>
              <w:rPr>
                <w:rFonts w:hint="eastAsia"/>
                <w:color w:val="auto"/>
              </w:rPr>
              <w:t>加强桥涵路段内侧防撞护栏设计并加强维护；加强道路的安全设施设计，在敏感路段、跨越桥梁路段等设置警示牌，提醒司机进入减速慢行，谨慎驾驶。</w:t>
            </w:r>
          </w:p>
          <w:p w14:paraId="5DE07C3C">
            <w:pPr>
              <w:pStyle w:val="76"/>
              <w:rPr>
                <w:color w:val="auto"/>
              </w:rPr>
            </w:pPr>
            <w:r>
              <w:rPr>
                <w:rFonts w:hint="eastAsia"/>
                <w:color w:val="auto"/>
              </w:rPr>
              <w:t>④定期检查和维修桥梁雨水导排系统等。</w:t>
            </w:r>
          </w:p>
          <w:p w14:paraId="6B467997">
            <w:pPr>
              <w:pStyle w:val="76"/>
              <w:rPr>
                <w:color w:val="auto"/>
              </w:rPr>
            </w:pPr>
            <w:r>
              <w:rPr>
                <w:rFonts w:hint="eastAsia"/>
                <w:color w:val="auto"/>
              </w:rPr>
              <w:t>⑤危险品运输车辆要有明显标志，应严格执行《化学危险品安全管理条例》等危险品运输的有关规定，对运输危险品车辆实行申报管理制度。车主需填写申报表，主要内容有危险货物执照号码、货物品种等级和编号、收发货人名称、装卸地点、货物特性等。</w:t>
            </w:r>
          </w:p>
          <w:p w14:paraId="2F2A0F75">
            <w:pPr>
              <w:pStyle w:val="76"/>
              <w:rPr>
                <w:color w:val="auto"/>
              </w:rPr>
            </w:pPr>
            <w:r>
              <w:rPr>
                <w:rFonts w:hint="eastAsia"/>
                <w:color w:val="auto"/>
              </w:rPr>
              <w:t>⑥建立一支现代化的养护队伍，保证公路路面清洁、畅通，降雪后要及时清除路面畅通，减少因积雪导致的交通事故发生。</w:t>
            </w:r>
          </w:p>
          <w:p w14:paraId="7250266C">
            <w:pPr>
              <w:pStyle w:val="76"/>
              <w:rPr>
                <w:color w:val="auto"/>
              </w:rPr>
            </w:pPr>
            <w:r>
              <w:rPr>
                <w:rFonts w:hint="eastAsia"/>
                <w:color w:val="auto"/>
              </w:rPr>
              <w:t>⑦一旦事故发生，应及时迅速报警，及时通知有关交警、消防、生态环境部门，立即启动环境应急预案，采取应急措施。</w:t>
            </w:r>
          </w:p>
          <w:p w14:paraId="09FCDD20">
            <w:pPr>
              <w:pStyle w:val="76"/>
              <w:rPr>
                <w:color w:val="auto"/>
              </w:rPr>
            </w:pPr>
            <w:r>
              <w:rPr>
                <w:rFonts w:hint="eastAsia"/>
                <w:color w:val="auto"/>
              </w:rPr>
              <w:t>（2）道路交通事故环境应急预案</w:t>
            </w:r>
          </w:p>
          <w:p w14:paraId="62E932D0">
            <w:pPr>
              <w:pStyle w:val="76"/>
              <w:rPr>
                <w:rFonts w:cs="宋体"/>
                <w:bCs/>
                <w:color w:val="auto"/>
                <w:kern w:val="21"/>
                <w:szCs w:val="21"/>
              </w:rPr>
            </w:pPr>
            <w:r>
              <w:rPr>
                <w:rFonts w:hint="eastAsia"/>
                <w:color w:val="auto"/>
              </w:rPr>
              <w:t>在发生交通事故（或者由于某些环节的疏忽，导致危险化学品运输车辆进入该道路发生事故）后，为了防止由于管理体系不完善，而导致水污染事件的发生，营运管理部门应制定本项目的环境风险事故应急预案。同时，营运管理部门应建立起与地方政府及有关部门的事故通报机制和事故处理配合机制，并把本项目的环境应急预案纳入各级政府的应急救援体系之中。</w:t>
            </w:r>
          </w:p>
        </w:tc>
      </w:tr>
      <w:tr w14:paraId="13350B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56" w:type="dxa"/>
            <w:noWrap w:val="0"/>
            <w:tcMar>
              <w:left w:w="28" w:type="dxa"/>
              <w:right w:w="28" w:type="dxa"/>
            </w:tcMar>
            <w:vAlign w:val="center"/>
          </w:tcPr>
          <w:p w14:paraId="3F6CB131">
            <w:pPr>
              <w:adjustRightInd w:val="0"/>
              <w:snapToGrid w:val="0"/>
              <w:jc w:val="center"/>
              <w:rPr>
                <w:rFonts w:hint="eastAsia" w:ascii="宋体" w:hAnsi="宋体" w:cs="宋体"/>
                <w:bCs/>
                <w:color w:val="auto"/>
                <w:spacing w:val="10"/>
              </w:rPr>
            </w:pPr>
            <w:r>
              <w:rPr>
                <w:rFonts w:hint="eastAsia" w:ascii="宋体" w:hAnsi="宋体" w:cs="宋体"/>
                <w:bCs/>
                <w:color w:val="auto"/>
                <w:spacing w:val="10"/>
              </w:rPr>
              <w:t>其他</w:t>
            </w:r>
          </w:p>
        </w:tc>
        <w:tc>
          <w:tcPr>
            <w:tcW w:w="8050" w:type="dxa"/>
            <w:noWrap w:val="0"/>
            <w:vAlign w:val="top"/>
          </w:tcPr>
          <w:p w14:paraId="52952B82">
            <w:pPr>
              <w:pStyle w:val="68"/>
              <w:rPr>
                <w:color w:val="auto"/>
              </w:rPr>
            </w:pPr>
            <w:r>
              <w:rPr>
                <w:rFonts w:hint="eastAsia"/>
                <w:color w:val="auto"/>
              </w:rPr>
              <w:t>无</w:t>
            </w:r>
          </w:p>
        </w:tc>
      </w:tr>
      <w:tr w14:paraId="73C843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6" w:type="dxa"/>
            <w:noWrap w:val="0"/>
            <w:tcMar>
              <w:left w:w="28" w:type="dxa"/>
              <w:right w:w="28" w:type="dxa"/>
            </w:tcMar>
            <w:vAlign w:val="center"/>
          </w:tcPr>
          <w:p w14:paraId="54E4971E">
            <w:pPr>
              <w:adjustRightInd w:val="0"/>
              <w:snapToGrid w:val="0"/>
              <w:jc w:val="center"/>
              <w:rPr>
                <w:rFonts w:hint="eastAsia" w:ascii="宋体" w:hAnsi="宋体"/>
                <w:bCs/>
                <w:color w:val="auto"/>
              </w:rPr>
            </w:pPr>
            <w:r>
              <w:rPr>
                <w:rFonts w:hint="eastAsia" w:ascii="宋体" w:hAnsi="宋体"/>
                <w:bCs/>
                <w:color w:val="auto"/>
              </w:rPr>
              <w:t>环保</w:t>
            </w:r>
          </w:p>
          <w:p w14:paraId="178C2237">
            <w:pPr>
              <w:adjustRightInd w:val="0"/>
              <w:snapToGrid w:val="0"/>
              <w:jc w:val="center"/>
              <w:rPr>
                <w:rFonts w:hint="eastAsia" w:ascii="宋体" w:hAnsi="宋体" w:cs="宋体"/>
                <w:bCs/>
                <w:color w:val="auto"/>
                <w:spacing w:val="10"/>
              </w:rPr>
            </w:pPr>
            <w:r>
              <w:rPr>
                <w:rFonts w:hint="eastAsia" w:ascii="宋体" w:hAnsi="宋体"/>
                <w:bCs/>
                <w:color w:val="auto"/>
              </w:rPr>
              <w:t>投资</w:t>
            </w:r>
          </w:p>
        </w:tc>
        <w:tc>
          <w:tcPr>
            <w:tcW w:w="8050" w:type="dxa"/>
            <w:noWrap w:val="0"/>
            <w:vAlign w:val="top"/>
          </w:tcPr>
          <w:p w14:paraId="3148A7B5">
            <w:pPr>
              <w:pStyle w:val="76"/>
              <w:rPr>
                <w:color w:val="auto"/>
              </w:rPr>
            </w:pPr>
            <w:r>
              <w:rPr>
                <w:rFonts w:hint="eastAsia"/>
                <w:color w:val="auto"/>
              </w:rPr>
              <w:t>本项目总投资为</w:t>
            </w:r>
            <w:r>
              <w:rPr>
                <w:rFonts w:hint="eastAsia" w:cs="宋体"/>
                <w:color w:val="auto"/>
                <w:kern w:val="21"/>
                <w:szCs w:val="21"/>
              </w:rPr>
              <w:t>12583.1925</w:t>
            </w:r>
            <w:r>
              <w:rPr>
                <w:rFonts w:hint="eastAsia"/>
                <w:color w:val="auto"/>
              </w:rPr>
              <w:t>万元，环保投资总额为</w:t>
            </w:r>
            <w:r>
              <w:rPr>
                <w:rFonts w:hint="eastAsia"/>
                <w:color w:val="auto"/>
                <w:lang w:val="en-US" w:eastAsia="zh-CN"/>
              </w:rPr>
              <w:t>322</w:t>
            </w:r>
            <w:r>
              <w:rPr>
                <w:rFonts w:hint="eastAsia"/>
                <w:color w:val="auto"/>
              </w:rPr>
              <w:t>万元，环保投资比例为</w:t>
            </w:r>
            <w:r>
              <w:rPr>
                <w:rFonts w:hint="eastAsia"/>
                <w:color w:val="auto"/>
                <w:lang w:val="en-US" w:eastAsia="zh-CN"/>
              </w:rPr>
              <w:t>2.56</w:t>
            </w:r>
            <w:r>
              <w:rPr>
                <w:rFonts w:hint="eastAsia"/>
                <w:color w:val="auto"/>
              </w:rPr>
              <w:t>%，具体的分项投资详见表5-1。</w:t>
            </w:r>
          </w:p>
          <w:p w14:paraId="76A356D4">
            <w:pPr>
              <w:pStyle w:val="72"/>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t xml:space="preserve">表5-1 </w:t>
            </w:r>
            <w:r>
              <w:rPr>
                <w:rFonts w:hint="eastAsia" w:asciiTheme="majorEastAsia" w:hAnsiTheme="majorEastAsia" w:eastAsiaTheme="majorEastAsia" w:cstheme="majorEastAsia"/>
                <w:color w:val="auto"/>
                <w:lang w:val="en-US" w:eastAsia="zh-CN"/>
              </w:rPr>
              <w:t xml:space="preserve"> </w:t>
            </w:r>
            <w:r>
              <w:rPr>
                <w:rFonts w:hint="eastAsia" w:asciiTheme="majorEastAsia" w:hAnsiTheme="majorEastAsia" w:eastAsiaTheme="majorEastAsia" w:cstheme="majorEastAsia"/>
                <w:color w:val="auto"/>
              </w:rPr>
              <w:t>环保投资明细表（单位：万元）</w:t>
            </w:r>
          </w:p>
          <w:tbl>
            <w:tblPr>
              <w:tblStyle w:val="3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6"/>
              <w:gridCol w:w="465"/>
              <w:gridCol w:w="1598"/>
              <w:gridCol w:w="1313"/>
              <w:gridCol w:w="3952"/>
            </w:tblGrid>
            <w:tr w14:paraId="7913989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tcBorders>
                    <w:tl2br w:val="nil"/>
                    <w:tr2bl w:val="nil"/>
                  </w:tcBorders>
                  <w:tcMar>
                    <w:top w:w="0" w:type="dxa"/>
                    <w:left w:w="0" w:type="dxa"/>
                    <w:bottom w:w="0" w:type="dxa"/>
                    <w:right w:w="0" w:type="dxa"/>
                  </w:tcMar>
                  <w:vAlign w:val="center"/>
                </w:tcPr>
                <w:p w14:paraId="27379DF3">
                  <w:pPr>
                    <w:pStyle w:val="80"/>
                    <w:wordWrap/>
                    <w:spacing w:line="240" w:lineRule="exact"/>
                    <w:rPr>
                      <w:color w:val="auto"/>
                    </w:rPr>
                  </w:pPr>
                  <w:r>
                    <w:rPr>
                      <w:color w:val="auto"/>
                    </w:rPr>
                    <w:t>污染源</w:t>
                  </w:r>
                </w:p>
              </w:tc>
              <w:tc>
                <w:tcPr>
                  <w:tcW w:w="1316" w:type="pct"/>
                  <w:gridSpan w:val="2"/>
                  <w:tcBorders>
                    <w:tl2br w:val="nil"/>
                    <w:tr2bl w:val="nil"/>
                  </w:tcBorders>
                  <w:vAlign w:val="center"/>
                </w:tcPr>
                <w:p w14:paraId="0B099B97">
                  <w:pPr>
                    <w:pStyle w:val="80"/>
                    <w:wordWrap/>
                    <w:spacing w:line="240" w:lineRule="exact"/>
                    <w:rPr>
                      <w:color w:val="auto"/>
                    </w:rPr>
                  </w:pPr>
                  <w:r>
                    <w:rPr>
                      <w:color w:val="auto"/>
                    </w:rPr>
                    <w:t>环保设施名称</w:t>
                  </w:r>
                </w:p>
              </w:tc>
              <w:tc>
                <w:tcPr>
                  <w:tcW w:w="838" w:type="pct"/>
                  <w:tcBorders>
                    <w:tl2br w:val="nil"/>
                    <w:tr2bl w:val="nil"/>
                  </w:tcBorders>
                  <w:vAlign w:val="center"/>
                </w:tcPr>
                <w:p w14:paraId="0DCB0F6B">
                  <w:pPr>
                    <w:pStyle w:val="80"/>
                    <w:wordWrap/>
                    <w:spacing w:line="240" w:lineRule="exact"/>
                    <w:rPr>
                      <w:color w:val="auto"/>
                    </w:rPr>
                  </w:pPr>
                  <w:r>
                    <w:rPr>
                      <w:color w:val="auto"/>
                    </w:rPr>
                    <w:t>环保投资(万元)</w:t>
                  </w:r>
                </w:p>
              </w:tc>
              <w:tc>
                <w:tcPr>
                  <w:tcW w:w="2522" w:type="pct"/>
                  <w:tcBorders>
                    <w:tl2br w:val="nil"/>
                    <w:tr2bl w:val="nil"/>
                  </w:tcBorders>
                  <w:vAlign w:val="center"/>
                </w:tcPr>
                <w:p w14:paraId="19451073">
                  <w:pPr>
                    <w:pStyle w:val="80"/>
                    <w:wordWrap/>
                    <w:spacing w:line="240" w:lineRule="exact"/>
                    <w:rPr>
                      <w:color w:val="auto"/>
                    </w:rPr>
                  </w:pPr>
                  <w:r>
                    <w:rPr>
                      <w:color w:val="auto"/>
                    </w:rPr>
                    <w:t>备注</w:t>
                  </w:r>
                </w:p>
              </w:tc>
            </w:tr>
            <w:tr w14:paraId="7D36E03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tcBorders>
                    <w:tl2br w:val="nil"/>
                    <w:tr2bl w:val="nil"/>
                  </w:tcBorders>
                  <w:tcMar>
                    <w:top w:w="0" w:type="dxa"/>
                    <w:left w:w="0" w:type="dxa"/>
                    <w:bottom w:w="0" w:type="dxa"/>
                    <w:right w:w="0" w:type="dxa"/>
                  </w:tcMar>
                  <w:vAlign w:val="center"/>
                </w:tcPr>
                <w:p w14:paraId="70B42063">
                  <w:pPr>
                    <w:pStyle w:val="80"/>
                    <w:wordWrap/>
                    <w:spacing w:line="240" w:lineRule="exact"/>
                    <w:rPr>
                      <w:color w:val="auto"/>
                    </w:rPr>
                  </w:pPr>
                  <w:r>
                    <w:rPr>
                      <w:color w:val="auto"/>
                    </w:rPr>
                    <w:t>废水</w:t>
                  </w:r>
                </w:p>
              </w:tc>
              <w:tc>
                <w:tcPr>
                  <w:tcW w:w="296" w:type="pct"/>
                  <w:tcBorders>
                    <w:tl2br w:val="nil"/>
                    <w:tr2bl w:val="nil"/>
                  </w:tcBorders>
                  <w:vAlign w:val="center"/>
                </w:tcPr>
                <w:p w14:paraId="297562E0">
                  <w:pPr>
                    <w:pStyle w:val="80"/>
                    <w:wordWrap/>
                    <w:spacing w:line="240" w:lineRule="exact"/>
                    <w:rPr>
                      <w:color w:val="auto"/>
                    </w:rPr>
                  </w:pPr>
                  <w:r>
                    <w:rPr>
                      <w:color w:val="auto"/>
                    </w:rPr>
                    <w:t>运行</w:t>
                  </w:r>
                </w:p>
                <w:p w14:paraId="064CE3B3">
                  <w:pPr>
                    <w:pStyle w:val="80"/>
                    <w:wordWrap/>
                    <w:spacing w:line="240" w:lineRule="exact"/>
                    <w:rPr>
                      <w:color w:val="auto"/>
                    </w:rPr>
                  </w:pPr>
                  <w:r>
                    <w:rPr>
                      <w:color w:val="auto"/>
                    </w:rPr>
                    <w:t>期</w:t>
                  </w:r>
                </w:p>
              </w:tc>
              <w:tc>
                <w:tcPr>
                  <w:tcW w:w="1019" w:type="pct"/>
                  <w:tcBorders>
                    <w:tl2br w:val="nil"/>
                    <w:tr2bl w:val="nil"/>
                  </w:tcBorders>
                  <w:vAlign w:val="center"/>
                </w:tcPr>
                <w:p w14:paraId="2BBC4630">
                  <w:pPr>
                    <w:pStyle w:val="80"/>
                    <w:wordWrap/>
                    <w:spacing w:line="240" w:lineRule="exact"/>
                    <w:rPr>
                      <w:color w:val="auto"/>
                    </w:rPr>
                  </w:pPr>
                  <w:r>
                    <w:rPr>
                      <w:rFonts w:hint="eastAsia"/>
                      <w:color w:val="auto"/>
                    </w:rPr>
                    <w:t>生活</w:t>
                  </w:r>
                  <w:r>
                    <w:rPr>
                      <w:color w:val="auto"/>
                    </w:rPr>
                    <w:t>污水罐车</w:t>
                  </w:r>
                </w:p>
              </w:tc>
              <w:tc>
                <w:tcPr>
                  <w:tcW w:w="838" w:type="pct"/>
                  <w:tcBorders>
                    <w:tl2br w:val="nil"/>
                    <w:tr2bl w:val="nil"/>
                  </w:tcBorders>
                  <w:vAlign w:val="center"/>
                </w:tcPr>
                <w:p w14:paraId="07E7AC5D">
                  <w:pPr>
                    <w:pStyle w:val="80"/>
                    <w:wordWrap/>
                    <w:spacing w:line="240" w:lineRule="exact"/>
                    <w:rPr>
                      <w:color w:val="auto"/>
                    </w:rPr>
                  </w:pPr>
                  <w:r>
                    <w:rPr>
                      <w:color w:val="auto"/>
                    </w:rPr>
                    <w:t>5</w:t>
                  </w:r>
                </w:p>
              </w:tc>
              <w:tc>
                <w:tcPr>
                  <w:tcW w:w="2522" w:type="pct"/>
                  <w:tcBorders>
                    <w:tl2br w:val="nil"/>
                    <w:tr2bl w:val="nil"/>
                  </w:tcBorders>
                  <w:vAlign w:val="center"/>
                </w:tcPr>
                <w:p w14:paraId="019D3FFE">
                  <w:pPr>
                    <w:pStyle w:val="80"/>
                    <w:wordWrap/>
                    <w:spacing w:line="240" w:lineRule="exact"/>
                    <w:rPr>
                      <w:color w:val="auto"/>
                    </w:rPr>
                  </w:pPr>
                  <w:r>
                    <w:rPr>
                      <w:color w:val="auto"/>
                    </w:rPr>
                    <w:t>租赁1辆</w:t>
                  </w:r>
                </w:p>
              </w:tc>
            </w:tr>
            <w:tr w14:paraId="1BBFAEF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tcBorders>
                    <w:tl2br w:val="nil"/>
                    <w:tr2bl w:val="nil"/>
                  </w:tcBorders>
                  <w:tcMar>
                    <w:top w:w="0" w:type="dxa"/>
                    <w:left w:w="0" w:type="dxa"/>
                    <w:bottom w:w="0" w:type="dxa"/>
                    <w:right w:w="0" w:type="dxa"/>
                  </w:tcMar>
                  <w:vAlign w:val="center"/>
                </w:tcPr>
                <w:p w14:paraId="05B4ED64">
                  <w:pPr>
                    <w:pStyle w:val="80"/>
                    <w:wordWrap/>
                    <w:spacing w:line="240" w:lineRule="exact"/>
                    <w:rPr>
                      <w:color w:val="auto"/>
                    </w:rPr>
                  </w:pPr>
                  <w:r>
                    <w:rPr>
                      <w:color w:val="auto"/>
                    </w:rPr>
                    <w:t>废气</w:t>
                  </w:r>
                </w:p>
              </w:tc>
              <w:tc>
                <w:tcPr>
                  <w:tcW w:w="296" w:type="pct"/>
                  <w:tcBorders>
                    <w:tl2br w:val="nil"/>
                    <w:tr2bl w:val="nil"/>
                  </w:tcBorders>
                  <w:vAlign w:val="center"/>
                </w:tcPr>
                <w:p w14:paraId="32A74F4B">
                  <w:pPr>
                    <w:pStyle w:val="80"/>
                    <w:wordWrap/>
                    <w:spacing w:line="240" w:lineRule="exact"/>
                    <w:rPr>
                      <w:color w:val="auto"/>
                    </w:rPr>
                  </w:pPr>
                  <w:r>
                    <w:rPr>
                      <w:color w:val="auto"/>
                    </w:rPr>
                    <w:t>施工</w:t>
                  </w:r>
                </w:p>
                <w:p w14:paraId="28523F52">
                  <w:pPr>
                    <w:pStyle w:val="80"/>
                    <w:wordWrap/>
                    <w:spacing w:line="240" w:lineRule="exact"/>
                    <w:rPr>
                      <w:color w:val="auto"/>
                    </w:rPr>
                  </w:pPr>
                  <w:r>
                    <w:rPr>
                      <w:color w:val="auto"/>
                    </w:rPr>
                    <w:t>期</w:t>
                  </w:r>
                </w:p>
              </w:tc>
              <w:tc>
                <w:tcPr>
                  <w:tcW w:w="1019" w:type="pct"/>
                  <w:tcBorders>
                    <w:tl2br w:val="nil"/>
                    <w:tr2bl w:val="nil"/>
                  </w:tcBorders>
                  <w:vAlign w:val="center"/>
                </w:tcPr>
                <w:p w14:paraId="49D497D6">
                  <w:pPr>
                    <w:pStyle w:val="80"/>
                    <w:wordWrap/>
                    <w:spacing w:line="240" w:lineRule="exact"/>
                    <w:rPr>
                      <w:color w:val="auto"/>
                    </w:rPr>
                  </w:pPr>
                  <w:r>
                    <w:rPr>
                      <w:color w:val="auto"/>
                    </w:rPr>
                    <w:t>洒水车</w:t>
                  </w:r>
                </w:p>
              </w:tc>
              <w:tc>
                <w:tcPr>
                  <w:tcW w:w="838" w:type="pct"/>
                  <w:tcBorders>
                    <w:tl2br w:val="nil"/>
                    <w:tr2bl w:val="nil"/>
                  </w:tcBorders>
                  <w:vAlign w:val="center"/>
                </w:tcPr>
                <w:p w14:paraId="0A55525A">
                  <w:pPr>
                    <w:pStyle w:val="80"/>
                    <w:wordWrap/>
                    <w:spacing w:line="240" w:lineRule="exact"/>
                    <w:rPr>
                      <w:color w:val="auto"/>
                    </w:rPr>
                  </w:pPr>
                  <w:r>
                    <w:rPr>
                      <w:rFonts w:hint="eastAsia"/>
                      <w:color w:val="auto"/>
                    </w:rPr>
                    <w:t>1</w:t>
                  </w:r>
                  <w:r>
                    <w:rPr>
                      <w:color w:val="auto"/>
                    </w:rPr>
                    <w:t>0</w:t>
                  </w:r>
                </w:p>
              </w:tc>
              <w:tc>
                <w:tcPr>
                  <w:tcW w:w="2522" w:type="pct"/>
                  <w:tcBorders>
                    <w:tl2br w:val="nil"/>
                    <w:tr2bl w:val="nil"/>
                  </w:tcBorders>
                  <w:vAlign w:val="center"/>
                </w:tcPr>
                <w:p w14:paraId="34B2C33A">
                  <w:pPr>
                    <w:pStyle w:val="80"/>
                    <w:wordWrap/>
                    <w:spacing w:line="240" w:lineRule="exact"/>
                    <w:rPr>
                      <w:color w:val="auto"/>
                    </w:rPr>
                  </w:pPr>
                  <w:r>
                    <w:rPr>
                      <w:color w:val="auto"/>
                    </w:rPr>
                    <w:t>洒水车根据实际需要租赁若干量</w:t>
                  </w:r>
                </w:p>
              </w:tc>
            </w:tr>
            <w:tr w14:paraId="1FC2628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restart"/>
                  <w:tcBorders>
                    <w:tl2br w:val="nil"/>
                    <w:tr2bl w:val="nil"/>
                  </w:tcBorders>
                  <w:tcMar>
                    <w:top w:w="0" w:type="dxa"/>
                    <w:left w:w="0" w:type="dxa"/>
                    <w:bottom w:w="0" w:type="dxa"/>
                    <w:right w:w="0" w:type="dxa"/>
                  </w:tcMar>
                  <w:vAlign w:val="center"/>
                </w:tcPr>
                <w:p w14:paraId="26268061">
                  <w:pPr>
                    <w:pStyle w:val="80"/>
                    <w:wordWrap/>
                    <w:spacing w:line="240" w:lineRule="exact"/>
                    <w:rPr>
                      <w:color w:val="auto"/>
                    </w:rPr>
                  </w:pPr>
                  <w:r>
                    <w:rPr>
                      <w:color w:val="auto"/>
                    </w:rPr>
                    <w:t>固废</w:t>
                  </w:r>
                </w:p>
              </w:tc>
              <w:tc>
                <w:tcPr>
                  <w:tcW w:w="296" w:type="pct"/>
                  <w:tcBorders>
                    <w:tl2br w:val="nil"/>
                    <w:tr2bl w:val="nil"/>
                  </w:tcBorders>
                  <w:vAlign w:val="center"/>
                </w:tcPr>
                <w:p w14:paraId="054BC7A7">
                  <w:pPr>
                    <w:pStyle w:val="80"/>
                    <w:wordWrap/>
                    <w:spacing w:line="240" w:lineRule="exact"/>
                    <w:rPr>
                      <w:color w:val="auto"/>
                    </w:rPr>
                  </w:pPr>
                  <w:r>
                    <w:rPr>
                      <w:color w:val="auto"/>
                    </w:rPr>
                    <w:t>施工</w:t>
                  </w:r>
                </w:p>
                <w:p w14:paraId="52AFF4D4">
                  <w:pPr>
                    <w:pStyle w:val="80"/>
                    <w:wordWrap/>
                    <w:spacing w:line="240" w:lineRule="exact"/>
                    <w:rPr>
                      <w:color w:val="auto"/>
                    </w:rPr>
                  </w:pPr>
                  <w:r>
                    <w:rPr>
                      <w:color w:val="auto"/>
                    </w:rPr>
                    <w:t>期</w:t>
                  </w:r>
                </w:p>
              </w:tc>
              <w:tc>
                <w:tcPr>
                  <w:tcW w:w="1019" w:type="pct"/>
                  <w:tcBorders>
                    <w:tl2br w:val="nil"/>
                    <w:tr2bl w:val="nil"/>
                  </w:tcBorders>
                  <w:vAlign w:val="center"/>
                </w:tcPr>
                <w:p w14:paraId="40A78B0A">
                  <w:pPr>
                    <w:pStyle w:val="80"/>
                    <w:wordWrap/>
                    <w:spacing w:line="240" w:lineRule="exact"/>
                    <w:rPr>
                      <w:color w:val="auto"/>
                    </w:rPr>
                  </w:pPr>
                  <w:r>
                    <w:rPr>
                      <w:color w:val="auto"/>
                    </w:rPr>
                    <w:t>生活垃圾、施工垃圾收集清运车辆</w:t>
                  </w:r>
                </w:p>
              </w:tc>
              <w:tc>
                <w:tcPr>
                  <w:tcW w:w="838" w:type="pct"/>
                  <w:tcBorders>
                    <w:tl2br w:val="nil"/>
                    <w:tr2bl w:val="nil"/>
                  </w:tcBorders>
                  <w:vAlign w:val="center"/>
                </w:tcPr>
                <w:p w14:paraId="5AFFC10B">
                  <w:pPr>
                    <w:pStyle w:val="80"/>
                    <w:wordWrap/>
                    <w:spacing w:line="240" w:lineRule="exact"/>
                    <w:rPr>
                      <w:color w:val="auto"/>
                    </w:rPr>
                  </w:pPr>
                  <w:r>
                    <w:rPr>
                      <w:rFonts w:hint="eastAsia"/>
                      <w:color w:val="auto"/>
                    </w:rPr>
                    <w:t>1</w:t>
                  </w:r>
                  <w:r>
                    <w:rPr>
                      <w:color w:val="auto"/>
                    </w:rPr>
                    <w:t>0</w:t>
                  </w:r>
                </w:p>
              </w:tc>
              <w:tc>
                <w:tcPr>
                  <w:tcW w:w="2522" w:type="pct"/>
                  <w:tcBorders>
                    <w:tl2br w:val="nil"/>
                    <w:tr2bl w:val="nil"/>
                  </w:tcBorders>
                  <w:vAlign w:val="center"/>
                </w:tcPr>
                <w:p w14:paraId="418FE19D">
                  <w:pPr>
                    <w:pStyle w:val="80"/>
                    <w:wordWrap/>
                    <w:spacing w:line="240" w:lineRule="exact"/>
                    <w:rPr>
                      <w:color w:val="auto"/>
                    </w:rPr>
                  </w:pPr>
                  <w:r>
                    <w:rPr>
                      <w:color w:val="auto"/>
                    </w:rPr>
                    <w:t>租赁2辆</w:t>
                  </w:r>
                </w:p>
              </w:tc>
            </w:tr>
            <w:tr w14:paraId="734F85D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3B5638FA">
                  <w:pPr>
                    <w:pStyle w:val="80"/>
                    <w:wordWrap/>
                    <w:spacing w:line="240" w:lineRule="exact"/>
                    <w:rPr>
                      <w:color w:val="auto"/>
                    </w:rPr>
                  </w:pPr>
                </w:p>
              </w:tc>
              <w:tc>
                <w:tcPr>
                  <w:tcW w:w="296" w:type="pct"/>
                  <w:vMerge w:val="restart"/>
                  <w:tcBorders>
                    <w:tl2br w:val="nil"/>
                    <w:tr2bl w:val="nil"/>
                  </w:tcBorders>
                  <w:vAlign w:val="center"/>
                </w:tcPr>
                <w:p w14:paraId="0702EF2F">
                  <w:pPr>
                    <w:pStyle w:val="80"/>
                    <w:wordWrap/>
                    <w:spacing w:line="240" w:lineRule="exact"/>
                    <w:rPr>
                      <w:color w:val="auto"/>
                    </w:rPr>
                  </w:pPr>
                  <w:r>
                    <w:rPr>
                      <w:color w:val="auto"/>
                    </w:rPr>
                    <w:t>营运</w:t>
                  </w:r>
                </w:p>
                <w:p w14:paraId="024D1DFA">
                  <w:pPr>
                    <w:pStyle w:val="80"/>
                    <w:wordWrap/>
                    <w:spacing w:line="240" w:lineRule="exact"/>
                    <w:rPr>
                      <w:color w:val="auto"/>
                    </w:rPr>
                  </w:pPr>
                  <w:r>
                    <w:rPr>
                      <w:color w:val="auto"/>
                    </w:rPr>
                    <w:t>期</w:t>
                  </w:r>
                </w:p>
              </w:tc>
              <w:tc>
                <w:tcPr>
                  <w:tcW w:w="1019" w:type="pct"/>
                  <w:tcBorders>
                    <w:tl2br w:val="nil"/>
                    <w:tr2bl w:val="nil"/>
                  </w:tcBorders>
                  <w:vAlign w:val="center"/>
                </w:tcPr>
                <w:p w14:paraId="2CF85E97">
                  <w:pPr>
                    <w:pStyle w:val="80"/>
                    <w:wordWrap/>
                    <w:spacing w:line="240" w:lineRule="exact"/>
                    <w:rPr>
                      <w:color w:val="auto"/>
                    </w:rPr>
                  </w:pPr>
                  <w:r>
                    <w:rPr>
                      <w:color w:val="auto"/>
                    </w:rPr>
                    <w:t>附属设施生活垃圾收集系统</w:t>
                  </w:r>
                </w:p>
              </w:tc>
              <w:tc>
                <w:tcPr>
                  <w:tcW w:w="838" w:type="pct"/>
                  <w:tcBorders>
                    <w:tl2br w:val="nil"/>
                    <w:tr2bl w:val="nil"/>
                  </w:tcBorders>
                  <w:vAlign w:val="center"/>
                </w:tcPr>
                <w:p w14:paraId="57137785">
                  <w:pPr>
                    <w:pStyle w:val="80"/>
                    <w:wordWrap/>
                    <w:spacing w:line="240" w:lineRule="exact"/>
                    <w:rPr>
                      <w:color w:val="auto"/>
                    </w:rPr>
                  </w:pPr>
                  <w:r>
                    <w:rPr>
                      <w:color w:val="auto"/>
                    </w:rPr>
                    <w:t>1</w:t>
                  </w:r>
                </w:p>
              </w:tc>
              <w:tc>
                <w:tcPr>
                  <w:tcW w:w="2522" w:type="pct"/>
                  <w:tcBorders>
                    <w:tl2br w:val="nil"/>
                    <w:tr2bl w:val="nil"/>
                  </w:tcBorders>
                  <w:vAlign w:val="center"/>
                </w:tcPr>
                <w:p w14:paraId="4273A6F4">
                  <w:pPr>
                    <w:pStyle w:val="80"/>
                    <w:wordWrap/>
                    <w:spacing w:line="240" w:lineRule="exact"/>
                    <w:rPr>
                      <w:color w:val="auto"/>
                    </w:rPr>
                  </w:pPr>
                  <w:r>
                    <w:rPr>
                      <w:color w:val="auto"/>
                    </w:rPr>
                    <w:t>根据实际设置垃圾桶若干</w:t>
                  </w:r>
                </w:p>
              </w:tc>
            </w:tr>
            <w:tr w14:paraId="7DE1501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4A78AD66">
                  <w:pPr>
                    <w:pStyle w:val="80"/>
                    <w:wordWrap/>
                    <w:spacing w:line="240" w:lineRule="exact"/>
                    <w:rPr>
                      <w:color w:val="auto"/>
                    </w:rPr>
                  </w:pPr>
                </w:p>
              </w:tc>
              <w:tc>
                <w:tcPr>
                  <w:tcW w:w="296" w:type="pct"/>
                  <w:vMerge w:val="continue"/>
                  <w:tcBorders>
                    <w:tl2br w:val="nil"/>
                    <w:tr2bl w:val="nil"/>
                  </w:tcBorders>
                  <w:vAlign w:val="center"/>
                </w:tcPr>
                <w:p w14:paraId="52A3AAB9">
                  <w:pPr>
                    <w:pStyle w:val="80"/>
                    <w:wordWrap/>
                    <w:spacing w:line="240" w:lineRule="exact"/>
                    <w:rPr>
                      <w:color w:val="auto"/>
                    </w:rPr>
                  </w:pPr>
                </w:p>
              </w:tc>
              <w:tc>
                <w:tcPr>
                  <w:tcW w:w="1019" w:type="pct"/>
                  <w:tcBorders>
                    <w:tl2br w:val="nil"/>
                    <w:tr2bl w:val="nil"/>
                  </w:tcBorders>
                  <w:vAlign w:val="center"/>
                </w:tcPr>
                <w:p w14:paraId="4CA63214">
                  <w:pPr>
                    <w:pStyle w:val="80"/>
                    <w:wordWrap/>
                    <w:spacing w:line="240" w:lineRule="exact"/>
                    <w:rPr>
                      <w:color w:val="auto"/>
                    </w:rPr>
                  </w:pPr>
                  <w:r>
                    <w:rPr>
                      <w:color w:val="auto"/>
                    </w:rPr>
                    <w:t>一般固废收集系统</w:t>
                  </w:r>
                </w:p>
              </w:tc>
              <w:tc>
                <w:tcPr>
                  <w:tcW w:w="838" w:type="pct"/>
                  <w:tcBorders>
                    <w:tl2br w:val="nil"/>
                    <w:tr2bl w:val="nil"/>
                  </w:tcBorders>
                  <w:vAlign w:val="center"/>
                </w:tcPr>
                <w:p w14:paraId="74246C42">
                  <w:pPr>
                    <w:pStyle w:val="80"/>
                    <w:wordWrap/>
                    <w:spacing w:line="240" w:lineRule="exact"/>
                    <w:rPr>
                      <w:color w:val="auto"/>
                    </w:rPr>
                  </w:pPr>
                  <w:r>
                    <w:rPr>
                      <w:color w:val="auto"/>
                    </w:rPr>
                    <w:t>1</w:t>
                  </w:r>
                </w:p>
              </w:tc>
              <w:tc>
                <w:tcPr>
                  <w:tcW w:w="2522" w:type="pct"/>
                  <w:tcBorders>
                    <w:tl2br w:val="nil"/>
                    <w:tr2bl w:val="nil"/>
                  </w:tcBorders>
                  <w:vAlign w:val="center"/>
                </w:tcPr>
                <w:p w14:paraId="5EAC88BC">
                  <w:pPr>
                    <w:pStyle w:val="80"/>
                    <w:wordWrap/>
                    <w:spacing w:line="240" w:lineRule="exact"/>
                    <w:rPr>
                      <w:color w:val="auto"/>
                    </w:rPr>
                  </w:pPr>
                  <w:r>
                    <w:rPr>
                      <w:color w:val="auto"/>
                    </w:rPr>
                    <w:t>根据实际设置收集箱若干</w:t>
                  </w:r>
                </w:p>
              </w:tc>
            </w:tr>
            <w:tr w14:paraId="41AB91A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restart"/>
                  <w:tcBorders>
                    <w:tl2br w:val="nil"/>
                    <w:tr2bl w:val="nil"/>
                  </w:tcBorders>
                  <w:tcMar>
                    <w:top w:w="0" w:type="dxa"/>
                    <w:left w:w="0" w:type="dxa"/>
                    <w:bottom w:w="0" w:type="dxa"/>
                    <w:right w:w="0" w:type="dxa"/>
                  </w:tcMar>
                  <w:vAlign w:val="center"/>
                </w:tcPr>
                <w:p w14:paraId="0CBDB73C">
                  <w:pPr>
                    <w:pStyle w:val="80"/>
                    <w:wordWrap/>
                    <w:spacing w:line="240" w:lineRule="exact"/>
                    <w:rPr>
                      <w:color w:val="auto"/>
                    </w:rPr>
                  </w:pPr>
                  <w:r>
                    <w:rPr>
                      <w:color w:val="auto"/>
                    </w:rPr>
                    <w:t>噪声</w:t>
                  </w:r>
                </w:p>
              </w:tc>
              <w:tc>
                <w:tcPr>
                  <w:tcW w:w="296" w:type="pct"/>
                  <w:vMerge w:val="restart"/>
                  <w:tcBorders>
                    <w:tl2br w:val="nil"/>
                    <w:tr2bl w:val="nil"/>
                  </w:tcBorders>
                  <w:vAlign w:val="center"/>
                </w:tcPr>
                <w:p w14:paraId="5E904668">
                  <w:pPr>
                    <w:pStyle w:val="80"/>
                    <w:wordWrap/>
                    <w:spacing w:line="240" w:lineRule="exact"/>
                    <w:rPr>
                      <w:color w:val="auto"/>
                    </w:rPr>
                  </w:pPr>
                  <w:r>
                    <w:rPr>
                      <w:color w:val="auto"/>
                    </w:rPr>
                    <w:t>施工</w:t>
                  </w:r>
                </w:p>
                <w:p w14:paraId="272A766D">
                  <w:pPr>
                    <w:pStyle w:val="80"/>
                    <w:wordWrap/>
                    <w:spacing w:line="240" w:lineRule="exact"/>
                    <w:rPr>
                      <w:color w:val="auto"/>
                    </w:rPr>
                  </w:pPr>
                  <w:r>
                    <w:rPr>
                      <w:color w:val="auto"/>
                    </w:rPr>
                    <w:t>期</w:t>
                  </w:r>
                </w:p>
              </w:tc>
              <w:tc>
                <w:tcPr>
                  <w:tcW w:w="1019" w:type="pct"/>
                  <w:tcBorders>
                    <w:tl2br w:val="nil"/>
                    <w:tr2bl w:val="nil"/>
                  </w:tcBorders>
                  <w:vAlign w:val="center"/>
                </w:tcPr>
                <w:p w14:paraId="32A501DA">
                  <w:pPr>
                    <w:pStyle w:val="80"/>
                    <w:wordWrap/>
                    <w:spacing w:line="240" w:lineRule="exact"/>
                    <w:rPr>
                      <w:color w:val="auto"/>
                    </w:rPr>
                  </w:pPr>
                  <w:r>
                    <w:rPr>
                      <w:color w:val="auto"/>
                    </w:rPr>
                    <w:t>移动式隔声、隔尘挡板</w:t>
                  </w:r>
                </w:p>
              </w:tc>
              <w:tc>
                <w:tcPr>
                  <w:tcW w:w="838" w:type="pct"/>
                  <w:tcBorders>
                    <w:tl2br w:val="nil"/>
                    <w:tr2bl w:val="nil"/>
                  </w:tcBorders>
                  <w:vAlign w:val="center"/>
                </w:tcPr>
                <w:p w14:paraId="008A42F0">
                  <w:pPr>
                    <w:pStyle w:val="80"/>
                    <w:wordWrap/>
                    <w:spacing w:line="240" w:lineRule="exact"/>
                    <w:rPr>
                      <w:color w:val="auto"/>
                    </w:rPr>
                  </w:pPr>
                  <w:r>
                    <w:rPr>
                      <w:color w:val="auto"/>
                    </w:rPr>
                    <w:t>50</w:t>
                  </w:r>
                </w:p>
              </w:tc>
              <w:tc>
                <w:tcPr>
                  <w:tcW w:w="2522" w:type="pct"/>
                  <w:tcBorders>
                    <w:tl2br w:val="nil"/>
                    <w:tr2bl w:val="nil"/>
                  </w:tcBorders>
                  <w:vAlign w:val="center"/>
                </w:tcPr>
                <w:p w14:paraId="0DBED65D">
                  <w:pPr>
                    <w:pStyle w:val="80"/>
                    <w:wordWrap/>
                    <w:spacing w:line="240" w:lineRule="exact"/>
                    <w:rPr>
                      <w:color w:val="auto"/>
                    </w:rPr>
                  </w:pPr>
                  <w:r>
                    <w:rPr>
                      <w:color w:val="auto"/>
                    </w:rPr>
                    <w:t>高度3m，敏感目标段施工时</w:t>
                  </w:r>
                </w:p>
              </w:tc>
            </w:tr>
            <w:tr w14:paraId="05E13F9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14EABEBA">
                  <w:pPr>
                    <w:pStyle w:val="80"/>
                    <w:wordWrap/>
                    <w:spacing w:line="240" w:lineRule="exact"/>
                    <w:rPr>
                      <w:color w:val="auto"/>
                    </w:rPr>
                  </w:pPr>
                </w:p>
              </w:tc>
              <w:tc>
                <w:tcPr>
                  <w:tcW w:w="296" w:type="pct"/>
                  <w:vMerge w:val="continue"/>
                  <w:tcBorders>
                    <w:tl2br w:val="nil"/>
                    <w:tr2bl w:val="nil"/>
                  </w:tcBorders>
                  <w:vAlign w:val="center"/>
                </w:tcPr>
                <w:p w14:paraId="6F700AF7">
                  <w:pPr>
                    <w:pStyle w:val="80"/>
                    <w:wordWrap/>
                    <w:spacing w:line="240" w:lineRule="exact"/>
                    <w:rPr>
                      <w:color w:val="auto"/>
                    </w:rPr>
                  </w:pPr>
                </w:p>
              </w:tc>
              <w:tc>
                <w:tcPr>
                  <w:tcW w:w="1019" w:type="pct"/>
                  <w:tcBorders>
                    <w:tl2br w:val="nil"/>
                    <w:tr2bl w:val="nil"/>
                  </w:tcBorders>
                  <w:vAlign w:val="center"/>
                </w:tcPr>
                <w:p w14:paraId="31B68B49">
                  <w:pPr>
                    <w:pStyle w:val="80"/>
                    <w:wordWrap/>
                    <w:spacing w:line="240" w:lineRule="exact"/>
                    <w:rPr>
                      <w:color w:val="auto"/>
                    </w:rPr>
                  </w:pPr>
                  <w:r>
                    <w:rPr>
                      <w:color w:val="auto"/>
                    </w:rPr>
                    <w:t>设备隔声减振措施</w:t>
                  </w:r>
                </w:p>
              </w:tc>
              <w:tc>
                <w:tcPr>
                  <w:tcW w:w="838" w:type="pct"/>
                  <w:tcBorders>
                    <w:tl2br w:val="nil"/>
                    <w:tr2bl w:val="nil"/>
                  </w:tcBorders>
                  <w:vAlign w:val="center"/>
                </w:tcPr>
                <w:p w14:paraId="034D99E4">
                  <w:pPr>
                    <w:pStyle w:val="80"/>
                    <w:wordWrap/>
                    <w:spacing w:line="240" w:lineRule="exact"/>
                    <w:rPr>
                      <w:color w:val="auto"/>
                    </w:rPr>
                  </w:pPr>
                  <w:r>
                    <w:rPr>
                      <w:rFonts w:hint="eastAsia"/>
                      <w:color w:val="auto"/>
                    </w:rPr>
                    <w:t>1</w:t>
                  </w:r>
                  <w:r>
                    <w:rPr>
                      <w:color w:val="auto"/>
                    </w:rPr>
                    <w:t>0</w:t>
                  </w:r>
                </w:p>
              </w:tc>
              <w:tc>
                <w:tcPr>
                  <w:tcW w:w="2522" w:type="pct"/>
                  <w:tcBorders>
                    <w:tl2br w:val="nil"/>
                    <w:tr2bl w:val="nil"/>
                  </w:tcBorders>
                  <w:vAlign w:val="center"/>
                </w:tcPr>
                <w:p w14:paraId="037D550F">
                  <w:pPr>
                    <w:pStyle w:val="80"/>
                    <w:wordWrap/>
                    <w:spacing w:line="240" w:lineRule="exact"/>
                    <w:rPr>
                      <w:color w:val="auto"/>
                    </w:rPr>
                  </w:pPr>
                  <w:r>
                    <w:rPr>
                      <w:color w:val="auto"/>
                    </w:rPr>
                    <w:t>设备隔声、减振措施</w:t>
                  </w:r>
                </w:p>
              </w:tc>
            </w:tr>
            <w:tr w14:paraId="7BC641E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22" w:type="pct"/>
                  <w:vMerge w:val="continue"/>
                  <w:tcBorders>
                    <w:tl2br w:val="nil"/>
                    <w:tr2bl w:val="nil"/>
                  </w:tcBorders>
                  <w:tcMar>
                    <w:top w:w="0" w:type="dxa"/>
                    <w:left w:w="0" w:type="dxa"/>
                    <w:bottom w:w="0" w:type="dxa"/>
                    <w:right w:w="0" w:type="dxa"/>
                  </w:tcMar>
                  <w:vAlign w:val="center"/>
                </w:tcPr>
                <w:p w14:paraId="49D4B90D">
                  <w:pPr>
                    <w:pStyle w:val="80"/>
                    <w:wordWrap/>
                    <w:spacing w:line="240" w:lineRule="exact"/>
                    <w:rPr>
                      <w:color w:val="auto"/>
                    </w:rPr>
                  </w:pPr>
                </w:p>
              </w:tc>
              <w:tc>
                <w:tcPr>
                  <w:tcW w:w="296" w:type="pct"/>
                  <w:tcBorders>
                    <w:tl2br w:val="nil"/>
                    <w:tr2bl w:val="nil"/>
                  </w:tcBorders>
                  <w:vAlign w:val="center"/>
                </w:tcPr>
                <w:p w14:paraId="4FCF6899">
                  <w:pPr>
                    <w:pStyle w:val="80"/>
                    <w:wordWrap/>
                    <w:spacing w:line="240" w:lineRule="exact"/>
                    <w:rPr>
                      <w:rFonts w:hint="eastAsia" w:eastAsia="宋体"/>
                      <w:color w:val="auto"/>
                      <w:lang w:val="en-US" w:eastAsia="zh-CN"/>
                    </w:rPr>
                  </w:pPr>
                  <w:r>
                    <w:rPr>
                      <w:rFonts w:hint="eastAsia"/>
                      <w:color w:val="auto"/>
                      <w:lang w:val="en-US" w:eastAsia="zh-CN"/>
                    </w:rPr>
                    <w:t>运营期</w:t>
                  </w:r>
                </w:p>
              </w:tc>
              <w:tc>
                <w:tcPr>
                  <w:tcW w:w="1019" w:type="pct"/>
                  <w:tcBorders>
                    <w:tl2br w:val="nil"/>
                    <w:tr2bl w:val="nil"/>
                  </w:tcBorders>
                  <w:vAlign w:val="center"/>
                </w:tcPr>
                <w:p w14:paraId="22B40C47">
                  <w:pPr>
                    <w:pStyle w:val="80"/>
                    <w:wordWrap/>
                    <w:spacing w:line="240" w:lineRule="exact"/>
                    <w:rPr>
                      <w:rFonts w:hint="default" w:eastAsia="宋体"/>
                      <w:color w:val="auto"/>
                      <w:lang w:val="en-US" w:eastAsia="zh-CN"/>
                    </w:rPr>
                  </w:pPr>
                  <w:r>
                    <w:rPr>
                      <w:rFonts w:hint="eastAsia"/>
                      <w:color w:val="auto"/>
                      <w:lang w:val="en-US" w:eastAsia="zh-CN"/>
                    </w:rPr>
                    <w:t>安装</w:t>
                  </w:r>
                  <w:r>
                    <w:rPr>
                      <w:rFonts w:hint="default"/>
                      <w:color w:val="auto"/>
                      <w:lang w:val="en-US" w:eastAsia="zh-CN"/>
                    </w:rPr>
                    <w:t>双层中空玻璃窗</w:t>
                  </w:r>
                </w:p>
              </w:tc>
              <w:tc>
                <w:tcPr>
                  <w:tcW w:w="838" w:type="pct"/>
                  <w:tcBorders>
                    <w:tl2br w:val="nil"/>
                    <w:tr2bl w:val="nil"/>
                  </w:tcBorders>
                  <w:vAlign w:val="center"/>
                </w:tcPr>
                <w:p w14:paraId="6F9D93B6">
                  <w:pPr>
                    <w:pStyle w:val="80"/>
                    <w:wordWrap/>
                    <w:spacing w:line="240" w:lineRule="exact"/>
                    <w:rPr>
                      <w:rFonts w:hint="default" w:eastAsia="宋体"/>
                      <w:color w:val="auto"/>
                      <w:lang w:val="en-US" w:eastAsia="zh-CN"/>
                    </w:rPr>
                  </w:pPr>
                  <w:r>
                    <w:rPr>
                      <w:rFonts w:hint="eastAsia"/>
                      <w:color w:val="auto"/>
                      <w:lang w:val="en-US" w:eastAsia="zh-CN"/>
                    </w:rPr>
                    <w:t>80</w:t>
                  </w:r>
                </w:p>
              </w:tc>
              <w:tc>
                <w:tcPr>
                  <w:tcW w:w="2522" w:type="pct"/>
                  <w:tcBorders>
                    <w:tl2br w:val="nil"/>
                    <w:tr2bl w:val="nil"/>
                  </w:tcBorders>
                  <w:vAlign w:val="center"/>
                </w:tcPr>
                <w:p w14:paraId="5DA88A5D">
                  <w:pPr>
                    <w:pStyle w:val="80"/>
                    <w:wordWrap/>
                    <w:spacing w:line="240" w:lineRule="exact"/>
                    <w:rPr>
                      <w:color w:val="auto"/>
                    </w:rPr>
                  </w:pPr>
                  <w:r>
                    <w:rPr>
                      <w:rFonts w:hint="eastAsia"/>
                      <w:color w:val="auto"/>
                      <w:lang w:val="en-US" w:eastAsia="zh-CN"/>
                    </w:rPr>
                    <w:t>对临路134户超标居民和兴凯湖明德小学安装</w:t>
                  </w:r>
                  <w:r>
                    <w:rPr>
                      <w:rFonts w:hint="default"/>
                      <w:color w:val="auto"/>
                      <w:lang w:val="en-US" w:eastAsia="zh-CN"/>
                    </w:rPr>
                    <w:t>双层中空玻璃窗</w:t>
                  </w:r>
                </w:p>
              </w:tc>
            </w:tr>
            <w:tr w14:paraId="7E099F1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788E0C7A">
                  <w:pPr>
                    <w:pStyle w:val="80"/>
                    <w:wordWrap/>
                    <w:spacing w:line="240" w:lineRule="exact"/>
                    <w:rPr>
                      <w:color w:val="auto"/>
                    </w:rPr>
                  </w:pPr>
                  <w:r>
                    <w:rPr>
                      <w:color w:val="auto"/>
                    </w:rPr>
                    <w:t>环境监测</w:t>
                  </w:r>
                </w:p>
              </w:tc>
              <w:tc>
                <w:tcPr>
                  <w:tcW w:w="838" w:type="pct"/>
                  <w:tcBorders>
                    <w:tl2br w:val="nil"/>
                    <w:tr2bl w:val="nil"/>
                  </w:tcBorders>
                  <w:vAlign w:val="center"/>
                </w:tcPr>
                <w:p w14:paraId="4901E60F">
                  <w:pPr>
                    <w:pStyle w:val="80"/>
                    <w:wordWrap/>
                    <w:spacing w:line="240" w:lineRule="exact"/>
                    <w:rPr>
                      <w:color w:val="auto"/>
                    </w:rPr>
                  </w:pPr>
                  <w:r>
                    <w:rPr>
                      <w:rFonts w:hint="eastAsia"/>
                      <w:color w:val="auto"/>
                    </w:rPr>
                    <w:t>1</w:t>
                  </w:r>
                  <w:r>
                    <w:rPr>
                      <w:color w:val="auto"/>
                    </w:rPr>
                    <w:t>0</w:t>
                  </w:r>
                </w:p>
              </w:tc>
              <w:tc>
                <w:tcPr>
                  <w:tcW w:w="2522" w:type="pct"/>
                  <w:tcBorders>
                    <w:tl2br w:val="nil"/>
                    <w:tr2bl w:val="nil"/>
                  </w:tcBorders>
                  <w:vAlign w:val="center"/>
                </w:tcPr>
                <w:p w14:paraId="70525C36">
                  <w:pPr>
                    <w:pStyle w:val="80"/>
                    <w:wordWrap/>
                    <w:spacing w:line="240" w:lineRule="exact"/>
                    <w:rPr>
                      <w:color w:val="auto"/>
                    </w:rPr>
                  </w:pPr>
                  <w:r>
                    <w:rPr>
                      <w:color w:val="auto"/>
                    </w:rPr>
                    <w:t>发挥其施工期和营运期监控作用</w:t>
                  </w:r>
                </w:p>
              </w:tc>
            </w:tr>
            <w:tr w14:paraId="653D9A5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04702798">
                  <w:pPr>
                    <w:pStyle w:val="80"/>
                    <w:wordWrap/>
                    <w:spacing w:line="240" w:lineRule="exact"/>
                    <w:rPr>
                      <w:color w:val="auto"/>
                    </w:rPr>
                  </w:pPr>
                  <w:r>
                    <w:rPr>
                      <w:color w:val="auto"/>
                    </w:rPr>
                    <w:t>宣传教育</w:t>
                  </w:r>
                </w:p>
              </w:tc>
              <w:tc>
                <w:tcPr>
                  <w:tcW w:w="838" w:type="pct"/>
                  <w:tcBorders>
                    <w:tl2br w:val="nil"/>
                    <w:tr2bl w:val="nil"/>
                  </w:tcBorders>
                  <w:vAlign w:val="center"/>
                </w:tcPr>
                <w:p w14:paraId="1FB3DF40">
                  <w:pPr>
                    <w:pStyle w:val="80"/>
                    <w:wordWrap/>
                    <w:spacing w:line="240" w:lineRule="exact"/>
                    <w:rPr>
                      <w:color w:val="auto"/>
                    </w:rPr>
                  </w:pPr>
                  <w:r>
                    <w:rPr>
                      <w:color w:val="auto"/>
                    </w:rPr>
                    <w:t>5</w:t>
                  </w:r>
                </w:p>
              </w:tc>
              <w:tc>
                <w:tcPr>
                  <w:tcW w:w="2522" w:type="pct"/>
                  <w:tcBorders>
                    <w:tl2br w:val="nil"/>
                    <w:tr2bl w:val="nil"/>
                  </w:tcBorders>
                  <w:vAlign w:val="center"/>
                </w:tcPr>
                <w:p w14:paraId="18F19D98">
                  <w:pPr>
                    <w:pStyle w:val="80"/>
                    <w:wordWrap/>
                    <w:spacing w:line="240" w:lineRule="exact"/>
                    <w:rPr>
                      <w:color w:val="auto"/>
                    </w:rPr>
                  </w:pPr>
                  <w:r>
                    <w:rPr>
                      <w:color w:val="auto"/>
                    </w:rPr>
                    <w:t>提高环保意识</w:t>
                  </w:r>
                </w:p>
              </w:tc>
            </w:tr>
            <w:tr w14:paraId="4D1A400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6795924B">
                  <w:pPr>
                    <w:pStyle w:val="80"/>
                    <w:wordWrap/>
                    <w:spacing w:line="240" w:lineRule="exact"/>
                    <w:rPr>
                      <w:color w:val="auto"/>
                    </w:rPr>
                  </w:pPr>
                  <w:r>
                    <w:rPr>
                      <w:color w:val="auto"/>
                    </w:rPr>
                    <w:t>环境保护管理</w:t>
                  </w:r>
                </w:p>
              </w:tc>
              <w:tc>
                <w:tcPr>
                  <w:tcW w:w="838" w:type="pct"/>
                  <w:tcBorders>
                    <w:tl2br w:val="nil"/>
                    <w:tr2bl w:val="nil"/>
                  </w:tcBorders>
                  <w:vAlign w:val="center"/>
                </w:tcPr>
                <w:p w14:paraId="16CE10F8">
                  <w:pPr>
                    <w:pStyle w:val="80"/>
                    <w:wordWrap/>
                    <w:spacing w:line="240" w:lineRule="exact"/>
                    <w:rPr>
                      <w:color w:val="auto"/>
                    </w:rPr>
                  </w:pPr>
                  <w:r>
                    <w:rPr>
                      <w:rFonts w:hint="eastAsia"/>
                      <w:color w:val="auto"/>
                    </w:rPr>
                    <w:t>5</w:t>
                  </w:r>
                  <w:r>
                    <w:rPr>
                      <w:color w:val="auto"/>
                    </w:rPr>
                    <w:t>0</w:t>
                  </w:r>
                </w:p>
              </w:tc>
              <w:tc>
                <w:tcPr>
                  <w:tcW w:w="2522" w:type="pct"/>
                  <w:tcBorders>
                    <w:tl2br w:val="nil"/>
                    <w:tr2bl w:val="nil"/>
                  </w:tcBorders>
                  <w:vAlign w:val="center"/>
                </w:tcPr>
                <w:p w14:paraId="48733DDA">
                  <w:pPr>
                    <w:pStyle w:val="80"/>
                    <w:wordWrap/>
                    <w:spacing w:line="240" w:lineRule="exact"/>
                    <w:rPr>
                      <w:color w:val="auto"/>
                    </w:rPr>
                  </w:pPr>
                  <w:r>
                    <w:rPr>
                      <w:color w:val="auto"/>
                    </w:rPr>
                    <w:t>保证各项环保措施落实和执行，加强运营期维护</w:t>
                  </w:r>
                </w:p>
              </w:tc>
            </w:tr>
            <w:tr w14:paraId="0AEEB97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5FBC98DF">
                  <w:pPr>
                    <w:pStyle w:val="80"/>
                    <w:wordWrap/>
                    <w:spacing w:line="240" w:lineRule="exact"/>
                    <w:rPr>
                      <w:color w:val="auto"/>
                    </w:rPr>
                  </w:pPr>
                  <w:r>
                    <w:rPr>
                      <w:color w:val="auto"/>
                    </w:rPr>
                    <w:t>环保竣工验收调查费用</w:t>
                  </w:r>
                </w:p>
              </w:tc>
              <w:tc>
                <w:tcPr>
                  <w:tcW w:w="838" w:type="pct"/>
                  <w:tcBorders>
                    <w:tl2br w:val="nil"/>
                    <w:tr2bl w:val="nil"/>
                  </w:tcBorders>
                  <w:vAlign w:val="center"/>
                </w:tcPr>
                <w:p w14:paraId="7F80DDE6">
                  <w:pPr>
                    <w:pStyle w:val="80"/>
                    <w:wordWrap/>
                    <w:spacing w:line="240" w:lineRule="exact"/>
                    <w:rPr>
                      <w:rFonts w:hint="eastAsia"/>
                      <w:color w:val="auto"/>
                    </w:rPr>
                  </w:pPr>
                  <w:r>
                    <w:rPr>
                      <w:color w:val="auto"/>
                    </w:rPr>
                    <w:t>1</w:t>
                  </w:r>
                  <w:r>
                    <w:rPr>
                      <w:rFonts w:hint="eastAsia"/>
                      <w:color w:val="auto"/>
                    </w:rPr>
                    <w:t>0</w:t>
                  </w:r>
                </w:p>
              </w:tc>
              <w:tc>
                <w:tcPr>
                  <w:tcW w:w="2522" w:type="pct"/>
                  <w:tcBorders>
                    <w:tl2br w:val="nil"/>
                    <w:tr2bl w:val="nil"/>
                  </w:tcBorders>
                  <w:vAlign w:val="center"/>
                </w:tcPr>
                <w:p w14:paraId="53EF367B">
                  <w:pPr>
                    <w:pStyle w:val="80"/>
                    <w:wordWrap/>
                    <w:spacing w:line="240" w:lineRule="exact"/>
                    <w:rPr>
                      <w:color w:val="auto"/>
                    </w:rPr>
                  </w:pPr>
                  <w:r>
                    <w:rPr>
                      <w:color w:val="auto"/>
                    </w:rPr>
                    <w:t>提高环境管理水平，增强环境保护意识</w:t>
                  </w:r>
                </w:p>
              </w:tc>
            </w:tr>
            <w:tr w14:paraId="38C71E5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0F906A5C">
                  <w:pPr>
                    <w:pStyle w:val="80"/>
                    <w:wordWrap/>
                    <w:spacing w:line="240" w:lineRule="exact"/>
                    <w:rPr>
                      <w:rFonts w:hint="default" w:eastAsia="宋体"/>
                      <w:color w:val="auto"/>
                      <w:lang w:val="en-US" w:eastAsia="zh-CN"/>
                    </w:rPr>
                  </w:pPr>
                  <w:r>
                    <w:rPr>
                      <w:rFonts w:hint="eastAsia"/>
                      <w:color w:val="auto"/>
                      <w:lang w:val="en-US" w:eastAsia="zh-CN"/>
                    </w:rPr>
                    <w:t>预留环保资金</w:t>
                  </w:r>
                </w:p>
              </w:tc>
              <w:tc>
                <w:tcPr>
                  <w:tcW w:w="838" w:type="pct"/>
                  <w:tcBorders>
                    <w:tl2br w:val="nil"/>
                    <w:tr2bl w:val="nil"/>
                  </w:tcBorders>
                  <w:vAlign w:val="center"/>
                </w:tcPr>
                <w:p w14:paraId="7E3D23C4">
                  <w:pPr>
                    <w:pStyle w:val="80"/>
                    <w:wordWrap/>
                    <w:spacing w:line="240" w:lineRule="exact"/>
                    <w:rPr>
                      <w:rFonts w:hint="default" w:eastAsia="宋体"/>
                      <w:color w:val="auto"/>
                      <w:lang w:val="en-US" w:eastAsia="zh-CN"/>
                    </w:rPr>
                  </w:pPr>
                  <w:r>
                    <w:rPr>
                      <w:rFonts w:hint="eastAsia"/>
                      <w:color w:val="auto"/>
                      <w:lang w:val="en-US" w:eastAsia="zh-CN"/>
                    </w:rPr>
                    <w:t>80</w:t>
                  </w:r>
                </w:p>
              </w:tc>
              <w:tc>
                <w:tcPr>
                  <w:tcW w:w="2522" w:type="pct"/>
                  <w:tcBorders>
                    <w:tl2br w:val="nil"/>
                    <w:tr2bl w:val="nil"/>
                  </w:tcBorders>
                  <w:vAlign w:val="center"/>
                </w:tcPr>
                <w:p w14:paraId="0B1DF2FA">
                  <w:pPr>
                    <w:pStyle w:val="80"/>
                    <w:wordWrap/>
                    <w:spacing w:line="240" w:lineRule="exact"/>
                    <w:rPr>
                      <w:rFonts w:hint="default" w:eastAsia="宋体"/>
                      <w:color w:val="auto"/>
                      <w:lang w:val="en-US" w:eastAsia="zh-CN"/>
                    </w:rPr>
                  </w:pPr>
                  <w:r>
                    <w:rPr>
                      <w:rFonts w:hint="eastAsia"/>
                      <w:color w:val="auto"/>
                      <w:lang w:val="en-US" w:eastAsia="zh-CN"/>
                    </w:rPr>
                    <w:t>用于运营期跟踪监测超标敏感点的进一步噪声污染防治措施</w:t>
                  </w:r>
                </w:p>
              </w:tc>
            </w:tr>
            <w:tr w14:paraId="0B56659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1639" w:type="pct"/>
                  <w:gridSpan w:val="3"/>
                  <w:tcBorders>
                    <w:tl2br w:val="nil"/>
                    <w:tr2bl w:val="nil"/>
                  </w:tcBorders>
                  <w:vAlign w:val="center"/>
                </w:tcPr>
                <w:p w14:paraId="635A15E4">
                  <w:pPr>
                    <w:pStyle w:val="80"/>
                    <w:wordWrap/>
                    <w:spacing w:line="240" w:lineRule="exact"/>
                    <w:rPr>
                      <w:color w:val="auto"/>
                    </w:rPr>
                  </w:pPr>
                  <w:r>
                    <w:rPr>
                      <w:color w:val="auto"/>
                    </w:rPr>
                    <w:t>总环保费用合计</w:t>
                  </w:r>
                </w:p>
              </w:tc>
              <w:tc>
                <w:tcPr>
                  <w:tcW w:w="838" w:type="pct"/>
                  <w:tcBorders>
                    <w:tl2br w:val="nil"/>
                    <w:tr2bl w:val="nil"/>
                  </w:tcBorders>
                  <w:vAlign w:val="center"/>
                </w:tcPr>
                <w:p w14:paraId="78C29796">
                  <w:pPr>
                    <w:pStyle w:val="80"/>
                    <w:wordWrap/>
                    <w:spacing w:line="240" w:lineRule="exact"/>
                    <w:rPr>
                      <w:rFonts w:hint="default" w:eastAsia="宋体"/>
                      <w:color w:val="auto"/>
                      <w:lang w:val="en-US" w:eastAsia="zh-CN"/>
                    </w:rPr>
                  </w:pPr>
                  <w:r>
                    <w:rPr>
                      <w:rFonts w:hint="eastAsia"/>
                      <w:color w:val="auto"/>
                      <w:lang w:val="en-US" w:eastAsia="zh-CN"/>
                    </w:rPr>
                    <w:t>322</w:t>
                  </w:r>
                </w:p>
              </w:tc>
              <w:tc>
                <w:tcPr>
                  <w:tcW w:w="2522" w:type="pct"/>
                  <w:tcBorders>
                    <w:tl2br w:val="nil"/>
                    <w:tr2bl w:val="nil"/>
                  </w:tcBorders>
                  <w:vAlign w:val="center"/>
                </w:tcPr>
                <w:p w14:paraId="5C411D84">
                  <w:pPr>
                    <w:pStyle w:val="80"/>
                    <w:wordWrap/>
                    <w:spacing w:line="240" w:lineRule="exact"/>
                    <w:rPr>
                      <w:color w:val="auto"/>
                    </w:rPr>
                  </w:pPr>
                  <w:r>
                    <w:rPr>
                      <w:color w:val="auto"/>
                    </w:rPr>
                    <w:t>--</w:t>
                  </w:r>
                </w:p>
              </w:tc>
            </w:tr>
          </w:tbl>
          <w:p w14:paraId="6EC6E030">
            <w:pPr>
              <w:ind w:firstLine="480" w:firstLineChars="200"/>
              <w:rPr>
                <w:rFonts w:cs="宋体"/>
                <w:bCs/>
                <w:color w:val="auto"/>
                <w:kern w:val="21"/>
                <w:szCs w:val="21"/>
              </w:rPr>
            </w:pPr>
          </w:p>
          <w:p w14:paraId="1E48E631">
            <w:pPr>
              <w:rPr>
                <w:rFonts w:hint="eastAsia"/>
                <w:color w:val="auto"/>
              </w:rPr>
            </w:pPr>
          </w:p>
          <w:p w14:paraId="0E7AF51F">
            <w:pPr>
              <w:pStyle w:val="2"/>
              <w:rPr>
                <w:rFonts w:hint="eastAsia"/>
                <w:color w:val="auto"/>
              </w:rPr>
            </w:pPr>
          </w:p>
          <w:p w14:paraId="4129F7BF">
            <w:pPr>
              <w:rPr>
                <w:rFonts w:hint="eastAsia"/>
                <w:color w:val="auto"/>
              </w:rPr>
            </w:pPr>
          </w:p>
          <w:p w14:paraId="647EAE3A">
            <w:pPr>
              <w:pStyle w:val="2"/>
              <w:rPr>
                <w:rFonts w:hint="eastAsia"/>
                <w:color w:val="auto"/>
              </w:rPr>
            </w:pPr>
          </w:p>
          <w:p w14:paraId="2F6600CC">
            <w:pPr>
              <w:rPr>
                <w:rFonts w:hint="eastAsia"/>
                <w:color w:val="auto"/>
              </w:rPr>
            </w:pPr>
          </w:p>
          <w:p w14:paraId="54B16E81">
            <w:pPr>
              <w:pStyle w:val="2"/>
              <w:rPr>
                <w:rFonts w:hint="eastAsia"/>
                <w:color w:val="auto"/>
              </w:rPr>
            </w:pPr>
          </w:p>
          <w:p w14:paraId="532D05F1">
            <w:pPr>
              <w:rPr>
                <w:rFonts w:hint="eastAsia"/>
                <w:color w:val="auto"/>
              </w:rPr>
            </w:pPr>
          </w:p>
          <w:p w14:paraId="2ECF482C">
            <w:pPr>
              <w:pStyle w:val="2"/>
              <w:rPr>
                <w:rFonts w:hint="eastAsia"/>
                <w:color w:val="auto"/>
              </w:rPr>
            </w:pPr>
          </w:p>
          <w:p w14:paraId="78489762">
            <w:pPr>
              <w:rPr>
                <w:rFonts w:hint="eastAsia"/>
                <w:color w:val="auto"/>
              </w:rPr>
            </w:pPr>
          </w:p>
          <w:p w14:paraId="2658E7A6">
            <w:pPr>
              <w:pStyle w:val="2"/>
              <w:rPr>
                <w:rFonts w:hint="eastAsia"/>
                <w:color w:val="auto"/>
              </w:rPr>
            </w:pPr>
          </w:p>
          <w:p w14:paraId="46225411">
            <w:pPr>
              <w:rPr>
                <w:rFonts w:hint="eastAsia"/>
                <w:color w:val="auto"/>
              </w:rPr>
            </w:pPr>
          </w:p>
          <w:p w14:paraId="02D43B2B">
            <w:pPr>
              <w:pStyle w:val="2"/>
              <w:rPr>
                <w:rFonts w:hint="eastAsia"/>
                <w:color w:val="auto"/>
              </w:rPr>
            </w:pPr>
          </w:p>
          <w:p w14:paraId="163F3A8E">
            <w:pPr>
              <w:rPr>
                <w:rFonts w:hint="eastAsia"/>
                <w:color w:val="auto"/>
              </w:rPr>
            </w:pPr>
          </w:p>
          <w:p w14:paraId="0DDC21F7">
            <w:pPr>
              <w:pStyle w:val="2"/>
              <w:rPr>
                <w:rFonts w:hint="eastAsia"/>
                <w:color w:val="auto"/>
              </w:rPr>
            </w:pPr>
          </w:p>
          <w:p w14:paraId="34774AB6">
            <w:pPr>
              <w:rPr>
                <w:rFonts w:hint="eastAsia"/>
                <w:color w:val="auto"/>
              </w:rPr>
            </w:pPr>
          </w:p>
          <w:p w14:paraId="09BB5D94">
            <w:pPr>
              <w:pStyle w:val="2"/>
              <w:rPr>
                <w:rFonts w:hint="eastAsia"/>
                <w:color w:val="auto"/>
              </w:rPr>
            </w:pPr>
          </w:p>
        </w:tc>
      </w:tr>
    </w:tbl>
    <w:p w14:paraId="5C8BB9E7">
      <w:pPr>
        <w:rPr>
          <w:color w:val="auto"/>
        </w:rPr>
      </w:pPr>
    </w:p>
    <w:p w14:paraId="2D25D7C3">
      <w:pPr>
        <w:rPr>
          <w:color w:val="auto"/>
        </w:rPr>
        <w:sectPr>
          <w:pgSz w:w="11850" w:h="16783"/>
          <w:pgMar w:top="1440" w:right="1800" w:bottom="1440" w:left="1800" w:header="851" w:footer="1077" w:gutter="0"/>
          <w:pgBorders>
            <w:top w:val="none" w:sz="0" w:space="0"/>
            <w:left w:val="none" w:sz="0" w:space="0"/>
            <w:bottom w:val="none" w:sz="0" w:space="0"/>
            <w:right w:val="none" w:sz="0" w:space="0"/>
          </w:pgBorders>
          <w:cols w:space="720" w:num="1"/>
          <w:docGrid w:linePitch="312" w:charSpace="0"/>
        </w:sectPr>
      </w:pPr>
    </w:p>
    <w:p w14:paraId="0D1705A4">
      <w:pPr>
        <w:pStyle w:val="26"/>
        <w:spacing w:before="0" w:beforeAutospacing="0" w:after="0" w:afterAutospacing="0"/>
        <w:jc w:val="center"/>
        <w:outlineLvl w:val="0"/>
        <w:rPr>
          <w:rFonts w:hint="eastAsia" w:ascii="黑体" w:hAnsi="黑体" w:eastAsia="黑体"/>
          <w:snapToGrid w:val="0"/>
          <w:color w:val="auto"/>
          <w:kern w:val="21"/>
          <w:sz w:val="30"/>
          <w:szCs w:val="30"/>
        </w:rPr>
      </w:pPr>
      <w:bookmarkStart w:id="19" w:name="_Toc13468"/>
      <w:bookmarkStart w:id="20" w:name="_Toc24890"/>
      <w:r>
        <w:rPr>
          <w:rFonts w:hint="eastAsia" w:ascii="黑体" w:hAnsi="黑体" w:eastAsia="黑体"/>
          <w:snapToGrid w:val="0"/>
          <w:color w:val="auto"/>
          <w:kern w:val="21"/>
          <w:sz w:val="30"/>
          <w:szCs w:val="30"/>
        </w:rPr>
        <w:t>六、生态环境保护措施监督检查清单</w:t>
      </w:r>
      <w:bookmarkEnd w:id="19"/>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42"/>
        <w:gridCol w:w="2283"/>
        <w:gridCol w:w="1486"/>
        <w:gridCol w:w="2727"/>
        <w:gridCol w:w="1083"/>
      </w:tblGrid>
      <w:tr w14:paraId="139321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Merge w:val="restart"/>
            <w:tcBorders>
              <w:tl2br w:val="single" w:color="auto" w:sz="4" w:space="0"/>
            </w:tcBorders>
          </w:tcPr>
          <w:p w14:paraId="089CDA84">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 xml:space="preserve">  内容</w:t>
            </w:r>
          </w:p>
          <w:p w14:paraId="4FB2FB06">
            <w:pPr>
              <w:pStyle w:val="26"/>
              <w:adjustRightInd w:val="0"/>
              <w:snapToGrid w:val="0"/>
              <w:spacing w:before="0" w:beforeAutospacing="0" w:after="0" w:afterAutospacing="0" w:line="240" w:lineRule="auto"/>
              <w:rPr>
                <w:rFonts w:ascii="Times New Roman" w:hAnsi="Times New Roman" w:cs="宋体"/>
                <w:color w:val="auto"/>
                <w:kern w:val="21"/>
                <w:sz w:val="21"/>
                <w:szCs w:val="21"/>
              </w:rPr>
            </w:pPr>
            <w:r>
              <w:rPr>
                <w:rFonts w:hint="eastAsia" w:ascii="Times New Roman" w:hAnsi="Times New Roman" w:cs="宋体"/>
                <w:color w:val="auto"/>
                <w:kern w:val="21"/>
                <w:sz w:val="21"/>
                <w:szCs w:val="21"/>
              </w:rPr>
              <w:t xml:space="preserve">  </w:t>
            </w:r>
          </w:p>
          <w:p w14:paraId="0395766D">
            <w:pPr>
              <w:pStyle w:val="26"/>
              <w:adjustRightInd w:val="0"/>
              <w:snapToGrid w:val="0"/>
              <w:spacing w:before="0" w:beforeAutospacing="0" w:after="0" w:afterAutospacing="0" w:line="240" w:lineRule="auto"/>
              <w:rPr>
                <w:rFonts w:ascii="Times New Roman" w:hAnsi="Times New Roman" w:cs="宋体"/>
                <w:color w:val="auto"/>
                <w:kern w:val="21"/>
                <w:sz w:val="21"/>
                <w:szCs w:val="21"/>
              </w:rPr>
            </w:pPr>
          </w:p>
          <w:p w14:paraId="64FC9CAA">
            <w:pPr>
              <w:pStyle w:val="26"/>
              <w:adjustRightInd w:val="0"/>
              <w:snapToGrid w:val="0"/>
              <w:spacing w:before="0" w:beforeAutospacing="0" w:after="0" w:afterAutospacing="0" w:line="240" w:lineRule="auto"/>
              <w:rPr>
                <w:rFonts w:ascii="Times New Roman" w:hAnsi="Times New Roman" w:cs="宋体"/>
                <w:color w:val="auto"/>
                <w:kern w:val="21"/>
                <w:sz w:val="21"/>
                <w:szCs w:val="21"/>
              </w:rPr>
            </w:pPr>
            <w:r>
              <w:rPr>
                <w:rFonts w:hint="eastAsia" w:ascii="Times New Roman" w:hAnsi="Times New Roman" w:cs="宋体"/>
                <w:color w:val="auto"/>
                <w:kern w:val="21"/>
                <w:sz w:val="21"/>
                <w:szCs w:val="21"/>
              </w:rPr>
              <w:t>要素</w:t>
            </w:r>
          </w:p>
        </w:tc>
        <w:tc>
          <w:tcPr>
            <w:tcW w:w="3769" w:type="dxa"/>
            <w:gridSpan w:val="2"/>
            <w:vAlign w:val="center"/>
          </w:tcPr>
          <w:p w14:paraId="02B3D7FC">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施工期</w:t>
            </w:r>
          </w:p>
        </w:tc>
        <w:tc>
          <w:tcPr>
            <w:tcW w:w="3810" w:type="dxa"/>
            <w:gridSpan w:val="2"/>
            <w:vAlign w:val="center"/>
          </w:tcPr>
          <w:p w14:paraId="5851B2AA">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运营期</w:t>
            </w:r>
          </w:p>
        </w:tc>
      </w:tr>
      <w:tr w14:paraId="65A3AC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Merge w:val="continue"/>
          </w:tcPr>
          <w:p w14:paraId="1116B9C2">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p>
        </w:tc>
        <w:tc>
          <w:tcPr>
            <w:tcW w:w="2283" w:type="dxa"/>
            <w:vAlign w:val="center"/>
          </w:tcPr>
          <w:p w14:paraId="4B6D5A07">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环境保护措施</w:t>
            </w:r>
          </w:p>
        </w:tc>
        <w:tc>
          <w:tcPr>
            <w:tcW w:w="1486" w:type="dxa"/>
            <w:vAlign w:val="center"/>
          </w:tcPr>
          <w:p w14:paraId="56F17336">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验收要求</w:t>
            </w:r>
          </w:p>
        </w:tc>
        <w:tc>
          <w:tcPr>
            <w:tcW w:w="2727" w:type="dxa"/>
            <w:vAlign w:val="center"/>
          </w:tcPr>
          <w:p w14:paraId="208E2CF2">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环境保护措施</w:t>
            </w:r>
          </w:p>
        </w:tc>
        <w:tc>
          <w:tcPr>
            <w:tcW w:w="1083" w:type="dxa"/>
            <w:vAlign w:val="center"/>
          </w:tcPr>
          <w:p w14:paraId="7C579282">
            <w:pPr>
              <w:pStyle w:val="26"/>
              <w:adjustRightInd w:val="0"/>
              <w:snapToGrid w:val="0"/>
              <w:spacing w:before="0" w:beforeAutospacing="0" w:after="0" w:afterAutospacing="0" w:line="240" w:lineRule="auto"/>
              <w:jc w:val="center"/>
              <w:rPr>
                <w:rFonts w:ascii="Times New Roman" w:hAnsi="Times New Roman" w:cs="宋体"/>
                <w:color w:val="auto"/>
                <w:kern w:val="21"/>
                <w:sz w:val="21"/>
                <w:szCs w:val="21"/>
              </w:rPr>
            </w:pPr>
            <w:r>
              <w:rPr>
                <w:rFonts w:hint="eastAsia" w:ascii="Times New Roman" w:hAnsi="Times New Roman" w:cs="宋体"/>
                <w:color w:val="auto"/>
                <w:kern w:val="21"/>
                <w:sz w:val="21"/>
                <w:szCs w:val="21"/>
              </w:rPr>
              <w:t>验收要求</w:t>
            </w:r>
          </w:p>
        </w:tc>
      </w:tr>
      <w:tr w14:paraId="10023E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1BB329F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生态环境</w:t>
            </w:r>
          </w:p>
        </w:tc>
        <w:tc>
          <w:tcPr>
            <w:tcW w:w="2283" w:type="dxa"/>
            <w:vAlign w:val="center"/>
          </w:tcPr>
          <w:p w14:paraId="7BD61E11">
            <w:pPr>
              <w:adjustRightInd w:val="0"/>
              <w:snapToGrid w:val="0"/>
              <w:spacing w:line="240" w:lineRule="auto"/>
              <w:jc w:val="left"/>
              <w:rPr>
                <w:rFonts w:cs="宋体"/>
                <w:color w:val="auto"/>
                <w:kern w:val="21"/>
                <w:sz w:val="21"/>
                <w:szCs w:val="21"/>
              </w:rPr>
            </w:pPr>
            <w:r>
              <w:rPr>
                <w:rFonts w:hint="eastAsia"/>
                <w:color w:val="auto"/>
                <w:sz w:val="21"/>
                <w:szCs w:val="21"/>
              </w:rPr>
              <w:t>按照施工组织设计，严格控制施工范围；各种机械、车辆应定期检查维护，减少跑、冒、滴、漏等环节对土壤的污染；主体完工后及时清理现场；做好宣传教育工作，严禁施工人员捕杀进入临时施工区的田间动物；认真落实水土保持方案提出的各项工</w:t>
            </w:r>
            <w:r>
              <w:rPr>
                <w:rFonts w:hint="eastAsia" w:cs="宋体"/>
                <w:color w:val="auto"/>
                <w:kern w:val="21"/>
                <w:sz w:val="21"/>
                <w:szCs w:val="21"/>
              </w:rPr>
              <w:t>程措施和植物措施。</w:t>
            </w:r>
            <w:r>
              <w:rPr>
                <w:rFonts w:hint="eastAsia" w:cs="宋体"/>
                <w:color w:val="auto"/>
                <w:kern w:val="21"/>
                <w:sz w:val="21"/>
                <w:szCs w:val="21"/>
                <w:lang w:val="en-US" w:eastAsia="zh-CN"/>
              </w:rPr>
              <w:t>桥梁</w:t>
            </w:r>
            <w:r>
              <w:rPr>
                <w:rFonts w:hint="eastAsia" w:cs="宋体"/>
                <w:color w:val="auto"/>
                <w:kern w:val="21"/>
                <w:sz w:val="21"/>
                <w:szCs w:val="21"/>
              </w:rPr>
              <w:t>维修锥坡砌体</w:t>
            </w:r>
            <w:r>
              <w:rPr>
                <w:rFonts w:hint="eastAsia" w:cs="宋体"/>
                <w:color w:val="auto"/>
                <w:kern w:val="21"/>
                <w:sz w:val="21"/>
                <w:szCs w:val="21"/>
                <w:lang w:val="en-US" w:eastAsia="zh-CN"/>
              </w:rPr>
              <w:t>和</w:t>
            </w:r>
            <w:r>
              <w:rPr>
                <w:rFonts w:hint="eastAsia" w:cs="宋体"/>
                <w:color w:val="auto"/>
                <w:kern w:val="21"/>
                <w:sz w:val="21"/>
                <w:szCs w:val="21"/>
              </w:rPr>
              <w:t>侧脚施工应选择枯水期施工；建筑材料堆放应远离水体，选择暴雨径流难以冲刷的地方；合理安排工期，尽量避免和减少雨季进行</w:t>
            </w:r>
            <w:r>
              <w:rPr>
                <w:rFonts w:hint="eastAsia" w:cs="宋体"/>
                <w:color w:val="auto"/>
                <w:kern w:val="21"/>
                <w:sz w:val="21"/>
                <w:szCs w:val="21"/>
                <w:lang w:val="en-US" w:eastAsia="zh-CN"/>
              </w:rPr>
              <w:t>路面</w:t>
            </w:r>
            <w:r>
              <w:rPr>
                <w:rFonts w:hint="eastAsia" w:cs="宋体"/>
                <w:color w:val="auto"/>
                <w:kern w:val="21"/>
                <w:sz w:val="21"/>
                <w:szCs w:val="21"/>
              </w:rPr>
              <w:t>开挖，减少施工期水土流失。</w:t>
            </w:r>
          </w:p>
        </w:tc>
        <w:tc>
          <w:tcPr>
            <w:tcW w:w="1486" w:type="dxa"/>
            <w:vAlign w:val="center"/>
          </w:tcPr>
          <w:p w14:paraId="383EBD33">
            <w:pPr>
              <w:adjustRightInd w:val="0"/>
              <w:snapToGrid w:val="0"/>
              <w:spacing w:line="240" w:lineRule="auto"/>
              <w:jc w:val="center"/>
              <w:rPr>
                <w:rFonts w:cs="宋体"/>
                <w:color w:val="auto"/>
                <w:kern w:val="21"/>
                <w:sz w:val="21"/>
                <w:szCs w:val="21"/>
              </w:rPr>
            </w:pPr>
            <w:r>
              <w:rPr>
                <w:rFonts w:hint="eastAsia" w:cs="宋体"/>
                <w:color w:val="auto"/>
                <w:kern w:val="21"/>
                <w:sz w:val="21"/>
                <w:szCs w:val="21"/>
              </w:rPr>
              <w:t>未对</w:t>
            </w:r>
            <w:r>
              <w:rPr>
                <w:rFonts w:hint="eastAsia" w:cs="宋体"/>
                <w:color w:val="auto"/>
                <w:kern w:val="21"/>
                <w:sz w:val="21"/>
                <w:szCs w:val="21"/>
                <w:lang w:val="en-US" w:eastAsia="zh-CN"/>
              </w:rPr>
              <w:t>区域陆生、</w:t>
            </w:r>
            <w:r>
              <w:rPr>
                <w:rFonts w:hint="eastAsia" w:cs="宋体"/>
                <w:color w:val="auto"/>
                <w:kern w:val="21"/>
                <w:sz w:val="21"/>
                <w:szCs w:val="21"/>
              </w:rPr>
              <w:t>水生生态造成影响</w:t>
            </w:r>
          </w:p>
        </w:tc>
        <w:tc>
          <w:tcPr>
            <w:tcW w:w="2727" w:type="dxa"/>
            <w:vAlign w:val="center"/>
          </w:tcPr>
          <w:p w14:paraId="441BDA46">
            <w:pPr>
              <w:spacing w:line="240" w:lineRule="auto"/>
              <w:jc w:val="center"/>
              <w:rPr>
                <w:color w:val="auto"/>
                <w:sz w:val="21"/>
                <w:szCs w:val="21"/>
              </w:rPr>
            </w:pPr>
            <w:r>
              <w:rPr>
                <w:color w:val="auto"/>
                <w:sz w:val="21"/>
                <w:szCs w:val="21"/>
              </w:rPr>
              <w:t>本项目设置</w:t>
            </w:r>
            <w:r>
              <w:rPr>
                <w:rFonts w:hint="eastAsia"/>
                <w:color w:val="auto"/>
                <w:sz w:val="21"/>
                <w:szCs w:val="21"/>
              </w:rPr>
              <w:t>有</w:t>
            </w:r>
            <w:r>
              <w:rPr>
                <w:color w:val="auto"/>
                <w:sz w:val="21"/>
                <w:szCs w:val="21"/>
              </w:rPr>
              <w:t>桥梁1</w:t>
            </w:r>
            <w:r>
              <w:rPr>
                <w:rFonts w:hint="eastAsia"/>
                <w:color w:val="auto"/>
                <w:sz w:val="21"/>
                <w:szCs w:val="21"/>
              </w:rPr>
              <w:t>1</w:t>
            </w:r>
            <w:r>
              <w:rPr>
                <w:color w:val="auto"/>
                <w:sz w:val="21"/>
                <w:szCs w:val="21"/>
              </w:rPr>
              <w:t>座、涵洞</w:t>
            </w:r>
            <w:r>
              <w:rPr>
                <w:rFonts w:hint="eastAsia"/>
                <w:color w:val="auto"/>
                <w:sz w:val="21"/>
                <w:szCs w:val="21"/>
              </w:rPr>
              <w:t>48</w:t>
            </w:r>
            <w:r>
              <w:rPr>
                <w:color w:val="auto"/>
                <w:sz w:val="21"/>
                <w:szCs w:val="21"/>
              </w:rPr>
              <w:t>道，可充分发挥通行作用，消除因公路建设而产生的分离和阻隔。</w:t>
            </w:r>
          </w:p>
        </w:tc>
        <w:tc>
          <w:tcPr>
            <w:tcW w:w="1083" w:type="dxa"/>
            <w:vAlign w:val="center"/>
          </w:tcPr>
          <w:p w14:paraId="40E73768">
            <w:pPr>
              <w:spacing w:line="240" w:lineRule="auto"/>
              <w:jc w:val="center"/>
              <w:rPr>
                <w:color w:val="auto"/>
                <w:sz w:val="21"/>
                <w:szCs w:val="21"/>
              </w:rPr>
            </w:pPr>
            <w:r>
              <w:rPr>
                <w:rFonts w:hint="eastAsia" w:cs="宋体"/>
                <w:color w:val="auto"/>
                <w:kern w:val="21"/>
                <w:sz w:val="21"/>
                <w:szCs w:val="21"/>
              </w:rPr>
              <w:t>-</w:t>
            </w:r>
          </w:p>
        </w:tc>
      </w:tr>
      <w:tr w14:paraId="7CCD92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2E5DA02A">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地表水环境</w:t>
            </w:r>
          </w:p>
        </w:tc>
        <w:tc>
          <w:tcPr>
            <w:tcW w:w="2283" w:type="dxa"/>
            <w:vAlign w:val="center"/>
          </w:tcPr>
          <w:p w14:paraId="78B65A87">
            <w:pPr>
              <w:adjustRightInd w:val="0"/>
              <w:snapToGrid w:val="0"/>
              <w:spacing w:line="240" w:lineRule="auto"/>
              <w:jc w:val="left"/>
              <w:rPr>
                <w:rFonts w:hint="eastAsia"/>
                <w:color w:val="auto"/>
                <w:sz w:val="21"/>
                <w:szCs w:val="21"/>
              </w:rPr>
            </w:pPr>
            <w:r>
              <w:rPr>
                <w:rFonts w:hint="eastAsia"/>
                <w:color w:val="auto"/>
                <w:sz w:val="21"/>
                <w:szCs w:val="21"/>
              </w:rPr>
              <w:t>施工期生活污水利用沿线的公共卫生设施，不外排，施工生产生活区生活污水排入防渗旱厕，定期清掏，外运堆肥处理，不排入周边地表水体。施工生产废水设置沉淀池集中收集，生产废水经沉淀后回收利用，禁止向水体排放。建筑材料堆放场地远离地表水体且无汇入支流空旷地带存放，并进行遮盖，防止雨水冲刷进入地表水体。优化施工组织设计，合理有序进行施工。合理安排桥梁</w:t>
            </w:r>
            <w:r>
              <w:rPr>
                <w:rFonts w:hint="eastAsia"/>
                <w:color w:val="auto"/>
                <w:sz w:val="21"/>
                <w:szCs w:val="21"/>
                <w:lang w:val="en-US" w:eastAsia="zh-CN"/>
              </w:rPr>
              <w:t>维修</w:t>
            </w:r>
            <w:r>
              <w:rPr>
                <w:rFonts w:hint="eastAsia"/>
                <w:color w:val="auto"/>
                <w:sz w:val="21"/>
                <w:szCs w:val="21"/>
              </w:rPr>
              <w:t>施工时间，施工选在枯水期，</w:t>
            </w:r>
            <w:r>
              <w:rPr>
                <w:rFonts w:hint="eastAsia"/>
                <w:color w:val="auto"/>
                <w:sz w:val="21"/>
                <w:szCs w:val="21"/>
                <w:lang w:val="en-US" w:eastAsia="zh-CN"/>
              </w:rPr>
              <w:t>减少水体扰动</w:t>
            </w:r>
            <w:r>
              <w:rPr>
                <w:rFonts w:hint="eastAsia"/>
                <w:color w:val="auto"/>
                <w:sz w:val="21"/>
                <w:szCs w:val="21"/>
              </w:rPr>
              <w:t>。</w:t>
            </w:r>
          </w:p>
        </w:tc>
        <w:tc>
          <w:tcPr>
            <w:tcW w:w="1486" w:type="dxa"/>
            <w:vAlign w:val="center"/>
          </w:tcPr>
          <w:p w14:paraId="1A06209F">
            <w:pPr>
              <w:adjustRightInd w:val="0"/>
              <w:snapToGrid w:val="0"/>
              <w:spacing w:line="240" w:lineRule="auto"/>
              <w:jc w:val="center"/>
              <w:rPr>
                <w:rFonts w:hint="eastAsia"/>
                <w:color w:val="auto"/>
                <w:sz w:val="21"/>
                <w:szCs w:val="21"/>
              </w:rPr>
            </w:pPr>
            <w:r>
              <w:rPr>
                <w:color w:val="auto"/>
                <w:sz w:val="21"/>
                <w:szCs w:val="21"/>
              </w:rPr>
              <w:t>废水不外排</w:t>
            </w:r>
          </w:p>
        </w:tc>
        <w:tc>
          <w:tcPr>
            <w:tcW w:w="2727" w:type="dxa"/>
            <w:vAlign w:val="center"/>
          </w:tcPr>
          <w:p w14:paraId="5BCA629B">
            <w:pPr>
              <w:pStyle w:val="80"/>
              <w:rPr>
                <w:rFonts w:cs="宋体"/>
                <w:color w:val="auto"/>
                <w:kern w:val="21"/>
              </w:rPr>
            </w:pPr>
            <w:r>
              <w:rPr>
                <w:color w:val="auto"/>
              </w:rPr>
              <w:t>护道班生活污水排入化粪池，</w:t>
            </w:r>
            <w:r>
              <w:rPr>
                <w:rFonts w:hint="eastAsia"/>
                <w:color w:val="auto"/>
              </w:rPr>
              <w:t>定期清掏堆肥</w:t>
            </w:r>
            <w:r>
              <w:rPr>
                <w:rFonts w:hint="eastAsia" w:cs="宋体"/>
                <w:color w:val="auto"/>
                <w:kern w:val="21"/>
              </w:rPr>
              <w:t>。</w:t>
            </w:r>
          </w:p>
        </w:tc>
        <w:tc>
          <w:tcPr>
            <w:tcW w:w="1083" w:type="dxa"/>
            <w:vAlign w:val="center"/>
          </w:tcPr>
          <w:p w14:paraId="019A64CE">
            <w:pPr>
              <w:adjustRightInd w:val="0"/>
              <w:snapToGrid w:val="0"/>
              <w:spacing w:line="240" w:lineRule="auto"/>
              <w:jc w:val="center"/>
              <w:rPr>
                <w:rFonts w:cs="宋体"/>
                <w:color w:val="auto"/>
                <w:kern w:val="21"/>
                <w:sz w:val="21"/>
                <w:szCs w:val="21"/>
              </w:rPr>
            </w:pPr>
            <w:r>
              <w:rPr>
                <w:rFonts w:hint="eastAsia" w:cs="宋体"/>
                <w:color w:val="auto"/>
                <w:kern w:val="21"/>
                <w:sz w:val="21"/>
                <w:szCs w:val="21"/>
              </w:rPr>
              <w:t>不外排</w:t>
            </w:r>
          </w:p>
        </w:tc>
      </w:tr>
      <w:tr w14:paraId="31EFA3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0BE96AB1">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地下水及土壤环境</w:t>
            </w:r>
          </w:p>
        </w:tc>
        <w:tc>
          <w:tcPr>
            <w:tcW w:w="2283" w:type="dxa"/>
            <w:vAlign w:val="center"/>
          </w:tcPr>
          <w:p w14:paraId="1FA7E4BA">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1B804F90">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14ADEA47">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083" w:type="dxa"/>
            <w:vAlign w:val="center"/>
          </w:tcPr>
          <w:p w14:paraId="235C247F">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r>
      <w:tr w14:paraId="4E3931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4EF13D49">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声环境</w:t>
            </w:r>
          </w:p>
        </w:tc>
        <w:tc>
          <w:tcPr>
            <w:tcW w:w="2283" w:type="dxa"/>
            <w:vAlign w:val="center"/>
          </w:tcPr>
          <w:p w14:paraId="2A0798DC">
            <w:pPr>
              <w:spacing w:line="240" w:lineRule="auto"/>
              <w:rPr>
                <w:color w:val="auto"/>
                <w:sz w:val="21"/>
                <w:szCs w:val="21"/>
              </w:rPr>
            </w:pPr>
            <w:r>
              <w:rPr>
                <w:rFonts w:hint="eastAsia" w:ascii="宋体" w:hAnsi="宋体" w:cs="宋体"/>
                <w:color w:val="auto"/>
                <w:sz w:val="21"/>
                <w:szCs w:val="21"/>
              </w:rPr>
              <w:t>①</w:t>
            </w:r>
            <w:r>
              <w:rPr>
                <w:color w:val="auto"/>
                <w:sz w:val="21"/>
                <w:szCs w:val="21"/>
              </w:rPr>
              <w:t>合理布局，临时工程及大型施工设备设置在远离声环境保护目标处；合理制定施工计划，避免大量噪声设备同时使用。</w:t>
            </w:r>
          </w:p>
          <w:p w14:paraId="260CA039">
            <w:pPr>
              <w:spacing w:line="240" w:lineRule="auto"/>
              <w:rPr>
                <w:color w:val="auto"/>
                <w:sz w:val="21"/>
                <w:szCs w:val="21"/>
              </w:rPr>
            </w:pPr>
            <w:r>
              <w:rPr>
                <w:rFonts w:hint="eastAsia" w:ascii="宋体" w:hAnsi="宋体" w:cs="宋体"/>
                <w:color w:val="auto"/>
                <w:sz w:val="21"/>
                <w:szCs w:val="21"/>
              </w:rPr>
              <w:t>②</w:t>
            </w:r>
            <w:r>
              <w:rPr>
                <w:color w:val="auto"/>
                <w:sz w:val="21"/>
                <w:szCs w:val="21"/>
              </w:rPr>
              <w:t>施工过程途经声环境保护目标路段采取修建临时隔声挡板等相应的隔声降噪措施，隔声挡板高度不低于3m。</w:t>
            </w:r>
          </w:p>
          <w:p w14:paraId="1321A988">
            <w:pPr>
              <w:spacing w:line="240" w:lineRule="auto"/>
              <w:rPr>
                <w:color w:val="auto"/>
                <w:sz w:val="21"/>
                <w:szCs w:val="21"/>
              </w:rPr>
            </w:pPr>
            <w:r>
              <w:rPr>
                <w:rFonts w:hint="eastAsia" w:ascii="宋体" w:hAnsi="宋体" w:cs="宋体"/>
                <w:color w:val="auto"/>
                <w:sz w:val="21"/>
                <w:szCs w:val="21"/>
              </w:rPr>
              <w:t>③</w:t>
            </w:r>
            <w:r>
              <w:rPr>
                <w:color w:val="auto"/>
                <w:sz w:val="21"/>
                <w:szCs w:val="21"/>
              </w:rPr>
              <w:t>施工机械安装减振、降噪设备。</w:t>
            </w:r>
          </w:p>
          <w:p w14:paraId="0ECB7905">
            <w:pPr>
              <w:spacing w:line="240" w:lineRule="auto"/>
              <w:rPr>
                <w:color w:val="auto"/>
                <w:sz w:val="21"/>
                <w:szCs w:val="21"/>
              </w:rPr>
            </w:pPr>
            <w:r>
              <w:rPr>
                <w:rFonts w:hint="eastAsia" w:ascii="宋体" w:hAnsi="宋体" w:cs="宋体"/>
                <w:color w:val="auto"/>
                <w:sz w:val="21"/>
                <w:szCs w:val="21"/>
              </w:rPr>
              <w:t>④</w:t>
            </w:r>
            <w:r>
              <w:rPr>
                <w:color w:val="auto"/>
                <w:sz w:val="21"/>
                <w:szCs w:val="21"/>
              </w:rPr>
              <w:t>物料运输途径声环境保护目标时减速慢行、禁止鸣笛及夜间禁止运输。</w:t>
            </w:r>
          </w:p>
          <w:p w14:paraId="2E7AFDC8">
            <w:pPr>
              <w:spacing w:line="240" w:lineRule="auto"/>
              <w:rPr>
                <w:rFonts w:cs="宋体"/>
                <w:color w:val="auto"/>
                <w:kern w:val="21"/>
                <w:sz w:val="21"/>
                <w:szCs w:val="21"/>
              </w:rPr>
            </w:pPr>
            <w:r>
              <w:rPr>
                <w:rFonts w:hint="eastAsia" w:ascii="宋体" w:hAnsi="宋体" w:cs="宋体"/>
                <w:color w:val="auto"/>
                <w:sz w:val="21"/>
                <w:szCs w:val="21"/>
              </w:rPr>
              <w:t>⑤</w:t>
            </w:r>
            <w:r>
              <w:rPr>
                <w:color w:val="auto"/>
                <w:sz w:val="21"/>
                <w:szCs w:val="21"/>
              </w:rPr>
              <w:t>施工过程中应经常对设备进行维护保养，保证施工设备处于低噪声、良好的工作状态，避免由于设备性能差而使噪声污染加重现象的发生，对产生强噪声的设备必须安排在白天使用。</w:t>
            </w:r>
          </w:p>
        </w:tc>
        <w:tc>
          <w:tcPr>
            <w:tcW w:w="1486" w:type="dxa"/>
            <w:vAlign w:val="center"/>
          </w:tcPr>
          <w:p w14:paraId="6870A5D1">
            <w:pPr>
              <w:spacing w:line="240" w:lineRule="auto"/>
              <w:jc w:val="center"/>
              <w:rPr>
                <w:rFonts w:hint="eastAsia" w:eastAsia="宋体" w:cs="宋体"/>
                <w:color w:val="auto"/>
                <w:kern w:val="21"/>
                <w:sz w:val="21"/>
                <w:szCs w:val="21"/>
                <w:lang w:eastAsia="zh-CN"/>
              </w:rPr>
            </w:pPr>
            <w:r>
              <w:rPr>
                <w:color w:val="auto"/>
                <w:sz w:val="21"/>
                <w:szCs w:val="21"/>
              </w:rPr>
              <w:t>施工噪声满足</w:t>
            </w:r>
            <w:r>
              <w:rPr>
                <w:rFonts w:hint="eastAsia"/>
                <w:color w:val="auto"/>
                <w:sz w:val="21"/>
                <w:szCs w:val="21"/>
                <w:lang w:eastAsia="zh-CN"/>
              </w:rPr>
              <w:t>《建筑施工噪声排放标准》(GB12523一2025)</w:t>
            </w:r>
          </w:p>
        </w:tc>
        <w:tc>
          <w:tcPr>
            <w:tcW w:w="2727" w:type="dxa"/>
            <w:vAlign w:val="center"/>
          </w:tcPr>
          <w:p w14:paraId="667A5A2F">
            <w:pPr>
              <w:spacing w:line="240" w:lineRule="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对临路134户超标居民和兴凯湖明德小学安装</w:t>
            </w:r>
            <w:r>
              <w:rPr>
                <w:rFonts w:hint="default" w:ascii="Times New Roman" w:hAnsi="Times New Roman" w:eastAsia="宋体" w:cs="Times New Roman"/>
                <w:color w:val="auto"/>
                <w:sz w:val="21"/>
                <w:szCs w:val="21"/>
                <w:lang w:val="en-US" w:eastAsia="zh-CN"/>
              </w:rPr>
              <w:t>双层中空玻璃窗</w:t>
            </w:r>
            <w:r>
              <w:rPr>
                <w:rFonts w:hint="eastAsia" w:ascii="Times New Roman" w:hAnsi="Times New Roman" w:eastAsia="宋体" w:cs="Times New Roman"/>
                <w:color w:val="auto"/>
                <w:sz w:val="21"/>
                <w:szCs w:val="21"/>
                <w:lang w:val="en-US" w:eastAsia="zh-CN"/>
              </w:rPr>
              <w:t>；</w:t>
            </w:r>
            <w:r>
              <w:rPr>
                <w:rFonts w:ascii="Times New Roman" w:hAnsi="Times New Roman" w:eastAsia="宋体" w:cs="Times New Roman"/>
                <w:color w:val="auto"/>
                <w:sz w:val="21"/>
                <w:szCs w:val="21"/>
              </w:rPr>
              <w:t>对道路进行经常性维护，提高路面平整度，降低道路交通噪声。</w:t>
            </w:r>
          </w:p>
          <w:p w14:paraId="145FA4DF">
            <w:pPr>
              <w:spacing w:line="240" w:lineRule="auto"/>
              <w:rPr>
                <w:color w:val="auto"/>
                <w:sz w:val="21"/>
                <w:szCs w:val="21"/>
              </w:rPr>
            </w:pPr>
            <w:r>
              <w:rPr>
                <w:rFonts w:ascii="Times New Roman" w:hAnsi="Times New Roman" w:eastAsia="宋体" w:cs="Times New Roman"/>
                <w:color w:val="auto"/>
                <w:sz w:val="21"/>
                <w:szCs w:val="21"/>
              </w:rPr>
              <w:t>加强对地</w:t>
            </w:r>
            <w:r>
              <w:rPr>
                <w:color w:val="auto"/>
                <w:sz w:val="21"/>
                <w:szCs w:val="21"/>
              </w:rPr>
              <w:t>面交通噪声监测，对环境噪声超标地面交通设施提出噪声削减意见或要求，监督有关部门实施。</w:t>
            </w:r>
          </w:p>
        </w:tc>
        <w:tc>
          <w:tcPr>
            <w:tcW w:w="1083" w:type="dxa"/>
            <w:vAlign w:val="center"/>
          </w:tcPr>
          <w:p w14:paraId="0E0FC828">
            <w:pPr>
              <w:spacing w:line="240" w:lineRule="auto"/>
              <w:jc w:val="center"/>
              <w:rPr>
                <w:color w:val="auto"/>
                <w:sz w:val="21"/>
                <w:szCs w:val="21"/>
              </w:rPr>
            </w:pPr>
            <w:r>
              <w:rPr>
                <w:rFonts w:hint="eastAsia"/>
                <w:color w:val="auto"/>
                <w:sz w:val="21"/>
                <w:szCs w:val="21"/>
              </w:rPr>
              <w:t>确保道路两侧声环境敏感点</w:t>
            </w:r>
            <w:r>
              <w:rPr>
                <w:color w:val="auto"/>
                <w:sz w:val="21"/>
                <w:szCs w:val="21"/>
              </w:rPr>
              <w:t>满足</w:t>
            </w:r>
            <w:r>
              <w:rPr>
                <w:rFonts w:hint="eastAsia"/>
                <w:color w:val="auto"/>
                <w:sz w:val="21"/>
                <w:szCs w:val="21"/>
              </w:rPr>
              <w:t>《声环境质量标准》（GB 3096-2008）要求</w:t>
            </w:r>
          </w:p>
        </w:tc>
      </w:tr>
      <w:tr w14:paraId="77CB9C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65BE9918">
            <w:pPr>
              <w:adjustRightInd w:val="0"/>
              <w:snapToGrid w:val="0"/>
              <w:spacing w:line="240" w:lineRule="auto"/>
              <w:jc w:val="center"/>
              <w:rPr>
                <w:rFonts w:cs="宋体"/>
                <w:color w:val="auto"/>
                <w:kern w:val="21"/>
                <w:sz w:val="21"/>
                <w:szCs w:val="21"/>
              </w:rPr>
            </w:pPr>
            <w:r>
              <w:rPr>
                <w:rFonts w:hint="eastAsia" w:cs="宋体"/>
                <w:color w:val="auto"/>
                <w:kern w:val="21"/>
                <w:sz w:val="21"/>
                <w:szCs w:val="21"/>
              </w:rPr>
              <w:t>振动</w:t>
            </w:r>
          </w:p>
        </w:tc>
        <w:tc>
          <w:tcPr>
            <w:tcW w:w="2283" w:type="dxa"/>
            <w:vAlign w:val="center"/>
          </w:tcPr>
          <w:p w14:paraId="7F084F41">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2FF39848">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3A32AA74">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083" w:type="dxa"/>
            <w:vAlign w:val="center"/>
          </w:tcPr>
          <w:p w14:paraId="6AEF6EA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r>
      <w:tr w14:paraId="228930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121CBEF8">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大气</w:t>
            </w:r>
          </w:p>
          <w:p w14:paraId="6A893E5C">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环境</w:t>
            </w:r>
          </w:p>
        </w:tc>
        <w:tc>
          <w:tcPr>
            <w:tcW w:w="2283" w:type="dxa"/>
            <w:vAlign w:val="center"/>
          </w:tcPr>
          <w:p w14:paraId="39D93594">
            <w:pPr>
              <w:spacing w:line="240" w:lineRule="auto"/>
              <w:rPr>
                <w:color w:val="auto"/>
                <w:sz w:val="21"/>
                <w:szCs w:val="21"/>
              </w:rPr>
            </w:pPr>
            <w:r>
              <w:rPr>
                <w:rFonts w:hint="eastAsia" w:ascii="宋体" w:hAnsi="宋体" w:cs="宋体"/>
                <w:color w:val="auto"/>
                <w:sz w:val="21"/>
                <w:szCs w:val="21"/>
              </w:rPr>
              <w:t>①</w:t>
            </w:r>
            <w:r>
              <w:rPr>
                <w:color w:val="auto"/>
                <w:sz w:val="21"/>
                <w:szCs w:val="21"/>
              </w:rPr>
              <w:t>拌合站满足《公路环境保护设计规范》（JTGB 04-2010）中距离要求。</w:t>
            </w:r>
          </w:p>
          <w:p w14:paraId="688875AC">
            <w:pPr>
              <w:spacing w:line="240" w:lineRule="auto"/>
              <w:rPr>
                <w:bCs/>
                <w:color w:val="auto"/>
                <w:sz w:val="21"/>
                <w:szCs w:val="21"/>
              </w:rPr>
            </w:pPr>
            <w:r>
              <w:rPr>
                <w:rFonts w:hint="eastAsia" w:ascii="宋体" w:hAnsi="宋体" w:cs="宋体"/>
                <w:color w:val="auto"/>
                <w:sz w:val="21"/>
                <w:szCs w:val="21"/>
              </w:rPr>
              <w:t>②</w:t>
            </w:r>
            <w:r>
              <w:rPr>
                <w:bCs/>
                <w:color w:val="auto"/>
                <w:sz w:val="21"/>
                <w:szCs w:val="21"/>
              </w:rPr>
              <w:t>施工拌合站沥青烟通过采用先进沥青混凝土搅和设备、密闭设备等措施，并配备沥青烟净化器。</w:t>
            </w:r>
          </w:p>
          <w:p w14:paraId="7AF602DB">
            <w:pPr>
              <w:spacing w:line="240" w:lineRule="auto"/>
              <w:rPr>
                <w:rFonts w:ascii="宋体" w:hAnsi="宋体" w:cs="宋体"/>
                <w:color w:val="auto"/>
                <w:sz w:val="21"/>
                <w:szCs w:val="21"/>
              </w:rPr>
            </w:pPr>
            <w:r>
              <w:rPr>
                <w:rFonts w:hint="eastAsia" w:ascii="宋体" w:hAnsi="宋体" w:cs="宋体"/>
                <w:color w:val="auto"/>
                <w:sz w:val="21"/>
                <w:szCs w:val="21"/>
              </w:rPr>
              <w:t>③</w:t>
            </w:r>
            <w:r>
              <w:rPr>
                <w:rFonts w:hint="eastAsia"/>
                <w:color w:val="auto"/>
                <w:sz w:val="21"/>
                <w:szCs w:val="21"/>
                <w:lang w:val="en-US" w:eastAsia="zh-CN"/>
              </w:rPr>
              <w:t>导热油炉产生的烟气</w:t>
            </w:r>
            <w:r>
              <w:rPr>
                <w:color w:val="auto"/>
                <w:sz w:val="21"/>
                <w:szCs w:val="21"/>
              </w:rPr>
              <w:t>采用</w:t>
            </w:r>
            <w:r>
              <w:rPr>
                <w:rFonts w:hint="eastAsia"/>
                <w:color w:val="auto"/>
                <w:sz w:val="21"/>
                <w:szCs w:val="21"/>
                <w:lang w:val="en-US" w:eastAsia="zh-CN"/>
              </w:rPr>
              <w:t>布袋除尘器</w:t>
            </w:r>
            <w:r>
              <w:rPr>
                <w:color w:val="auto"/>
                <w:sz w:val="21"/>
                <w:szCs w:val="21"/>
              </w:rPr>
              <w:t>，</w:t>
            </w:r>
            <w:r>
              <w:rPr>
                <w:rFonts w:hint="eastAsia"/>
                <w:color w:val="auto"/>
                <w:sz w:val="21"/>
                <w:szCs w:val="21"/>
              </w:rPr>
              <w:t>处理后</w:t>
            </w:r>
            <w:r>
              <w:rPr>
                <w:rFonts w:hint="eastAsia"/>
                <w:color w:val="auto"/>
                <w:sz w:val="21"/>
                <w:szCs w:val="21"/>
                <w:lang w:val="en-US" w:eastAsia="zh-CN"/>
              </w:rPr>
              <w:t>废气通过1根18m</w:t>
            </w:r>
            <w:r>
              <w:rPr>
                <w:rFonts w:hint="eastAsia"/>
                <w:color w:val="auto"/>
                <w:sz w:val="21"/>
                <w:szCs w:val="21"/>
              </w:rPr>
              <w:t>排气筒</w:t>
            </w:r>
            <w:r>
              <w:rPr>
                <w:rFonts w:hint="eastAsia"/>
                <w:color w:val="auto"/>
                <w:sz w:val="21"/>
                <w:szCs w:val="21"/>
                <w:lang w:val="en-US" w:eastAsia="zh-CN"/>
              </w:rPr>
              <w:t>排放</w:t>
            </w:r>
            <w:r>
              <w:rPr>
                <w:rFonts w:hint="eastAsia"/>
                <w:color w:val="auto"/>
                <w:sz w:val="21"/>
                <w:szCs w:val="21"/>
              </w:rPr>
              <w:t>。</w:t>
            </w:r>
          </w:p>
          <w:p w14:paraId="29AE43F8">
            <w:pPr>
              <w:spacing w:line="240" w:lineRule="auto"/>
              <w:rPr>
                <w:bCs/>
                <w:color w:val="auto"/>
                <w:sz w:val="21"/>
                <w:szCs w:val="21"/>
              </w:rPr>
            </w:pPr>
            <w:r>
              <w:rPr>
                <w:rFonts w:hint="eastAsia"/>
                <w:bCs/>
                <w:color w:val="auto"/>
                <w:sz w:val="21"/>
                <w:szCs w:val="21"/>
              </w:rPr>
              <w:t>④</w:t>
            </w:r>
            <w:r>
              <w:rPr>
                <w:bCs/>
                <w:color w:val="auto"/>
                <w:sz w:val="21"/>
                <w:szCs w:val="21"/>
              </w:rPr>
              <w:t>途经敏感点路段设置隔声、隔尘挡板，高度3m。并严禁在挡墙外堆放施工材料、建筑垃圾和渣土。</w:t>
            </w:r>
          </w:p>
          <w:p w14:paraId="30309BAC">
            <w:pPr>
              <w:spacing w:line="240" w:lineRule="auto"/>
              <w:rPr>
                <w:bCs/>
                <w:color w:val="auto"/>
                <w:sz w:val="21"/>
                <w:szCs w:val="21"/>
              </w:rPr>
            </w:pPr>
            <w:r>
              <w:rPr>
                <w:rFonts w:hint="eastAsia"/>
                <w:bCs/>
                <w:color w:val="auto"/>
                <w:sz w:val="21"/>
                <w:szCs w:val="21"/>
              </w:rPr>
              <w:t>⑤</w:t>
            </w:r>
            <w:r>
              <w:rPr>
                <w:bCs/>
                <w:color w:val="auto"/>
                <w:sz w:val="21"/>
                <w:szCs w:val="21"/>
              </w:rPr>
              <w:t>施工避开大风季节，施工中产生的物料堆应当采取遮盖、洒水等措施防止扬尘产生。</w:t>
            </w:r>
          </w:p>
          <w:p w14:paraId="2174E477">
            <w:pPr>
              <w:spacing w:line="240" w:lineRule="auto"/>
              <w:rPr>
                <w:bCs/>
                <w:color w:val="auto"/>
                <w:sz w:val="21"/>
                <w:szCs w:val="21"/>
              </w:rPr>
            </w:pPr>
            <w:r>
              <w:rPr>
                <w:rFonts w:hint="eastAsia"/>
                <w:bCs/>
                <w:color w:val="auto"/>
                <w:sz w:val="21"/>
                <w:szCs w:val="21"/>
              </w:rPr>
              <w:t>⑥</w:t>
            </w:r>
            <w:r>
              <w:rPr>
                <w:bCs/>
                <w:color w:val="auto"/>
                <w:sz w:val="21"/>
                <w:szCs w:val="21"/>
              </w:rPr>
              <w:t>对施工场地、运输道路表面采取硬化措施，或采取洒水等方法处理。</w:t>
            </w:r>
          </w:p>
          <w:p w14:paraId="0AF1719E">
            <w:pPr>
              <w:spacing w:line="240" w:lineRule="auto"/>
              <w:rPr>
                <w:bCs/>
                <w:color w:val="auto"/>
                <w:sz w:val="21"/>
                <w:szCs w:val="21"/>
              </w:rPr>
            </w:pPr>
            <w:r>
              <w:rPr>
                <w:rFonts w:hint="eastAsia"/>
                <w:bCs/>
                <w:color w:val="auto"/>
                <w:sz w:val="21"/>
                <w:szCs w:val="21"/>
              </w:rPr>
              <w:t>⑦</w:t>
            </w:r>
            <w:r>
              <w:rPr>
                <w:bCs/>
                <w:color w:val="auto"/>
                <w:sz w:val="21"/>
                <w:szCs w:val="21"/>
              </w:rPr>
              <w:t>施工产生的建筑垃圾、渣土应当及时清运或采取其他有效防尘措施。</w:t>
            </w:r>
          </w:p>
          <w:p w14:paraId="3C879E68">
            <w:pPr>
              <w:spacing w:line="240" w:lineRule="auto"/>
              <w:rPr>
                <w:bCs/>
                <w:color w:val="auto"/>
                <w:sz w:val="21"/>
                <w:szCs w:val="21"/>
              </w:rPr>
            </w:pPr>
            <w:r>
              <w:rPr>
                <w:rFonts w:hint="eastAsia"/>
                <w:bCs/>
                <w:color w:val="auto"/>
                <w:sz w:val="21"/>
                <w:szCs w:val="21"/>
              </w:rPr>
              <w:t>⑧</w:t>
            </w:r>
            <w:r>
              <w:rPr>
                <w:bCs/>
                <w:color w:val="auto"/>
                <w:sz w:val="21"/>
                <w:szCs w:val="21"/>
              </w:rPr>
              <w:t>运输建筑垃圾、渣土等易产生扬尘的施工车辆，应加盖斗篷，密封运送；材料运输严禁超载，并盖篷布。</w:t>
            </w:r>
          </w:p>
          <w:p w14:paraId="5F15B1B0">
            <w:pPr>
              <w:spacing w:line="240" w:lineRule="auto"/>
              <w:rPr>
                <w:rFonts w:cs="宋体"/>
                <w:color w:val="auto"/>
                <w:kern w:val="21"/>
                <w:sz w:val="21"/>
                <w:szCs w:val="21"/>
              </w:rPr>
            </w:pPr>
            <w:r>
              <w:rPr>
                <w:rFonts w:hint="eastAsia"/>
                <w:color w:val="auto"/>
                <w:sz w:val="21"/>
                <w:szCs w:val="21"/>
              </w:rPr>
              <w:t>⑨</w:t>
            </w:r>
            <w:r>
              <w:rPr>
                <w:color w:val="auto"/>
                <w:sz w:val="21"/>
                <w:szCs w:val="21"/>
              </w:rPr>
              <w:t>加强施工期环境管理，强化施工人员的环保意识。</w:t>
            </w:r>
          </w:p>
        </w:tc>
        <w:tc>
          <w:tcPr>
            <w:tcW w:w="1486" w:type="dxa"/>
            <w:vAlign w:val="center"/>
          </w:tcPr>
          <w:p w14:paraId="69B8EBE0">
            <w:pPr>
              <w:spacing w:line="240" w:lineRule="auto"/>
              <w:jc w:val="center"/>
              <w:rPr>
                <w:rFonts w:cs="宋体"/>
                <w:color w:val="auto"/>
                <w:kern w:val="21"/>
                <w:sz w:val="21"/>
                <w:szCs w:val="21"/>
              </w:rPr>
            </w:pPr>
            <w:r>
              <w:rPr>
                <w:color w:val="auto"/>
                <w:sz w:val="21"/>
                <w:szCs w:val="21"/>
              </w:rPr>
              <w:t>施工场界处扬尘等满足《大气污染物综合排放标准》（GB16297-1996）规定的颗粒物无组织排放监控浓度限值要求，</w:t>
            </w:r>
            <w:r>
              <w:rPr>
                <w:rFonts w:hint="eastAsia"/>
                <w:color w:val="auto"/>
                <w:sz w:val="21"/>
                <w:szCs w:val="21"/>
                <w:lang w:eastAsia="zh-CN"/>
              </w:rPr>
              <w:t>沥青混凝土拌合站</w:t>
            </w:r>
            <w:r>
              <w:rPr>
                <w:color w:val="auto"/>
                <w:sz w:val="21"/>
                <w:szCs w:val="21"/>
              </w:rPr>
              <w:t>废气中的苯并芘、非甲烷总烃、颗粒物及沥青烟排放浓度均满足《大气污染物综合排放标准》（GB16297-</w:t>
            </w:r>
            <w:r>
              <w:rPr>
                <w:rFonts w:hint="eastAsia"/>
                <w:color w:val="auto"/>
                <w:sz w:val="21"/>
                <w:szCs w:val="21"/>
                <w:lang w:val="en-US" w:eastAsia="zh-CN"/>
              </w:rPr>
              <w:t>1996</w:t>
            </w:r>
            <w:r>
              <w:rPr>
                <w:color w:val="auto"/>
                <w:sz w:val="21"/>
                <w:szCs w:val="21"/>
              </w:rPr>
              <w:t>）</w:t>
            </w:r>
            <w:r>
              <w:rPr>
                <w:rFonts w:hint="eastAsia"/>
                <w:color w:val="auto"/>
                <w:sz w:val="21"/>
                <w:szCs w:val="21"/>
                <w:lang w:val="en-US" w:eastAsia="zh-CN"/>
              </w:rPr>
              <w:t>无组织排放</w:t>
            </w:r>
            <w:r>
              <w:rPr>
                <w:color w:val="auto"/>
                <w:sz w:val="21"/>
                <w:szCs w:val="21"/>
              </w:rPr>
              <w:t>标准；</w:t>
            </w:r>
            <w:r>
              <w:rPr>
                <w:rFonts w:hint="eastAsia"/>
                <w:color w:val="auto"/>
                <w:sz w:val="21"/>
                <w:szCs w:val="21"/>
                <w:lang w:val="en-US" w:eastAsia="zh-CN"/>
              </w:rPr>
              <w:t>导热油炉烟气排放满足</w:t>
            </w:r>
            <w:r>
              <w:rPr>
                <w:color w:val="auto"/>
                <w:sz w:val="21"/>
                <w:szCs w:val="21"/>
              </w:rPr>
              <w:t>《</w:t>
            </w:r>
            <w:r>
              <w:rPr>
                <w:rFonts w:hint="eastAsia"/>
                <w:color w:val="auto"/>
                <w:sz w:val="21"/>
                <w:szCs w:val="21"/>
                <w:lang w:val="en-US" w:eastAsia="zh-CN"/>
              </w:rPr>
              <w:t>锅炉</w:t>
            </w:r>
            <w:r>
              <w:rPr>
                <w:color w:val="auto"/>
                <w:sz w:val="21"/>
                <w:szCs w:val="21"/>
              </w:rPr>
              <w:t>大气污染物排放标准》（GB1</w:t>
            </w:r>
            <w:r>
              <w:rPr>
                <w:rFonts w:hint="eastAsia"/>
                <w:color w:val="auto"/>
                <w:sz w:val="21"/>
                <w:szCs w:val="21"/>
                <w:lang w:val="en-US" w:eastAsia="zh-CN"/>
              </w:rPr>
              <w:t>3271</w:t>
            </w:r>
            <w:r>
              <w:rPr>
                <w:color w:val="auto"/>
                <w:sz w:val="21"/>
                <w:szCs w:val="21"/>
              </w:rPr>
              <w:t>-</w:t>
            </w:r>
            <w:r>
              <w:rPr>
                <w:rFonts w:hint="eastAsia"/>
                <w:color w:val="auto"/>
                <w:sz w:val="21"/>
                <w:szCs w:val="21"/>
                <w:lang w:val="en-US" w:eastAsia="zh-CN"/>
              </w:rPr>
              <w:t>2014</w:t>
            </w:r>
            <w:r>
              <w:rPr>
                <w:color w:val="auto"/>
                <w:sz w:val="21"/>
                <w:szCs w:val="21"/>
              </w:rPr>
              <w:t>）表2标准</w:t>
            </w:r>
          </w:p>
        </w:tc>
        <w:tc>
          <w:tcPr>
            <w:tcW w:w="2727" w:type="dxa"/>
            <w:vAlign w:val="center"/>
          </w:tcPr>
          <w:p w14:paraId="51262F62">
            <w:pPr>
              <w:spacing w:line="240" w:lineRule="auto"/>
              <w:rPr>
                <w:color w:val="auto"/>
                <w:sz w:val="21"/>
                <w:szCs w:val="21"/>
              </w:rPr>
            </w:pPr>
            <w:r>
              <w:rPr>
                <w:rFonts w:hint="eastAsia" w:ascii="宋体" w:hAnsi="宋体" w:cs="宋体"/>
                <w:color w:val="auto"/>
                <w:sz w:val="21"/>
                <w:szCs w:val="21"/>
              </w:rPr>
              <w:t>①</w:t>
            </w:r>
            <w:r>
              <w:rPr>
                <w:color w:val="auto"/>
                <w:sz w:val="21"/>
                <w:szCs w:val="21"/>
              </w:rPr>
              <w:t>加强公路管理及路面养护，加强交通运输车辆管理，禁止尾气严重超标车辆上路行驶。</w:t>
            </w:r>
          </w:p>
          <w:p w14:paraId="22C57651">
            <w:pPr>
              <w:spacing w:line="240" w:lineRule="auto"/>
              <w:rPr>
                <w:color w:val="auto"/>
                <w:sz w:val="21"/>
                <w:szCs w:val="21"/>
              </w:rPr>
            </w:pPr>
            <w:r>
              <w:rPr>
                <w:rFonts w:hint="eastAsia" w:ascii="宋体" w:hAnsi="宋体" w:cs="宋体"/>
                <w:color w:val="auto"/>
                <w:sz w:val="21"/>
                <w:szCs w:val="21"/>
              </w:rPr>
              <w:t>②</w:t>
            </w:r>
            <w:r>
              <w:rPr>
                <w:color w:val="auto"/>
                <w:sz w:val="21"/>
                <w:szCs w:val="21"/>
              </w:rPr>
              <w:t>公路两侧种植适宜当地生长的林草，增加沿线植被覆盖率</w:t>
            </w:r>
            <w:r>
              <w:rPr>
                <w:rFonts w:hint="eastAsia"/>
                <w:color w:val="auto"/>
                <w:sz w:val="21"/>
                <w:szCs w:val="21"/>
                <w:lang w:eastAsia="zh-CN"/>
              </w:rPr>
              <w:t>；</w:t>
            </w:r>
            <w:r>
              <w:rPr>
                <w:rFonts w:hint="eastAsia"/>
                <w:color w:val="auto"/>
                <w:sz w:val="21"/>
                <w:szCs w:val="21"/>
                <w:lang w:val="en-US" w:eastAsia="zh-CN"/>
              </w:rPr>
              <w:t>养护道班采取绿化措施</w:t>
            </w:r>
            <w:r>
              <w:rPr>
                <w:color w:val="auto"/>
                <w:sz w:val="21"/>
                <w:szCs w:val="21"/>
              </w:rPr>
              <w:t>。</w:t>
            </w:r>
          </w:p>
        </w:tc>
        <w:tc>
          <w:tcPr>
            <w:tcW w:w="1083" w:type="dxa"/>
            <w:vAlign w:val="center"/>
          </w:tcPr>
          <w:p w14:paraId="797106DD">
            <w:pPr>
              <w:spacing w:line="240" w:lineRule="auto"/>
              <w:jc w:val="center"/>
              <w:rPr>
                <w:color w:val="auto"/>
                <w:sz w:val="21"/>
                <w:szCs w:val="21"/>
              </w:rPr>
            </w:pPr>
            <w:r>
              <w:rPr>
                <w:rFonts w:hint="eastAsia" w:cs="宋体"/>
                <w:color w:val="auto"/>
                <w:kern w:val="21"/>
                <w:sz w:val="21"/>
                <w:szCs w:val="21"/>
              </w:rPr>
              <w:t>-</w:t>
            </w:r>
          </w:p>
        </w:tc>
      </w:tr>
      <w:tr w14:paraId="05BE0A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328748FC">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固体</w:t>
            </w:r>
          </w:p>
          <w:p w14:paraId="54328BAB">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废物</w:t>
            </w:r>
          </w:p>
        </w:tc>
        <w:tc>
          <w:tcPr>
            <w:tcW w:w="2283" w:type="dxa"/>
            <w:vAlign w:val="center"/>
          </w:tcPr>
          <w:p w14:paraId="302C6A96">
            <w:pPr>
              <w:spacing w:line="240" w:lineRule="auto"/>
              <w:rPr>
                <w:color w:val="auto"/>
                <w:sz w:val="21"/>
                <w:szCs w:val="21"/>
              </w:rPr>
            </w:pPr>
            <w:r>
              <w:rPr>
                <w:rFonts w:hint="eastAsia" w:ascii="宋体" w:hAnsi="宋体" w:cs="宋体"/>
                <w:color w:val="auto"/>
                <w:sz w:val="21"/>
                <w:szCs w:val="21"/>
              </w:rPr>
              <w:t>①</w:t>
            </w:r>
            <w:r>
              <w:rPr>
                <w:color w:val="auto"/>
                <w:sz w:val="21"/>
                <w:szCs w:val="21"/>
              </w:rPr>
              <w:t>生活垃圾集中收集后，运至市政指定地点由市政统一处理。</w:t>
            </w:r>
          </w:p>
          <w:p w14:paraId="22E33CAF">
            <w:pPr>
              <w:spacing w:line="240" w:lineRule="auto"/>
              <w:rPr>
                <w:color w:val="auto"/>
                <w:sz w:val="21"/>
                <w:szCs w:val="21"/>
              </w:rPr>
            </w:pPr>
            <w:r>
              <w:rPr>
                <w:rFonts w:hint="eastAsia" w:ascii="宋体" w:hAnsi="宋体" w:cs="宋体"/>
                <w:color w:val="auto"/>
                <w:sz w:val="21"/>
                <w:szCs w:val="21"/>
              </w:rPr>
              <w:t>②</w:t>
            </w:r>
            <w:r>
              <w:rPr>
                <w:color w:val="auto"/>
                <w:sz w:val="21"/>
                <w:szCs w:val="21"/>
              </w:rPr>
              <w:t>优先对</w:t>
            </w:r>
            <w:r>
              <w:rPr>
                <w:rFonts w:hint="eastAsia"/>
                <w:color w:val="auto"/>
                <w:sz w:val="21"/>
                <w:szCs w:val="21"/>
                <w:lang w:val="en-US" w:eastAsia="zh-CN"/>
              </w:rPr>
              <w:t>开挖的废弃路面</w:t>
            </w:r>
            <w:r>
              <w:rPr>
                <w:color w:val="auto"/>
                <w:sz w:val="21"/>
                <w:szCs w:val="21"/>
              </w:rPr>
              <w:t>进行再生利用，回用于基层填料，</w:t>
            </w:r>
            <w:r>
              <w:rPr>
                <w:rFonts w:hint="eastAsia"/>
                <w:color w:val="auto"/>
                <w:sz w:val="21"/>
                <w:szCs w:val="21"/>
                <w:lang w:val="en-US" w:eastAsia="zh-CN"/>
              </w:rPr>
              <w:t>不能利用的及时运输至柳毛乡混凝土搅拌站利用</w:t>
            </w:r>
            <w:r>
              <w:rPr>
                <w:color w:val="auto"/>
                <w:sz w:val="21"/>
                <w:szCs w:val="21"/>
              </w:rPr>
              <w:t>，严禁随意丢弃。</w:t>
            </w:r>
          </w:p>
          <w:p w14:paraId="4D11625D">
            <w:pPr>
              <w:spacing w:line="240" w:lineRule="auto"/>
              <w:rPr>
                <w:rFonts w:cs="宋体"/>
                <w:color w:val="auto"/>
                <w:kern w:val="21"/>
                <w:sz w:val="21"/>
                <w:szCs w:val="21"/>
              </w:rPr>
            </w:pPr>
          </w:p>
        </w:tc>
        <w:tc>
          <w:tcPr>
            <w:tcW w:w="1486" w:type="dxa"/>
            <w:vAlign w:val="center"/>
          </w:tcPr>
          <w:p w14:paraId="27163D04">
            <w:pPr>
              <w:spacing w:line="240" w:lineRule="auto"/>
              <w:jc w:val="center"/>
              <w:rPr>
                <w:rFonts w:cs="宋体"/>
                <w:color w:val="auto"/>
                <w:kern w:val="21"/>
                <w:sz w:val="21"/>
                <w:szCs w:val="21"/>
              </w:rPr>
            </w:pPr>
            <w:r>
              <w:rPr>
                <w:color w:val="auto"/>
                <w:sz w:val="21"/>
                <w:szCs w:val="21"/>
              </w:rPr>
              <w:t>《一般工业固体废物贮存和填埋污染控制标准》（GB18599-2020），固体废物得到妥善处理处置不外排</w:t>
            </w:r>
          </w:p>
        </w:tc>
        <w:tc>
          <w:tcPr>
            <w:tcW w:w="2727" w:type="dxa"/>
            <w:vAlign w:val="center"/>
          </w:tcPr>
          <w:p w14:paraId="38636A40">
            <w:pPr>
              <w:pStyle w:val="80"/>
              <w:jc w:val="both"/>
              <w:rPr>
                <w:color w:val="auto"/>
              </w:rPr>
            </w:pPr>
            <w:r>
              <w:rPr>
                <w:rFonts w:hint="eastAsia" w:ascii="宋体" w:hAnsi="宋体" w:cs="宋体"/>
                <w:color w:val="auto"/>
              </w:rPr>
              <w:t>①</w:t>
            </w:r>
            <w:r>
              <w:rPr>
                <w:color w:val="auto"/>
              </w:rPr>
              <w:t>运营期养护道班生活垃圾圾集中收集后，运至市政指定地点由市政统一处理。</w:t>
            </w:r>
          </w:p>
          <w:p w14:paraId="52DC45C4">
            <w:pPr>
              <w:pStyle w:val="80"/>
              <w:jc w:val="both"/>
              <w:rPr>
                <w:color w:val="auto"/>
              </w:rPr>
            </w:pPr>
            <w:r>
              <w:rPr>
                <w:rFonts w:hint="eastAsia"/>
                <w:color w:val="auto"/>
              </w:rPr>
              <w:t>②</w:t>
            </w:r>
            <w:r>
              <w:rPr>
                <w:color w:val="auto"/>
              </w:rPr>
              <w:t>养护道班产生的一般固废如废弃零部件、废轮胎、废包装物等，</w:t>
            </w:r>
            <w:r>
              <w:rPr>
                <w:color w:val="auto"/>
                <w:szCs w:val="28"/>
              </w:rPr>
              <w:t>集中收集由物资回收公司综合利用</w:t>
            </w:r>
            <w:r>
              <w:rPr>
                <w:color w:val="auto"/>
              </w:rPr>
              <w:t>，严禁随意丢弃。</w:t>
            </w:r>
          </w:p>
          <w:p w14:paraId="72F03B35">
            <w:pPr>
              <w:pStyle w:val="80"/>
              <w:jc w:val="both"/>
              <w:rPr>
                <w:color w:val="auto"/>
              </w:rPr>
            </w:pPr>
            <w:r>
              <w:rPr>
                <w:rFonts w:hint="eastAsia" w:ascii="宋体" w:hAnsi="宋体" w:cs="宋体"/>
                <w:color w:val="auto"/>
              </w:rPr>
              <w:t>③</w:t>
            </w:r>
            <w:r>
              <w:rPr>
                <w:rFonts w:hint="eastAsia"/>
                <w:color w:val="auto"/>
              </w:rPr>
              <w:t>运输车辆撒落的运载物、发生交通事故的车辆装载的货物、客车乘客丢弃的物品等固体废物，交由市政部门统一清运。</w:t>
            </w:r>
          </w:p>
        </w:tc>
        <w:tc>
          <w:tcPr>
            <w:tcW w:w="1083" w:type="dxa"/>
            <w:vAlign w:val="center"/>
          </w:tcPr>
          <w:p w14:paraId="67C0940D">
            <w:pPr>
              <w:pStyle w:val="80"/>
              <w:rPr>
                <w:color w:val="auto"/>
              </w:rPr>
            </w:pPr>
            <w:r>
              <w:rPr>
                <w:color w:val="auto"/>
              </w:rPr>
              <w:t>《一般工业固体废物贮存和填埋污染控制标准》（GB18599-2020）</w:t>
            </w:r>
            <w:r>
              <w:rPr>
                <w:rFonts w:hint="eastAsia"/>
                <w:color w:val="auto"/>
                <w:szCs w:val="28"/>
              </w:rPr>
              <w:t>,</w:t>
            </w:r>
            <w:r>
              <w:rPr>
                <w:color w:val="auto"/>
              </w:rPr>
              <w:t>固体废物得到妥善处理处置不外排。</w:t>
            </w:r>
          </w:p>
        </w:tc>
      </w:tr>
      <w:tr w14:paraId="7B75EF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064D933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电磁</w:t>
            </w:r>
          </w:p>
          <w:p w14:paraId="641CAB2B">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环境</w:t>
            </w:r>
          </w:p>
        </w:tc>
        <w:tc>
          <w:tcPr>
            <w:tcW w:w="2283" w:type="dxa"/>
            <w:vAlign w:val="center"/>
          </w:tcPr>
          <w:p w14:paraId="54BD705E">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192B3F0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1C6BC882">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083" w:type="dxa"/>
            <w:vAlign w:val="center"/>
          </w:tcPr>
          <w:p w14:paraId="5982552B">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r>
      <w:tr w14:paraId="2F631F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58CA44F6">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环境</w:t>
            </w:r>
          </w:p>
          <w:p w14:paraId="1801B6F8">
            <w:pPr>
              <w:adjustRightInd w:val="0"/>
              <w:snapToGrid w:val="0"/>
              <w:spacing w:line="240" w:lineRule="auto"/>
              <w:jc w:val="center"/>
              <w:rPr>
                <w:rFonts w:cs="宋体"/>
                <w:color w:val="auto"/>
                <w:kern w:val="21"/>
                <w:sz w:val="21"/>
                <w:szCs w:val="21"/>
              </w:rPr>
            </w:pPr>
            <w:r>
              <w:rPr>
                <w:rFonts w:hint="eastAsia" w:cs="宋体"/>
                <w:color w:val="auto"/>
                <w:kern w:val="21"/>
                <w:sz w:val="21"/>
                <w:szCs w:val="21"/>
              </w:rPr>
              <w:t>风险</w:t>
            </w:r>
          </w:p>
        </w:tc>
        <w:tc>
          <w:tcPr>
            <w:tcW w:w="2283" w:type="dxa"/>
            <w:vAlign w:val="center"/>
          </w:tcPr>
          <w:p w14:paraId="320C4E1A">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1804DFB6">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71FEF213">
            <w:pPr>
              <w:spacing w:line="240" w:lineRule="auto"/>
              <w:jc w:val="center"/>
              <w:rPr>
                <w:color w:val="auto"/>
                <w:sz w:val="21"/>
                <w:szCs w:val="21"/>
              </w:rPr>
            </w:pPr>
            <w:r>
              <w:rPr>
                <w:color w:val="auto"/>
                <w:sz w:val="21"/>
                <w:szCs w:val="21"/>
              </w:rPr>
              <w:t>加固护栏，设警示标志等。一旦事故发生，应及时迅速报警，及时通知有关部门，立即启动项目应急预案，采取应急措施。</w:t>
            </w:r>
          </w:p>
        </w:tc>
        <w:tc>
          <w:tcPr>
            <w:tcW w:w="1083" w:type="dxa"/>
            <w:vAlign w:val="center"/>
          </w:tcPr>
          <w:p w14:paraId="125D0F0F">
            <w:pPr>
              <w:spacing w:line="240" w:lineRule="auto"/>
              <w:jc w:val="center"/>
              <w:rPr>
                <w:color w:val="auto"/>
                <w:sz w:val="21"/>
                <w:szCs w:val="21"/>
              </w:rPr>
            </w:pPr>
            <w:r>
              <w:rPr>
                <w:color w:val="auto"/>
                <w:sz w:val="21"/>
                <w:szCs w:val="21"/>
              </w:rPr>
              <w:t>确保环境风险最小化。</w:t>
            </w:r>
          </w:p>
        </w:tc>
      </w:tr>
      <w:tr w14:paraId="7ECEFF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366BC991">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环境</w:t>
            </w:r>
          </w:p>
          <w:p w14:paraId="54951386">
            <w:pPr>
              <w:adjustRightInd w:val="0"/>
              <w:snapToGrid w:val="0"/>
              <w:spacing w:line="240" w:lineRule="auto"/>
              <w:jc w:val="center"/>
              <w:rPr>
                <w:rFonts w:cs="宋体"/>
                <w:color w:val="auto"/>
                <w:kern w:val="21"/>
                <w:sz w:val="21"/>
                <w:szCs w:val="21"/>
              </w:rPr>
            </w:pPr>
            <w:r>
              <w:rPr>
                <w:rFonts w:hint="eastAsia" w:cs="宋体"/>
                <w:color w:val="auto"/>
                <w:kern w:val="21"/>
                <w:sz w:val="21"/>
                <w:szCs w:val="21"/>
              </w:rPr>
              <w:t>监测</w:t>
            </w:r>
          </w:p>
        </w:tc>
        <w:tc>
          <w:tcPr>
            <w:tcW w:w="2283" w:type="dxa"/>
            <w:vAlign w:val="center"/>
          </w:tcPr>
          <w:p w14:paraId="3B8C94D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6A3E83C4">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07B7E424">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083" w:type="dxa"/>
            <w:vAlign w:val="center"/>
          </w:tcPr>
          <w:p w14:paraId="32D48C02">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r>
      <w:tr w14:paraId="7F1385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42" w:type="dxa"/>
            <w:vAlign w:val="center"/>
          </w:tcPr>
          <w:p w14:paraId="04A4FCE1">
            <w:pPr>
              <w:adjustRightInd w:val="0"/>
              <w:snapToGrid w:val="0"/>
              <w:spacing w:line="240" w:lineRule="auto"/>
              <w:jc w:val="center"/>
              <w:rPr>
                <w:rFonts w:cs="宋体"/>
                <w:color w:val="auto"/>
                <w:kern w:val="21"/>
                <w:sz w:val="21"/>
                <w:szCs w:val="21"/>
              </w:rPr>
            </w:pPr>
            <w:r>
              <w:rPr>
                <w:rFonts w:hint="eastAsia" w:cs="宋体"/>
                <w:color w:val="auto"/>
                <w:kern w:val="21"/>
                <w:sz w:val="21"/>
                <w:szCs w:val="21"/>
              </w:rPr>
              <w:t>其他</w:t>
            </w:r>
          </w:p>
        </w:tc>
        <w:tc>
          <w:tcPr>
            <w:tcW w:w="2283" w:type="dxa"/>
            <w:vAlign w:val="center"/>
          </w:tcPr>
          <w:p w14:paraId="60FDC9FC">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486" w:type="dxa"/>
            <w:vAlign w:val="center"/>
          </w:tcPr>
          <w:p w14:paraId="02636149">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2727" w:type="dxa"/>
            <w:vAlign w:val="center"/>
          </w:tcPr>
          <w:p w14:paraId="32B60166">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c>
          <w:tcPr>
            <w:tcW w:w="1083" w:type="dxa"/>
            <w:vAlign w:val="center"/>
          </w:tcPr>
          <w:p w14:paraId="0BB9A48D">
            <w:pPr>
              <w:adjustRightInd w:val="0"/>
              <w:snapToGrid w:val="0"/>
              <w:spacing w:line="240" w:lineRule="auto"/>
              <w:jc w:val="center"/>
              <w:rPr>
                <w:rFonts w:cs="宋体"/>
                <w:color w:val="auto"/>
                <w:kern w:val="21"/>
                <w:sz w:val="21"/>
                <w:szCs w:val="21"/>
              </w:rPr>
            </w:pPr>
            <w:r>
              <w:rPr>
                <w:rFonts w:hint="eastAsia" w:cs="宋体"/>
                <w:color w:val="auto"/>
                <w:kern w:val="21"/>
                <w:sz w:val="21"/>
                <w:szCs w:val="21"/>
              </w:rPr>
              <w:t>-</w:t>
            </w:r>
          </w:p>
        </w:tc>
      </w:tr>
    </w:tbl>
    <w:p w14:paraId="733FC19E">
      <w:pPr>
        <w:pStyle w:val="26"/>
        <w:spacing w:before="0" w:beforeAutospacing="0" w:after="156" w:afterLines="50" w:afterAutospacing="0"/>
        <w:jc w:val="center"/>
        <w:outlineLvl w:val="0"/>
        <w:rPr>
          <w:rFonts w:ascii="黑体" w:hAnsi="黑体" w:eastAsia="黑体"/>
          <w:snapToGrid w:val="0"/>
          <w:color w:val="auto"/>
          <w:kern w:val="21"/>
          <w:sz w:val="30"/>
          <w:szCs w:val="30"/>
        </w:rPr>
      </w:pPr>
      <w:r>
        <w:rPr>
          <w:rFonts w:ascii="黑体" w:hAnsi="黑体" w:eastAsia="黑体"/>
          <w:snapToGrid w:val="0"/>
          <w:color w:val="auto"/>
          <w:sz w:val="30"/>
          <w:szCs w:val="30"/>
        </w:rPr>
        <w:br w:type="page"/>
      </w:r>
      <w:r>
        <w:rPr>
          <w:rFonts w:hint="eastAsia" w:ascii="黑体" w:hAnsi="黑体" w:eastAsia="黑体"/>
          <w:snapToGrid w:val="0"/>
          <w:color w:val="auto"/>
          <w:kern w:val="21"/>
          <w:sz w:val="30"/>
          <w:szCs w:val="30"/>
          <w:highlight w:val="none"/>
        </w:rPr>
        <w:t>七、结论</w:t>
      </w:r>
      <w:bookmarkEnd w:id="20"/>
    </w:p>
    <w:tbl>
      <w:tblPr>
        <w:tblStyle w:val="31"/>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AC214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657" w:hRule="atLeast"/>
          <w:jc w:val="center"/>
        </w:trPr>
        <w:tc>
          <w:tcPr>
            <w:tcW w:w="8522" w:type="dxa"/>
            <w:noWrap w:val="0"/>
            <w:vAlign w:val="top"/>
          </w:tcPr>
          <w:p w14:paraId="3D4A8899">
            <w:pPr>
              <w:pStyle w:val="76"/>
              <w:rPr>
                <w:color w:val="auto"/>
              </w:rPr>
            </w:pPr>
            <w:r>
              <w:rPr>
                <w:color w:val="auto"/>
              </w:rPr>
              <w:t>本项目为基础设施建设项目，属于公路改建工程。本项目建设符合当前国家产业政策，符合国家公路网规划，选线合理。工程建设运行将改善区域交通环境，促进地方经济发展。项目实施对周边水、气、声、生态环境有一定影响，但工程对环境的不利影响可通过采取相应环保对策措施予以减免，运营期间对公路养护道班加强管理，该项目正面效应大于负面效应。因此，从环境保护角度分析，在严格实施环保对策措施的条件下，本项目选线与建设是可行的。</w:t>
            </w:r>
          </w:p>
          <w:p w14:paraId="0520EC2C">
            <w:pPr>
              <w:ind w:firstLine="480" w:firstLineChars="200"/>
              <w:jc w:val="center"/>
              <w:rPr>
                <w:rFonts w:ascii="宋体" w:hAnsi="宋体" w:cs="宋体"/>
                <w:color w:val="auto"/>
                <w:szCs w:val="21"/>
              </w:rPr>
            </w:pPr>
          </w:p>
        </w:tc>
      </w:tr>
    </w:tbl>
    <w:p w14:paraId="56637C05">
      <w:pPr>
        <w:rPr>
          <w:color w:val="auto"/>
        </w:rPr>
      </w:pPr>
    </w:p>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F"/>
    <w:family w:val="roman"/>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FPEF">
    <w:altName w:val="Times New Roman"/>
    <w:panose1 w:val="00000000000000000000"/>
    <w:charset w:val="00"/>
    <w:family w:val="roman"/>
    <w:pitch w:val="default"/>
    <w:sig w:usb0="00000000" w:usb1="00000000" w:usb2="00000000" w:usb3="00000000" w:csb0="00040001" w:csb1="00000000"/>
  </w:font>
  <w:font w:name="方正小标宋_GBK">
    <w:altName w:val="Arial Unicode MS"/>
    <w:panose1 w:val="03000509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楷体_GB2312">
    <w:panose1 w:val="02010609030101010101"/>
    <w:charset w:val="86"/>
    <w:family w:val="modern"/>
    <w:pitch w:val="default"/>
    <w:sig w:usb0="00000001" w:usb1="080E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5C78E">
    <w:pPr>
      <w:pStyle w:val="20"/>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4AB3E">
    <w:pPr>
      <w:pStyle w:val="20"/>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EFD6667">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33</w:t>
                          </w:r>
                          <w:r>
                            <w:rPr>
                              <w:rFonts w:hint="eastAsia"/>
                            </w:rPr>
                            <w:fldChar w:fldCharType="end"/>
                          </w:r>
                        </w:p>
                      </w:txbxContent>
                    </wps:txbx>
                    <wps:bodyPr wrap="none" lIns="0" tIns="0" rIns="0" bIns="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NrvjoXOAQAAqAMAAA4AAAAAAAAAAQAgAAAAHgEAAGRycy9l&#10;Mm9Eb2MueG1sUEsFBgAAAAAGAAYAWQEAAF4FAAAAAA==&#10;">
              <v:fill on="f" focussize="0,0"/>
              <v:stroke on="f"/>
              <v:imagedata o:title=""/>
              <o:lock v:ext="edit" aspectratio="f"/>
              <v:textbox inset="0mm,0mm,0mm,0mm" style="mso-fit-shape-to-text:t;">
                <w:txbxContent>
                  <w:p w14:paraId="2EFD6667">
                    <w:pPr>
                      <w:pStyle w:val="20"/>
                      <w:rPr>
                        <w:rFonts w:hint="eastAsia"/>
                      </w:rPr>
                    </w:pPr>
                    <w:r>
                      <w:rPr>
                        <w:rFonts w:hint="eastAsia"/>
                      </w:rPr>
                      <w:fldChar w:fldCharType="begin"/>
                    </w:r>
                    <w:r>
                      <w:rPr>
                        <w:rFonts w:hint="eastAsia"/>
                      </w:rPr>
                      <w:instrText xml:space="preserve"> PAGE  \* MERGEFORMAT </w:instrText>
                    </w:r>
                    <w:r>
                      <w:rPr>
                        <w:rFonts w:hint="eastAsia"/>
                      </w:rPr>
                      <w:fldChar w:fldCharType="separate"/>
                    </w:r>
                    <w:r>
                      <w:t>33</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8720C0"/>
    <w:multiLevelType w:val="singleLevel"/>
    <w:tmpl w:val="A48720C0"/>
    <w:lvl w:ilvl="0" w:tentative="0">
      <w:start w:val="4"/>
      <w:numFmt w:val="decimal"/>
      <w:suff w:val="nothing"/>
      <w:lvlText w:val="（%1）"/>
      <w:lvlJc w:val="left"/>
    </w:lvl>
  </w:abstractNum>
  <w:abstractNum w:abstractNumId="1">
    <w:nsid w:val="F6A29459"/>
    <w:multiLevelType w:val="singleLevel"/>
    <w:tmpl w:val="F6A29459"/>
    <w:lvl w:ilvl="0" w:tentative="0">
      <w:start w:val="2"/>
      <w:numFmt w:val="decimal"/>
      <w:suff w:val="nothing"/>
      <w:lvlText w:val="（%1）"/>
      <w:lvlJc w:val="left"/>
    </w:lvl>
  </w:abstractNum>
  <w:abstractNum w:abstractNumId="2">
    <w:nsid w:val="14861248"/>
    <w:multiLevelType w:val="multilevel"/>
    <w:tmpl w:val="14861248"/>
    <w:lvl w:ilvl="0" w:tentative="0">
      <w:start w:val="1"/>
      <w:numFmt w:val="decimal"/>
      <w:lvlText w:val="%1"/>
      <w:lvlJc w:val="left"/>
      <w:pPr>
        <w:ind w:left="432" w:hanging="432"/>
      </w:pPr>
      <w:rPr>
        <w:rFonts w:hint="eastAsia"/>
      </w:rPr>
    </w:lvl>
    <w:lvl w:ilvl="1" w:tentative="0">
      <w:start w:val="1"/>
      <w:numFmt w:val="decimal"/>
      <w:lvlText w:val="%1.%2"/>
      <w:lvlJc w:val="left"/>
      <w:pPr>
        <w:ind w:left="576" w:hanging="576"/>
      </w:pPr>
      <w:rPr>
        <w:rFonts w:hint="eastAsia"/>
      </w:rPr>
    </w:lvl>
    <w:lvl w:ilvl="2" w:tentative="0">
      <w:start w:val="1"/>
      <w:numFmt w:val="decimal"/>
      <w:suff w:val="nothing"/>
      <w:lvlText w:val="%1.%2.%3"/>
      <w:lvlJc w:val="left"/>
      <w:pPr>
        <w:ind w:left="3261" w:hanging="851"/>
      </w:pPr>
    </w:lvl>
    <w:lvl w:ilvl="3" w:tentative="0">
      <w:start w:val="1"/>
      <w:numFmt w:val="decimal"/>
      <w:pStyle w:val="5"/>
      <w:suff w:val="nothing"/>
      <w:lvlText w:val="%1.%2.%3.%4"/>
      <w:lvlJc w:val="left"/>
      <w:pPr>
        <w:ind w:left="3415" w:hanging="864"/>
      </w:p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3">
    <w:nsid w:val="3F36C401"/>
    <w:multiLevelType w:val="singleLevel"/>
    <w:tmpl w:val="3F36C401"/>
    <w:lvl w:ilvl="0" w:tentative="0">
      <w:start w:val="6"/>
      <w:numFmt w:val="decimal"/>
      <w:suff w:val="nothing"/>
      <w:lvlText w:val="%1、"/>
      <w:lvlJc w:val="left"/>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NlYzU2NDZlZWRhZGY1YzdjNGExMDUwNGJjODllMjkifQ=="/>
  </w:docVars>
  <w:rsids>
    <w:rsidRoot w:val="00172A27"/>
    <w:rsid w:val="0000364C"/>
    <w:rsid w:val="00022DE6"/>
    <w:rsid w:val="000236A5"/>
    <w:rsid w:val="00032850"/>
    <w:rsid w:val="00033324"/>
    <w:rsid w:val="00034D1F"/>
    <w:rsid w:val="00043D10"/>
    <w:rsid w:val="0004555F"/>
    <w:rsid w:val="000459A5"/>
    <w:rsid w:val="000476A2"/>
    <w:rsid w:val="000504C8"/>
    <w:rsid w:val="000523FB"/>
    <w:rsid w:val="000661B8"/>
    <w:rsid w:val="00067EAF"/>
    <w:rsid w:val="0007019F"/>
    <w:rsid w:val="000713FC"/>
    <w:rsid w:val="00071CD7"/>
    <w:rsid w:val="00073736"/>
    <w:rsid w:val="00073FEB"/>
    <w:rsid w:val="000A5571"/>
    <w:rsid w:val="000A56EC"/>
    <w:rsid w:val="000A78DE"/>
    <w:rsid w:val="000B374E"/>
    <w:rsid w:val="000C1760"/>
    <w:rsid w:val="000C3312"/>
    <w:rsid w:val="000D182C"/>
    <w:rsid w:val="000E11FA"/>
    <w:rsid w:val="000E454A"/>
    <w:rsid w:val="000E6D55"/>
    <w:rsid w:val="000F735F"/>
    <w:rsid w:val="001118AD"/>
    <w:rsid w:val="0012058C"/>
    <w:rsid w:val="00127902"/>
    <w:rsid w:val="0013275A"/>
    <w:rsid w:val="001400C0"/>
    <w:rsid w:val="00140BE6"/>
    <w:rsid w:val="00144609"/>
    <w:rsid w:val="00154FB6"/>
    <w:rsid w:val="00161C13"/>
    <w:rsid w:val="001713B7"/>
    <w:rsid w:val="00172E36"/>
    <w:rsid w:val="00176F0A"/>
    <w:rsid w:val="001831C0"/>
    <w:rsid w:val="00184D37"/>
    <w:rsid w:val="00193970"/>
    <w:rsid w:val="001965DB"/>
    <w:rsid w:val="00196F9F"/>
    <w:rsid w:val="001B1228"/>
    <w:rsid w:val="001B1B69"/>
    <w:rsid w:val="001B2712"/>
    <w:rsid w:val="001B3451"/>
    <w:rsid w:val="001B395A"/>
    <w:rsid w:val="001D498D"/>
    <w:rsid w:val="001D4F59"/>
    <w:rsid w:val="001D5A74"/>
    <w:rsid w:val="001F17A7"/>
    <w:rsid w:val="001F637E"/>
    <w:rsid w:val="00205410"/>
    <w:rsid w:val="00205630"/>
    <w:rsid w:val="00210C91"/>
    <w:rsid w:val="00210FB6"/>
    <w:rsid w:val="002140B7"/>
    <w:rsid w:val="002144F6"/>
    <w:rsid w:val="00214675"/>
    <w:rsid w:val="00232D68"/>
    <w:rsid w:val="00236454"/>
    <w:rsid w:val="00243181"/>
    <w:rsid w:val="002446C0"/>
    <w:rsid w:val="002463F8"/>
    <w:rsid w:val="00246A71"/>
    <w:rsid w:val="002553F5"/>
    <w:rsid w:val="00256EE9"/>
    <w:rsid w:val="00261AEE"/>
    <w:rsid w:val="00264CDF"/>
    <w:rsid w:val="00276277"/>
    <w:rsid w:val="002808FB"/>
    <w:rsid w:val="002809B3"/>
    <w:rsid w:val="00280DEF"/>
    <w:rsid w:val="00284F5E"/>
    <w:rsid w:val="00293691"/>
    <w:rsid w:val="00293C69"/>
    <w:rsid w:val="00294E2C"/>
    <w:rsid w:val="002A7CE3"/>
    <w:rsid w:val="002B20DB"/>
    <w:rsid w:val="002B2855"/>
    <w:rsid w:val="002C1636"/>
    <w:rsid w:val="002C16C3"/>
    <w:rsid w:val="002C57D5"/>
    <w:rsid w:val="002D0095"/>
    <w:rsid w:val="002D2F24"/>
    <w:rsid w:val="002D4F40"/>
    <w:rsid w:val="002E1601"/>
    <w:rsid w:val="002E20D6"/>
    <w:rsid w:val="002E374A"/>
    <w:rsid w:val="002E4F4A"/>
    <w:rsid w:val="002F3663"/>
    <w:rsid w:val="002F3C64"/>
    <w:rsid w:val="002F5391"/>
    <w:rsid w:val="002F7FE2"/>
    <w:rsid w:val="00306F34"/>
    <w:rsid w:val="00310970"/>
    <w:rsid w:val="00313586"/>
    <w:rsid w:val="003174B6"/>
    <w:rsid w:val="00324383"/>
    <w:rsid w:val="0032516A"/>
    <w:rsid w:val="0032623D"/>
    <w:rsid w:val="00327D82"/>
    <w:rsid w:val="003358ED"/>
    <w:rsid w:val="00340B81"/>
    <w:rsid w:val="00342F83"/>
    <w:rsid w:val="00356F3A"/>
    <w:rsid w:val="00372BFA"/>
    <w:rsid w:val="0037654D"/>
    <w:rsid w:val="00383E35"/>
    <w:rsid w:val="00392075"/>
    <w:rsid w:val="003A2A48"/>
    <w:rsid w:val="003A2C8A"/>
    <w:rsid w:val="003B5565"/>
    <w:rsid w:val="003B7025"/>
    <w:rsid w:val="003C3064"/>
    <w:rsid w:val="003E0843"/>
    <w:rsid w:val="003E576B"/>
    <w:rsid w:val="003F33C7"/>
    <w:rsid w:val="004010DD"/>
    <w:rsid w:val="004130B0"/>
    <w:rsid w:val="00436896"/>
    <w:rsid w:val="00436DD7"/>
    <w:rsid w:val="004417BF"/>
    <w:rsid w:val="00446FB4"/>
    <w:rsid w:val="00451B0F"/>
    <w:rsid w:val="00453BAD"/>
    <w:rsid w:val="00457EB3"/>
    <w:rsid w:val="00473B05"/>
    <w:rsid w:val="00485189"/>
    <w:rsid w:val="00492EA5"/>
    <w:rsid w:val="00494ED7"/>
    <w:rsid w:val="004A1353"/>
    <w:rsid w:val="004C0EF2"/>
    <w:rsid w:val="004C0F0C"/>
    <w:rsid w:val="004C7799"/>
    <w:rsid w:val="004D1914"/>
    <w:rsid w:val="004D223D"/>
    <w:rsid w:val="004E11A6"/>
    <w:rsid w:val="004E2FEC"/>
    <w:rsid w:val="004F1355"/>
    <w:rsid w:val="004F42DE"/>
    <w:rsid w:val="004F78ED"/>
    <w:rsid w:val="00500435"/>
    <w:rsid w:val="00504D88"/>
    <w:rsid w:val="005114DD"/>
    <w:rsid w:val="00512FAA"/>
    <w:rsid w:val="00513065"/>
    <w:rsid w:val="005139E5"/>
    <w:rsid w:val="00513C2F"/>
    <w:rsid w:val="0053139A"/>
    <w:rsid w:val="00532B05"/>
    <w:rsid w:val="005469B5"/>
    <w:rsid w:val="00553C1B"/>
    <w:rsid w:val="005554CD"/>
    <w:rsid w:val="00555DF5"/>
    <w:rsid w:val="00556229"/>
    <w:rsid w:val="00556B70"/>
    <w:rsid w:val="0056152C"/>
    <w:rsid w:val="00564BA4"/>
    <w:rsid w:val="00566169"/>
    <w:rsid w:val="00571DEC"/>
    <w:rsid w:val="00580290"/>
    <w:rsid w:val="0058093D"/>
    <w:rsid w:val="00580FAC"/>
    <w:rsid w:val="00582298"/>
    <w:rsid w:val="005850FA"/>
    <w:rsid w:val="005859D9"/>
    <w:rsid w:val="0059189A"/>
    <w:rsid w:val="00594C4D"/>
    <w:rsid w:val="00596C2E"/>
    <w:rsid w:val="005A081A"/>
    <w:rsid w:val="005A0E18"/>
    <w:rsid w:val="005A33F2"/>
    <w:rsid w:val="005A5416"/>
    <w:rsid w:val="005A598F"/>
    <w:rsid w:val="005B188D"/>
    <w:rsid w:val="005B70E7"/>
    <w:rsid w:val="005C10EF"/>
    <w:rsid w:val="005D5BBF"/>
    <w:rsid w:val="005D6878"/>
    <w:rsid w:val="005E3204"/>
    <w:rsid w:val="005F4083"/>
    <w:rsid w:val="005F449E"/>
    <w:rsid w:val="005F5F33"/>
    <w:rsid w:val="006022E9"/>
    <w:rsid w:val="00606C44"/>
    <w:rsid w:val="00606C8F"/>
    <w:rsid w:val="006107D8"/>
    <w:rsid w:val="0061347E"/>
    <w:rsid w:val="00613870"/>
    <w:rsid w:val="00613C82"/>
    <w:rsid w:val="00615922"/>
    <w:rsid w:val="00622E87"/>
    <w:rsid w:val="006255E1"/>
    <w:rsid w:val="00626445"/>
    <w:rsid w:val="00642C0D"/>
    <w:rsid w:val="00650796"/>
    <w:rsid w:val="00681DFB"/>
    <w:rsid w:val="00686103"/>
    <w:rsid w:val="0069164B"/>
    <w:rsid w:val="006929F8"/>
    <w:rsid w:val="00692BCF"/>
    <w:rsid w:val="006A6295"/>
    <w:rsid w:val="006B2C51"/>
    <w:rsid w:val="006D465E"/>
    <w:rsid w:val="006E0468"/>
    <w:rsid w:val="006E4A40"/>
    <w:rsid w:val="006E790C"/>
    <w:rsid w:val="006F2E65"/>
    <w:rsid w:val="00701037"/>
    <w:rsid w:val="00711E56"/>
    <w:rsid w:val="00712A0D"/>
    <w:rsid w:val="007200C9"/>
    <w:rsid w:val="00723314"/>
    <w:rsid w:val="00724C81"/>
    <w:rsid w:val="0072561E"/>
    <w:rsid w:val="0072597F"/>
    <w:rsid w:val="00727B75"/>
    <w:rsid w:val="00732789"/>
    <w:rsid w:val="00735BCD"/>
    <w:rsid w:val="00745019"/>
    <w:rsid w:val="00750477"/>
    <w:rsid w:val="0075587D"/>
    <w:rsid w:val="007575FC"/>
    <w:rsid w:val="00770095"/>
    <w:rsid w:val="00770CC6"/>
    <w:rsid w:val="00782E5E"/>
    <w:rsid w:val="00787C9A"/>
    <w:rsid w:val="00793F86"/>
    <w:rsid w:val="007A010C"/>
    <w:rsid w:val="007D151F"/>
    <w:rsid w:val="007D238B"/>
    <w:rsid w:val="007D24C9"/>
    <w:rsid w:val="007D60F7"/>
    <w:rsid w:val="007E08B8"/>
    <w:rsid w:val="007E5965"/>
    <w:rsid w:val="007E7E0D"/>
    <w:rsid w:val="007F0083"/>
    <w:rsid w:val="007F3AC8"/>
    <w:rsid w:val="007F4CCC"/>
    <w:rsid w:val="007F5784"/>
    <w:rsid w:val="00804C87"/>
    <w:rsid w:val="008202F8"/>
    <w:rsid w:val="00830D7C"/>
    <w:rsid w:val="00831F7E"/>
    <w:rsid w:val="00834828"/>
    <w:rsid w:val="008361C7"/>
    <w:rsid w:val="00843185"/>
    <w:rsid w:val="00850BB3"/>
    <w:rsid w:val="00894E79"/>
    <w:rsid w:val="00896CCD"/>
    <w:rsid w:val="00897445"/>
    <w:rsid w:val="008976C4"/>
    <w:rsid w:val="008A03F7"/>
    <w:rsid w:val="008A3E66"/>
    <w:rsid w:val="008A43E7"/>
    <w:rsid w:val="008C082D"/>
    <w:rsid w:val="008C1F6C"/>
    <w:rsid w:val="008C74B3"/>
    <w:rsid w:val="008D0691"/>
    <w:rsid w:val="008D611C"/>
    <w:rsid w:val="008E054E"/>
    <w:rsid w:val="008E550C"/>
    <w:rsid w:val="008E5A1A"/>
    <w:rsid w:val="008F2FEF"/>
    <w:rsid w:val="008F4DEE"/>
    <w:rsid w:val="009066A5"/>
    <w:rsid w:val="009078A8"/>
    <w:rsid w:val="00907D51"/>
    <w:rsid w:val="009214D9"/>
    <w:rsid w:val="00921A7F"/>
    <w:rsid w:val="0093098D"/>
    <w:rsid w:val="009342D5"/>
    <w:rsid w:val="00934E20"/>
    <w:rsid w:val="00937057"/>
    <w:rsid w:val="00944454"/>
    <w:rsid w:val="00947DD6"/>
    <w:rsid w:val="00947EED"/>
    <w:rsid w:val="009508EF"/>
    <w:rsid w:val="00960177"/>
    <w:rsid w:val="00960491"/>
    <w:rsid w:val="00963956"/>
    <w:rsid w:val="00965C19"/>
    <w:rsid w:val="00966AF3"/>
    <w:rsid w:val="00967873"/>
    <w:rsid w:val="00973108"/>
    <w:rsid w:val="00986CCB"/>
    <w:rsid w:val="009917CA"/>
    <w:rsid w:val="0099193A"/>
    <w:rsid w:val="009950E6"/>
    <w:rsid w:val="009A101E"/>
    <w:rsid w:val="009A5D52"/>
    <w:rsid w:val="009A5EB3"/>
    <w:rsid w:val="009B330E"/>
    <w:rsid w:val="009B499B"/>
    <w:rsid w:val="009B6696"/>
    <w:rsid w:val="009C5F7A"/>
    <w:rsid w:val="009C6A3E"/>
    <w:rsid w:val="009D46C8"/>
    <w:rsid w:val="009D4707"/>
    <w:rsid w:val="009D57C5"/>
    <w:rsid w:val="009D5CAB"/>
    <w:rsid w:val="009F2F7A"/>
    <w:rsid w:val="009F3866"/>
    <w:rsid w:val="009F74C8"/>
    <w:rsid w:val="00A10940"/>
    <w:rsid w:val="00A34FB0"/>
    <w:rsid w:val="00A43FE8"/>
    <w:rsid w:val="00A522A3"/>
    <w:rsid w:val="00A54430"/>
    <w:rsid w:val="00A6432B"/>
    <w:rsid w:val="00A76139"/>
    <w:rsid w:val="00A7641C"/>
    <w:rsid w:val="00A814C7"/>
    <w:rsid w:val="00A81720"/>
    <w:rsid w:val="00A848BC"/>
    <w:rsid w:val="00A86E69"/>
    <w:rsid w:val="00AA00F0"/>
    <w:rsid w:val="00AB05F4"/>
    <w:rsid w:val="00AC099E"/>
    <w:rsid w:val="00AC42D5"/>
    <w:rsid w:val="00AC78FC"/>
    <w:rsid w:val="00AD1463"/>
    <w:rsid w:val="00AD5854"/>
    <w:rsid w:val="00AF0978"/>
    <w:rsid w:val="00AF7331"/>
    <w:rsid w:val="00AF7FD8"/>
    <w:rsid w:val="00B02A97"/>
    <w:rsid w:val="00B0675E"/>
    <w:rsid w:val="00B1200E"/>
    <w:rsid w:val="00B16802"/>
    <w:rsid w:val="00B200BE"/>
    <w:rsid w:val="00B201CE"/>
    <w:rsid w:val="00B20674"/>
    <w:rsid w:val="00B23A14"/>
    <w:rsid w:val="00B23D2E"/>
    <w:rsid w:val="00B30312"/>
    <w:rsid w:val="00B3266E"/>
    <w:rsid w:val="00B336D5"/>
    <w:rsid w:val="00B40086"/>
    <w:rsid w:val="00B42EAC"/>
    <w:rsid w:val="00B45862"/>
    <w:rsid w:val="00B5057A"/>
    <w:rsid w:val="00B55B45"/>
    <w:rsid w:val="00B562EC"/>
    <w:rsid w:val="00B63F43"/>
    <w:rsid w:val="00B66867"/>
    <w:rsid w:val="00B6703D"/>
    <w:rsid w:val="00B754DE"/>
    <w:rsid w:val="00B7698B"/>
    <w:rsid w:val="00B833ED"/>
    <w:rsid w:val="00B85187"/>
    <w:rsid w:val="00B93A5B"/>
    <w:rsid w:val="00B94F36"/>
    <w:rsid w:val="00B94F68"/>
    <w:rsid w:val="00B95520"/>
    <w:rsid w:val="00BA1285"/>
    <w:rsid w:val="00BA21B0"/>
    <w:rsid w:val="00BA71CA"/>
    <w:rsid w:val="00BB1A86"/>
    <w:rsid w:val="00BB4CB7"/>
    <w:rsid w:val="00BD18C2"/>
    <w:rsid w:val="00BD63AC"/>
    <w:rsid w:val="00BE16A3"/>
    <w:rsid w:val="00BF0D84"/>
    <w:rsid w:val="00BF3297"/>
    <w:rsid w:val="00BF54CB"/>
    <w:rsid w:val="00BF6571"/>
    <w:rsid w:val="00BF75F0"/>
    <w:rsid w:val="00C02C00"/>
    <w:rsid w:val="00C042C3"/>
    <w:rsid w:val="00C135A0"/>
    <w:rsid w:val="00C14E77"/>
    <w:rsid w:val="00C151A6"/>
    <w:rsid w:val="00C273B0"/>
    <w:rsid w:val="00C30DFE"/>
    <w:rsid w:val="00C36B9A"/>
    <w:rsid w:val="00C4599A"/>
    <w:rsid w:val="00C45F51"/>
    <w:rsid w:val="00C47070"/>
    <w:rsid w:val="00C47978"/>
    <w:rsid w:val="00C57F73"/>
    <w:rsid w:val="00C70665"/>
    <w:rsid w:val="00C71851"/>
    <w:rsid w:val="00C72E92"/>
    <w:rsid w:val="00C85227"/>
    <w:rsid w:val="00C940B5"/>
    <w:rsid w:val="00C96C13"/>
    <w:rsid w:val="00C97124"/>
    <w:rsid w:val="00CA269B"/>
    <w:rsid w:val="00CB6752"/>
    <w:rsid w:val="00CC1DE4"/>
    <w:rsid w:val="00CC6C63"/>
    <w:rsid w:val="00CE0BEA"/>
    <w:rsid w:val="00CF2107"/>
    <w:rsid w:val="00CF2435"/>
    <w:rsid w:val="00CF2EDF"/>
    <w:rsid w:val="00CF6672"/>
    <w:rsid w:val="00D055AC"/>
    <w:rsid w:val="00D11AA8"/>
    <w:rsid w:val="00D11C48"/>
    <w:rsid w:val="00D20AA2"/>
    <w:rsid w:val="00D2120B"/>
    <w:rsid w:val="00D26FCA"/>
    <w:rsid w:val="00D3155A"/>
    <w:rsid w:val="00D40057"/>
    <w:rsid w:val="00D51B3E"/>
    <w:rsid w:val="00D51FE7"/>
    <w:rsid w:val="00D60C44"/>
    <w:rsid w:val="00D61E14"/>
    <w:rsid w:val="00D6230A"/>
    <w:rsid w:val="00D63BE0"/>
    <w:rsid w:val="00D75BCF"/>
    <w:rsid w:val="00D77574"/>
    <w:rsid w:val="00D814BE"/>
    <w:rsid w:val="00D831CC"/>
    <w:rsid w:val="00D861F7"/>
    <w:rsid w:val="00D90DB7"/>
    <w:rsid w:val="00D924B9"/>
    <w:rsid w:val="00D946EC"/>
    <w:rsid w:val="00D94F1F"/>
    <w:rsid w:val="00D966EE"/>
    <w:rsid w:val="00D96D1F"/>
    <w:rsid w:val="00DA010D"/>
    <w:rsid w:val="00DA1340"/>
    <w:rsid w:val="00DA13F6"/>
    <w:rsid w:val="00DA2C5E"/>
    <w:rsid w:val="00DB0CD8"/>
    <w:rsid w:val="00DB6AFA"/>
    <w:rsid w:val="00DC1EAD"/>
    <w:rsid w:val="00DC715D"/>
    <w:rsid w:val="00DF3574"/>
    <w:rsid w:val="00DF4513"/>
    <w:rsid w:val="00DF4E6B"/>
    <w:rsid w:val="00E014CF"/>
    <w:rsid w:val="00E05FD8"/>
    <w:rsid w:val="00E12E5B"/>
    <w:rsid w:val="00E17AB1"/>
    <w:rsid w:val="00E249FD"/>
    <w:rsid w:val="00E31B66"/>
    <w:rsid w:val="00E353C1"/>
    <w:rsid w:val="00E4071E"/>
    <w:rsid w:val="00E40B50"/>
    <w:rsid w:val="00E51652"/>
    <w:rsid w:val="00E52A7F"/>
    <w:rsid w:val="00E5462D"/>
    <w:rsid w:val="00E57957"/>
    <w:rsid w:val="00E70C92"/>
    <w:rsid w:val="00E747BA"/>
    <w:rsid w:val="00E84892"/>
    <w:rsid w:val="00E8617E"/>
    <w:rsid w:val="00E913A2"/>
    <w:rsid w:val="00E915A1"/>
    <w:rsid w:val="00E9337E"/>
    <w:rsid w:val="00E94FC2"/>
    <w:rsid w:val="00EA1B86"/>
    <w:rsid w:val="00EB3AD7"/>
    <w:rsid w:val="00EB3F87"/>
    <w:rsid w:val="00EC6597"/>
    <w:rsid w:val="00ED1442"/>
    <w:rsid w:val="00ED3A50"/>
    <w:rsid w:val="00ED63DA"/>
    <w:rsid w:val="00ED7934"/>
    <w:rsid w:val="00EE1499"/>
    <w:rsid w:val="00EE44F3"/>
    <w:rsid w:val="00EF6E1B"/>
    <w:rsid w:val="00F03B0A"/>
    <w:rsid w:val="00F03BD9"/>
    <w:rsid w:val="00F13A4B"/>
    <w:rsid w:val="00F16A82"/>
    <w:rsid w:val="00F22717"/>
    <w:rsid w:val="00F318A2"/>
    <w:rsid w:val="00F42943"/>
    <w:rsid w:val="00F4298F"/>
    <w:rsid w:val="00F4307B"/>
    <w:rsid w:val="00F50B09"/>
    <w:rsid w:val="00F72E1E"/>
    <w:rsid w:val="00F733AD"/>
    <w:rsid w:val="00F74871"/>
    <w:rsid w:val="00F76690"/>
    <w:rsid w:val="00F8628D"/>
    <w:rsid w:val="00F8640A"/>
    <w:rsid w:val="00F95C20"/>
    <w:rsid w:val="00F97982"/>
    <w:rsid w:val="00FA160C"/>
    <w:rsid w:val="00FB1F52"/>
    <w:rsid w:val="00FB5F8E"/>
    <w:rsid w:val="00FC6BD1"/>
    <w:rsid w:val="00FD01D1"/>
    <w:rsid w:val="00FD3755"/>
    <w:rsid w:val="00FD52D1"/>
    <w:rsid w:val="00FE0D83"/>
    <w:rsid w:val="00FF7CDB"/>
    <w:rsid w:val="01397B41"/>
    <w:rsid w:val="0147778C"/>
    <w:rsid w:val="016320EC"/>
    <w:rsid w:val="01D34F23"/>
    <w:rsid w:val="02025461"/>
    <w:rsid w:val="02052445"/>
    <w:rsid w:val="023F42AD"/>
    <w:rsid w:val="02733AD3"/>
    <w:rsid w:val="02913AEA"/>
    <w:rsid w:val="02914C52"/>
    <w:rsid w:val="02BC7D06"/>
    <w:rsid w:val="03284D62"/>
    <w:rsid w:val="037B580E"/>
    <w:rsid w:val="039F12FF"/>
    <w:rsid w:val="03A4557D"/>
    <w:rsid w:val="03CB7E4E"/>
    <w:rsid w:val="04043E98"/>
    <w:rsid w:val="041A2F36"/>
    <w:rsid w:val="0477359C"/>
    <w:rsid w:val="049D280D"/>
    <w:rsid w:val="04B62533"/>
    <w:rsid w:val="04C133B2"/>
    <w:rsid w:val="05FD2B10"/>
    <w:rsid w:val="063436EC"/>
    <w:rsid w:val="06DE740E"/>
    <w:rsid w:val="074958E1"/>
    <w:rsid w:val="074C7E41"/>
    <w:rsid w:val="07761A22"/>
    <w:rsid w:val="077C1812"/>
    <w:rsid w:val="079E028B"/>
    <w:rsid w:val="07AA637F"/>
    <w:rsid w:val="07E15B19"/>
    <w:rsid w:val="080804DF"/>
    <w:rsid w:val="080D4ABF"/>
    <w:rsid w:val="08591B53"/>
    <w:rsid w:val="086724C2"/>
    <w:rsid w:val="08D41A57"/>
    <w:rsid w:val="08EF5940"/>
    <w:rsid w:val="090B62D0"/>
    <w:rsid w:val="09324F41"/>
    <w:rsid w:val="09484C65"/>
    <w:rsid w:val="096C18CA"/>
    <w:rsid w:val="099361D9"/>
    <w:rsid w:val="09B54772"/>
    <w:rsid w:val="09CB6A81"/>
    <w:rsid w:val="09D60E8E"/>
    <w:rsid w:val="09EE249C"/>
    <w:rsid w:val="0A131582"/>
    <w:rsid w:val="0A805ABD"/>
    <w:rsid w:val="0ABD33DC"/>
    <w:rsid w:val="0AD6392F"/>
    <w:rsid w:val="0AF110B1"/>
    <w:rsid w:val="0B146E8E"/>
    <w:rsid w:val="0B372620"/>
    <w:rsid w:val="0B8213C1"/>
    <w:rsid w:val="0BDF05C2"/>
    <w:rsid w:val="0BFF2A12"/>
    <w:rsid w:val="0C083A3B"/>
    <w:rsid w:val="0C0B694E"/>
    <w:rsid w:val="0C2B51BA"/>
    <w:rsid w:val="0C3A344D"/>
    <w:rsid w:val="0C5121AD"/>
    <w:rsid w:val="0CA2689D"/>
    <w:rsid w:val="0CBC2F98"/>
    <w:rsid w:val="0CDC6108"/>
    <w:rsid w:val="0CED2886"/>
    <w:rsid w:val="0CF4009D"/>
    <w:rsid w:val="0CFF7650"/>
    <w:rsid w:val="0D31137D"/>
    <w:rsid w:val="0D3D1A44"/>
    <w:rsid w:val="0DAD6BC9"/>
    <w:rsid w:val="0DC42165"/>
    <w:rsid w:val="0E37750E"/>
    <w:rsid w:val="0E6179B4"/>
    <w:rsid w:val="0EFB6E16"/>
    <w:rsid w:val="0F451083"/>
    <w:rsid w:val="0F4C4877"/>
    <w:rsid w:val="0F4E1CE6"/>
    <w:rsid w:val="0F5110DE"/>
    <w:rsid w:val="0F635B66"/>
    <w:rsid w:val="0F6F706A"/>
    <w:rsid w:val="0FD14562"/>
    <w:rsid w:val="0FF13BF0"/>
    <w:rsid w:val="10593038"/>
    <w:rsid w:val="1088161D"/>
    <w:rsid w:val="10BA2B12"/>
    <w:rsid w:val="10FE3922"/>
    <w:rsid w:val="11301FEB"/>
    <w:rsid w:val="1136313E"/>
    <w:rsid w:val="11987B90"/>
    <w:rsid w:val="11C12C43"/>
    <w:rsid w:val="11ED1C8A"/>
    <w:rsid w:val="122245C3"/>
    <w:rsid w:val="128B14A3"/>
    <w:rsid w:val="129E2972"/>
    <w:rsid w:val="12A10CC7"/>
    <w:rsid w:val="13117BFA"/>
    <w:rsid w:val="133E0710"/>
    <w:rsid w:val="138F488A"/>
    <w:rsid w:val="13935CCF"/>
    <w:rsid w:val="13AD4FA0"/>
    <w:rsid w:val="13C20EF5"/>
    <w:rsid w:val="13D405D2"/>
    <w:rsid w:val="14093D68"/>
    <w:rsid w:val="146D70B2"/>
    <w:rsid w:val="14BE7114"/>
    <w:rsid w:val="14D97238"/>
    <w:rsid w:val="150D4BE0"/>
    <w:rsid w:val="153656F6"/>
    <w:rsid w:val="154C4F1A"/>
    <w:rsid w:val="157D3325"/>
    <w:rsid w:val="15A00DC2"/>
    <w:rsid w:val="15B14D7D"/>
    <w:rsid w:val="15D35627"/>
    <w:rsid w:val="163C4F8E"/>
    <w:rsid w:val="16AD7004"/>
    <w:rsid w:val="16FE3388"/>
    <w:rsid w:val="170127DD"/>
    <w:rsid w:val="17283764"/>
    <w:rsid w:val="17991F6C"/>
    <w:rsid w:val="17AF1790"/>
    <w:rsid w:val="17C40C34"/>
    <w:rsid w:val="17E27FC0"/>
    <w:rsid w:val="18256060"/>
    <w:rsid w:val="18267CA4"/>
    <w:rsid w:val="185B5474"/>
    <w:rsid w:val="18652AAD"/>
    <w:rsid w:val="189F1527"/>
    <w:rsid w:val="18A94431"/>
    <w:rsid w:val="18C272A1"/>
    <w:rsid w:val="18DF7E53"/>
    <w:rsid w:val="194336C2"/>
    <w:rsid w:val="195720DF"/>
    <w:rsid w:val="197C38F4"/>
    <w:rsid w:val="19CD53BC"/>
    <w:rsid w:val="1A004525"/>
    <w:rsid w:val="1A0B199D"/>
    <w:rsid w:val="1A156002"/>
    <w:rsid w:val="1A345F7C"/>
    <w:rsid w:val="1A9F4922"/>
    <w:rsid w:val="1AC437A4"/>
    <w:rsid w:val="1AF65035"/>
    <w:rsid w:val="1B4A3CA9"/>
    <w:rsid w:val="1B8F6162"/>
    <w:rsid w:val="1B9324AC"/>
    <w:rsid w:val="1C3D55BC"/>
    <w:rsid w:val="1C4701E9"/>
    <w:rsid w:val="1C5136EB"/>
    <w:rsid w:val="1C547326"/>
    <w:rsid w:val="1C6129CF"/>
    <w:rsid w:val="1C8054D8"/>
    <w:rsid w:val="1C854449"/>
    <w:rsid w:val="1C881000"/>
    <w:rsid w:val="1CB07A2B"/>
    <w:rsid w:val="1CF30371"/>
    <w:rsid w:val="1D0F5CE9"/>
    <w:rsid w:val="1D45753C"/>
    <w:rsid w:val="1D4E55A7"/>
    <w:rsid w:val="1D774AFE"/>
    <w:rsid w:val="1D820E00"/>
    <w:rsid w:val="1D87492B"/>
    <w:rsid w:val="1DAD49C3"/>
    <w:rsid w:val="1DD43CD2"/>
    <w:rsid w:val="1DE81558"/>
    <w:rsid w:val="1DEE27D7"/>
    <w:rsid w:val="1DF55503"/>
    <w:rsid w:val="1E1D56A5"/>
    <w:rsid w:val="1E222B27"/>
    <w:rsid w:val="1E5132F3"/>
    <w:rsid w:val="1E5D4F0F"/>
    <w:rsid w:val="1E707ECB"/>
    <w:rsid w:val="1F4D3D68"/>
    <w:rsid w:val="1F533AF7"/>
    <w:rsid w:val="1F5B6846"/>
    <w:rsid w:val="1F7667A2"/>
    <w:rsid w:val="1FB77434"/>
    <w:rsid w:val="1FCF6E73"/>
    <w:rsid w:val="1FEF3071"/>
    <w:rsid w:val="20011B66"/>
    <w:rsid w:val="203767C6"/>
    <w:rsid w:val="20392E29"/>
    <w:rsid w:val="205424F2"/>
    <w:rsid w:val="20594137"/>
    <w:rsid w:val="208E02C2"/>
    <w:rsid w:val="20B9542D"/>
    <w:rsid w:val="20DE6C42"/>
    <w:rsid w:val="20E171AB"/>
    <w:rsid w:val="21050673"/>
    <w:rsid w:val="212A35DF"/>
    <w:rsid w:val="21422605"/>
    <w:rsid w:val="21781C40"/>
    <w:rsid w:val="21F158C2"/>
    <w:rsid w:val="220D5A31"/>
    <w:rsid w:val="2234753A"/>
    <w:rsid w:val="226F0499"/>
    <w:rsid w:val="22965A26"/>
    <w:rsid w:val="22AC11F5"/>
    <w:rsid w:val="232B2612"/>
    <w:rsid w:val="237151DC"/>
    <w:rsid w:val="23D20D41"/>
    <w:rsid w:val="23E822B1"/>
    <w:rsid w:val="24EB5A98"/>
    <w:rsid w:val="2539433E"/>
    <w:rsid w:val="253D487F"/>
    <w:rsid w:val="25565941"/>
    <w:rsid w:val="257D23E4"/>
    <w:rsid w:val="259C50DB"/>
    <w:rsid w:val="25E11F28"/>
    <w:rsid w:val="263F0183"/>
    <w:rsid w:val="265B2FEE"/>
    <w:rsid w:val="268229D3"/>
    <w:rsid w:val="26E56F7C"/>
    <w:rsid w:val="270C1325"/>
    <w:rsid w:val="27223D2C"/>
    <w:rsid w:val="2768723D"/>
    <w:rsid w:val="277A3B68"/>
    <w:rsid w:val="278C7045"/>
    <w:rsid w:val="27930786"/>
    <w:rsid w:val="27932534"/>
    <w:rsid w:val="27FE547D"/>
    <w:rsid w:val="280C6A7D"/>
    <w:rsid w:val="285717B4"/>
    <w:rsid w:val="285A7BB7"/>
    <w:rsid w:val="28724840"/>
    <w:rsid w:val="28795BCE"/>
    <w:rsid w:val="287D154C"/>
    <w:rsid w:val="28A905E8"/>
    <w:rsid w:val="291563E4"/>
    <w:rsid w:val="29177537"/>
    <w:rsid w:val="297A7E50"/>
    <w:rsid w:val="297D12CC"/>
    <w:rsid w:val="298E575D"/>
    <w:rsid w:val="29CF6534"/>
    <w:rsid w:val="29D97D7A"/>
    <w:rsid w:val="29EC615C"/>
    <w:rsid w:val="2A3C6EB3"/>
    <w:rsid w:val="2A81661D"/>
    <w:rsid w:val="2AA902C1"/>
    <w:rsid w:val="2AFB6D6E"/>
    <w:rsid w:val="2B035C23"/>
    <w:rsid w:val="2B07727B"/>
    <w:rsid w:val="2B177008"/>
    <w:rsid w:val="2B192C7B"/>
    <w:rsid w:val="2B361B54"/>
    <w:rsid w:val="2BA246D3"/>
    <w:rsid w:val="2BBF159C"/>
    <w:rsid w:val="2BF9405F"/>
    <w:rsid w:val="2C210A56"/>
    <w:rsid w:val="2C7F577D"/>
    <w:rsid w:val="2CA137A4"/>
    <w:rsid w:val="2CB27900"/>
    <w:rsid w:val="2CFC4CF4"/>
    <w:rsid w:val="2D0363AE"/>
    <w:rsid w:val="2D045C82"/>
    <w:rsid w:val="2D452C17"/>
    <w:rsid w:val="2D9E7067"/>
    <w:rsid w:val="2DAE43A3"/>
    <w:rsid w:val="2DDC340E"/>
    <w:rsid w:val="2E2F7901"/>
    <w:rsid w:val="2E4B4B3E"/>
    <w:rsid w:val="2E536199"/>
    <w:rsid w:val="2EA25753"/>
    <w:rsid w:val="2EA65243"/>
    <w:rsid w:val="2EE144CD"/>
    <w:rsid w:val="2EE16F9B"/>
    <w:rsid w:val="2F173732"/>
    <w:rsid w:val="2F2A7C22"/>
    <w:rsid w:val="2F520F27"/>
    <w:rsid w:val="2F6169C3"/>
    <w:rsid w:val="2F6A001E"/>
    <w:rsid w:val="2F9037FD"/>
    <w:rsid w:val="2FE4608A"/>
    <w:rsid w:val="30444C3A"/>
    <w:rsid w:val="305D7889"/>
    <w:rsid w:val="305E193E"/>
    <w:rsid w:val="30801E88"/>
    <w:rsid w:val="308950A8"/>
    <w:rsid w:val="30B05F05"/>
    <w:rsid w:val="30E741CE"/>
    <w:rsid w:val="313E5C07"/>
    <w:rsid w:val="31653193"/>
    <w:rsid w:val="32334426"/>
    <w:rsid w:val="3294550E"/>
    <w:rsid w:val="32CE0ED8"/>
    <w:rsid w:val="32F056C3"/>
    <w:rsid w:val="32F32A21"/>
    <w:rsid w:val="33072028"/>
    <w:rsid w:val="333E51A2"/>
    <w:rsid w:val="335603B3"/>
    <w:rsid w:val="3370679B"/>
    <w:rsid w:val="34182E64"/>
    <w:rsid w:val="342E5308"/>
    <w:rsid w:val="342F7A89"/>
    <w:rsid w:val="34563267"/>
    <w:rsid w:val="346C48F4"/>
    <w:rsid w:val="34CE139E"/>
    <w:rsid w:val="34EA4CF0"/>
    <w:rsid w:val="350E3B42"/>
    <w:rsid w:val="354B08F2"/>
    <w:rsid w:val="35851C67"/>
    <w:rsid w:val="35B446E9"/>
    <w:rsid w:val="35EB4E83"/>
    <w:rsid w:val="3600792F"/>
    <w:rsid w:val="36665724"/>
    <w:rsid w:val="3694343E"/>
    <w:rsid w:val="369F37DF"/>
    <w:rsid w:val="36AC24EB"/>
    <w:rsid w:val="36C57FE9"/>
    <w:rsid w:val="36E83F1F"/>
    <w:rsid w:val="37405B09"/>
    <w:rsid w:val="3742177B"/>
    <w:rsid w:val="37456BF7"/>
    <w:rsid w:val="37AF2DB8"/>
    <w:rsid w:val="37E45767"/>
    <w:rsid w:val="38044B76"/>
    <w:rsid w:val="382D15CB"/>
    <w:rsid w:val="38305B7D"/>
    <w:rsid w:val="38CD4E3D"/>
    <w:rsid w:val="38F35529"/>
    <w:rsid w:val="391A20E9"/>
    <w:rsid w:val="3927469E"/>
    <w:rsid w:val="393745F3"/>
    <w:rsid w:val="39601DC4"/>
    <w:rsid w:val="398E6FFF"/>
    <w:rsid w:val="39A14F85"/>
    <w:rsid w:val="39D64754"/>
    <w:rsid w:val="3A0574CE"/>
    <w:rsid w:val="3A4355FF"/>
    <w:rsid w:val="3B207B27"/>
    <w:rsid w:val="3B7F3C6C"/>
    <w:rsid w:val="3B862684"/>
    <w:rsid w:val="3B892174"/>
    <w:rsid w:val="3BB62255"/>
    <w:rsid w:val="3BEE0118"/>
    <w:rsid w:val="3C1934F8"/>
    <w:rsid w:val="3C1C3622"/>
    <w:rsid w:val="3C2E0626"/>
    <w:rsid w:val="3CE602FE"/>
    <w:rsid w:val="3D090F69"/>
    <w:rsid w:val="3D567E34"/>
    <w:rsid w:val="3D5D5666"/>
    <w:rsid w:val="3D6A1FEF"/>
    <w:rsid w:val="3D6C3AFB"/>
    <w:rsid w:val="3D6E1622"/>
    <w:rsid w:val="3D9848F1"/>
    <w:rsid w:val="3E0064AE"/>
    <w:rsid w:val="3E11768E"/>
    <w:rsid w:val="3E9450B8"/>
    <w:rsid w:val="3ECE2AC7"/>
    <w:rsid w:val="3ED25BE0"/>
    <w:rsid w:val="3EEC522C"/>
    <w:rsid w:val="3F087854"/>
    <w:rsid w:val="3F6F78D3"/>
    <w:rsid w:val="3F7A6514"/>
    <w:rsid w:val="3F89533D"/>
    <w:rsid w:val="3F8C2233"/>
    <w:rsid w:val="3FA66E58"/>
    <w:rsid w:val="3FFE46AE"/>
    <w:rsid w:val="4021297B"/>
    <w:rsid w:val="403623E0"/>
    <w:rsid w:val="40491ED2"/>
    <w:rsid w:val="40736F4F"/>
    <w:rsid w:val="41465C9A"/>
    <w:rsid w:val="41590DEA"/>
    <w:rsid w:val="41650BBE"/>
    <w:rsid w:val="41776119"/>
    <w:rsid w:val="417B430D"/>
    <w:rsid w:val="41B002E6"/>
    <w:rsid w:val="420A0B6A"/>
    <w:rsid w:val="4214206C"/>
    <w:rsid w:val="422074F9"/>
    <w:rsid w:val="42381627"/>
    <w:rsid w:val="42CA554C"/>
    <w:rsid w:val="42F205FF"/>
    <w:rsid w:val="43D0279A"/>
    <w:rsid w:val="44257DF3"/>
    <w:rsid w:val="4436451B"/>
    <w:rsid w:val="443D7EA1"/>
    <w:rsid w:val="448636F5"/>
    <w:rsid w:val="4487121B"/>
    <w:rsid w:val="449C37AC"/>
    <w:rsid w:val="44A129A4"/>
    <w:rsid w:val="44DF1057"/>
    <w:rsid w:val="4508410A"/>
    <w:rsid w:val="451F76A5"/>
    <w:rsid w:val="45244CBC"/>
    <w:rsid w:val="452768DB"/>
    <w:rsid w:val="4545504A"/>
    <w:rsid w:val="45837C34"/>
    <w:rsid w:val="459040FF"/>
    <w:rsid w:val="45BC7DE7"/>
    <w:rsid w:val="465869CB"/>
    <w:rsid w:val="466C06C8"/>
    <w:rsid w:val="4674757D"/>
    <w:rsid w:val="46A3209A"/>
    <w:rsid w:val="473E559B"/>
    <w:rsid w:val="47402C54"/>
    <w:rsid w:val="47415AA9"/>
    <w:rsid w:val="48027536"/>
    <w:rsid w:val="4803505C"/>
    <w:rsid w:val="48044C45"/>
    <w:rsid w:val="482374AD"/>
    <w:rsid w:val="49070198"/>
    <w:rsid w:val="493E4DB3"/>
    <w:rsid w:val="498E5A84"/>
    <w:rsid w:val="49A07007"/>
    <w:rsid w:val="4A2C4B39"/>
    <w:rsid w:val="4A3414FD"/>
    <w:rsid w:val="4A840D20"/>
    <w:rsid w:val="4AAE7501"/>
    <w:rsid w:val="4AE747C1"/>
    <w:rsid w:val="4B294798"/>
    <w:rsid w:val="4BA666FF"/>
    <w:rsid w:val="4BAD59F6"/>
    <w:rsid w:val="4BC845F3"/>
    <w:rsid w:val="4BE00E88"/>
    <w:rsid w:val="4C6B790A"/>
    <w:rsid w:val="4C791DD4"/>
    <w:rsid w:val="4C964493"/>
    <w:rsid w:val="4CB77512"/>
    <w:rsid w:val="4CBB4258"/>
    <w:rsid w:val="4D2974B6"/>
    <w:rsid w:val="4D414435"/>
    <w:rsid w:val="4D9C5D37"/>
    <w:rsid w:val="4DA4046A"/>
    <w:rsid w:val="4DE4323A"/>
    <w:rsid w:val="4E523D53"/>
    <w:rsid w:val="4E917D74"/>
    <w:rsid w:val="4EAC01FC"/>
    <w:rsid w:val="4EFC2910"/>
    <w:rsid w:val="4F100791"/>
    <w:rsid w:val="4F474FC9"/>
    <w:rsid w:val="4FAA40AD"/>
    <w:rsid w:val="50005444"/>
    <w:rsid w:val="501A5395"/>
    <w:rsid w:val="50E33C7D"/>
    <w:rsid w:val="50E951B4"/>
    <w:rsid w:val="50EA2AF2"/>
    <w:rsid w:val="51121E6C"/>
    <w:rsid w:val="51346287"/>
    <w:rsid w:val="519111B4"/>
    <w:rsid w:val="51BF4A8D"/>
    <w:rsid w:val="52140592"/>
    <w:rsid w:val="525E7386"/>
    <w:rsid w:val="527266E3"/>
    <w:rsid w:val="52770B21"/>
    <w:rsid w:val="52DA06BF"/>
    <w:rsid w:val="53165A95"/>
    <w:rsid w:val="532E5683"/>
    <w:rsid w:val="53620262"/>
    <w:rsid w:val="53962FC8"/>
    <w:rsid w:val="53D4614F"/>
    <w:rsid w:val="54542861"/>
    <w:rsid w:val="547E00EE"/>
    <w:rsid w:val="54A454D1"/>
    <w:rsid w:val="54BF40B9"/>
    <w:rsid w:val="54FF095A"/>
    <w:rsid w:val="55284354"/>
    <w:rsid w:val="559B2DBC"/>
    <w:rsid w:val="55C027DF"/>
    <w:rsid w:val="55F67FAE"/>
    <w:rsid w:val="561F3061"/>
    <w:rsid w:val="566118CC"/>
    <w:rsid w:val="56670935"/>
    <w:rsid w:val="56C3158B"/>
    <w:rsid w:val="56DC0F52"/>
    <w:rsid w:val="56E16569"/>
    <w:rsid w:val="577A6E7F"/>
    <w:rsid w:val="578A30A4"/>
    <w:rsid w:val="579827EB"/>
    <w:rsid w:val="57A87D5F"/>
    <w:rsid w:val="57C71C02"/>
    <w:rsid w:val="57DB3B40"/>
    <w:rsid w:val="58B42919"/>
    <w:rsid w:val="58C50999"/>
    <w:rsid w:val="58CD49BB"/>
    <w:rsid w:val="58FA6008"/>
    <w:rsid w:val="593127B1"/>
    <w:rsid w:val="596D67DA"/>
    <w:rsid w:val="597A39A5"/>
    <w:rsid w:val="598453B0"/>
    <w:rsid w:val="59981AA8"/>
    <w:rsid w:val="59B70487"/>
    <w:rsid w:val="59CD519D"/>
    <w:rsid w:val="59EE16C8"/>
    <w:rsid w:val="5A7616BE"/>
    <w:rsid w:val="5A7C160E"/>
    <w:rsid w:val="5AD3353E"/>
    <w:rsid w:val="5AF50FAA"/>
    <w:rsid w:val="5B195808"/>
    <w:rsid w:val="5B1E1A21"/>
    <w:rsid w:val="5B446F06"/>
    <w:rsid w:val="5B565D51"/>
    <w:rsid w:val="5B63290A"/>
    <w:rsid w:val="5B6F05E7"/>
    <w:rsid w:val="5B6F4A8B"/>
    <w:rsid w:val="5B77749C"/>
    <w:rsid w:val="5B7A5702"/>
    <w:rsid w:val="5B7D7A68"/>
    <w:rsid w:val="5B7E71DB"/>
    <w:rsid w:val="5BB41C4B"/>
    <w:rsid w:val="5C060F4E"/>
    <w:rsid w:val="5C2B7207"/>
    <w:rsid w:val="5C393185"/>
    <w:rsid w:val="5C611FEA"/>
    <w:rsid w:val="5CB07E95"/>
    <w:rsid w:val="5CFB2F57"/>
    <w:rsid w:val="5D757965"/>
    <w:rsid w:val="5D801B9B"/>
    <w:rsid w:val="5D883439"/>
    <w:rsid w:val="5DC23188"/>
    <w:rsid w:val="5DEF3C61"/>
    <w:rsid w:val="5E0A2849"/>
    <w:rsid w:val="5E537DEC"/>
    <w:rsid w:val="5E5A37D0"/>
    <w:rsid w:val="5E8C0D7D"/>
    <w:rsid w:val="5E9563D0"/>
    <w:rsid w:val="5EFB48AA"/>
    <w:rsid w:val="5F0B56FE"/>
    <w:rsid w:val="5F4439C8"/>
    <w:rsid w:val="5F9C038E"/>
    <w:rsid w:val="60025ECE"/>
    <w:rsid w:val="60185C19"/>
    <w:rsid w:val="60280F28"/>
    <w:rsid w:val="608E3D80"/>
    <w:rsid w:val="60AF087B"/>
    <w:rsid w:val="60F31CBA"/>
    <w:rsid w:val="60FE3FFC"/>
    <w:rsid w:val="615B2F3D"/>
    <w:rsid w:val="615F2EAC"/>
    <w:rsid w:val="61B96A60"/>
    <w:rsid w:val="61BC201A"/>
    <w:rsid w:val="61EF3FE8"/>
    <w:rsid w:val="62325985"/>
    <w:rsid w:val="628D7A4F"/>
    <w:rsid w:val="62920517"/>
    <w:rsid w:val="62A36DC8"/>
    <w:rsid w:val="62B66AFB"/>
    <w:rsid w:val="62CA4EB5"/>
    <w:rsid w:val="63540D79"/>
    <w:rsid w:val="63866582"/>
    <w:rsid w:val="63892462"/>
    <w:rsid w:val="63E43B3C"/>
    <w:rsid w:val="6417181C"/>
    <w:rsid w:val="642B049C"/>
    <w:rsid w:val="644D16E1"/>
    <w:rsid w:val="645A795A"/>
    <w:rsid w:val="64BB664B"/>
    <w:rsid w:val="64BD077B"/>
    <w:rsid w:val="64CC2D31"/>
    <w:rsid w:val="653D3504"/>
    <w:rsid w:val="6542371A"/>
    <w:rsid w:val="655E78DF"/>
    <w:rsid w:val="65982E30"/>
    <w:rsid w:val="65D06126"/>
    <w:rsid w:val="663761A5"/>
    <w:rsid w:val="665062F1"/>
    <w:rsid w:val="66630B5B"/>
    <w:rsid w:val="667342C5"/>
    <w:rsid w:val="668A4527"/>
    <w:rsid w:val="66BD7B8D"/>
    <w:rsid w:val="6737676F"/>
    <w:rsid w:val="673E3563"/>
    <w:rsid w:val="673F25F6"/>
    <w:rsid w:val="67494393"/>
    <w:rsid w:val="676D3097"/>
    <w:rsid w:val="67C41CBB"/>
    <w:rsid w:val="680D073C"/>
    <w:rsid w:val="683F57E5"/>
    <w:rsid w:val="6884144A"/>
    <w:rsid w:val="68D91796"/>
    <w:rsid w:val="69026F3E"/>
    <w:rsid w:val="6928578C"/>
    <w:rsid w:val="69360996"/>
    <w:rsid w:val="69533565"/>
    <w:rsid w:val="696F5C56"/>
    <w:rsid w:val="69727678"/>
    <w:rsid w:val="698C05B6"/>
    <w:rsid w:val="69C2047C"/>
    <w:rsid w:val="69F177EC"/>
    <w:rsid w:val="6A4470E3"/>
    <w:rsid w:val="6A5135B7"/>
    <w:rsid w:val="6A69254F"/>
    <w:rsid w:val="6A924EC1"/>
    <w:rsid w:val="6ABB2733"/>
    <w:rsid w:val="6AD30AD8"/>
    <w:rsid w:val="6B036F9E"/>
    <w:rsid w:val="6B2A0087"/>
    <w:rsid w:val="6B352EA6"/>
    <w:rsid w:val="6B637A3C"/>
    <w:rsid w:val="6B7834E8"/>
    <w:rsid w:val="6BA936A1"/>
    <w:rsid w:val="6BDB3A77"/>
    <w:rsid w:val="6BDF6289"/>
    <w:rsid w:val="6C0E79A8"/>
    <w:rsid w:val="6C5E4791"/>
    <w:rsid w:val="6D1C5D3C"/>
    <w:rsid w:val="6D4C69DA"/>
    <w:rsid w:val="6D5D0BE7"/>
    <w:rsid w:val="6D7A30EF"/>
    <w:rsid w:val="6D7E7D56"/>
    <w:rsid w:val="6DE23907"/>
    <w:rsid w:val="6E1E278A"/>
    <w:rsid w:val="6E203F10"/>
    <w:rsid w:val="6E242AF9"/>
    <w:rsid w:val="6E2C0197"/>
    <w:rsid w:val="6E595916"/>
    <w:rsid w:val="6EAB2BDD"/>
    <w:rsid w:val="6F33754A"/>
    <w:rsid w:val="6F3616B9"/>
    <w:rsid w:val="6F6439B1"/>
    <w:rsid w:val="6F667AFB"/>
    <w:rsid w:val="6FB5098B"/>
    <w:rsid w:val="70F75191"/>
    <w:rsid w:val="71020037"/>
    <w:rsid w:val="710D6480"/>
    <w:rsid w:val="711772FF"/>
    <w:rsid w:val="711E13AF"/>
    <w:rsid w:val="71584606"/>
    <w:rsid w:val="719F3486"/>
    <w:rsid w:val="71A52BA3"/>
    <w:rsid w:val="71AA3778"/>
    <w:rsid w:val="71CC2862"/>
    <w:rsid w:val="72346396"/>
    <w:rsid w:val="723932A5"/>
    <w:rsid w:val="72822E9E"/>
    <w:rsid w:val="72AE1148"/>
    <w:rsid w:val="72E90827"/>
    <w:rsid w:val="73DA0F58"/>
    <w:rsid w:val="74AA048A"/>
    <w:rsid w:val="74AC5225"/>
    <w:rsid w:val="74DD7F25"/>
    <w:rsid w:val="750162FC"/>
    <w:rsid w:val="75226C5F"/>
    <w:rsid w:val="753164B5"/>
    <w:rsid w:val="756339C2"/>
    <w:rsid w:val="757A7E5C"/>
    <w:rsid w:val="758F7D96"/>
    <w:rsid w:val="75BF3CC6"/>
    <w:rsid w:val="75C56B62"/>
    <w:rsid w:val="75FE45EA"/>
    <w:rsid w:val="760D2164"/>
    <w:rsid w:val="762A3631"/>
    <w:rsid w:val="762F50EB"/>
    <w:rsid w:val="76485D70"/>
    <w:rsid w:val="768865A9"/>
    <w:rsid w:val="76FB6D7B"/>
    <w:rsid w:val="77073972"/>
    <w:rsid w:val="770D7DE1"/>
    <w:rsid w:val="772B4048"/>
    <w:rsid w:val="773F43E8"/>
    <w:rsid w:val="77476464"/>
    <w:rsid w:val="7751028F"/>
    <w:rsid w:val="77636D28"/>
    <w:rsid w:val="777E6082"/>
    <w:rsid w:val="778D32D2"/>
    <w:rsid w:val="77B07B65"/>
    <w:rsid w:val="77E3519E"/>
    <w:rsid w:val="77EA7B2B"/>
    <w:rsid w:val="7801055C"/>
    <w:rsid w:val="787963AE"/>
    <w:rsid w:val="78A7746F"/>
    <w:rsid w:val="78BF71EE"/>
    <w:rsid w:val="78C76865"/>
    <w:rsid w:val="78D36201"/>
    <w:rsid w:val="790A7749"/>
    <w:rsid w:val="79604CB7"/>
    <w:rsid w:val="79C8540B"/>
    <w:rsid w:val="79E12D87"/>
    <w:rsid w:val="79EA104B"/>
    <w:rsid w:val="7A13704E"/>
    <w:rsid w:val="7A141C0F"/>
    <w:rsid w:val="7A94376E"/>
    <w:rsid w:val="7AC51EE9"/>
    <w:rsid w:val="7AC57DCC"/>
    <w:rsid w:val="7B1B79EC"/>
    <w:rsid w:val="7B26393D"/>
    <w:rsid w:val="7B68063A"/>
    <w:rsid w:val="7BC8470A"/>
    <w:rsid w:val="7C305719"/>
    <w:rsid w:val="7C32323F"/>
    <w:rsid w:val="7C476B49"/>
    <w:rsid w:val="7C5C4FF9"/>
    <w:rsid w:val="7C6F7FEF"/>
    <w:rsid w:val="7C8A307B"/>
    <w:rsid w:val="7C9B7036"/>
    <w:rsid w:val="7CEA57AC"/>
    <w:rsid w:val="7CEF7B61"/>
    <w:rsid w:val="7D1B1F25"/>
    <w:rsid w:val="7D1F75A9"/>
    <w:rsid w:val="7D211600"/>
    <w:rsid w:val="7D566685"/>
    <w:rsid w:val="7D6B2EAC"/>
    <w:rsid w:val="7D743BAF"/>
    <w:rsid w:val="7DD24363"/>
    <w:rsid w:val="7DF104B8"/>
    <w:rsid w:val="7E19781D"/>
    <w:rsid w:val="7E2B6198"/>
    <w:rsid w:val="7E663674"/>
    <w:rsid w:val="7E717795"/>
    <w:rsid w:val="7E923EBD"/>
    <w:rsid w:val="7EA021F3"/>
    <w:rsid w:val="7EA83C8C"/>
    <w:rsid w:val="7F1F49A6"/>
    <w:rsid w:val="7F207CC7"/>
    <w:rsid w:val="7F4645F1"/>
    <w:rsid w:val="7F544801"/>
    <w:rsid w:val="7F82744F"/>
    <w:rsid w:val="7F8518D8"/>
    <w:rsid w:val="7FE37A5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qFormat/>
    <w:uiPriority w:val="0"/>
    <w:pPr>
      <w:keepNext/>
      <w:jc w:val="center"/>
      <w:outlineLvl w:val="1"/>
    </w:pPr>
    <w:rPr>
      <w:rFonts w:ascii="宋体"/>
      <w:sz w:val="28"/>
      <w:szCs w:val="20"/>
    </w:rPr>
  </w:style>
  <w:style w:type="paragraph" w:styleId="4">
    <w:name w:val="heading 3"/>
    <w:basedOn w:val="1"/>
    <w:next w:val="1"/>
    <w:qFormat/>
    <w:uiPriority w:val="0"/>
    <w:pPr>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paragraph" w:styleId="5">
    <w:name w:val="heading 4"/>
    <w:basedOn w:val="1"/>
    <w:next w:val="1"/>
    <w:qFormat/>
    <w:uiPriority w:val="99"/>
    <w:pPr>
      <w:keepNext/>
      <w:keepLines/>
      <w:numPr>
        <w:ilvl w:val="3"/>
        <w:numId w:val="1"/>
      </w:numPr>
      <w:ind w:left="0" w:firstLine="0" w:firstLineChars="0"/>
      <w:jc w:val="left"/>
      <w:outlineLvl w:val="3"/>
    </w:pPr>
    <w:rPr>
      <w:b/>
      <w:bCs/>
      <w:szCs w:val="28"/>
    </w:rPr>
  </w:style>
  <w:style w:type="paragraph" w:styleId="6">
    <w:name w:val="heading 5"/>
    <w:basedOn w:val="1"/>
    <w:next w:val="1"/>
    <w:link w:val="40"/>
    <w:unhideWhenUsed/>
    <w:qFormat/>
    <w:uiPriority w:val="0"/>
    <w:pPr>
      <w:keepNext/>
      <w:keepLines/>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val="0"/>
      <w:snapToGrid w:val="0"/>
      <w:spacing w:before="240" w:after="64" w:line="317" w:lineRule="auto"/>
      <w:ind w:left="1152" w:hanging="1152"/>
      <w:outlineLvl w:val="5"/>
    </w:pPr>
    <w:rPr>
      <w:rFonts w:ascii="Arial" w:hAnsi="Arial" w:eastAsia="黑体"/>
      <w:b/>
      <w:bCs/>
    </w:rPr>
  </w:style>
  <w:style w:type="paragraph" w:styleId="8">
    <w:name w:val="heading 7"/>
    <w:basedOn w:val="1"/>
    <w:next w:val="1"/>
    <w:link w:val="42"/>
    <w:qFormat/>
    <w:uiPriority w:val="0"/>
    <w:pPr>
      <w:keepNext/>
      <w:keepLines/>
      <w:adjustRightInd w:val="0"/>
      <w:snapToGrid w:val="0"/>
      <w:spacing w:before="240" w:after="64" w:line="317" w:lineRule="auto"/>
      <w:ind w:left="1296" w:hanging="1296"/>
      <w:outlineLvl w:val="6"/>
    </w:pPr>
    <w:rPr>
      <w:b/>
      <w:bCs/>
    </w:rPr>
  </w:style>
  <w:style w:type="paragraph" w:styleId="9">
    <w:name w:val="heading 8"/>
    <w:basedOn w:val="1"/>
    <w:next w:val="1"/>
    <w:link w:val="43"/>
    <w:qFormat/>
    <w:uiPriority w:val="0"/>
    <w:pPr>
      <w:keepNext/>
      <w:keepLines/>
      <w:adjustRightInd w:val="0"/>
      <w:snapToGrid w:val="0"/>
      <w:spacing w:before="240" w:after="64" w:line="317" w:lineRule="auto"/>
      <w:ind w:left="1440" w:hanging="1440"/>
      <w:outlineLvl w:val="7"/>
    </w:pPr>
    <w:rPr>
      <w:rFonts w:ascii="Arial" w:hAnsi="Arial" w:eastAsia="黑体"/>
    </w:rPr>
  </w:style>
  <w:style w:type="paragraph" w:styleId="10">
    <w:name w:val="heading 9"/>
    <w:basedOn w:val="1"/>
    <w:next w:val="1"/>
    <w:link w:val="44"/>
    <w:qFormat/>
    <w:uiPriority w:val="0"/>
    <w:pPr>
      <w:keepNext/>
      <w:keepLines/>
      <w:adjustRightInd w:val="0"/>
      <w:snapToGrid w:val="0"/>
      <w:spacing w:before="240" w:after="64" w:line="317" w:lineRule="auto"/>
      <w:ind w:left="1584" w:hanging="1584"/>
      <w:outlineLvl w:val="8"/>
    </w:pPr>
    <w:rPr>
      <w:rFonts w:ascii="Arial" w:hAnsi="Arial" w:eastAsia="黑体"/>
      <w:sz w:val="21"/>
      <w:szCs w:val="21"/>
    </w:rPr>
  </w:style>
  <w:style w:type="character" w:default="1" w:styleId="33">
    <w:name w:val="Default Paragraph Font"/>
    <w:semiHidden/>
    <w:qFormat/>
    <w:uiPriority w:val="0"/>
  </w:style>
  <w:style w:type="table" w:default="1" w:styleId="31">
    <w:name w:val="Normal Table"/>
    <w:semiHidden/>
    <w:qFormat/>
    <w:uiPriority w:val="0"/>
    <w:tblPr>
      <w:tblCellMar>
        <w:top w:w="0" w:type="dxa"/>
        <w:left w:w="108" w:type="dxa"/>
        <w:bottom w:w="0" w:type="dxa"/>
        <w:right w:w="108" w:type="dxa"/>
      </w:tblCellMar>
    </w:tblPr>
  </w:style>
  <w:style w:type="paragraph" w:styleId="11">
    <w:name w:val="Normal Indent"/>
    <w:basedOn w:val="1"/>
    <w:unhideWhenUsed/>
    <w:qFormat/>
    <w:uiPriority w:val="0"/>
    <w:pPr>
      <w:ind w:firstLine="420" w:firstLineChars="200"/>
    </w:pPr>
    <w:rPr>
      <w:rFonts w:ascii="Calibri" w:hAnsi="Calibri"/>
      <w:szCs w:val="22"/>
    </w:rPr>
  </w:style>
  <w:style w:type="paragraph" w:styleId="12">
    <w:name w:val="caption"/>
    <w:basedOn w:val="1"/>
    <w:next w:val="1"/>
    <w:unhideWhenUsed/>
    <w:qFormat/>
    <w:uiPriority w:val="0"/>
    <w:rPr>
      <w:rFonts w:ascii="等线 Light" w:hAnsi="等线 Light" w:eastAsia="黑体" w:cs="Times New Roman"/>
      <w:sz w:val="20"/>
      <w:szCs w:val="20"/>
    </w:rPr>
  </w:style>
  <w:style w:type="paragraph" w:styleId="13">
    <w:name w:val="annotation text"/>
    <w:basedOn w:val="1"/>
    <w:link w:val="45"/>
    <w:semiHidden/>
    <w:qFormat/>
    <w:uiPriority w:val="0"/>
    <w:pPr>
      <w:jc w:val="left"/>
    </w:pPr>
    <w:rPr>
      <w:kern w:val="0"/>
      <w:sz w:val="20"/>
    </w:rPr>
  </w:style>
  <w:style w:type="paragraph" w:styleId="14">
    <w:name w:val="Body Text"/>
    <w:basedOn w:val="1"/>
    <w:link w:val="39"/>
    <w:qFormat/>
    <w:uiPriority w:val="0"/>
    <w:pPr>
      <w:widowControl/>
      <w:snapToGrid w:val="0"/>
      <w:spacing w:before="60" w:after="160" w:line="259" w:lineRule="auto"/>
      <w:ind w:right="113"/>
    </w:pPr>
    <w:rPr>
      <w:kern w:val="0"/>
      <w:sz w:val="18"/>
      <w:szCs w:val="18"/>
    </w:rPr>
  </w:style>
  <w:style w:type="paragraph" w:styleId="15">
    <w:name w:val="Body Text Indent"/>
    <w:basedOn w:val="1"/>
    <w:next w:val="16"/>
    <w:qFormat/>
    <w:uiPriority w:val="0"/>
    <w:pPr>
      <w:spacing w:after="120"/>
      <w:ind w:left="420" w:leftChars="200"/>
    </w:pPr>
  </w:style>
  <w:style w:type="paragraph" w:customStyle="1" w:styleId="16">
    <w:name w:val="正文zoe"/>
    <w:basedOn w:val="15"/>
    <w:autoRedefine/>
    <w:qFormat/>
    <w:uiPriority w:val="0"/>
    <w:pPr>
      <w:adjustRightInd w:val="0"/>
      <w:spacing w:after="0" w:line="360" w:lineRule="auto"/>
      <w:ind w:left="0" w:leftChars="0" w:firstLine="480" w:firstLineChars="200"/>
      <w:textAlignment w:val="baseline"/>
    </w:pPr>
    <w:rPr>
      <w:rFonts w:ascii="宋体" w:hAnsi="宋体" w:cs="宋体"/>
      <w:kern w:val="0"/>
      <w:sz w:val="24"/>
      <w:szCs w:val="20"/>
    </w:rPr>
  </w:style>
  <w:style w:type="paragraph" w:styleId="17">
    <w:name w:val="Plain Text"/>
    <w:basedOn w:val="1"/>
    <w:qFormat/>
    <w:uiPriority w:val="0"/>
    <w:pPr>
      <w:snapToGrid w:val="0"/>
      <w:jc w:val="center"/>
    </w:pPr>
    <w:rPr>
      <w:rFonts w:eastAsia="Times New Roman"/>
      <w:color w:val="000000"/>
      <w:kern w:val="0"/>
      <w:szCs w:val="21"/>
    </w:rPr>
  </w:style>
  <w:style w:type="paragraph" w:styleId="18">
    <w:name w:val="Body Text Indent 2"/>
    <w:basedOn w:val="1"/>
    <w:qFormat/>
    <w:uiPriority w:val="0"/>
    <w:pPr>
      <w:spacing w:after="120" w:line="480" w:lineRule="auto"/>
      <w:ind w:left="420" w:leftChars="200"/>
    </w:pPr>
    <w:rPr>
      <w:kern w:val="0"/>
      <w:sz w:val="20"/>
      <w:szCs w:val="20"/>
      <w:lang w:val="zh-CN"/>
    </w:rPr>
  </w:style>
  <w:style w:type="paragraph" w:styleId="19">
    <w:name w:val="Balloon Text"/>
    <w:basedOn w:val="1"/>
    <w:link w:val="46"/>
    <w:qFormat/>
    <w:uiPriority w:val="0"/>
    <w:pPr>
      <w:spacing w:line="240" w:lineRule="auto"/>
    </w:pPr>
    <w:rPr>
      <w:sz w:val="18"/>
      <w:szCs w:val="18"/>
    </w:rPr>
  </w:style>
  <w:style w:type="paragraph" w:styleId="20">
    <w:name w:val="footer"/>
    <w:basedOn w:val="1"/>
    <w:qFormat/>
    <w:uiPriority w:val="0"/>
    <w:pPr>
      <w:tabs>
        <w:tab w:val="center" w:pos="4153"/>
        <w:tab w:val="right" w:pos="8306"/>
      </w:tabs>
      <w:snapToGrid w:val="0"/>
      <w:jc w:val="left"/>
    </w:pPr>
    <w:rPr>
      <w:sz w:val="18"/>
      <w:szCs w:val="18"/>
    </w:rPr>
  </w:style>
  <w:style w:type="paragraph" w:styleId="2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22">
    <w:name w:val="toc 1"/>
    <w:basedOn w:val="1"/>
    <w:next w:val="1"/>
    <w:qFormat/>
    <w:uiPriority w:val="0"/>
  </w:style>
  <w:style w:type="paragraph" w:styleId="23">
    <w:name w:val="toc 2"/>
    <w:basedOn w:val="1"/>
    <w:next w:val="1"/>
    <w:qFormat/>
    <w:uiPriority w:val="39"/>
    <w:pPr>
      <w:ind w:left="420" w:leftChars="200"/>
    </w:pPr>
  </w:style>
  <w:style w:type="paragraph" w:styleId="24">
    <w:name w:val="Message Header"/>
    <w:basedOn w:val="1"/>
    <w:next w:val="25"/>
    <w:semiHidden/>
    <w:qFormat/>
    <w:uiPriority w:val="0"/>
    <w:pPr>
      <w:widowControl/>
      <w:pBdr>
        <w:top w:val="single" w:color="auto" w:sz="6" w:space="1"/>
        <w:left w:val="single" w:color="auto" w:sz="6" w:space="1"/>
        <w:bottom w:val="single" w:color="auto" w:sz="6" w:space="1"/>
        <w:right w:val="single" w:color="auto" w:sz="6" w:space="1"/>
      </w:pBdr>
      <w:shd w:val="pct20" w:color="auto" w:fill="auto"/>
      <w:spacing w:line="520" w:lineRule="exact"/>
      <w:ind w:left="1080" w:leftChars="500" w:hanging="1080" w:hangingChars="500"/>
    </w:pPr>
    <w:rPr>
      <w:rFonts w:ascii="Arial" w:hAnsi="Arial" w:cs="Arial"/>
      <w:bCs/>
      <w:kern w:val="0"/>
      <w:sz w:val="24"/>
      <w:szCs w:val="24"/>
    </w:rPr>
  </w:style>
  <w:style w:type="paragraph" w:customStyle="1" w:styleId="25">
    <w:name w:val="【正文】"/>
    <w:basedOn w:val="1"/>
    <w:next w:val="24"/>
    <w:link w:val="47"/>
    <w:qFormat/>
    <w:uiPriority w:val="0"/>
    <w:pPr>
      <w:spacing w:line="440" w:lineRule="exact"/>
      <w:ind w:firstLine="544"/>
      <w:jc w:val="both"/>
    </w:pPr>
    <w:rPr>
      <w:rFonts w:ascii="Times New Roman" w:hAnsi="Times New Roman" w:eastAsia="宋体" w:cs="宋体"/>
      <w:sz w:val="24"/>
    </w:rPr>
  </w:style>
  <w:style w:type="paragraph" w:styleId="26">
    <w:name w:val="Normal (Web)"/>
    <w:basedOn w:val="1"/>
    <w:qFormat/>
    <w:uiPriority w:val="99"/>
    <w:pPr>
      <w:widowControl/>
      <w:spacing w:before="100" w:beforeAutospacing="1" w:after="100" w:afterAutospacing="1"/>
      <w:jc w:val="left"/>
    </w:pPr>
    <w:rPr>
      <w:rFonts w:ascii="宋体" w:hAnsi="宋体"/>
      <w:kern w:val="0"/>
      <w:sz w:val="24"/>
    </w:rPr>
  </w:style>
  <w:style w:type="paragraph" w:styleId="27">
    <w:name w:val="Title"/>
    <w:basedOn w:val="1"/>
    <w:next w:val="1"/>
    <w:link w:val="48"/>
    <w:qFormat/>
    <w:uiPriority w:val="0"/>
    <w:pPr>
      <w:spacing w:before="240" w:after="60"/>
      <w:jc w:val="center"/>
      <w:outlineLvl w:val="0"/>
    </w:pPr>
    <w:rPr>
      <w:rFonts w:ascii="等线 Light" w:hAnsi="等线 Light" w:cs="Times New Roman"/>
      <w:b/>
      <w:bCs/>
      <w:sz w:val="32"/>
      <w:szCs w:val="32"/>
    </w:rPr>
  </w:style>
  <w:style w:type="paragraph" w:styleId="28">
    <w:name w:val="annotation subject"/>
    <w:basedOn w:val="13"/>
    <w:next w:val="13"/>
    <w:link w:val="49"/>
    <w:qFormat/>
    <w:uiPriority w:val="0"/>
    <w:rPr>
      <w:b/>
      <w:bCs/>
      <w:kern w:val="2"/>
      <w:sz w:val="24"/>
    </w:rPr>
  </w:style>
  <w:style w:type="paragraph" w:styleId="29">
    <w:name w:val="Body Text First Indent"/>
    <w:basedOn w:val="14"/>
    <w:qFormat/>
    <w:uiPriority w:val="99"/>
    <w:pPr>
      <w:spacing w:after="120"/>
      <w:ind w:firstLine="420" w:firstLineChars="100"/>
    </w:pPr>
    <w:rPr>
      <w:rFonts w:ascii="Times New Roman" w:hAnsi="Times New Roman"/>
      <w:sz w:val="21"/>
      <w:szCs w:val="20"/>
    </w:rPr>
  </w:style>
  <w:style w:type="paragraph" w:styleId="30">
    <w:name w:val="Body Text First Indent 2"/>
    <w:basedOn w:val="15"/>
    <w:next w:val="1"/>
    <w:qFormat/>
    <w:uiPriority w:val="0"/>
    <w:pPr>
      <w:ind w:firstLine="420" w:firstLineChars="200"/>
    </w:pPr>
    <w:rPr>
      <w:kern w:val="0"/>
      <w:sz w:val="20"/>
    </w:rPr>
  </w:style>
  <w:style w:type="table" w:styleId="32">
    <w:name w:val="Table Grid"/>
    <w:basedOn w:val="31"/>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333333"/>
      <w:u w:val="none"/>
    </w:rPr>
  </w:style>
  <w:style w:type="character" w:styleId="36">
    <w:name w:val="Hyperlink"/>
    <w:qFormat/>
    <w:uiPriority w:val="0"/>
    <w:rPr>
      <w:color w:val="333333"/>
      <w:u w:val="none"/>
    </w:rPr>
  </w:style>
  <w:style w:type="character" w:styleId="37">
    <w:name w:val="annotation reference"/>
    <w:semiHidden/>
    <w:qFormat/>
    <w:uiPriority w:val="0"/>
    <w:rPr>
      <w:sz w:val="21"/>
    </w:rPr>
  </w:style>
  <w:style w:type="character" w:styleId="38">
    <w:name w:val="footnote reference"/>
    <w:semiHidden/>
    <w:qFormat/>
    <w:uiPriority w:val="0"/>
    <w:rPr>
      <w:vertAlign w:val="superscript"/>
    </w:rPr>
  </w:style>
  <w:style w:type="character" w:customStyle="1" w:styleId="39">
    <w:name w:val="正文文本 字符1"/>
    <w:link w:val="14"/>
    <w:qFormat/>
    <w:uiPriority w:val="99"/>
    <w:rPr>
      <w:sz w:val="18"/>
      <w:szCs w:val="18"/>
    </w:rPr>
  </w:style>
  <w:style w:type="character" w:customStyle="1" w:styleId="40">
    <w:name w:val="标题 5 字符"/>
    <w:link w:val="6"/>
    <w:semiHidden/>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批注文字 字符"/>
    <w:link w:val="13"/>
    <w:semiHidden/>
    <w:qFormat/>
    <w:uiPriority w:val="0"/>
    <w:rPr>
      <w:szCs w:val="24"/>
    </w:rPr>
  </w:style>
  <w:style w:type="character" w:customStyle="1" w:styleId="46">
    <w:name w:val="批注框文本 字符"/>
    <w:link w:val="19"/>
    <w:qFormat/>
    <w:uiPriority w:val="0"/>
    <w:rPr>
      <w:kern w:val="2"/>
      <w:sz w:val="18"/>
      <w:szCs w:val="18"/>
    </w:rPr>
  </w:style>
  <w:style w:type="character" w:customStyle="1" w:styleId="47">
    <w:name w:val="【正文】 Char"/>
    <w:link w:val="25"/>
    <w:qFormat/>
    <w:uiPriority w:val="0"/>
    <w:rPr>
      <w:rFonts w:cs="宋体"/>
      <w:kern w:val="2"/>
      <w:sz w:val="24"/>
      <w:szCs w:val="24"/>
    </w:rPr>
  </w:style>
  <w:style w:type="character" w:customStyle="1" w:styleId="48">
    <w:name w:val="标题 字符"/>
    <w:link w:val="27"/>
    <w:qFormat/>
    <w:uiPriority w:val="0"/>
    <w:rPr>
      <w:rFonts w:ascii="等线 Light" w:hAnsi="等线 Light" w:cs="Times New Roman"/>
      <w:b/>
      <w:bCs/>
      <w:kern w:val="2"/>
      <w:sz w:val="32"/>
      <w:szCs w:val="32"/>
    </w:rPr>
  </w:style>
  <w:style w:type="character" w:customStyle="1" w:styleId="49">
    <w:name w:val="批注主题 字符"/>
    <w:link w:val="28"/>
    <w:qFormat/>
    <w:uiPriority w:val="0"/>
    <w:rPr>
      <w:b/>
      <w:bCs/>
      <w:kern w:val="2"/>
      <w:sz w:val="24"/>
      <w:szCs w:val="24"/>
    </w:rPr>
  </w:style>
  <w:style w:type="paragraph" w:customStyle="1" w:styleId="50">
    <w:name w:val="样式 标题 1 + 首行缩进:  2 字符"/>
    <w:basedOn w:val="2"/>
    <w:qFormat/>
    <w:uiPriority w:val="0"/>
    <w:pPr>
      <w:keepLines w:val="0"/>
      <w:spacing w:before="0" w:after="0" w:line="720" w:lineRule="auto"/>
      <w:ind w:firstLine="200" w:firstLineChars="200"/>
      <w:jc w:val="center"/>
    </w:pPr>
    <w:rPr>
      <w:rFonts w:ascii="黑体" w:eastAsia="黑体" w:cs="宋体"/>
      <w:kern w:val="2"/>
      <w:sz w:val="36"/>
      <w:szCs w:val="20"/>
    </w:rPr>
  </w:style>
  <w:style w:type="paragraph" w:customStyle="1" w:styleId="51">
    <w:name w:val="Default"/>
    <w:basedOn w:val="52"/>
    <w:next w:val="1"/>
    <w:qFormat/>
    <w:uiPriority w:val="0"/>
    <w:pPr>
      <w:widowControl w:val="0"/>
      <w:tabs>
        <w:tab w:val="left" w:pos="8207"/>
      </w:tabs>
      <w:autoSpaceDE w:val="0"/>
      <w:autoSpaceDN w:val="0"/>
      <w:adjustRightInd w:val="0"/>
    </w:pPr>
    <w:rPr>
      <w:rFonts w:ascii="仿宋_GB2312" w:hAnsi="Calibri" w:eastAsia="仿宋_GB2312" w:cs="Times New Roman"/>
      <w:color w:val="000000"/>
      <w:sz w:val="24"/>
      <w:szCs w:val="24"/>
      <w:lang w:val="en-US" w:eastAsia="zh-CN" w:bidi="ar-SA"/>
    </w:rPr>
  </w:style>
  <w:style w:type="paragraph" w:customStyle="1" w:styleId="52">
    <w:name w:val="纯文本1"/>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53">
    <w:name w:val="表头"/>
    <w:basedOn w:val="23"/>
    <w:next w:val="54"/>
    <w:qFormat/>
    <w:uiPriority w:val="0"/>
    <w:pPr>
      <w:widowControl/>
      <w:tabs>
        <w:tab w:val="left" w:pos="8207"/>
      </w:tabs>
      <w:ind w:firstLine="0" w:firstLineChars="0"/>
      <w:jc w:val="center"/>
      <w:textAlignment w:val="baseline"/>
    </w:pPr>
    <w:rPr>
      <w:rFonts w:ascii="黑体" w:hAnsi="黑体" w:eastAsia="黑体"/>
      <w:bCs/>
      <w:kern w:val="0"/>
      <w:szCs w:val="21"/>
    </w:rPr>
  </w:style>
  <w:style w:type="paragraph" w:customStyle="1" w:styleId="54">
    <w:name w:val="表格"/>
    <w:basedOn w:val="55"/>
    <w:next w:val="1"/>
    <w:qFormat/>
    <w:uiPriority w:val="0"/>
    <w:pPr>
      <w:adjustRightInd w:val="0"/>
      <w:snapToGrid w:val="0"/>
      <w:spacing w:beforeLines="10" w:afterLines="10" w:line="259" w:lineRule="auto"/>
      <w:jc w:val="center"/>
    </w:pPr>
    <w:rPr>
      <w:rFonts w:ascii="宋体"/>
      <w:kern w:val="0"/>
      <w:sz w:val="20"/>
      <w:szCs w:val="21"/>
    </w:rPr>
  </w:style>
  <w:style w:type="paragraph" w:customStyle="1" w:styleId="55">
    <w:name w:val="表格标题"/>
    <w:basedOn w:val="1"/>
    <w:qFormat/>
    <w:uiPriority w:val="0"/>
    <w:pPr>
      <w:spacing w:line="360" w:lineRule="exact"/>
      <w:jc w:val="center"/>
    </w:pPr>
    <w:rPr>
      <w:rFonts w:ascii="宋体" w:hAnsi="宋体" w:eastAsia="Times New Roman"/>
      <w:b/>
      <w:color w:val="000000"/>
      <w:sz w:val="24"/>
      <w:lang w:val="zh-CN"/>
    </w:rPr>
  </w:style>
  <w:style w:type="paragraph" w:customStyle="1" w:styleId="56">
    <w:name w:val="Normal (Web)1"/>
    <w:basedOn w:val="1"/>
    <w:next w:val="57"/>
    <w:qFormat/>
    <w:uiPriority w:val="0"/>
    <w:pPr>
      <w:widowControl/>
      <w:jc w:val="left"/>
    </w:pPr>
    <w:rPr>
      <w:rFonts w:ascii="宋体" w:cs="Times New Roman"/>
      <w:kern w:val="0"/>
      <w:sz w:val="24"/>
      <w:szCs w:val="21"/>
    </w:rPr>
  </w:style>
  <w:style w:type="paragraph" w:customStyle="1" w:styleId="57">
    <w:name w:val="Date1"/>
    <w:basedOn w:val="1"/>
    <w:next w:val="1"/>
    <w:qFormat/>
    <w:uiPriority w:val="0"/>
    <w:pPr>
      <w:ind w:left="2500" w:leftChars="2500"/>
    </w:pPr>
  </w:style>
  <w:style w:type="character" w:customStyle="1" w:styleId="58">
    <w:name w:val="font31"/>
    <w:qFormat/>
    <w:uiPriority w:val="0"/>
    <w:rPr>
      <w:rFonts w:hint="eastAsia" w:ascii="宋体" w:hAnsi="宋体" w:eastAsia="宋体" w:cs="宋体"/>
      <w:color w:val="7030A0"/>
      <w:sz w:val="18"/>
      <w:szCs w:val="18"/>
      <w:u w:val="none"/>
    </w:rPr>
  </w:style>
  <w:style w:type="paragraph" w:customStyle="1" w:styleId="59">
    <w:name w:val="Table Paragraph"/>
    <w:basedOn w:val="1"/>
    <w:unhideWhenUsed/>
    <w:qFormat/>
    <w:uiPriority w:val="1"/>
    <w:pPr>
      <w:spacing w:beforeLines="0" w:afterLines="0"/>
    </w:pPr>
    <w:rPr>
      <w:rFonts w:hint="default"/>
      <w:sz w:val="24"/>
    </w:rPr>
  </w:style>
  <w:style w:type="paragraph" w:customStyle="1" w:styleId="60">
    <w:name w:val="正文00"/>
    <w:basedOn w:val="1"/>
    <w:qFormat/>
    <w:uiPriority w:val="0"/>
    <w:pPr>
      <w:widowControl/>
      <w:spacing w:line="425" w:lineRule="atLeast"/>
      <w:ind w:left="107" w:leftChars="51" w:right="124" w:rightChars="59" w:firstLine="480"/>
      <w:textAlignment w:val="baseline"/>
    </w:pPr>
    <w:rPr>
      <w:rFonts w:ascii="Calibri"/>
      <w:sz w:val="28"/>
      <w:szCs w:val="24"/>
    </w:rPr>
  </w:style>
  <w:style w:type="paragraph" w:customStyle="1" w:styleId="61">
    <w:name w:val="标题4"/>
    <w:basedOn w:val="60"/>
    <w:qFormat/>
    <w:uiPriority w:val="0"/>
    <w:pPr>
      <w:spacing w:line="360" w:lineRule="auto"/>
    </w:pPr>
    <w:rPr>
      <w:rFonts w:cs="宋体"/>
      <w:color w:val="000000"/>
      <w:sz w:val="24"/>
    </w:rPr>
  </w:style>
  <w:style w:type="paragraph" w:customStyle="1" w:styleId="62">
    <w:name w:val="报告表正文"/>
    <w:basedOn w:val="1"/>
    <w:qFormat/>
    <w:uiPriority w:val="0"/>
    <w:pPr>
      <w:adjustRightInd w:val="0"/>
      <w:spacing w:line="312" w:lineRule="auto"/>
      <w:ind w:left="113" w:right="113" w:firstLine="482"/>
      <w:jc w:val="left"/>
      <w:textAlignment w:val="baseline"/>
    </w:pPr>
    <w:rPr>
      <w:kern w:val="0"/>
      <w:sz w:val="24"/>
    </w:rPr>
  </w:style>
  <w:style w:type="paragraph" w:customStyle="1" w:styleId="63">
    <w:name w:val="正文样式1"/>
    <w:basedOn w:val="1"/>
    <w:qFormat/>
    <w:uiPriority w:val="0"/>
    <w:pPr>
      <w:adjustRightInd w:val="0"/>
      <w:spacing w:line="288" w:lineRule="auto"/>
      <w:ind w:firstLine="360" w:firstLineChars="150"/>
      <w:textAlignment w:val="baseline"/>
    </w:pPr>
    <w:rPr>
      <w:kern w:val="0"/>
      <w:sz w:val="24"/>
      <w:szCs w:val="20"/>
    </w:rPr>
  </w:style>
  <w:style w:type="paragraph" w:customStyle="1" w:styleId="64">
    <w:name w:val="表体-格式"/>
    <w:basedOn w:val="1"/>
    <w:qFormat/>
    <w:uiPriority w:val="0"/>
    <w:pPr>
      <w:spacing w:line="240" w:lineRule="auto"/>
      <w:ind w:firstLine="0" w:firstLineChars="0"/>
      <w:jc w:val="center"/>
    </w:pPr>
    <w:rPr>
      <w:kern w:val="0"/>
      <w:sz w:val="21"/>
      <w:szCs w:val="18"/>
      <w:lang w:eastAsia="en-US" w:bidi="en-US"/>
    </w:rPr>
  </w:style>
  <w:style w:type="paragraph" w:customStyle="1" w:styleId="65">
    <w:name w:val="表格内容"/>
    <w:basedOn w:val="1"/>
    <w:qFormat/>
    <w:uiPriority w:val="0"/>
    <w:pPr>
      <w:spacing w:line="240" w:lineRule="exact"/>
      <w:ind w:firstLine="0" w:firstLineChars="0"/>
      <w:jc w:val="center"/>
    </w:pPr>
    <w:rPr>
      <w:snapToGrid w:val="0"/>
      <w:color w:val="FF0000"/>
      <w:kern w:val="0"/>
      <w:sz w:val="21"/>
      <w:szCs w:val="21"/>
    </w:rPr>
  </w:style>
  <w:style w:type="paragraph" w:styleId="66">
    <w:name w:val="List Paragraph"/>
    <w:basedOn w:val="1"/>
    <w:qFormat/>
    <w:uiPriority w:val="1"/>
    <w:pPr>
      <w:spacing w:beforeLines="0" w:afterLines="0"/>
    </w:pPr>
    <w:rPr>
      <w:rFonts w:hint="default"/>
      <w:sz w:val="24"/>
    </w:rPr>
  </w:style>
  <w:style w:type="paragraph" w:customStyle="1" w:styleId="67">
    <w:name w:val="正文----------------"/>
    <w:basedOn w:val="1"/>
    <w:qFormat/>
    <w:uiPriority w:val="0"/>
    <w:pPr>
      <w:spacing w:line="440" w:lineRule="exact"/>
      <w:ind w:firstLine="544" w:firstLineChars="200"/>
    </w:pPr>
    <w:rPr>
      <w:rFonts w:ascii="Calibri" w:cs="宋体"/>
      <w:spacing w:val="16"/>
      <w:kern w:val="2"/>
      <w:szCs w:val="20"/>
    </w:rPr>
  </w:style>
  <w:style w:type="paragraph" w:customStyle="1" w:styleId="68">
    <w:name w:val="【表中文字】"/>
    <w:basedOn w:val="1"/>
    <w:link w:val="69"/>
    <w:qFormat/>
    <w:uiPriority w:val="0"/>
    <w:pPr>
      <w:spacing w:line="380" w:lineRule="exact"/>
      <w:jc w:val="center"/>
    </w:pPr>
    <w:rPr>
      <w:szCs w:val="20"/>
    </w:rPr>
  </w:style>
  <w:style w:type="character" w:customStyle="1" w:styleId="69">
    <w:name w:val="【表中文字】 Char"/>
    <w:link w:val="68"/>
    <w:qFormat/>
    <w:uiPriority w:val="0"/>
    <w:rPr>
      <w:kern w:val="2"/>
      <w:sz w:val="24"/>
    </w:rPr>
  </w:style>
  <w:style w:type="paragraph" w:customStyle="1" w:styleId="70">
    <w:name w:val="正文1"/>
    <w:basedOn w:val="1"/>
    <w:qFormat/>
    <w:uiPriority w:val="0"/>
    <w:pPr>
      <w:adjustRightInd w:val="0"/>
      <w:snapToGrid w:val="0"/>
      <w:spacing w:line="500" w:lineRule="atLeast"/>
      <w:ind w:firstLine="567"/>
    </w:pPr>
    <w:rPr>
      <w:sz w:val="28"/>
    </w:rPr>
  </w:style>
  <w:style w:type="paragraph" w:customStyle="1" w:styleId="71">
    <w:name w:val="7正文"/>
    <w:basedOn w:val="1"/>
    <w:qFormat/>
    <w:uiPriority w:val="99"/>
    <w:pPr>
      <w:adjustRightInd w:val="0"/>
      <w:snapToGrid w:val="0"/>
      <w:spacing w:line="480" w:lineRule="exact"/>
      <w:ind w:firstLine="480" w:firstLineChars="200"/>
      <w:jc w:val="left"/>
    </w:pPr>
    <w:rPr>
      <w:rFonts w:ascii="Times New Roman" w:hAnsi="Times New Roman" w:eastAsia="宋体" w:cs="Times New Roman"/>
      <w:sz w:val="24"/>
      <w:szCs w:val="24"/>
    </w:rPr>
  </w:style>
  <w:style w:type="paragraph" w:customStyle="1" w:styleId="72">
    <w:name w:val="【表头】"/>
    <w:basedOn w:val="73"/>
    <w:link w:val="74"/>
    <w:qFormat/>
    <w:uiPriority w:val="0"/>
    <w:pPr>
      <w:keepNext/>
      <w:spacing w:line="460" w:lineRule="exact"/>
      <w:jc w:val="center"/>
    </w:pPr>
    <w:rPr>
      <w:rFonts w:ascii="Calibri" w:hAnsi="Calibri" w:eastAsia="黑体" w:cs="宋体"/>
      <w:sz w:val="24"/>
      <w:szCs w:val="22"/>
    </w:rPr>
  </w:style>
  <w:style w:type="paragraph" w:customStyle="1" w:styleId="73">
    <w:name w:val="表头、图名"/>
    <w:basedOn w:val="1"/>
    <w:next w:val="1"/>
    <w:qFormat/>
    <w:uiPriority w:val="0"/>
    <w:pPr>
      <w:jc w:val="center"/>
    </w:pPr>
    <w:rPr>
      <w:rFonts w:hint="eastAsia" w:eastAsia="黑体"/>
    </w:rPr>
  </w:style>
  <w:style w:type="character" w:customStyle="1" w:styleId="74">
    <w:name w:val="【表头】 Char"/>
    <w:link w:val="72"/>
    <w:qFormat/>
    <w:locked/>
    <w:uiPriority w:val="0"/>
    <w:rPr>
      <w:rFonts w:ascii="Calibri" w:hAnsi="Calibri" w:eastAsia="黑体" w:cs="宋体"/>
      <w:kern w:val="2"/>
      <w:sz w:val="24"/>
      <w:szCs w:val="22"/>
    </w:rPr>
  </w:style>
  <w:style w:type="paragraph" w:customStyle="1" w:styleId="75">
    <w:name w:val="11111"/>
    <w:basedOn w:val="1"/>
    <w:next w:val="1"/>
    <w:qFormat/>
    <w:uiPriority w:val="0"/>
    <w:pPr>
      <w:spacing w:line="360" w:lineRule="auto"/>
      <w:ind w:firstLine="200" w:firstLineChars="200"/>
    </w:pPr>
    <w:rPr>
      <w:rFonts w:ascii="宋体" w:hAnsi="宋体" w:cs="宋体"/>
      <w:sz w:val="24"/>
    </w:rPr>
  </w:style>
  <w:style w:type="paragraph" w:customStyle="1" w:styleId="76">
    <w:name w:val="..正文"/>
    <w:basedOn w:val="1"/>
    <w:qFormat/>
    <w:uiPriority w:val="0"/>
    <w:pPr>
      <w:spacing w:line="500" w:lineRule="exact"/>
      <w:ind w:firstLine="480" w:firstLineChars="200"/>
    </w:pPr>
    <w:rPr>
      <w:kern w:val="0"/>
      <w:szCs w:val="24"/>
    </w:rPr>
  </w:style>
  <w:style w:type="character" w:customStyle="1" w:styleId="77">
    <w:name w:val="fontstyle01"/>
    <w:qFormat/>
    <w:uiPriority w:val="0"/>
    <w:rPr>
      <w:rFonts w:hint="default" w:ascii="FPEF" w:hAnsi="FPEF"/>
      <w:color w:val="000000"/>
      <w:sz w:val="24"/>
      <w:szCs w:val="24"/>
    </w:rPr>
  </w:style>
  <w:style w:type="paragraph" w:customStyle="1" w:styleId="78">
    <w:name w:val="样式 黑体 居中 行距: 1.5 倍行距"/>
    <w:basedOn w:val="1"/>
    <w:qFormat/>
    <w:uiPriority w:val="0"/>
    <w:pPr>
      <w:spacing w:line="360" w:lineRule="auto"/>
      <w:jc w:val="center"/>
    </w:pPr>
    <w:rPr>
      <w:rFonts w:ascii="黑体" w:hAnsi="黑体" w:eastAsia="黑体"/>
      <w:kern w:val="0"/>
      <w:sz w:val="24"/>
      <w:szCs w:val="20"/>
    </w:rPr>
  </w:style>
  <w:style w:type="paragraph" w:customStyle="1" w:styleId="79">
    <w:name w:val="p0"/>
    <w:basedOn w:val="1"/>
    <w:qFormat/>
    <w:uiPriority w:val="0"/>
    <w:pPr>
      <w:widowControl/>
    </w:pPr>
    <w:rPr>
      <w:kern w:val="0"/>
      <w:szCs w:val="21"/>
    </w:rPr>
  </w:style>
  <w:style w:type="paragraph" w:customStyle="1" w:styleId="80">
    <w:name w:val="【表中的文字】"/>
    <w:basedOn w:val="27"/>
    <w:link w:val="81"/>
    <w:qFormat/>
    <w:uiPriority w:val="0"/>
    <w:pPr>
      <w:wordWrap w:val="0"/>
      <w:adjustRightInd w:val="0"/>
      <w:spacing w:before="0" w:after="0" w:line="240" w:lineRule="auto"/>
      <w:textAlignment w:val="center"/>
      <w:outlineLvl w:val="9"/>
    </w:pPr>
    <w:rPr>
      <w:rFonts w:ascii="Times New Roman" w:hAnsi="Times New Roman"/>
      <w:b w:val="0"/>
      <w:snapToGrid w:val="0"/>
      <w:sz w:val="21"/>
      <w:szCs w:val="21"/>
    </w:rPr>
  </w:style>
  <w:style w:type="character" w:customStyle="1" w:styleId="81">
    <w:name w:val="【表中的文字】 字符"/>
    <w:link w:val="80"/>
    <w:qFormat/>
    <w:uiPriority w:val="0"/>
    <w:rPr>
      <w:bCs/>
      <w:snapToGrid/>
      <w:kern w:val="2"/>
      <w:sz w:val="21"/>
      <w:szCs w:val="21"/>
    </w:rPr>
  </w:style>
  <w:style w:type="paragraph" w:customStyle="1" w:styleId="82">
    <w:name w:val=" Char1 Char Char Char Char Char Char Char Char Char Char Char Char"/>
    <w:basedOn w:val="1"/>
    <w:qFormat/>
    <w:uiPriority w:val="0"/>
    <w:pPr>
      <w:adjustRightInd w:val="0"/>
      <w:snapToGrid w:val="0"/>
      <w:ind w:firstLine="200"/>
      <w:jc w:val="left"/>
    </w:pPr>
    <w:rPr>
      <w:rFonts w:ascii="宋体" w:hAnsi="宋体" w:eastAsia="仿宋_GB2312" w:cs="宋体"/>
    </w:rPr>
  </w:style>
  <w:style w:type="paragraph" w:customStyle="1" w:styleId="83">
    <w:name w:val="三级标题"/>
    <w:basedOn w:val="1"/>
    <w:link w:val="84"/>
    <w:qFormat/>
    <w:uiPriority w:val="0"/>
    <w:pPr>
      <w:spacing w:line="440" w:lineRule="exact"/>
      <w:ind w:firstLine="560" w:firstLineChars="200"/>
    </w:pPr>
    <w:rPr>
      <w:rFonts w:ascii="黑体" w:hAnsi="宋体" w:eastAsia="黑体"/>
      <w:snapToGrid w:val="0"/>
      <w:color w:val="008000"/>
      <w:spacing w:val="20"/>
      <w:kern w:val="0"/>
    </w:rPr>
  </w:style>
  <w:style w:type="character" w:customStyle="1" w:styleId="84">
    <w:name w:val="三级标题 Char"/>
    <w:link w:val="83"/>
    <w:qFormat/>
    <w:uiPriority w:val="0"/>
    <w:rPr>
      <w:rFonts w:ascii="黑体" w:hAnsi="宋体" w:eastAsia="黑体"/>
      <w:snapToGrid/>
      <w:color w:val="008000"/>
      <w:spacing w:val="20"/>
      <w:sz w:val="24"/>
      <w:szCs w:val="24"/>
    </w:rPr>
  </w:style>
  <w:style w:type="paragraph" w:customStyle="1" w:styleId="85">
    <w:name w:val="主正文3"/>
    <w:basedOn w:val="1"/>
    <w:qFormat/>
    <w:uiPriority w:val="0"/>
    <w:pPr>
      <w:ind w:left="1619" w:leftChars="771"/>
    </w:pPr>
    <w:rPr>
      <w:szCs w:val="20"/>
    </w:rPr>
  </w:style>
  <w:style w:type="paragraph" w:customStyle="1" w:styleId="86">
    <w:name w:val="正文 + 首行缩进:  2 字符"/>
    <w:basedOn w:val="1"/>
    <w:qFormat/>
    <w:uiPriority w:val="0"/>
    <w:pPr>
      <w:adjustRightInd w:val="0"/>
      <w:ind w:firstLine="480" w:firstLineChars="200"/>
    </w:pPr>
    <w:rPr>
      <w:rFonts w:ascii="宋体"/>
    </w:rPr>
  </w:style>
  <w:style w:type="paragraph" w:customStyle="1" w:styleId="87">
    <w:name w:val="图表标题"/>
    <w:basedOn w:val="14"/>
    <w:qFormat/>
    <w:uiPriority w:val="0"/>
    <w:pPr>
      <w:widowControl w:val="0"/>
      <w:snapToGrid/>
      <w:spacing w:before="0" w:after="0" w:line="360" w:lineRule="auto"/>
      <w:ind w:right="0"/>
      <w:jc w:val="center"/>
    </w:pPr>
    <w:rPr>
      <w:rFonts w:ascii="宋体" w:hAnsi="宋体"/>
      <w:b/>
      <w:kern w:val="2"/>
      <w:sz w:val="24"/>
      <w:szCs w:val="21"/>
    </w:rPr>
  </w:style>
  <w:style w:type="paragraph" w:customStyle="1" w:styleId="88">
    <w:name w:val="表格内文字"/>
    <w:basedOn w:val="1"/>
    <w:qFormat/>
    <w:uiPriority w:val="0"/>
    <w:pPr>
      <w:spacing w:line="240" w:lineRule="auto"/>
      <w:jc w:val="center"/>
    </w:pPr>
    <w:rPr>
      <w:rFonts w:hint="eastAsia"/>
      <w:color w:val="000000"/>
      <w:sz w:val="21"/>
      <w:szCs w:val="21"/>
    </w:rPr>
  </w:style>
  <w:style w:type="paragraph" w:customStyle="1" w:styleId="89">
    <w:name w:val="【正文1】"/>
    <w:autoRedefine/>
    <w:qFormat/>
    <w:uiPriority w:val="0"/>
    <w:pPr>
      <w:widowControl w:val="0"/>
      <w:adjustRightInd w:val="0"/>
      <w:snapToGrid w:val="0"/>
      <w:spacing w:line="500" w:lineRule="atLeast"/>
      <w:ind w:firstLine="480" w:firstLineChars="200"/>
      <w:jc w:val="both"/>
    </w:pPr>
    <w:rPr>
      <w:rFonts w:ascii="Times New Roman" w:hAnsi="Times New Roman" w:eastAsia="宋体" w:cs="Times New Roman"/>
      <w:kern w:val="2"/>
      <w:sz w:val="24"/>
      <w:szCs w:val="24"/>
      <w:lang w:val="en-US" w:eastAsia="zh-CN" w:bidi="ar-SA"/>
    </w:rPr>
  </w:style>
  <w:style w:type="paragraph" w:customStyle="1" w:styleId="90">
    <w:name w:val="【表格】"/>
    <w:basedOn w:val="1"/>
    <w:autoRedefine/>
    <w:qFormat/>
    <w:uiPriority w:val="0"/>
    <w:pPr>
      <w:snapToGrid w:val="0"/>
      <w:spacing w:line="400" w:lineRule="exact"/>
    </w:pPr>
    <w:rPr>
      <w:spacing w:val="-4"/>
    </w:rPr>
  </w:style>
  <w:style w:type="paragraph" w:customStyle="1" w:styleId="91">
    <w:name w:val="表格文字"/>
    <w:basedOn w:val="14"/>
    <w:autoRedefine/>
    <w:qFormat/>
    <w:uiPriority w:val="0"/>
    <w:pPr>
      <w:spacing w:line="320" w:lineRule="exact"/>
      <w:ind w:right="0" w:firstLine="0" w:firstLineChars="0"/>
      <w:jc w:val="center"/>
    </w:pPr>
    <w:rPr>
      <w:rFonts w:cstheme="minorBidi"/>
      <w:sz w:val="21"/>
    </w:rPr>
  </w:style>
  <w:style w:type="paragraph" w:customStyle="1" w:styleId="92">
    <w:name w:val="- 页码 -"/>
    <w:autoRedefine/>
    <w:qFormat/>
    <w:uiPriority w:val="0"/>
    <w:pPr>
      <w:widowControl w:val="0"/>
      <w:spacing w:line="360" w:lineRule="auto"/>
      <w:ind w:firstLine="200" w:firstLineChars="200"/>
      <w:jc w:val="both"/>
    </w:pPr>
    <w:rPr>
      <w:rFonts w:ascii="Calibri" w:hAnsi="Calibri" w:eastAsia="宋体" w:cs="Times New Roman"/>
      <w:kern w:val="2"/>
      <w:sz w:val="24"/>
      <w:lang w:val="en-US" w:eastAsia="zh-CN" w:bidi="ar-SA"/>
    </w:rPr>
  </w:style>
  <w:style w:type="paragraph" w:customStyle="1" w:styleId="93">
    <w:name w:val="正文123"/>
    <w:basedOn w:val="1"/>
    <w:next w:val="17"/>
    <w:qFormat/>
    <w:uiPriority w:val="0"/>
    <w:pPr>
      <w:wordWrap w:val="0"/>
      <w:spacing w:line="360" w:lineRule="auto"/>
      <w:ind w:firstLine="480" w:firstLineChars="200"/>
      <w:textAlignment w:val="center"/>
    </w:pPr>
    <w:rPr>
      <w:sz w:val="24"/>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jpe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image" Target="media/image7.emf"/><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86</Pages>
  <Words>474</Words>
  <Characters>484</Characters>
  <Lines>583</Lines>
  <Paragraphs>164</Paragraphs>
  <TotalTime>0</TotalTime>
  <ScaleCrop>false</ScaleCrop>
  <LinksUpToDate>false</LinksUpToDate>
  <CharactersWithSpaces>539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文玉叶</cp:lastModifiedBy>
  <cp:lastPrinted>2023-10-31T08:40:00Z</cp:lastPrinted>
  <dcterms:modified xsi:type="dcterms:W3CDTF">2026-02-02T02:29:22Z</dcterms:modified>
  <cp:revision>126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BF4C60EF68554F8BB7DEF6A497F8783E</vt:lpwstr>
  </property>
  <property fmtid="{D5CDD505-2E9C-101B-9397-08002B2CF9AE}" pid="4" name="KSOTemplateDocerSaveRecord">
    <vt:lpwstr>eyJoZGlkIjoiMDRiZWY3NTc4NGZlMDk1YmY4MDVkMGU3Njc5M2VmZGYiLCJ1c2VySWQiOiI0MDg1MDQyNTQifQ==</vt:lpwstr>
  </property>
</Properties>
</file>