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C1D4F82">
      <w:pPr>
        <w:ind w:firstLine="0" w:firstLineChars="0"/>
        <w:rPr>
          <w:rFonts w:hint="default" w:ascii="Times New Roman" w:hAnsi="Times New Roman" w:eastAsia="宋体" w:cs="Times New Roman"/>
          <w:color w:val="auto"/>
          <w:spacing w:val="0"/>
          <w:highlight w:val="none"/>
        </w:rPr>
      </w:pPr>
      <w:r>
        <w:rPr>
          <w:color w:val="auto"/>
          <w:highlight w:val="none"/>
        </w:rPr>
        <w:drawing>
          <wp:anchor distT="0" distB="0" distL="114300" distR="114300" simplePos="0" relativeHeight="251689984" behindDoc="0" locked="0" layoutInCell="1" allowOverlap="1">
            <wp:simplePos x="0" y="0"/>
            <wp:positionH relativeFrom="column">
              <wp:posOffset>-445135</wp:posOffset>
            </wp:positionH>
            <wp:positionV relativeFrom="paragraph">
              <wp:posOffset>36195</wp:posOffset>
            </wp:positionV>
            <wp:extent cx="6161405" cy="8460740"/>
            <wp:effectExtent l="0" t="0" r="10795" b="16510"/>
            <wp:wrapNone/>
            <wp:docPr id="3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9"/>
                    <pic:cNvPicPr>
                      <a:picLocks noChangeAspect="1"/>
                    </pic:cNvPicPr>
                  </pic:nvPicPr>
                  <pic:blipFill>
                    <a:blip r:embed="rId16"/>
                    <a:stretch>
                      <a:fillRect/>
                    </a:stretch>
                  </pic:blipFill>
                  <pic:spPr>
                    <a:xfrm>
                      <a:off x="0" y="0"/>
                      <a:ext cx="6161405" cy="8460740"/>
                    </a:xfrm>
                    <a:prstGeom prst="rect">
                      <a:avLst/>
                    </a:prstGeom>
                    <a:noFill/>
                    <a:ln>
                      <a:noFill/>
                    </a:ln>
                  </pic:spPr>
                </pic:pic>
              </a:graphicData>
            </a:graphic>
          </wp:anchor>
        </w:drawing>
      </w:r>
    </w:p>
    <w:p w14:paraId="0D54F614">
      <w:pPr>
        <w:rPr>
          <w:rFonts w:hint="default" w:ascii="Times New Roman" w:hAnsi="Times New Roman" w:eastAsia="宋体" w:cs="Times New Roman"/>
          <w:color w:val="auto"/>
          <w:spacing w:val="0"/>
          <w:highlight w:val="none"/>
        </w:rPr>
      </w:pPr>
    </w:p>
    <w:p w14:paraId="39E741B3">
      <w:pPr>
        <w:rPr>
          <w:rFonts w:hint="default" w:ascii="Times New Roman" w:hAnsi="Times New Roman" w:eastAsia="宋体" w:cs="Times New Roman"/>
          <w:color w:val="auto"/>
          <w:spacing w:val="0"/>
          <w:highlight w:val="none"/>
        </w:rPr>
      </w:pPr>
    </w:p>
    <w:p w14:paraId="1F94FB1A">
      <w:pPr>
        <w:rPr>
          <w:rFonts w:hint="default" w:ascii="Times New Roman" w:hAnsi="Times New Roman" w:eastAsia="宋体" w:cs="Times New Roman"/>
          <w:color w:val="auto"/>
          <w:spacing w:val="0"/>
          <w:highlight w:val="none"/>
        </w:rPr>
      </w:pPr>
    </w:p>
    <w:p w14:paraId="229A7EB0">
      <w:pPr>
        <w:rPr>
          <w:rFonts w:hint="default" w:ascii="Times New Roman" w:hAnsi="Times New Roman" w:eastAsia="宋体" w:cs="Times New Roman"/>
          <w:color w:val="auto"/>
          <w:spacing w:val="0"/>
          <w:highlight w:val="none"/>
        </w:rPr>
      </w:pPr>
    </w:p>
    <w:p w14:paraId="1FFD3718">
      <w:pPr>
        <w:ind w:firstLine="0" w:firstLineChars="0"/>
        <w:jc w:val="center"/>
        <w:rPr>
          <w:rFonts w:hint="default" w:ascii="Times New Roman" w:hAnsi="Times New Roman" w:eastAsia="宋体" w:cs="Times New Roman"/>
          <w:color w:val="auto"/>
          <w:spacing w:val="0"/>
          <w:sz w:val="72"/>
          <w:szCs w:val="72"/>
          <w:highlight w:val="none"/>
        </w:rPr>
      </w:pPr>
      <w:bookmarkStart w:id="0" w:name="_Toc70405719"/>
      <w:r>
        <w:rPr>
          <w:rFonts w:hint="default" w:ascii="Times New Roman" w:hAnsi="Times New Roman" w:eastAsia="宋体" w:cs="Times New Roman"/>
          <w:color w:val="auto"/>
          <w:spacing w:val="0"/>
          <w:sz w:val="72"/>
          <w:szCs w:val="72"/>
          <w:highlight w:val="none"/>
        </w:rPr>
        <w:t>建设项目环境影响报告表</w:t>
      </w:r>
      <w:bookmarkEnd w:id="0"/>
    </w:p>
    <w:p w14:paraId="48594D74">
      <w:pPr>
        <w:spacing w:before="192" w:beforeLines="80"/>
        <w:ind w:firstLine="0" w:firstLineChars="0"/>
        <w:jc w:val="center"/>
        <w:rPr>
          <w:rFonts w:hint="default" w:ascii="Times New Roman" w:hAnsi="Times New Roman" w:eastAsia="宋体" w:cs="Times New Roman"/>
          <w:color w:val="auto"/>
          <w:spacing w:val="0"/>
          <w:sz w:val="48"/>
          <w:szCs w:val="48"/>
          <w:highlight w:val="none"/>
        </w:rPr>
      </w:pPr>
      <w:r>
        <w:rPr>
          <w:rFonts w:hint="default" w:ascii="Times New Roman" w:hAnsi="Times New Roman" w:eastAsia="宋体" w:cs="Times New Roman"/>
          <w:color w:val="auto"/>
          <w:spacing w:val="0"/>
          <w:sz w:val="48"/>
          <w:szCs w:val="48"/>
          <w:highlight w:val="none"/>
        </w:rPr>
        <w:t>（污染影响类）</w:t>
      </w:r>
    </w:p>
    <w:p w14:paraId="352F5767">
      <w:pPr>
        <w:rPr>
          <w:rFonts w:hint="default" w:ascii="Times New Roman" w:hAnsi="Times New Roman" w:eastAsia="宋体" w:cs="Times New Roman"/>
          <w:color w:val="auto"/>
          <w:spacing w:val="0"/>
          <w:kern w:val="44"/>
          <w:highlight w:val="none"/>
        </w:rPr>
      </w:pPr>
    </w:p>
    <w:p w14:paraId="6796079A">
      <w:pPr>
        <w:rPr>
          <w:rFonts w:hint="default" w:ascii="Times New Roman" w:hAnsi="Times New Roman" w:eastAsia="宋体" w:cs="Times New Roman"/>
          <w:color w:val="auto"/>
          <w:spacing w:val="0"/>
          <w:highlight w:val="none"/>
        </w:rPr>
      </w:pPr>
    </w:p>
    <w:p w14:paraId="0855151C">
      <w:pPr>
        <w:pStyle w:val="13"/>
        <w:rPr>
          <w:rFonts w:hint="default" w:ascii="Times New Roman" w:hAnsi="Times New Roman" w:eastAsia="宋体" w:cs="Times New Roman"/>
          <w:color w:val="auto"/>
          <w:spacing w:val="0"/>
          <w:highlight w:val="none"/>
        </w:rPr>
      </w:pPr>
    </w:p>
    <w:p w14:paraId="40B68850">
      <w:pPr>
        <w:rPr>
          <w:rFonts w:hint="default" w:ascii="Times New Roman" w:hAnsi="Times New Roman" w:eastAsia="宋体" w:cs="Times New Roman"/>
          <w:color w:val="auto"/>
          <w:spacing w:val="0"/>
          <w:highlight w:val="none"/>
        </w:rPr>
      </w:pPr>
    </w:p>
    <w:p w14:paraId="62A8BA12">
      <w:pPr>
        <w:pStyle w:val="13"/>
        <w:rPr>
          <w:rFonts w:hint="default" w:ascii="Times New Roman" w:hAnsi="Times New Roman" w:eastAsia="宋体" w:cs="Times New Roman"/>
          <w:color w:val="auto"/>
          <w:spacing w:val="0"/>
          <w:highlight w:val="none"/>
        </w:rPr>
      </w:pPr>
    </w:p>
    <w:p w14:paraId="6AA25219">
      <w:pPr>
        <w:rPr>
          <w:rFonts w:hint="default"/>
          <w:color w:val="auto"/>
          <w:highlight w:val="none"/>
        </w:rPr>
      </w:pPr>
    </w:p>
    <w:p w14:paraId="1876766F">
      <w:pPr>
        <w:rPr>
          <w:rFonts w:hint="default" w:ascii="Times New Roman" w:hAnsi="Times New Roman" w:eastAsia="宋体" w:cs="Times New Roman"/>
          <w:color w:val="auto"/>
          <w:spacing w:val="0"/>
          <w:highlight w:val="none"/>
        </w:rPr>
      </w:pPr>
    </w:p>
    <w:p w14:paraId="0AAC691F">
      <w:pPr>
        <w:rPr>
          <w:rFonts w:hint="default" w:ascii="Times New Roman" w:hAnsi="Times New Roman" w:eastAsia="宋体" w:cs="Times New Roman"/>
          <w:color w:val="auto"/>
          <w:spacing w:val="0"/>
          <w:highlight w:val="none"/>
        </w:rPr>
      </w:pPr>
    </w:p>
    <w:p w14:paraId="410826B3">
      <w:pPr>
        <w:rPr>
          <w:rFonts w:hint="default" w:ascii="Times New Roman" w:hAnsi="Times New Roman" w:eastAsia="宋体" w:cs="Times New Roman"/>
          <w:color w:val="auto"/>
          <w:spacing w:val="0"/>
          <w:highlight w:val="none"/>
        </w:rPr>
      </w:pPr>
    </w:p>
    <w:p w14:paraId="52D854B2">
      <w:pPr>
        <w:adjustRightInd/>
        <w:ind w:firstLine="0" w:firstLineChars="0"/>
        <w:jc w:val="left"/>
        <w:rPr>
          <w:rFonts w:hint="default" w:ascii="Times New Roman" w:hAnsi="Times New Roman" w:eastAsia="宋体" w:cs="Times New Roman"/>
          <w:b w:val="0"/>
          <w:bCs w:val="0"/>
          <w:color w:val="auto"/>
          <w:spacing w:val="0"/>
          <w:sz w:val="32"/>
          <w:szCs w:val="32"/>
          <w:highlight w:val="none"/>
          <w:u w:val="single"/>
          <w:lang w:val="en-US" w:eastAsia="zh-CN"/>
        </w:rPr>
      </w:pPr>
      <w:r>
        <w:rPr>
          <w:rFonts w:hint="default" w:ascii="Times New Roman" w:hAnsi="Times New Roman" w:eastAsia="宋体" w:cs="Times New Roman"/>
          <w:bCs w:val="0"/>
          <w:color w:val="auto"/>
          <w:spacing w:val="0"/>
          <w:sz w:val="32"/>
          <w:szCs w:val="32"/>
          <w:highlight w:val="none"/>
        </w:rPr>
        <w:t>项目名称：</w:t>
      </w:r>
      <w:r>
        <w:rPr>
          <w:rFonts w:hint="default" w:ascii="Times New Roman" w:hAnsi="Times New Roman" w:cs="Times New Roman"/>
          <w:b w:val="0"/>
          <w:bCs w:val="0"/>
          <w:color w:val="auto"/>
          <w:spacing w:val="0"/>
          <w:sz w:val="32"/>
          <w:szCs w:val="32"/>
          <w:highlight w:val="none"/>
          <w:u w:val="single"/>
          <w:lang w:val="en-US" w:eastAsia="zh-CN"/>
        </w:rPr>
        <w:t>鸡西鸡矿医院有限公司城子河医院临时</w:t>
      </w:r>
      <w:r>
        <w:rPr>
          <w:rFonts w:hint="default" w:ascii="Times New Roman" w:hAnsi="Times New Roman" w:eastAsia="宋体" w:cs="Times New Roman"/>
          <w:b w:val="0"/>
          <w:bCs w:val="0"/>
          <w:color w:val="auto"/>
          <w:spacing w:val="0"/>
          <w:sz w:val="32"/>
          <w:szCs w:val="32"/>
          <w:highlight w:val="none"/>
          <w:u w:val="single"/>
          <w:lang w:val="en-US" w:eastAsia="zh-CN"/>
        </w:rPr>
        <w:t>锅炉</w:t>
      </w:r>
    </w:p>
    <w:p w14:paraId="70BC8151">
      <w:pPr>
        <w:adjustRightInd/>
        <w:ind w:firstLine="1600" w:firstLineChars="500"/>
        <w:jc w:val="left"/>
        <w:rPr>
          <w:rFonts w:hint="default" w:ascii="Times New Roman" w:hAnsi="Times New Roman" w:eastAsia="宋体" w:cs="Times New Roman"/>
          <w:b w:val="0"/>
          <w:bCs w:val="0"/>
          <w:color w:val="auto"/>
          <w:spacing w:val="0"/>
          <w:sz w:val="32"/>
          <w:szCs w:val="32"/>
          <w:highlight w:val="none"/>
          <w:u w:val="single"/>
          <w:lang w:eastAsia="zh-CN"/>
        </w:rPr>
      </w:pPr>
      <w:r>
        <w:rPr>
          <w:rFonts w:hint="default" w:ascii="Times New Roman" w:hAnsi="Times New Roman" w:eastAsia="宋体" w:cs="Times New Roman"/>
          <w:b w:val="0"/>
          <w:bCs w:val="0"/>
          <w:color w:val="auto"/>
          <w:spacing w:val="0"/>
          <w:sz w:val="32"/>
          <w:szCs w:val="32"/>
          <w:highlight w:val="none"/>
          <w:u w:val="single"/>
          <w:lang w:val="en-US" w:eastAsia="zh-CN"/>
        </w:rPr>
        <w:t>建设项目</w:t>
      </w:r>
    </w:p>
    <w:p w14:paraId="6B77265E">
      <w:pPr>
        <w:adjustRightInd/>
        <w:ind w:firstLine="0" w:firstLineChars="0"/>
        <w:jc w:val="left"/>
        <w:rPr>
          <w:rFonts w:hint="default" w:ascii="Times New Roman" w:hAnsi="Times New Roman" w:eastAsia="宋体" w:cs="Times New Roman"/>
          <w:b/>
          <w:bCs w:val="0"/>
          <w:color w:val="auto"/>
          <w:spacing w:val="0"/>
          <w:sz w:val="32"/>
          <w:szCs w:val="32"/>
          <w:highlight w:val="none"/>
          <w:u w:val="single"/>
          <w:lang w:eastAsia="zh-CN"/>
        </w:rPr>
      </w:pPr>
      <w:r>
        <w:rPr>
          <w:rFonts w:hint="default" w:ascii="Times New Roman" w:hAnsi="Times New Roman" w:eastAsia="宋体" w:cs="Times New Roman"/>
          <w:bCs w:val="0"/>
          <w:color w:val="auto"/>
          <w:spacing w:val="0"/>
          <w:sz w:val="32"/>
          <w:szCs w:val="32"/>
          <w:highlight w:val="none"/>
        </w:rPr>
        <w:t>建设单位</w:t>
      </w:r>
      <w:r>
        <w:rPr>
          <w:rFonts w:hint="default" w:ascii="Times New Roman" w:hAnsi="Times New Roman" w:eastAsia="宋体" w:cs="Times New Roman"/>
          <w:bCs w:val="0"/>
          <w:color w:val="auto"/>
          <w:spacing w:val="0"/>
          <w:sz w:val="32"/>
          <w:szCs w:val="32"/>
          <w:highlight w:val="none"/>
          <w:lang w:eastAsia="zh-CN"/>
        </w:rPr>
        <w:t>（</w:t>
      </w:r>
      <w:r>
        <w:rPr>
          <w:rFonts w:hint="default" w:ascii="Times New Roman" w:hAnsi="Times New Roman" w:eastAsia="宋体" w:cs="Times New Roman"/>
          <w:bCs w:val="0"/>
          <w:color w:val="auto"/>
          <w:spacing w:val="0"/>
          <w:sz w:val="32"/>
          <w:szCs w:val="32"/>
          <w:highlight w:val="none"/>
          <w:lang w:val="en-US" w:eastAsia="zh-CN"/>
        </w:rPr>
        <w:t>盖章</w:t>
      </w:r>
      <w:r>
        <w:rPr>
          <w:rFonts w:hint="default" w:ascii="Times New Roman" w:hAnsi="Times New Roman" w:eastAsia="宋体" w:cs="Times New Roman"/>
          <w:bCs w:val="0"/>
          <w:color w:val="auto"/>
          <w:spacing w:val="0"/>
          <w:sz w:val="32"/>
          <w:szCs w:val="32"/>
          <w:highlight w:val="none"/>
          <w:lang w:eastAsia="zh-CN"/>
        </w:rPr>
        <w:t>）</w:t>
      </w:r>
      <w:r>
        <w:rPr>
          <w:rFonts w:hint="default" w:ascii="Times New Roman" w:hAnsi="Times New Roman" w:eastAsia="宋体" w:cs="Times New Roman"/>
          <w:bCs w:val="0"/>
          <w:color w:val="auto"/>
          <w:spacing w:val="0"/>
          <w:sz w:val="32"/>
          <w:szCs w:val="32"/>
          <w:highlight w:val="none"/>
        </w:rPr>
        <w:t>：</w:t>
      </w:r>
      <w:r>
        <w:rPr>
          <w:rFonts w:hint="default" w:ascii="Times New Roman" w:hAnsi="Times New Roman" w:cs="Times New Roman"/>
          <w:b w:val="0"/>
          <w:bCs w:val="0"/>
          <w:color w:val="auto"/>
          <w:spacing w:val="0"/>
          <w:sz w:val="32"/>
          <w:szCs w:val="32"/>
          <w:highlight w:val="none"/>
          <w:u w:val="single"/>
          <w:lang w:eastAsia="zh-CN"/>
        </w:rPr>
        <w:t>鸡西鸡矿医院有限公司城子河医院</w:t>
      </w:r>
    </w:p>
    <w:p w14:paraId="450CEE2F">
      <w:pPr>
        <w:adjustRightInd/>
        <w:ind w:firstLine="0" w:firstLineChars="0"/>
        <w:jc w:val="center"/>
        <w:rPr>
          <w:rFonts w:hint="default" w:ascii="Times New Roman" w:hAnsi="Times New Roman" w:eastAsia="宋体" w:cs="Times New Roman"/>
          <w:bCs w:val="0"/>
          <w:color w:val="auto"/>
          <w:spacing w:val="0"/>
          <w:sz w:val="32"/>
          <w:szCs w:val="32"/>
          <w:highlight w:val="none"/>
        </w:rPr>
      </w:pPr>
    </w:p>
    <w:p w14:paraId="1C4561B5">
      <w:pPr>
        <w:adjustRightInd/>
        <w:ind w:firstLine="0" w:firstLineChars="0"/>
        <w:jc w:val="center"/>
        <w:rPr>
          <w:rFonts w:hint="default" w:ascii="Times New Roman" w:hAnsi="Times New Roman" w:eastAsia="宋体" w:cs="Times New Roman"/>
          <w:bCs w:val="0"/>
          <w:color w:val="auto"/>
          <w:spacing w:val="0"/>
          <w:sz w:val="36"/>
          <w:szCs w:val="36"/>
          <w:highlight w:val="none"/>
          <w:u w:val="single"/>
        </w:rPr>
      </w:pPr>
      <w:r>
        <w:rPr>
          <w:rFonts w:hint="default" w:ascii="Times New Roman" w:hAnsi="Times New Roman" w:eastAsia="宋体" w:cs="Times New Roman"/>
          <w:bCs w:val="0"/>
          <w:color w:val="auto"/>
          <w:spacing w:val="0"/>
          <w:sz w:val="32"/>
          <w:szCs w:val="32"/>
          <w:highlight w:val="none"/>
        </w:rPr>
        <w:t>编制日期</w:t>
      </w:r>
      <w:r>
        <w:rPr>
          <w:rFonts w:hint="default" w:ascii="Times New Roman" w:hAnsi="Times New Roman" w:eastAsia="宋体" w:cs="Times New Roman"/>
          <w:b w:val="0"/>
          <w:bCs w:val="0"/>
          <w:color w:val="auto"/>
          <w:spacing w:val="0"/>
          <w:sz w:val="32"/>
          <w:szCs w:val="32"/>
          <w:highlight w:val="none"/>
        </w:rPr>
        <w:t>：</w:t>
      </w:r>
      <w:r>
        <w:rPr>
          <w:rFonts w:hint="default" w:ascii="Times New Roman" w:hAnsi="Times New Roman" w:eastAsia="宋体" w:cs="Times New Roman"/>
          <w:b w:val="0"/>
          <w:bCs w:val="0"/>
          <w:color w:val="auto"/>
          <w:spacing w:val="0"/>
          <w:sz w:val="32"/>
          <w:szCs w:val="32"/>
          <w:highlight w:val="none"/>
          <w:u w:val="single"/>
        </w:rPr>
        <w:t>202</w:t>
      </w:r>
      <w:r>
        <w:rPr>
          <w:rFonts w:hint="default" w:ascii="Times New Roman" w:hAnsi="Times New Roman" w:cs="Times New Roman"/>
          <w:b w:val="0"/>
          <w:bCs w:val="0"/>
          <w:color w:val="auto"/>
          <w:spacing w:val="0"/>
          <w:sz w:val="32"/>
          <w:szCs w:val="32"/>
          <w:highlight w:val="none"/>
          <w:u w:val="single"/>
          <w:lang w:val="en-US" w:eastAsia="zh-CN"/>
        </w:rPr>
        <w:t>5</w:t>
      </w:r>
      <w:r>
        <w:rPr>
          <w:rFonts w:hint="default" w:ascii="Times New Roman" w:hAnsi="Times New Roman" w:eastAsia="宋体" w:cs="Times New Roman"/>
          <w:b w:val="0"/>
          <w:bCs w:val="0"/>
          <w:color w:val="auto"/>
          <w:spacing w:val="0"/>
          <w:sz w:val="32"/>
          <w:szCs w:val="32"/>
          <w:highlight w:val="none"/>
          <w:u w:val="single"/>
        </w:rPr>
        <w:t>年</w:t>
      </w:r>
      <w:r>
        <w:rPr>
          <w:rFonts w:hint="default" w:ascii="Times New Roman" w:hAnsi="Times New Roman" w:cs="Times New Roman"/>
          <w:b w:val="0"/>
          <w:bCs w:val="0"/>
          <w:color w:val="auto"/>
          <w:spacing w:val="0"/>
          <w:sz w:val="32"/>
          <w:szCs w:val="32"/>
          <w:highlight w:val="none"/>
          <w:u w:val="single"/>
          <w:lang w:val="en-US" w:eastAsia="zh-CN"/>
        </w:rPr>
        <w:t>11</w:t>
      </w:r>
      <w:r>
        <w:rPr>
          <w:rFonts w:hint="default" w:ascii="Times New Roman" w:hAnsi="Times New Roman" w:eastAsia="宋体" w:cs="Times New Roman"/>
          <w:b w:val="0"/>
          <w:bCs w:val="0"/>
          <w:color w:val="auto"/>
          <w:spacing w:val="0"/>
          <w:sz w:val="32"/>
          <w:szCs w:val="32"/>
          <w:highlight w:val="none"/>
          <w:u w:val="single"/>
        </w:rPr>
        <w:t>月</w:t>
      </w:r>
    </w:p>
    <w:p w14:paraId="2E37E837">
      <w:pPr>
        <w:tabs>
          <w:tab w:val="center" w:pos="4422"/>
        </w:tabs>
        <w:spacing w:line="288" w:lineRule="auto"/>
        <w:ind w:firstLine="0" w:firstLineChars="0"/>
        <w:jc w:val="left"/>
        <w:rPr>
          <w:rFonts w:hint="default" w:ascii="Times New Roman" w:hAnsi="Times New Roman" w:eastAsia="宋体" w:cs="Times New Roman"/>
          <w:bCs w:val="0"/>
          <w:color w:val="auto"/>
          <w:spacing w:val="0"/>
          <w:sz w:val="36"/>
          <w:szCs w:val="36"/>
          <w:highlight w:val="none"/>
        </w:rPr>
      </w:pPr>
    </w:p>
    <w:p w14:paraId="3B2C0AD7">
      <w:pPr>
        <w:tabs>
          <w:tab w:val="center" w:pos="4422"/>
        </w:tabs>
        <w:spacing w:line="288" w:lineRule="auto"/>
        <w:ind w:firstLine="0" w:firstLineChars="0"/>
        <w:jc w:val="center"/>
        <w:rPr>
          <w:rFonts w:hint="eastAsia" w:ascii="Times New Roman" w:hAnsi="Times New Roman" w:eastAsia="宋体" w:cs="Times New Roman"/>
          <w:color w:val="auto"/>
          <w:sz w:val="36"/>
          <w:szCs w:val="36"/>
          <w:highlight w:val="none"/>
          <w:lang w:eastAsia="zh-CN"/>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1077" w:gutter="0"/>
          <w:pgBorders w:offsetFrom="page">
            <w:top w:val="none" w:sz="0" w:space="0"/>
            <w:left w:val="none" w:sz="0" w:space="0"/>
            <w:bottom w:val="none" w:sz="0" w:space="0"/>
            <w:right w:val="none" w:sz="0" w:space="0"/>
          </w:pgBorders>
          <w:cols w:space="720" w:num="1"/>
          <w:docGrid w:linePitch="312" w:charSpace="0"/>
        </w:sectPr>
      </w:pPr>
      <w:r>
        <w:rPr>
          <w:rFonts w:hint="default" w:ascii="Times New Roman" w:hAnsi="Times New Roman" w:cs="Times New Roman"/>
          <w:color w:val="auto"/>
          <w:sz w:val="36"/>
          <w:szCs w:val="36"/>
          <w:highlight w:val="none"/>
        </w:rPr>
        <w:t>中华人民共和国生态环境部制</w:t>
      </w:r>
      <w:r>
        <w:rPr>
          <w:color w:val="auto"/>
          <w:highlight w:val="none"/>
        </w:rPr>
        <w:drawing>
          <wp:inline distT="0" distB="0" distL="114300" distR="114300">
            <wp:extent cx="5271135" cy="7421245"/>
            <wp:effectExtent l="0" t="0" r="5715" b="8255"/>
            <wp:docPr id="3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8"/>
                    <pic:cNvPicPr>
                      <a:picLocks noChangeAspect="1"/>
                    </pic:cNvPicPr>
                  </pic:nvPicPr>
                  <pic:blipFill>
                    <a:blip r:embed="rId17"/>
                    <a:stretch>
                      <a:fillRect/>
                    </a:stretch>
                  </pic:blipFill>
                  <pic:spPr>
                    <a:xfrm>
                      <a:off x="0" y="0"/>
                      <a:ext cx="5271135" cy="7421245"/>
                    </a:xfrm>
                    <a:prstGeom prst="rect">
                      <a:avLst/>
                    </a:prstGeom>
                    <a:noFill/>
                    <a:ln>
                      <a:noFill/>
                    </a:ln>
                  </pic:spPr>
                </pic:pic>
              </a:graphicData>
            </a:graphic>
          </wp:inline>
        </w:drawing>
      </w:r>
    </w:p>
    <w:p w14:paraId="1BAA25C1">
      <w:pPr>
        <w:spacing w:before="0" w:beforeLines="0" w:after="0" w:afterLines="0" w:line="240" w:lineRule="auto"/>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eastAsia="宋体" w:cs="Times New Roman"/>
          <w:color w:val="auto"/>
          <w:sz w:val="28"/>
          <w:szCs w:val="36"/>
          <w:highlight w:val="none"/>
        </w:rPr>
        <w:t>目录</w:t>
      </w:r>
    </w:p>
    <w:p w14:paraId="27C9C0CF">
      <w:pPr>
        <w:pStyle w:val="22"/>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TOC \o "1-1" \h \u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_Toc13576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Times New Roman"/>
          <w:color w:val="auto"/>
          <w:spacing w:val="0"/>
          <w:highlight w:val="none"/>
        </w:rPr>
        <w:t>一、建设项目基本情况</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_Toc13576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fldChar w:fldCharType="end"/>
      </w:r>
    </w:p>
    <w:p w14:paraId="6EDE5F91">
      <w:pPr>
        <w:pStyle w:val="22"/>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_Toc3258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Times New Roman"/>
          <w:bCs w:val="0"/>
          <w:color w:val="auto"/>
          <w:spacing w:val="0"/>
          <w:highlight w:val="none"/>
        </w:rPr>
        <w:t>二、建设项目工程分析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_Toc3258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19</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fldChar w:fldCharType="end"/>
      </w:r>
    </w:p>
    <w:p w14:paraId="184698AD">
      <w:pPr>
        <w:pStyle w:val="22"/>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_Toc2930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Times New Roman"/>
          <w:bCs w:val="0"/>
          <w:color w:val="auto"/>
          <w:spacing w:val="0"/>
          <w:highlight w:val="none"/>
        </w:rPr>
        <w:t>三、区域环境质量现状、环境保护目标及评价标准</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_Toc2930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fldChar w:fldCharType="end"/>
      </w:r>
    </w:p>
    <w:p w14:paraId="070F63EE">
      <w:pPr>
        <w:pStyle w:val="22"/>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_Toc20438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Times New Roman"/>
          <w:bCs w:val="0"/>
          <w:color w:val="auto"/>
          <w:spacing w:val="0"/>
          <w:highlight w:val="none"/>
        </w:rPr>
        <w:t>四、主要环境影响和保护措施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_Toc20438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38</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fldChar w:fldCharType="end"/>
      </w:r>
    </w:p>
    <w:p w14:paraId="6A0C0614">
      <w:pPr>
        <w:pStyle w:val="22"/>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_Toc2867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Times New Roman"/>
          <w:bCs w:val="0"/>
          <w:color w:val="auto"/>
          <w:spacing w:val="0"/>
          <w:highlight w:val="none"/>
        </w:rPr>
        <w:t>五、环境保护措施监督检查清单</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_Toc2867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61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fldChar w:fldCharType="end"/>
      </w:r>
    </w:p>
    <w:p w14:paraId="33A84D77">
      <w:pPr>
        <w:pStyle w:val="22"/>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_Toc8430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Times New Roman"/>
          <w:bCs w:val="0"/>
          <w:color w:val="auto"/>
          <w:spacing w:val="0"/>
          <w:highlight w:val="none"/>
        </w:rPr>
        <w:t>六、结论</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_Toc8430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65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fldChar w:fldCharType="end"/>
      </w:r>
    </w:p>
    <w:p w14:paraId="47EF10F6">
      <w:pPr>
        <w:pStyle w:val="22"/>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_Toc9205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Times New Roman"/>
          <w:bCs/>
          <w:color w:val="auto"/>
          <w:spacing w:val="0"/>
          <w:highlight w:val="none"/>
        </w:rPr>
        <w:t>附表</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_Toc9205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66</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fldChar w:fldCharType="end"/>
      </w:r>
    </w:p>
    <w:p w14:paraId="76ABFB0B">
      <w:pPr>
        <w:pStyle w:val="22"/>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_Toc15147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Times New Roman"/>
          <w:bCs w:val="0"/>
          <w:color w:val="auto"/>
          <w:spacing w:val="0"/>
          <w:highlight w:val="none"/>
          <w:lang w:val="en-US" w:eastAsia="zh-CN"/>
        </w:rPr>
        <w:t>附图1 项目所在位置图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_Toc15147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67</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fldChar w:fldCharType="end"/>
      </w:r>
    </w:p>
    <w:p w14:paraId="0C075FB4">
      <w:pPr>
        <w:pStyle w:val="22"/>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_Toc3541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Times New Roman"/>
          <w:bCs/>
          <w:color w:val="auto"/>
          <w:spacing w:val="0"/>
          <w:szCs w:val="24"/>
          <w:highlight w:val="none"/>
        </w:rPr>
        <w:t>附图</w:t>
      </w:r>
      <w:r>
        <w:rPr>
          <w:rFonts w:hint="default" w:ascii="Times New Roman" w:hAnsi="Times New Roman" w:eastAsia="宋体" w:cs="Times New Roman"/>
          <w:bCs/>
          <w:color w:val="auto"/>
          <w:spacing w:val="0"/>
          <w:szCs w:val="24"/>
          <w:highlight w:val="none"/>
          <w:lang w:val="en-US" w:eastAsia="zh-CN"/>
        </w:rPr>
        <w:t>2</w:t>
      </w:r>
      <w:r>
        <w:rPr>
          <w:rFonts w:hint="default" w:ascii="Times New Roman" w:hAnsi="Times New Roman" w:eastAsia="宋体" w:cs="Times New Roman"/>
          <w:bCs/>
          <w:color w:val="auto"/>
          <w:spacing w:val="0"/>
          <w:szCs w:val="24"/>
          <w:highlight w:val="none"/>
        </w:rPr>
        <w:t xml:space="preserve"> </w:t>
      </w:r>
      <w:r>
        <w:rPr>
          <w:rFonts w:hint="default" w:ascii="Times New Roman" w:hAnsi="Times New Roman" w:eastAsia="宋体" w:cs="Times New Roman"/>
          <w:bCs/>
          <w:color w:val="auto"/>
          <w:spacing w:val="0"/>
          <w:szCs w:val="24"/>
          <w:highlight w:val="none"/>
          <w:lang w:val="en-US" w:eastAsia="zh-CN"/>
        </w:rPr>
        <w:t>锅炉总</w:t>
      </w:r>
      <w:r>
        <w:rPr>
          <w:rFonts w:hint="default" w:ascii="Times New Roman" w:hAnsi="Times New Roman" w:eastAsia="宋体" w:cs="Times New Roman"/>
          <w:bCs/>
          <w:color w:val="auto"/>
          <w:spacing w:val="0"/>
          <w:szCs w:val="24"/>
          <w:highlight w:val="none"/>
        </w:rPr>
        <w:t>平面布置图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_Toc3541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68</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fldChar w:fldCharType="end"/>
      </w:r>
    </w:p>
    <w:p w14:paraId="65F681AA">
      <w:pPr>
        <w:pStyle w:val="22"/>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_Toc8552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bCs w:val="0"/>
          <w:color w:val="auto"/>
          <w:highlight w:val="none"/>
          <w:lang w:val="en-US" w:eastAsia="zh-CN"/>
        </w:rPr>
        <w:t>附件3 锅炉房平面布置图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_Toc8552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69</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fldChar w:fldCharType="end"/>
      </w:r>
    </w:p>
    <w:p w14:paraId="1B502B02">
      <w:pPr>
        <w:pStyle w:val="22"/>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_Toc1708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bCs w:val="0"/>
          <w:color w:val="auto"/>
          <w:szCs w:val="18"/>
          <w:highlight w:val="none"/>
          <w:lang w:val="en-US" w:eastAsia="zh-CN"/>
        </w:rPr>
        <w:t>附图4 环境管控单元分布图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_Toc1708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70</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fldChar w:fldCharType="end"/>
      </w:r>
    </w:p>
    <w:p w14:paraId="1E3A9C39">
      <w:pPr>
        <w:pStyle w:val="22"/>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_Toc28376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Times New Roman"/>
          <w:bCs w:val="0"/>
          <w:color w:val="auto"/>
          <w:spacing w:val="0"/>
          <w:highlight w:val="none"/>
          <w:lang w:val="en-US" w:eastAsia="zh-CN"/>
        </w:rPr>
        <w:t xml:space="preserve">附件1 </w:t>
      </w:r>
      <w:r>
        <w:rPr>
          <w:rFonts w:hint="default" w:ascii="Times New Roman" w:hAnsi="Times New Roman" w:cs="Times New Roman"/>
          <w:bCs w:val="0"/>
          <w:color w:val="auto"/>
          <w:spacing w:val="0"/>
          <w:highlight w:val="none"/>
          <w:lang w:val="en-US" w:eastAsia="zh-CN"/>
        </w:rPr>
        <w:t>医疗机构执业许可证</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_Toc28376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fldChar w:fldCharType="end"/>
      </w:r>
    </w:p>
    <w:p w14:paraId="01972178">
      <w:pPr>
        <w:pStyle w:val="22"/>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_Toc18076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bCs w:val="0"/>
          <w:color w:val="auto"/>
          <w:spacing w:val="0"/>
          <w:highlight w:val="none"/>
          <w:lang w:val="en-US" w:eastAsia="zh-CN"/>
        </w:rPr>
        <w:t>附件2 排污许可证正本</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_Toc18076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77</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fldChar w:fldCharType="end"/>
      </w:r>
    </w:p>
    <w:p w14:paraId="4194D79B">
      <w:pPr>
        <w:pStyle w:val="22"/>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_Toc17899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Times New Roman"/>
          <w:bCs/>
          <w:snapToGrid w:val="0"/>
          <w:color w:val="auto"/>
          <w:spacing w:val="0"/>
          <w:kern w:val="0"/>
          <w:szCs w:val="24"/>
          <w:highlight w:val="none"/>
          <w:lang w:val="en-US" w:eastAsia="zh-CN" w:bidi="ar-SA"/>
        </w:rPr>
        <w:t>附件</w:t>
      </w:r>
      <w:r>
        <w:rPr>
          <w:rFonts w:hint="default" w:ascii="Times New Roman" w:hAnsi="Times New Roman" w:cs="Times New Roman"/>
          <w:bCs/>
          <w:snapToGrid w:val="0"/>
          <w:color w:val="auto"/>
          <w:spacing w:val="0"/>
          <w:kern w:val="0"/>
          <w:szCs w:val="24"/>
          <w:highlight w:val="none"/>
          <w:lang w:val="en-US" w:eastAsia="zh-CN" w:bidi="ar-SA"/>
        </w:rPr>
        <w:t>3</w:t>
      </w:r>
      <w:r>
        <w:rPr>
          <w:rFonts w:hint="default" w:ascii="Times New Roman" w:hAnsi="Times New Roman" w:eastAsia="宋体" w:cs="Times New Roman"/>
          <w:bCs/>
          <w:snapToGrid w:val="0"/>
          <w:color w:val="auto"/>
          <w:spacing w:val="0"/>
          <w:kern w:val="0"/>
          <w:szCs w:val="24"/>
          <w:highlight w:val="none"/>
          <w:lang w:val="en-US" w:eastAsia="zh-CN" w:bidi="ar-SA"/>
        </w:rPr>
        <w:t xml:space="preserve"> </w:t>
      </w:r>
      <w:r>
        <w:rPr>
          <w:rFonts w:hint="default" w:ascii="Times New Roman" w:hAnsi="Times New Roman" w:cs="Times New Roman"/>
          <w:bCs/>
          <w:snapToGrid w:val="0"/>
          <w:color w:val="auto"/>
          <w:spacing w:val="0"/>
          <w:kern w:val="0"/>
          <w:szCs w:val="24"/>
          <w:highlight w:val="none"/>
          <w:lang w:val="en-US" w:eastAsia="zh-CN" w:bidi="ar-SA"/>
        </w:rPr>
        <w:t>燃料分析</w:t>
      </w:r>
      <w:r>
        <w:rPr>
          <w:rFonts w:hint="default" w:ascii="Times New Roman" w:hAnsi="Times New Roman" w:eastAsia="宋体" w:cs="Times New Roman"/>
          <w:bCs/>
          <w:snapToGrid w:val="0"/>
          <w:color w:val="auto"/>
          <w:spacing w:val="0"/>
          <w:kern w:val="0"/>
          <w:szCs w:val="24"/>
          <w:highlight w:val="none"/>
          <w:lang w:val="en-US" w:eastAsia="zh-CN" w:bidi="ar-SA"/>
        </w:rPr>
        <w:t>报告</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_Toc17899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78</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fldChar w:fldCharType="end"/>
      </w:r>
    </w:p>
    <w:p w14:paraId="2F852D54">
      <w:pPr>
        <w:pStyle w:val="22"/>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_Toc19932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bCs w:val="0"/>
          <w:color w:val="auto"/>
          <w:highlight w:val="none"/>
          <w:lang w:val="en-US" w:eastAsia="zh-CN"/>
        </w:rPr>
        <w:t>附件4 环境现状监测报告</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_Toc19932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79</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fldChar w:fldCharType="end"/>
      </w:r>
    </w:p>
    <w:p w14:paraId="143D51F0">
      <w:pPr>
        <w:pStyle w:val="22"/>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_Toc5977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Times New Roman"/>
          <w:bCs/>
          <w:color w:val="auto"/>
          <w:spacing w:val="0"/>
          <w:szCs w:val="24"/>
          <w:highlight w:val="none"/>
        </w:rPr>
        <w:t>附件</w:t>
      </w:r>
      <w:r>
        <w:rPr>
          <w:rFonts w:hint="default" w:ascii="Times New Roman" w:hAnsi="Times New Roman" w:eastAsia="宋体" w:cs="Times New Roman"/>
          <w:bCs/>
          <w:color w:val="auto"/>
          <w:spacing w:val="0"/>
          <w:szCs w:val="24"/>
          <w:highlight w:val="none"/>
          <w:lang w:val="en-US" w:eastAsia="zh-CN"/>
        </w:rPr>
        <w:t>5总量计算说明</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_Toc5977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84</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fldChar w:fldCharType="end"/>
      </w:r>
    </w:p>
    <w:p w14:paraId="06C959E4">
      <w:pPr>
        <w:pStyle w:val="22"/>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_Toc32291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bCs/>
          <w:color w:val="auto"/>
          <w:highlight w:val="none"/>
          <w:lang w:val="en-US" w:eastAsia="zh-CN"/>
        </w:rPr>
        <w:t>附件</w:t>
      </w:r>
      <w:r>
        <w:rPr>
          <w:rFonts w:hint="default" w:ascii="Times New Roman" w:hAnsi="Times New Roman" w:cs="Times New Roman" w:eastAsiaTheme="minorEastAsia"/>
          <w:bCs/>
          <w:color w:val="auto"/>
          <w:highlight w:val="none"/>
          <w:lang w:val="en-US" w:eastAsia="zh-CN"/>
        </w:rPr>
        <w:t>6</w:t>
      </w:r>
      <w:r>
        <w:rPr>
          <w:rFonts w:hint="default" w:ascii="Times New Roman" w:hAnsi="Times New Roman" w:cs="Times New Roman"/>
          <w:bCs/>
          <w:color w:val="auto"/>
          <w:highlight w:val="none"/>
          <w:lang w:val="en-US" w:eastAsia="zh-CN"/>
        </w:rPr>
        <w:t xml:space="preserve"> 生态环境分区管控分析报告</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_Toc32291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86</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fldChar w:fldCharType="end"/>
      </w:r>
    </w:p>
    <w:p w14:paraId="64473A98">
      <w:pPr>
        <w:pStyle w:val="22"/>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_Toc2678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bCs w:val="0"/>
          <w:color w:val="auto"/>
          <w:highlight w:val="none"/>
          <w:lang w:val="en-US" w:eastAsia="zh-CN"/>
        </w:rPr>
        <w:t>附件7 环境影响评价文件备案</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_Toc2678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98</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fldChar w:fldCharType="end"/>
      </w:r>
    </w:p>
    <w:p w14:paraId="57AB8AE1">
      <w:pPr>
        <w:pStyle w:val="22"/>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_Toc17435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bCs w:val="0"/>
          <w:color w:val="auto"/>
          <w:highlight w:val="none"/>
          <w:lang w:val="en-US" w:eastAsia="zh-CN"/>
        </w:rPr>
        <w:t>附件8 环境影响评价报告书批复</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_Toc17435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99</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fldChar w:fldCharType="end"/>
      </w:r>
    </w:p>
    <w:p w14:paraId="1848539D">
      <w:pPr>
        <w:pStyle w:val="22"/>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_Toc22848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bCs w:val="0"/>
          <w:color w:val="auto"/>
          <w:highlight w:val="none"/>
          <w:lang w:val="en-US" w:eastAsia="zh-CN"/>
        </w:rPr>
        <w:t>附件9 应急预案备案回执</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_Toc22848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102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fldChar w:fldCharType="end"/>
      </w:r>
    </w:p>
    <w:p w14:paraId="460E481B">
      <w:pPr>
        <w:pStyle w:val="22"/>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_Toc12479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bCs w:val="0"/>
          <w:color w:val="auto"/>
          <w:highlight w:val="none"/>
          <w:lang w:val="en-US" w:eastAsia="zh-CN"/>
        </w:rPr>
        <w:t>附件10 验收报告专家意见</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_Toc12479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104</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fldChar w:fldCharType="end"/>
      </w:r>
    </w:p>
    <w:p w14:paraId="08AB8823">
      <w:pPr>
        <w:pStyle w:val="22"/>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_Toc19381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Times New Roman"/>
          <w:bCs w:val="0"/>
          <w:color w:val="auto"/>
          <w:highlight w:val="none"/>
          <w:lang w:val="en-US" w:eastAsia="zh-CN"/>
        </w:rPr>
        <w:t>附件1</w:t>
      </w:r>
      <w:r>
        <w:rPr>
          <w:rFonts w:hint="default" w:ascii="Times New Roman" w:hAnsi="Times New Roman" w:cs="Times New Roman"/>
          <w:bCs w:val="0"/>
          <w:color w:val="auto"/>
          <w:highlight w:val="none"/>
          <w:lang w:val="en-US" w:eastAsia="zh-CN"/>
        </w:rPr>
        <w:t>1</w:t>
      </w:r>
      <w:r>
        <w:rPr>
          <w:rFonts w:hint="default" w:ascii="Times New Roman" w:hAnsi="Times New Roman" w:eastAsia="宋体" w:cs="Times New Roman"/>
          <w:bCs w:val="0"/>
          <w:color w:val="auto"/>
          <w:highlight w:val="none"/>
          <w:lang w:val="en-US" w:eastAsia="zh-CN"/>
        </w:rPr>
        <w:t xml:space="preserve"> 不动产权证</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_Toc19381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109</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fldChar w:fldCharType="end"/>
      </w:r>
    </w:p>
    <w:p w14:paraId="31CF303F">
      <w:pPr>
        <w:pStyle w:val="22"/>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_Toc2332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Times New Roman"/>
          <w:bCs w:val="0"/>
          <w:color w:val="auto"/>
          <w:highlight w:val="none"/>
          <w:lang w:val="en-US" w:eastAsia="zh-CN"/>
        </w:rPr>
        <w:t>附件1</w:t>
      </w:r>
      <w:r>
        <w:rPr>
          <w:rFonts w:hint="default" w:ascii="Times New Roman" w:hAnsi="Times New Roman" w:cs="Times New Roman"/>
          <w:bCs w:val="0"/>
          <w:color w:val="auto"/>
          <w:highlight w:val="none"/>
          <w:lang w:val="en-US" w:eastAsia="zh-CN"/>
        </w:rPr>
        <w:t>2</w:t>
      </w:r>
      <w:r>
        <w:rPr>
          <w:rFonts w:hint="default" w:ascii="Times New Roman" w:hAnsi="Times New Roman" w:eastAsia="宋体" w:cs="Times New Roman"/>
          <w:bCs w:val="0"/>
          <w:color w:val="auto"/>
          <w:highlight w:val="none"/>
          <w:lang w:val="en-US" w:eastAsia="zh-CN"/>
        </w:rPr>
        <w:t xml:space="preserve"> 城子河医院关于申请自行供热的请示</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_Toc2332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110</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fldChar w:fldCharType="end"/>
      </w:r>
    </w:p>
    <w:p w14:paraId="385B0937">
      <w:pPr>
        <w:pStyle w:val="22"/>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HYPERLINK \l _Toc18582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eastAsia="宋体" w:cs="Times New Roman"/>
          <w:bCs w:val="0"/>
          <w:color w:val="auto"/>
          <w:highlight w:val="none"/>
          <w:lang w:val="en-US" w:eastAsia="zh-CN"/>
        </w:rPr>
        <w:t>附件1</w:t>
      </w:r>
      <w:r>
        <w:rPr>
          <w:rFonts w:hint="default" w:ascii="Times New Roman" w:hAnsi="Times New Roman" w:cs="Times New Roman"/>
          <w:bCs w:val="0"/>
          <w:color w:val="auto"/>
          <w:highlight w:val="none"/>
          <w:lang w:val="en-US" w:eastAsia="zh-CN"/>
        </w:rPr>
        <w:t>3</w:t>
      </w:r>
      <w:r>
        <w:rPr>
          <w:rFonts w:hint="default" w:ascii="Times New Roman" w:hAnsi="Times New Roman" w:eastAsia="宋体" w:cs="Times New Roman"/>
          <w:bCs w:val="0"/>
          <w:color w:val="auto"/>
          <w:highlight w:val="none"/>
          <w:lang w:val="en-US" w:eastAsia="zh-CN"/>
        </w:rPr>
        <w:t xml:space="preserve"> 关于鸡西鸡矿医院有限公司城子河医院供热问题的说明</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_Toc18582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111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fldChar w:fldCharType="end"/>
      </w:r>
    </w:p>
    <w:p w14:paraId="7BFD0855">
      <w:pPr>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cs="Times New Roman"/>
          <w:color w:val="auto"/>
          <w:highlight w:val="none"/>
          <w:lang w:val="en-US" w:eastAsia="zh-CN"/>
        </w:rPr>
        <w:fldChar w:fldCharType="end"/>
      </w:r>
    </w:p>
    <w:p w14:paraId="24B3E506">
      <w:pPr>
        <w:pStyle w:val="46"/>
        <w:rPr>
          <w:rFonts w:hint="default" w:ascii="Times New Roman" w:hAnsi="Times New Roman" w:cs="Times New Roman"/>
          <w:color w:val="auto"/>
          <w:highlight w:val="none"/>
          <w:lang w:val="en-US" w:eastAsia="zh-CN"/>
        </w:rPr>
      </w:pPr>
    </w:p>
    <w:p w14:paraId="279A62CA">
      <w:pPr>
        <w:pStyle w:val="46"/>
        <w:rPr>
          <w:rFonts w:hint="default" w:ascii="Times New Roman" w:hAnsi="Times New Roman" w:cs="Times New Roman"/>
          <w:color w:val="auto"/>
          <w:highlight w:val="none"/>
          <w:lang w:val="en-US" w:eastAsia="zh-CN"/>
        </w:rPr>
        <w:sectPr>
          <w:pgSz w:w="11906" w:h="16838"/>
          <w:pgMar w:top="1440" w:right="1800" w:bottom="1440" w:left="1800" w:header="851" w:footer="1077" w:gutter="0"/>
          <w:pgBorders w:offsetFrom="page">
            <w:top w:val="none" w:sz="0" w:space="0"/>
            <w:left w:val="none" w:sz="0" w:space="0"/>
            <w:bottom w:val="none" w:sz="0" w:space="0"/>
            <w:right w:val="none" w:sz="0" w:space="0"/>
          </w:pgBorders>
          <w:cols w:space="720" w:num="1"/>
          <w:docGrid w:linePitch="312" w:charSpace="0"/>
        </w:sectPr>
      </w:pPr>
    </w:p>
    <w:p w14:paraId="2C1EF188">
      <w:pPr>
        <w:pStyle w:val="2"/>
        <w:spacing w:line="360" w:lineRule="auto"/>
        <w:jc w:val="center"/>
        <w:rPr>
          <w:rFonts w:hint="default" w:ascii="Times New Roman" w:hAnsi="Times New Roman" w:eastAsia="宋体" w:cs="Times New Roman"/>
          <w:color w:val="auto"/>
          <w:spacing w:val="0"/>
          <w:highlight w:val="none"/>
        </w:rPr>
      </w:pPr>
      <w:bookmarkStart w:id="1" w:name="_Toc13576"/>
      <w:bookmarkStart w:id="2" w:name="_Toc71191475"/>
      <w:r>
        <w:rPr>
          <w:rFonts w:hint="default" w:ascii="Times New Roman" w:hAnsi="Times New Roman" w:eastAsia="宋体" w:cs="Times New Roman"/>
          <w:color w:val="auto"/>
          <w:spacing w:val="0"/>
          <w:highlight w:val="none"/>
        </w:rPr>
        <w:t>一、建设项目基本情况</w:t>
      </w:r>
      <w:bookmarkEnd w:id="1"/>
      <w:bookmarkEnd w:id="2"/>
    </w:p>
    <w:tbl>
      <w:tblPr>
        <w:tblStyle w:val="3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85" w:type="dxa"/>
          <w:bottom w:w="0" w:type="dxa"/>
          <w:right w:w="85" w:type="dxa"/>
        </w:tblCellMar>
      </w:tblPr>
      <w:tblGrid>
        <w:gridCol w:w="699"/>
        <w:gridCol w:w="1264"/>
        <w:gridCol w:w="1919"/>
        <w:gridCol w:w="1950"/>
        <w:gridCol w:w="2575"/>
      </w:tblGrid>
      <w:tr w14:paraId="4CF49A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706" w:hRule="exact"/>
          <w:jc w:val="center"/>
        </w:trPr>
        <w:tc>
          <w:tcPr>
            <w:tcW w:w="1979" w:type="dxa"/>
            <w:gridSpan w:val="2"/>
            <w:noWrap w:val="0"/>
            <w:tcMar>
              <w:top w:w="16" w:type="dxa"/>
              <w:left w:w="16" w:type="dxa"/>
              <w:right w:w="16" w:type="dxa"/>
            </w:tcMar>
            <w:vAlign w:val="center"/>
          </w:tcPr>
          <w:p w14:paraId="547A224D">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建设项目名称</w:t>
            </w:r>
          </w:p>
        </w:tc>
        <w:tc>
          <w:tcPr>
            <w:tcW w:w="6497" w:type="dxa"/>
            <w:gridSpan w:val="3"/>
            <w:noWrap w:val="0"/>
            <w:vAlign w:val="center"/>
          </w:tcPr>
          <w:p w14:paraId="366F0909">
            <w:pPr>
              <w:spacing w:line="240" w:lineRule="auto"/>
              <w:ind w:firstLine="0" w:firstLineChars="0"/>
              <w:jc w:val="center"/>
              <w:rPr>
                <w:rFonts w:hint="default" w:ascii="Times New Roman" w:hAnsi="Times New Roman" w:cs="Times New Roman"/>
                <w:bCs/>
                <w:color w:val="auto"/>
                <w:spacing w:val="0"/>
                <w:sz w:val="24"/>
                <w:szCs w:val="24"/>
                <w:highlight w:val="none"/>
                <w:lang w:val="en-US" w:eastAsia="zh-CN"/>
              </w:rPr>
            </w:pPr>
            <w:r>
              <w:rPr>
                <w:rFonts w:hint="default" w:ascii="Times New Roman" w:hAnsi="Times New Roman" w:cs="Times New Roman"/>
                <w:bCs/>
                <w:color w:val="auto"/>
                <w:spacing w:val="0"/>
                <w:sz w:val="24"/>
                <w:szCs w:val="24"/>
                <w:highlight w:val="none"/>
                <w:lang w:val="en-US" w:eastAsia="zh-CN"/>
              </w:rPr>
              <w:t>鸡西鸡矿医院有限公司城子河医院临时锅炉建设项目</w:t>
            </w:r>
          </w:p>
        </w:tc>
      </w:tr>
      <w:tr w14:paraId="1EEE65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67" w:hRule="exact"/>
          <w:jc w:val="center"/>
        </w:trPr>
        <w:tc>
          <w:tcPr>
            <w:tcW w:w="1979" w:type="dxa"/>
            <w:gridSpan w:val="2"/>
            <w:noWrap w:val="0"/>
            <w:tcMar>
              <w:top w:w="16" w:type="dxa"/>
              <w:left w:w="16" w:type="dxa"/>
              <w:right w:w="16" w:type="dxa"/>
            </w:tcMar>
            <w:vAlign w:val="center"/>
          </w:tcPr>
          <w:p w14:paraId="403254BA">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项目代码</w:t>
            </w:r>
          </w:p>
        </w:tc>
        <w:tc>
          <w:tcPr>
            <w:tcW w:w="6497" w:type="dxa"/>
            <w:gridSpan w:val="3"/>
            <w:noWrap w:val="0"/>
            <w:vAlign w:val="center"/>
          </w:tcPr>
          <w:p w14:paraId="2529EC8C">
            <w:pPr>
              <w:spacing w:line="240" w:lineRule="auto"/>
              <w:ind w:firstLine="0" w:firstLineChars="0"/>
              <w:jc w:val="center"/>
              <w:rPr>
                <w:rFonts w:hint="default" w:ascii="Times New Roman" w:hAnsi="Times New Roman" w:eastAsia="宋体" w:cs="Times New Roman"/>
                <w:bCs/>
                <w:color w:val="auto"/>
                <w:spacing w:val="0"/>
                <w:sz w:val="24"/>
                <w:szCs w:val="24"/>
                <w:highlight w:val="none"/>
                <w:lang w:val="en-US" w:eastAsia="zh-CN"/>
              </w:rPr>
            </w:pPr>
            <w:r>
              <w:rPr>
                <w:rFonts w:hint="default" w:ascii="Times New Roman" w:hAnsi="Times New Roman" w:cs="Times New Roman"/>
                <w:bCs/>
                <w:color w:val="auto"/>
                <w:spacing w:val="0"/>
                <w:sz w:val="24"/>
                <w:szCs w:val="24"/>
                <w:highlight w:val="none"/>
                <w:lang w:val="en-US" w:eastAsia="zh-CN"/>
              </w:rPr>
              <w:t>/</w:t>
            </w:r>
          </w:p>
        </w:tc>
      </w:tr>
      <w:tr w14:paraId="536642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67" w:hRule="exact"/>
          <w:jc w:val="center"/>
        </w:trPr>
        <w:tc>
          <w:tcPr>
            <w:tcW w:w="1979" w:type="dxa"/>
            <w:gridSpan w:val="2"/>
            <w:noWrap w:val="0"/>
            <w:tcMar>
              <w:top w:w="16" w:type="dxa"/>
              <w:left w:w="16" w:type="dxa"/>
              <w:right w:w="16" w:type="dxa"/>
            </w:tcMar>
            <w:vAlign w:val="center"/>
          </w:tcPr>
          <w:p w14:paraId="35471960">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建设单位联系人</w:t>
            </w:r>
          </w:p>
        </w:tc>
        <w:tc>
          <w:tcPr>
            <w:tcW w:w="1935" w:type="dxa"/>
            <w:noWrap w:val="0"/>
            <w:vAlign w:val="center"/>
          </w:tcPr>
          <w:p w14:paraId="425FB1F5">
            <w:pPr>
              <w:spacing w:line="240" w:lineRule="auto"/>
              <w:ind w:firstLine="0" w:firstLineChars="0"/>
              <w:jc w:val="center"/>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迟丽华</w:t>
            </w:r>
          </w:p>
        </w:tc>
        <w:tc>
          <w:tcPr>
            <w:tcW w:w="1966" w:type="dxa"/>
            <w:noWrap w:val="0"/>
            <w:vAlign w:val="center"/>
          </w:tcPr>
          <w:p w14:paraId="02A859EC">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联系方式</w:t>
            </w:r>
          </w:p>
        </w:tc>
        <w:tc>
          <w:tcPr>
            <w:tcW w:w="2596" w:type="dxa"/>
            <w:noWrap w:val="0"/>
            <w:vAlign w:val="center"/>
          </w:tcPr>
          <w:p w14:paraId="010F4C23">
            <w:pPr>
              <w:spacing w:line="240" w:lineRule="auto"/>
              <w:ind w:firstLine="0" w:firstLineChars="0"/>
              <w:jc w:val="center"/>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kern w:val="0"/>
                <w:sz w:val="24"/>
                <w:highlight w:val="none"/>
                <w:lang w:val="en-US" w:eastAsia="zh-CN"/>
              </w:rPr>
              <w:t>13614689707</w:t>
            </w:r>
          </w:p>
        </w:tc>
      </w:tr>
      <w:tr w14:paraId="234DDF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1979" w:type="dxa"/>
            <w:gridSpan w:val="2"/>
            <w:noWrap w:val="0"/>
            <w:tcMar>
              <w:top w:w="16" w:type="dxa"/>
              <w:left w:w="16" w:type="dxa"/>
              <w:right w:w="16" w:type="dxa"/>
            </w:tcMar>
            <w:vAlign w:val="center"/>
          </w:tcPr>
          <w:p w14:paraId="52C9FC75">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建设地点</w:t>
            </w:r>
          </w:p>
        </w:tc>
        <w:tc>
          <w:tcPr>
            <w:tcW w:w="6497" w:type="dxa"/>
            <w:gridSpan w:val="3"/>
            <w:noWrap w:val="0"/>
            <w:vAlign w:val="center"/>
          </w:tcPr>
          <w:p w14:paraId="48CCFF90">
            <w:pPr>
              <w:spacing w:line="240" w:lineRule="auto"/>
              <w:ind w:firstLine="0" w:firstLineChars="0"/>
              <w:jc w:val="center"/>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bCs/>
                <w:color w:val="auto"/>
                <w:spacing w:val="0"/>
                <w:sz w:val="24"/>
                <w:szCs w:val="24"/>
                <w:highlight w:val="none"/>
                <w:lang w:val="en-US" w:eastAsia="zh-CN"/>
              </w:rPr>
              <w:t>鸡西鸡矿医院有限公司城子河医院院内</w:t>
            </w:r>
          </w:p>
        </w:tc>
      </w:tr>
      <w:tr w14:paraId="06BCB0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67" w:hRule="exact"/>
          <w:jc w:val="center"/>
        </w:trPr>
        <w:tc>
          <w:tcPr>
            <w:tcW w:w="1979" w:type="dxa"/>
            <w:gridSpan w:val="2"/>
            <w:noWrap w:val="0"/>
            <w:tcMar>
              <w:top w:w="16" w:type="dxa"/>
              <w:left w:w="16" w:type="dxa"/>
              <w:right w:w="16" w:type="dxa"/>
            </w:tcMar>
            <w:vAlign w:val="center"/>
          </w:tcPr>
          <w:p w14:paraId="5D43B69D">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地理坐标</w:t>
            </w:r>
          </w:p>
        </w:tc>
        <w:tc>
          <w:tcPr>
            <w:tcW w:w="6497" w:type="dxa"/>
            <w:gridSpan w:val="3"/>
            <w:noWrap w:val="0"/>
            <w:vAlign w:val="center"/>
          </w:tcPr>
          <w:p w14:paraId="4B6BA758">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东经</w:t>
            </w:r>
            <w:r>
              <w:rPr>
                <w:rFonts w:hint="default" w:ascii="Times New Roman" w:hAnsi="Times New Roman" w:cs="Times New Roman"/>
                <w:color w:val="auto"/>
                <w:sz w:val="24"/>
                <w:highlight w:val="none"/>
                <w:u w:val="single"/>
                <w:lang w:val="en-US" w:eastAsia="zh-CN"/>
              </w:rPr>
              <w:t>131</w:t>
            </w:r>
            <w:r>
              <w:rPr>
                <w:rFonts w:hint="default" w:ascii="Times New Roman" w:hAnsi="Times New Roman" w:cs="Times New Roman"/>
                <w:color w:val="auto"/>
                <w:sz w:val="24"/>
                <w:highlight w:val="none"/>
              </w:rPr>
              <w:t>度</w:t>
            </w:r>
            <w:r>
              <w:rPr>
                <w:rFonts w:hint="default" w:ascii="Times New Roman" w:hAnsi="Times New Roman" w:cs="Times New Roman"/>
                <w:color w:val="auto"/>
                <w:sz w:val="24"/>
                <w:highlight w:val="none"/>
                <w:u w:val="single"/>
                <w:lang w:val="en-US" w:eastAsia="zh-CN"/>
              </w:rPr>
              <w:t>0</w:t>
            </w:r>
            <w:r>
              <w:rPr>
                <w:rFonts w:hint="default" w:ascii="Times New Roman" w:hAnsi="Times New Roman" w:cs="Times New Roman"/>
                <w:color w:val="auto"/>
                <w:sz w:val="24"/>
                <w:highlight w:val="none"/>
              </w:rPr>
              <w:t>分</w:t>
            </w:r>
            <w:r>
              <w:rPr>
                <w:rFonts w:hint="default" w:ascii="Times New Roman" w:hAnsi="Times New Roman" w:cs="Times New Roman"/>
                <w:color w:val="auto"/>
                <w:sz w:val="24"/>
                <w:highlight w:val="none"/>
                <w:u w:val="single"/>
                <w:lang w:val="en-US" w:eastAsia="zh-CN"/>
              </w:rPr>
              <w:t>48.534</w:t>
            </w:r>
            <w:r>
              <w:rPr>
                <w:rFonts w:hint="default" w:ascii="Times New Roman" w:hAnsi="Times New Roman" w:eastAsia="宋体" w:cs="Times New Roman"/>
                <w:color w:val="auto"/>
                <w:spacing w:val="0"/>
                <w:sz w:val="24"/>
                <w:szCs w:val="24"/>
                <w:highlight w:val="none"/>
              </w:rPr>
              <w:t>秒，北纬</w:t>
            </w:r>
            <w:r>
              <w:rPr>
                <w:rFonts w:hint="default" w:ascii="Times New Roman" w:hAnsi="Times New Roman" w:eastAsia="宋体" w:cs="Times New Roman"/>
                <w:color w:val="auto"/>
                <w:spacing w:val="0"/>
                <w:sz w:val="24"/>
                <w:szCs w:val="24"/>
                <w:highlight w:val="none"/>
                <w:u w:val="single"/>
              </w:rPr>
              <w:t>45</w:t>
            </w:r>
            <w:r>
              <w:rPr>
                <w:rFonts w:hint="default" w:ascii="Times New Roman" w:hAnsi="Times New Roman" w:eastAsia="宋体" w:cs="Times New Roman"/>
                <w:color w:val="auto"/>
                <w:spacing w:val="0"/>
                <w:sz w:val="24"/>
                <w:szCs w:val="24"/>
                <w:highlight w:val="none"/>
              </w:rPr>
              <w:t>度</w:t>
            </w:r>
            <w:r>
              <w:rPr>
                <w:rFonts w:hint="default" w:ascii="Times New Roman" w:hAnsi="Times New Roman" w:cs="Times New Roman"/>
                <w:color w:val="auto"/>
                <w:spacing w:val="0"/>
                <w:sz w:val="24"/>
                <w:szCs w:val="24"/>
                <w:highlight w:val="none"/>
                <w:u w:val="single"/>
                <w:lang w:val="en-US" w:eastAsia="zh-CN"/>
              </w:rPr>
              <w:t>20</w:t>
            </w:r>
            <w:r>
              <w:rPr>
                <w:rFonts w:hint="default" w:ascii="Times New Roman" w:hAnsi="Times New Roman" w:eastAsia="宋体" w:cs="Times New Roman"/>
                <w:color w:val="auto"/>
                <w:spacing w:val="0"/>
                <w:sz w:val="24"/>
                <w:szCs w:val="24"/>
                <w:highlight w:val="none"/>
              </w:rPr>
              <w:t>分</w:t>
            </w:r>
            <w:r>
              <w:rPr>
                <w:rFonts w:hint="default" w:ascii="Times New Roman" w:hAnsi="Times New Roman" w:cs="Times New Roman"/>
                <w:color w:val="auto"/>
                <w:spacing w:val="0"/>
                <w:sz w:val="24"/>
                <w:szCs w:val="24"/>
                <w:highlight w:val="none"/>
                <w:u w:val="single"/>
                <w:lang w:val="en-US" w:eastAsia="zh-CN"/>
              </w:rPr>
              <w:t>52.515</w:t>
            </w:r>
            <w:r>
              <w:rPr>
                <w:rFonts w:hint="default" w:ascii="Times New Roman" w:hAnsi="Times New Roman" w:eastAsia="宋体" w:cs="Times New Roman"/>
                <w:color w:val="auto"/>
                <w:spacing w:val="0"/>
                <w:sz w:val="24"/>
                <w:szCs w:val="24"/>
                <w:highlight w:val="none"/>
              </w:rPr>
              <w:t>秒</w:t>
            </w:r>
          </w:p>
        </w:tc>
      </w:tr>
      <w:tr w14:paraId="3FF1FE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90" w:hRule="atLeast"/>
          <w:jc w:val="center"/>
        </w:trPr>
        <w:tc>
          <w:tcPr>
            <w:tcW w:w="1979" w:type="dxa"/>
            <w:gridSpan w:val="2"/>
            <w:noWrap w:val="0"/>
            <w:tcMar>
              <w:top w:w="16" w:type="dxa"/>
              <w:left w:w="16" w:type="dxa"/>
              <w:right w:w="16" w:type="dxa"/>
            </w:tcMar>
            <w:vAlign w:val="center"/>
          </w:tcPr>
          <w:p w14:paraId="2B1B6AFB">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国民经济</w:t>
            </w:r>
          </w:p>
          <w:p w14:paraId="19B3A9FD">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行业类别</w:t>
            </w:r>
          </w:p>
        </w:tc>
        <w:tc>
          <w:tcPr>
            <w:tcW w:w="1935" w:type="dxa"/>
            <w:noWrap w:val="0"/>
            <w:vAlign w:val="center"/>
          </w:tcPr>
          <w:p w14:paraId="2210B085">
            <w:pPr>
              <w:spacing w:line="240" w:lineRule="auto"/>
              <w:ind w:firstLine="0" w:firstLineChars="0"/>
              <w:jc w:val="center"/>
              <w:rPr>
                <w:rFonts w:hint="default" w:ascii="Times New Roman" w:hAnsi="Times New Roman" w:eastAsia="宋体" w:cs="Times New Roman"/>
                <w:color w:val="auto"/>
                <w:spacing w:val="0"/>
                <w:highlight w:val="none"/>
                <w:lang w:val="en-US" w:eastAsia="zh-CN"/>
              </w:rPr>
            </w:pPr>
            <w:r>
              <w:rPr>
                <w:rFonts w:hint="default" w:ascii="Times New Roman" w:hAnsi="Times New Roman" w:eastAsia="宋体" w:cs="Times New Roman"/>
                <w:bCs/>
                <w:color w:val="auto"/>
                <w:spacing w:val="0"/>
                <w:sz w:val="24"/>
                <w:szCs w:val="24"/>
                <w:highlight w:val="none"/>
                <w:lang w:val="en-US" w:eastAsia="zh-CN"/>
              </w:rPr>
              <w:t>D-4430热力生产和供应业</w:t>
            </w:r>
          </w:p>
        </w:tc>
        <w:tc>
          <w:tcPr>
            <w:tcW w:w="1966" w:type="dxa"/>
            <w:noWrap w:val="0"/>
            <w:vAlign w:val="center"/>
          </w:tcPr>
          <w:p w14:paraId="153ACDA5">
            <w:pPr>
              <w:spacing w:line="240" w:lineRule="auto"/>
              <w:ind w:firstLine="0" w:firstLineChars="0"/>
              <w:jc w:val="center"/>
              <w:rPr>
                <w:rFonts w:hint="default" w:ascii="Times New Roman" w:hAnsi="Times New Roman" w:eastAsia="宋体" w:cs="Times New Roman"/>
                <w:color w:val="auto"/>
                <w:spacing w:val="0"/>
                <w:sz w:val="24"/>
                <w:szCs w:val="24"/>
                <w:highlight w:val="none"/>
              </w:rPr>
            </w:pPr>
            <w:bookmarkStart w:id="3" w:name="_Hlk49843745"/>
            <w:r>
              <w:rPr>
                <w:rFonts w:hint="default" w:ascii="Times New Roman" w:hAnsi="Times New Roman" w:eastAsia="宋体" w:cs="Times New Roman"/>
                <w:color w:val="auto"/>
                <w:spacing w:val="0"/>
                <w:sz w:val="24"/>
                <w:szCs w:val="24"/>
                <w:highlight w:val="none"/>
              </w:rPr>
              <w:t>建设项目</w:t>
            </w:r>
          </w:p>
          <w:p w14:paraId="19BB0492">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行业类别</w:t>
            </w:r>
            <w:bookmarkEnd w:id="3"/>
          </w:p>
        </w:tc>
        <w:tc>
          <w:tcPr>
            <w:tcW w:w="2596" w:type="dxa"/>
            <w:noWrap w:val="0"/>
            <w:vAlign w:val="center"/>
          </w:tcPr>
          <w:p w14:paraId="56B577E9">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firstLine="0" w:firstLineChars="0"/>
              <w:jc w:val="center"/>
              <w:textAlignment w:val="auto"/>
              <w:rPr>
                <w:rFonts w:hint="default" w:ascii="Times New Roman" w:hAnsi="Times New Roman" w:eastAsia="宋体" w:cs="Times New Roman"/>
                <w:color w:val="auto"/>
                <w:spacing w:val="0"/>
                <w:sz w:val="24"/>
                <w:szCs w:val="24"/>
                <w:highlight w:val="none"/>
                <w:lang w:eastAsia="zh-CN"/>
              </w:rPr>
            </w:pPr>
            <w:r>
              <w:rPr>
                <w:rFonts w:hint="default" w:ascii="Times New Roman" w:hAnsi="Times New Roman" w:eastAsia="宋体" w:cs="Times New Roman"/>
                <w:bCs/>
                <w:color w:val="auto"/>
                <w:spacing w:val="0"/>
                <w:kern w:val="2"/>
                <w:sz w:val="24"/>
                <w:szCs w:val="24"/>
                <w:highlight w:val="none"/>
                <w:lang w:val="en-US" w:eastAsia="zh-CN" w:bidi="ar-SA"/>
              </w:rPr>
              <w:t>“四十一、电力、热力生产和供应业91-热力生产和供应</w:t>
            </w:r>
            <w:r>
              <w:rPr>
                <w:rFonts w:hint="eastAsia" w:cs="Times New Roman"/>
                <w:bCs/>
                <w:color w:val="auto"/>
                <w:spacing w:val="0"/>
                <w:kern w:val="2"/>
                <w:sz w:val="24"/>
                <w:szCs w:val="24"/>
                <w:highlight w:val="none"/>
                <w:lang w:val="en-US" w:eastAsia="zh-CN" w:bidi="ar-SA"/>
              </w:rPr>
              <w:t>工程（包括建设单位自建自用的供热工程）</w:t>
            </w:r>
          </w:p>
        </w:tc>
      </w:tr>
      <w:tr w14:paraId="0E8CB2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2067" w:hRule="atLeast"/>
          <w:jc w:val="center"/>
        </w:trPr>
        <w:tc>
          <w:tcPr>
            <w:tcW w:w="1979" w:type="dxa"/>
            <w:gridSpan w:val="2"/>
            <w:noWrap w:val="0"/>
            <w:tcMar>
              <w:top w:w="16" w:type="dxa"/>
              <w:left w:w="16" w:type="dxa"/>
              <w:right w:w="16" w:type="dxa"/>
            </w:tcMar>
            <w:vAlign w:val="center"/>
          </w:tcPr>
          <w:p w14:paraId="666949EF">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建设性质</w:t>
            </w:r>
          </w:p>
        </w:tc>
        <w:tc>
          <w:tcPr>
            <w:tcW w:w="1935" w:type="dxa"/>
            <w:noWrap w:val="0"/>
            <w:vAlign w:val="center"/>
          </w:tcPr>
          <w:p w14:paraId="3CC63E1A">
            <w:pPr>
              <w:spacing w:line="240" w:lineRule="auto"/>
              <w:ind w:firstLine="0" w:firstLineChars="0"/>
              <w:rPr>
                <w:rFonts w:hint="default" w:ascii="Times New Roman" w:hAnsi="Times New Roman" w:eastAsia="宋体" w:cs="Times New Roman"/>
                <w:color w:val="auto"/>
                <w:spacing w:val="0"/>
                <w:sz w:val="24"/>
                <w:szCs w:val="24"/>
                <w:highlight w:val="none"/>
              </w:rPr>
            </w:pPr>
            <w:r>
              <w:rPr>
                <w:rFonts w:hint="default" w:ascii="Times New Roman" w:hAnsi="Times New Roman"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rPr>
              <w:t>新建（迁建）</w:t>
            </w:r>
          </w:p>
          <w:p w14:paraId="221F396E">
            <w:pPr>
              <w:spacing w:line="240" w:lineRule="auto"/>
              <w:ind w:firstLine="0" w:firstLineChars="0"/>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□改建</w:t>
            </w:r>
          </w:p>
          <w:p w14:paraId="49E2D830">
            <w:pPr>
              <w:spacing w:line="240" w:lineRule="auto"/>
              <w:ind w:firstLine="0" w:firstLineChars="0"/>
              <w:rPr>
                <w:rFonts w:hint="default" w:ascii="Times New Roman" w:hAnsi="Times New Roman" w:eastAsia="宋体" w:cs="Times New Roman"/>
                <w:color w:val="auto"/>
                <w:spacing w:val="0"/>
                <w:sz w:val="24"/>
                <w:szCs w:val="24"/>
                <w:highlight w:val="none"/>
              </w:rPr>
            </w:pPr>
            <w:r>
              <w:rPr>
                <w:rFonts w:hint="default" w:ascii="Times New Roman" w:hAnsi="Times New Roman"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rPr>
              <w:t>扩建</w:t>
            </w:r>
          </w:p>
          <w:p w14:paraId="08FB46FD">
            <w:pPr>
              <w:spacing w:line="240" w:lineRule="auto"/>
              <w:ind w:firstLine="0" w:firstLineChars="0"/>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□技术改造</w:t>
            </w:r>
          </w:p>
        </w:tc>
        <w:tc>
          <w:tcPr>
            <w:tcW w:w="1966" w:type="dxa"/>
            <w:noWrap w:val="0"/>
            <w:vAlign w:val="center"/>
          </w:tcPr>
          <w:p w14:paraId="68791F73">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建设项目</w:t>
            </w:r>
          </w:p>
          <w:p w14:paraId="0F438D98">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申报情形</w:t>
            </w:r>
          </w:p>
        </w:tc>
        <w:tc>
          <w:tcPr>
            <w:tcW w:w="2596" w:type="dxa"/>
            <w:noWrap w:val="0"/>
            <w:vAlign w:val="center"/>
          </w:tcPr>
          <w:p w14:paraId="0C092CD6">
            <w:pPr>
              <w:spacing w:line="240" w:lineRule="auto"/>
              <w:ind w:firstLine="0" w:firstLineChars="0"/>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rPr>
              <w:t>首次申报项目</w:t>
            </w:r>
          </w:p>
          <w:p w14:paraId="5C879B71">
            <w:pPr>
              <w:spacing w:line="240" w:lineRule="auto"/>
              <w:ind w:firstLine="0" w:firstLineChars="0"/>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□不予批准后再次申报项目</w:t>
            </w:r>
          </w:p>
          <w:p w14:paraId="710B65E7">
            <w:pPr>
              <w:spacing w:line="240" w:lineRule="auto"/>
              <w:ind w:firstLine="0" w:firstLineChars="0"/>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□超五年重新审核项目</w:t>
            </w:r>
          </w:p>
          <w:p w14:paraId="69893452">
            <w:pPr>
              <w:spacing w:line="240" w:lineRule="auto"/>
              <w:ind w:firstLine="0" w:firstLineChars="0"/>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□重大变动重新报批项目</w:t>
            </w:r>
          </w:p>
        </w:tc>
      </w:tr>
      <w:tr w14:paraId="4D58A0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059" w:hRule="atLeast"/>
          <w:jc w:val="center"/>
        </w:trPr>
        <w:tc>
          <w:tcPr>
            <w:tcW w:w="1979" w:type="dxa"/>
            <w:gridSpan w:val="2"/>
            <w:noWrap w:val="0"/>
            <w:tcMar>
              <w:top w:w="16" w:type="dxa"/>
              <w:left w:w="16" w:type="dxa"/>
              <w:right w:w="16" w:type="dxa"/>
            </w:tcMar>
            <w:vAlign w:val="center"/>
          </w:tcPr>
          <w:p w14:paraId="398275C8">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项目审批（核准/</w:t>
            </w:r>
          </w:p>
          <w:p w14:paraId="0A484A4D">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备案）部门（选填）</w:t>
            </w:r>
          </w:p>
        </w:tc>
        <w:tc>
          <w:tcPr>
            <w:tcW w:w="1935" w:type="dxa"/>
            <w:noWrap w:val="0"/>
            <w:vAlign w:val="center"/>
          </w:tcPr>
          <w:p w14:paraId="75DD7B38">
            <w:pPr>
              <w:spacing w:line="240" w:lineRule="auto"/>
              <w:ind w:firstLine="0" w:firstLineChars="0"/>
              <w:jc w:val="center"/>
              <w:rPr>
                <w:rFonts w:hint="default" w:ascii="Times New Roman" w:hAnsi="Times New Roman" w:eastAsia="宋体"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lang w:val="en-US" w:eastAsia="zh-CN"/>
              </w:rPr>
              <w:t>/</w:t>
            </w:r>
          </w:p>
        </w:tc>
        <w:tc>
          <w:tcPr>
            <w:tcW w:w="1966" w:type="dxa"/>
            <w:noWrap w:val="0"/>
            <w:vAlign w:val="center"/>
          </w:tcPr>
          <w:p w14:paraId="699D3247">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项目审批（核准/备案）文号（选填）</w:t>
            </w:r>
          </w:p>
        </w:tc>
        <w:tc>
          <w:tcPr>
            <w:tcW w:w="2596" w:type="dxa"/>
            <w:noWrap w:val="0"/>
            <w:vAlign w:val="center"/>
          </w:tcPr>
          <w:p w14:paraId="3895F661">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w:t>
            </w:r>
          </w:p>
        </w:tc>
      </w:tr>
      <w:tr w14:paraId="2E106E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67" w:hRule="exact"/>
          <w:jc w:val="center"/>
        </w:trPr>
        <w:tc>
          <w:tcPr>
            <w:tcW w:w="1979" w:type="dxa"/>
            <w:gridSpan w:val="2"/>
            <w:noWrap w:val="0"/>
            <w:tcMar>
              <w:top w:w="16" w:type="dxa"/>
              <w:left w:w="16" w:type="dxa"/>
              <w:right w:w="16" w:type="dxa"/>
            </w:tcMar>
            <w:vAlign w:val="center"/>
          </w:tcPr>
          <w:p w14:paraId="143FBD35">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总投资（万元）</w:t>
            </w:r>
          </w:p>
        </w:tc>
        <w:tc>
          <w:tcPr>
            <w:tcW w:w="1935" w:type="dxa"/>
            <w:noWrap w:val="0"/>
            <w:vAlign w:val="center"/>
          </w:tcPr>
          <w:p w14:paraId="5A4F1820">
            <w:pPr>
              <w:spacing w:line="240" w:lineRule="auto"/>
              <w:ind w:firstLine="0" w:firstLineChars="0"/>
              <w:jc w:val="center"/>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50</w:t>
            </w:r>
          </w:p>
        </w:tc>
        <w:tc>
          <w:tcPr>
            <w:tcW w:w="1966" w:type="dxa"/>
            <w:noWrap w:val="0"/>
            <w:tcMar>
              <w:top w:w="16" w:type="dxa"/>
              <w:left w:w="16" w:type="dxa"/>
              <w:right w:w="16" w:type="dxa"/>
            </w:tcMar>
            <w:vAlign w:val="center"/>
          </w:tcPr>
          <w:p w14:paraId="43C71304">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环保投资（万元）</w:t>
            </w:r>
          </w:p>
        </w:tc>
        <w:tc>
          <w:tcPr>
            <w:tcW w:w="2596" w:type="dxa"/>
            <w:noWrap w:val="0"/>
            <w:vAlign w:val="center"/>
          </w:tcPr>
          <w:p w14:paraId="01CE733B">
            <w:pPr>
              <w:spacing w:line="240" w:lineRule="auto"/>
              <w:ind w:firstLine="0" w:firstLineChars="0"/>
              <w:jc w:val="center"/>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22.1</w:t>
            </w:r>
          </w:p>
        </w:tc>
      </w:tr>
      <w:tr w14:paraId="7D13A1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67" w:hRule="exact"/>
          <w:jc w:val="center"/>
        </w:trPr>
        <w:tc>
          <w:tcPr>
            <w:tcW w:w="1979" w:type="dxa"/>
            <w:gridSpan w:val="2"/>
            <w:noWrap w:val="0"/>
            <w:tcMar>
              <w:top w:w="16" w:type="dxa"/>
              <w:left w:w="16" w:type="dxa"/>
              <w:right w:w="16" w:type="dxa"/>
            </w:tcMar>
            <w:vAlign w:val="center"/>
          </w:tcPr>
          <w:p w14:paraId="53EEEF28">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环保投资占比（%）</w:t>
            </w:r>
          </w:p>
        </w:tc>
        <w:tc>
          <w:tcPr>
            <w:tcW w:w="1935" w:type="dxa"/>
            <w:noWrap w:val="0"/>
            <w:vAlign w:val="center"/>
          </w:tcPr>
          <w:p w14:paraId="77EBB746">
            <w:pPr>
              <w:spacing w:line="240" w:lineRule="auto"/>
              <w:ind w:firstLine="0" w:firstLineChars="0"/>
              <w:jc w:val="center"/>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44.2</w:t>
            </w:r>
          </w:p>
        </w:tc>
        <w:tc>
          <w:tcPr>
            <w:tcW w:w="1966" w:type="dxa"/>
            <w:noWrap w:val="0"/>
            <w:tcMar>
              <w:top w:w="16" w:type="dxa"/>
              <w:left w:w="16" w:type="dxa"/>
              <w:right w:w="16" w:type="dxa"/>
            </w:tcMar>
            <w:vAlign w:val="center"/>
          </w:tcPr>
          <w:p w14:paraId="77EC1DBE">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施工工期</w:t>
            </w:r>
          </w:p>
        </w:tc>
        <w:tc>
          <w:tcPr>
            <w:tcW w:w="2596" w:type="dxa"/>
            <w:noWrap w:val="0"/>
            <w:vAlign w:val="center"/>
          </w:tcPr>
          <w:p w14:paraId="014974B2">
            <w:pPr>
              <w:spacing w:line="240" w:lineRule="auto"/>
              <w:ind w:firstLine="0" w:firstLineChars="0"/>
              <w:jc w:val="center"/>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cs="Times New Roman"/>
                <w:color w:val="auto"/>
                <w:spacing w:val="0"/>
                <w:highlight w:val="none"/>
                <w:lang w:val="en-US" w:eastAsia="zh-CN"/>
              </w:rPr>
              <w:t>1个月</w:t>
            </w:r>
          </w:p>
        </w:tc>
      </w:tr>
      <w:tr w14:paraId="32CECA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850" w:hRule="exact"/>
          <w:jc w:val="center"/>
        </w:trPr>
        <w:tc>
          <w:tcPr>
            <w:tcW w:w="1979" w:type="dxa"/>
            <w:gridSpan w:val="2"/>
            <w:noWrap w:val="0"/>
            <w:tcMar>
              <w:top w:w="16" w:type="dxa"/>
              <w:left w:w="16" w:type="dxa"/>
              <w:right w:w="16" w:type="dxa"/>
            </w:tcMar>
            <w:vAlign w:val="center"/>
          </w:tcPr>
          <w:p w14:paraId="741B2EB0">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是否开工建设</w:t>
            </w:r>
          </w:p>
        </w:tc>
        <w:tc>
          <w:tcPr>
            <w:tcW w:w="1935" w:type="dxa"/>
            <w:noWrap w:val="0"/>
            <w:vAlign w:val="center"/>
          </w:tcPr>
          <w:p w14:paraId="01A55673">
            <w:pPr>
              <w:adjustRightInd w:val="0"/>
              <w:snapToGrid w:val="0"/>
              <w:spacing w:line="240" w:lineRule="auto"/>
              <w:ind w:left="0" w:leftChars="0" w:firstLine="0" w:firstLineChars="0"/>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sym w:font="Wingdings 2" w:char="0052"/>
            </w:r>
            <w:r>
              <w:rPr>
                <w:rFonts w:hint="default" w:ascii="Times New Roman" w:hAnsi="Times New Roman" w:eastAsia="宋体" w:cs="Times New Roman"/>
                <w:color w:val="auto"/>
                <w:spacing w:val="0"/>
                <w:sz w:val="24"/>
                <w:szCs w:val="24"/>
                <w:highlight w:val="none"/>
              </w:rPr>
              <w:t>否</w:t>
            </w:r>
          </w:p>
          <w:p w14:paraId="397F9FCB">
            <w:pPr>
              <w:spacing w:line="240" w:lineRule="auto"/>
              <w:ind w:firstLine="0" w:firstLineChars="0"/>
              <w:jc w:val="left"/>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eastAsia="zh-CN"/>
              </w:rPr>
              <w:sym w:font="Wingdings 2" w:char="00A3"/>
            </w:r>
            <w:r>
              <w:rPr>
                <w:rFonts w:hint="default" w:ascii="Times New Roman" w:hAnsi="Times New Roman" w:eastAsia="宋体" w:cs="Times New Roman"/>
                <w:color w:val="auto"/>
                <w:spacing w:val="0"/>
                <w:sz w:val="24"/>
                <w:szCs w:val="24"/>
                <w:highlight w:val="none"/>
              </w:rPr>
              <w:t>是：</w:t>
            </w:r>
          </w:p>
        </w:tc>
        <w:tc>
          <w:tcPr>
            <w:tcW w:w="1966" w:type="dxa"/>
            <w:noWrap w:val="0"/>
            <w:tcMar>
              <w:top w:w="16" w:type="dxa"/>
              <w:left w:w="16" w:type="dxa"/>
              <w:right w:w="16" w:type="dxa"/>
            </w:tcMar>
            <w:vAlign w:val="center"/>
          </w:tcPr>
          <w:p w14:paraId="1B3875E7">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用地（用海）</w:t>
            </w:r>
          </w:p>
          <w:p w14:paraId="5CB1BACE">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面积（m</w:t>
            </w:r>
            <w:r>
              <w:rPr>
                <w:rFonts w:hint="default" w:ascii="Times New Roman" w:hAnsi="Times New Roman" w:eastAsia="宋体" w:cs="Times New Roman"/>
                <w:color w:val="auto"/>
                <w:spacing w:val="0"/>
                <w:sz w:val="24"/>
                <w:szCs w:val="24"/>
                <w:highlight w:val="none"/>
                <w:vertAlign w:val="superscript"/>
              </w:rPr>
              <w:t>2</w:t>
            </w:r>
            <w:r>
              <w:rPr>
                <w:rFonts w:hint="default" w:ascii="Times New Roman" w:hAnsi="Times New Roman" w:eastAsia="宋体" w:cs="Times New Roman"/>
                <w:color w:val="auto"/>
                <w:spacing w:val="0"/>
                <w:sz w:val="24"/>
                <w:szCs w:val="24"/>
                <w:highlight w:val="none"/>
              </w:rPr>
              <w:t>）</w:t>
            </w:r>
          </w:p>
        </w:tc>
        <w:tc>
          <w:tcPr>
            <w:tcW w:w="2596" w:type="dxa"/>
            <w:noWrap w:val="0"/>
            <w:vAlign w:val="center"/>
          </w:tcPr>
          <w:p w14:paraId="0952CAC1">
            <w:pPr>
              <w:spacing w:line="240" w:lineRule="auto"/>
              <w:ind w:firstLine="0" w:firstLineChars="0"/>
              <w:jc w:val="center"/>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w:t>
            </w:r>
          </w:p>
        </w:tc>
      </w:tr>
      <w:tr w14:paraId="56B159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90" w:hRule="atLeast"/>
          <w:jc w:val="center"/>
        </w:trPr>
        <w:tc>
          <w:tcPr>
            <w:tcW w:w="1979" w:type="dxa"/>
            <w:gridSpan w:val="2"/>
            <w:noWrap w:val="0"/>
            <w:vAlign w:val="center"/>
          </w:tcPr>
          <w:p w14:paraId="617A5080">
            <w:pPr>
              <w:spacing w:line="240" w:lineRule="auto"/>
              <w:ind w:firstLine="0" w:firstLineChars="0"/>
              <w:jc w:val="center"/>
              <w:rPr>
                <w:rFonts w:hint="default" w:ascii="Times New Roman" w:hAnsi="Times New Roman" w:eastAsia="宋体" w:cs="Times New Roman"/>
                <w:color w:val="auto"/>
                <w:spacing w:val="0"/>
                <w:kern w:val="0"/>
                <w:sz w:val="24"/>
                <w:szCs w:val="24"/>
                <w:highlight w:val="none"/>
              </w:rPr>
            </w:pPr>
            <w:r>
              <w:rPr>
                <w:rFonts w:hint="default" w:ascii="Times New Roman" w:hAnsi="Times New Roman" w:eastAsia="宋体" w:cs="Times New Roman"/>
                <w:color w:val="auto"/>
                <w:spacing w:val="0"/>
                <w:kern w:val="0"/>
                <w:sz w:val="24"/>
                <w:szCs w:val="24"/>
                <w:highlight w:val="none"/>
              </w:rPr>
              <w:t>专项评价设置</w:t>
            </w:r>
          </w:p>
          <w:p w14:paraId="650977CB">
            <w:pPr>
              <w:spacing w:line="240" w:lineRule="auto"/>
              <w:ind w:firstLine="0" w:firstLineChars="0"/>
              <w:jc w:val="center"/>
              <w:rPr>
                <w:rFonts w:hint="default" w:ascii="Times New Roman" w:hAnsi="Times New Roman" w:eastAsia="宋体" w:cs="Times New Roman"/>
                <w:color w:val="auto"/>
                <w:spacing w:val="0"/>
                <w:kern w:val="0"/>
                <w:sz w:val="24"/>
                <w:szCs w:val="24"/>
                <w:highlight w:val="none"/>
              </w:rPr>
            </w:pPr>
            <w:r>
              <w:rPr>
                <w:rFonts w:hint="default" w:ascii="Times New Roman" w:hAnsi="Times New Roman" w:eastAsia="宋体" w:cs="Times New Roman"/>
                <w:color w:val="auto"/>
                <w:spacing w:val="0"/>
                <w:kern w:val="0"/>
                <w:sz w:val="24"/>
                <w:szCs w:val="24"/>
                <w:highlight w:val="none"/>
              </w:rPr>
              <w:t>情况</w:t>
            </w:r>
          </w:p>
        </w:tc>
        <w:tc>
          <w:tcPr>
            <w:tcW w:w="6497" w:type="dxa"/>
            <w:gridSpan w:val="3"/>
            <w:noWrap w:val="0"/>
            <w:vAlign w:val="center"/>
          </w:tcPr>
          <w:p w14:paraId="54EC81C2">
            <w:pPr>
              <w:autoSpaceDE w:val="0"/>
              <w:autoSpaceDN w:val="0"/>
              <w:adjustRightInd w:val="0"/>
              <w:snapToGrid w:val="0"/>
              <w:spacing w:line="360" w:lineRule="auto"/>
              <w:ind w:firstLine="420" w:firstLineChars="200"/>
              <w:jc w:val="left"/>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根据《建设项目环境影响报告表编制技术指南（污染影响类）》（试行）可知，土壤、声环境不开展专项评价，地下水原则上不开展专项评价，本项目大气、地表水、环境风险、生态和海洋专项评价设置情况详见表1-1。</w:t>
            </w:r>
          </w:p>
          <w:p w14:paraId="53D4EBB9">
            <w:pPr>
              <w:pStyle w:val="34"/>
              <w:keepNext w:val="0"/>
              <w:keepLines w:val="0"/>
              <w:pageBreakBefore w:val="0"/>
              <w:widowControl w:val="0"/>
              <w:kinsoku/>
              <w:wordWrap/>
              <w:overflowPunct/>
              <w:topLinePunct w:val="0"/>
              <w:autoSpaceDE/>
              <w:autoSpaceDN/>
              <w:bidi w:val="0"/>
              <w:adjustRightInd w:val="0"/>
              <w:snapToGrid w:val="0"/>
              <w:spacing w:after="0" w:line="240" w:lineRule="auto"/>
              <w:ind w:firstLine="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表1-1 本项目专项评价设置情况</w:t>
            </w:r>
          </w:p>
          <w:tbl>
            <w:tblPr>
              <w:tblStyle w:val="35"/>
              <w:tblW w:w="4999"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2"/>
              <w:gridCol w:w="2322"/>
              <w:gridCol w:w="2120"/>
              <w:gridCol w:w="959"/>
            </w:tblGrid>
            <w:tr w14:paraId="4A513C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2" w:hRule="atLeast"/>
              </w:trPr>
              <w:tc>
                <w:tcPr>
                  <w:tcW w:w="696" w:type="pct"/>
                  <w:tcBorders>
                    <w:tl2br w:val="nil"/>
                    <w:tr2bl w:val="nil"/>
                  </w:tcBorders>
                  <w:noWrap w:val="0"/>
                  <w:vAlign w:val="center"/>
                </w:tcPr>
                <w:p w14:paraId="3208C30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b/>
                      <w:bCs/>
                      <w:color w:val="auto"/>
                      <w:kern w:val="0"/>
                      <w:sz w:val="21"/>
                      <w:szCs w:val="21"/>
                      <w:highlight w:val="none"/>
                      <w:lang w:bidi="ar"/>
                    </w:rPr>
                  </w:pPr>
                  <w:r>
                    <w:rPr>
                      <w:rFonts w:hint="default" w:ascii="Times New Roman" w:hAnsi="Times New Roman" w:cs="Times New Roman"/>
                      <w:b/>
                      <w:bCs/>
                      <w:color w:val="auto"/>
                      <w:kern w:val="0"/>
                      <w:sz w:val="21"/>
                      <w:szCs w:val="21"/>
                      <w:highlight w:val="none"/>
                      <w:lang w:bidi="ar"/>
                    </w:rPr>
                    <w:t>专项评</w:t>
                  </w:r>
                </w:p>
                <w:p w14:paraId="19C34FB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价类别</w:t>
                  </w:r>
                </w:p>
              </w:tc>
              <w:tc>
                <w:tcPr>
                  <w:tcW w:w="1849" w:type="pct"/>
                  <w:tcBorders>
                    <w:tl2br w:val="nil"/>
                    <w:tr2bl w:val="nil"/>
                  </w:tcBorders>
                  <w:noWrap w:val="0"/>
                  <w:vAlign w:val="center"/>
                </w:tcPr>
                <w:p w14:paraId="31C1549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设置原则</w:t>
                  </w:r>
                </w:p>
              </w:tc>
              <w:tc>
                <w:tcPr>
                  <w:tcW w:w="1689" w:type="pct"/>
                  <w:tcBorders>
                    <w:tl2br w:val="nil"/>
                    <w:tr2bl w:val="nil"/>
                  </w:tcBorders>
                  <w:noWrap w:val="0"/>
                  <w:vAlign w:val="center"/>
                </w:tcPr>
                <w:p w14:paraId="77B463F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本项目相关情况</w:t>
                  </w:r>
                </w:p>
              </w:tc>
              <w:tc>
                <w:tcPr>
                  <w:tcW w:w="764" w:type="pct"/>
                  <w:tcBorders>
                    <w:tl2br w:val="nil"/>
                    <w:tr2bl w:val="nil"/>
                  </w:tcBorders>
                  <w:noWrap w:val="0"/>
                  <w:vAlign w:val="center"/>
                </w:tcPr>
                <w:p w14:paraId="1509F3E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判定结果</w:t>
                  </w:r>
                </w:p>
              </w:tc>
            </w:tr>
            <w:tr w14:paraId="0659A9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696" w:type="pct"/>
                  <w:tcBorders>
                    <w:tl2br w:val="nil"/>
                    <w:tr2bl w:val="nil"/>
                  </w:tcBorders>
                  <w:noWrap w:val="0"/>
                  <w:vAlign w:val="center"/>
                </w:tcPr>
                <w:p w14:paraId="713F69D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大气</w:t>
                  </w:r>
                </w:p>
              </w:tc>
              <w:tc>
                <w:tcPr>
                  <w:tcW w:w="1849" w:type="pct"/>
                  <w:tcBorders>
                    <w:tl2br w:val="nil"/>
                    <w:tr2bl w:val="nil"/>
                  </w:tcBorders>
                  <w:noWrap w:val="0"/>
                  <w:vAlign w:val="center"/>
                </w:tcPr>
                <w:p w14:paraId="51EF87B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排放废气含有毒有害污染物、二噁英、苯并芘、氰化物、氯气且厂界外500米范围内有环境空气保护目标的建设项目</w:t>
                  </w:r>
                </w:p>
              </w:tc>
              <w:tc>
                <w:tcPr>
                  <w:tcW w:w="1689" w:type="pct"/>
                  <w:tcBorders>
                    <w:tl2br w:val="nil"/>
                    <w:tr2bl w:val="nil"/>
                  </w:tcBorders>
                  <w:noWrap w:val="0"/>
                  <w:vAlign w:val="center"/>
                </w:tcPr>
                <w:p w14:paraId="546FCAE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kern w:val="0"/>
                      <w:sz w:val="21"/>
                      <w:szCs w:val="21"/>
                      <w:highlight w:val="none"/>
                      <w:lang w:bidi="ar"/>
                    </w:rPr>
                  </w:pPr>
                  <w:r>
                    <w:rPr>
                      <w:rFonts w:hint="eastAsia" w:ascii="Times New Roman" w:hAnsi="Times New Roman" w:cs="Times New Roman"/>
                      <w:color w:val="auto"/>
                      <w:kern w:val="0"/>
                      <w:sz w:val="21"/>
                      <w:szCs w:val="21"/>
                      <w:highlight w:val="none"/>
                      <w:lang w:bidi="ar"/>
                    </w:rPr>
                    <w:t>本项目排放的废气不含有</w:t>
                  </w:r>
                  <w:r>
                    <w:rPr>
                      <w:rFonts w:hint="eastAsia" w:ascii="Times New Roman" w:hAnsi="Times New Roman" w:cs="Times New Roman"/>
                      <w:color w:val="auto"/>
                      <w:kern w:val="0"/>
                      <w:sz w:val="21"/>
                      <w:szCs w:val="21"/>
                      <w:highlight w:val="none"/>
                      <w:lang w:val="en-US" w:eastAsia="zh-CN" w:bidi="ar"/>
                    </w:rPr>
                    <w:t>毒</w:t>
                  </w:r>
                  <w:r>
                    <w:rPr>
                      <w:rFonts w:hint="eastAsia" w:ascii="Times New Roman" w:hAnsi="Times New Roman" w:cs="Times New Roman"/>
                      <w:color w:val="auto"/>
                      <w:kern w:val="0"/>
                      <w:sz w:val="21"/>
                      <w:szCs w:val="21"/>
                      <w:highlight w:val="none"/>
                      <w:lang w:bidi="ar"/>
                    </w:rPr>
                    <w:t>有害污染物、二嗯英、苯并[a]芘、氰化物、氯气</w:t>
                  </w:r>
                  <w:r>
                    <w:rPr>
                      <w:rFonts w:hint="eastAsia" w:ascii="Times New Roman" w:hAnsi="Times New Roman" w:cs="Times New Roman"/>
                      <w:color w:val="auto"/>
                      <w:kern w:val="0"/>
                      <w:sz w:val="21"/>
                      <w:szCs w:val="21"/>
                      <w:highlight w:val="none"/>
                      <w:lang w:eastAsia="zh-CN" w:bidi="ar"/>
                    </w:rPr>
                    <w:t>；</w:t>
                  </w:r>
                  <w:r>
                    <w:rPr>
                      <w:rFonts w:hint="eastAsia" w:ascii="Times New Roman" w:hAnsi="Times New Roman" w:cs="Times New Roman"/>
                      <w:color w:val="auto"/>
                      <w:kern w:val="0"/>
                      <w:sz w:val="21"/>
                      <w:szCs w:val="21"/>
                      <w:highlight w:val="none"/>
                      <w:lang w:val="en-US" w:eastAsia="zh-CN" w:bidi="ar"/>
                    </w:rPr>
                    <w:t>燃料</w:t>
                  </w:r>
                  <w:r>
                    <w:rPr>
                      <w:rFonts w:hint="eastAsia" w:ascii="Times New Roman" w:hAnsi="Times New Roman" w:cs="Times New Roman"/>
                      <w:color w:val="auto"/>
                      <w:kern w:val="0"/>
                      <w:sz w:val="21"/>
                      <w:szCs w:val="21"/>
                      <w:highlight w:val="none"/>
                      <w:lang w:bidi="ar"/>
                    </w:rPr>
                    <w:t>物质分析报告中未体现汞含量，根据《直接法测定固体生物质燃料中汞的试验研究》(煤质技术，2020年)可知，生物质汞含量为15.47</w:t>
                  </w:r>
                  <w:r>
                    <w:rPr>
                      <w:rFonts w:hint="eastAsia" w:ascii="Times New Roman" w:hAnsi="Times New Roman" w:cs="Times New Roman"/>
                      <w:color w:val="auto"/>
                      <w:sz w:val="24"/>
                      <w:highlight w:val="none"/>
                      <w:lang w:val="en-US" w:eastAsia="zh-CN"/>
                    </w:rPr>
                    <w:t>ng</w:t>
                  </w:r>
                  <w:r>
                    <w:rPr>
                      <w:rFonts w:hint="default" w:ascii="Times New Roman" w:hAnsi="Times New Roman"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g</w:t>
                  </w:r>
                  <w:r>
                    <w:rPr>
                      <w:rFonts w:hint="eastAsia" w:ascii="Times New Roman" w:hAnsi="Times New Roman" w:cs="Times New Roman"/>
                      <w:color w:val="auto"/>
                      <w:sz w:val="24"/>
                      <w:highlight w:val="none"/>
                      <w:vertAlign w:val="superscript"/>
                      <w:lang w:val="en-US" w:eastAsia="zh-CN"/>
                    </w:rPr>
                    <w:t>-1</w:t>
                  </w:r>
                  <w:r>
                    <w:rPr>
                      <w:rFonts w:hint="eastAsia" w:ascii="Times New Roman" w:hAnsi="Times New Roman" w:cs="Times New Roman"/>
                      <w:color w:val="auto"/>
                      <w:kern w:val="0"/>
                      <w:sz w:val="21"/>
                      <w:szCs w:val="21"/>
                      <w:highlight w:val="none"/>
                      <w:lang w:bidi="ar"/>
                    </w:rPr>
                    <w:t>，生物质燃料汞合量极低，故不进行大气专项评价设置。</w:t>
                  </w:r>
                </w:p>
              </w:tc>
              <w:tc>
                <w:tcPr>
                  <w:tcW w:w="764" w:type="pct"/>
                  <w:tcBorders>
                    <w:tl2br w:val="nil"/>
                    <w:tr2bl w:val="nil"/>
                  </w:tcBorders>
                  <w:noWrap w:val="0"/>
                  <w:vAlign w:val="center"/>
                </w:tcPr>
                <w:p w14:paraId="5F52F74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不需设置</w:t>
                  </w:r>
                </w:p>
              </w:tc>
            </w:tr>
            <w:tr w14:paraId="795701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8" w:hRule="atLeast"/>
              </w:trPr>
              <w:tc>
                <w:tcPr>
                  <w:tcW w:w="696" w:type="pct"/>
                  <w:tcBorders>
                    <w:tl2br w:val="nil"/>
                    <w:tr2bl w:val="nil"/>
                  </w:tcBorders>
                  <w:noWrap w:val="0"/>
                  <w:vAlign w:val="center"/>
                </w:tcPr>
                <w:p w14:paraId="1912419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地表水</w:t>
                  </w:r>
                </w:p>
              </w:tc>
              <w:tc>
                <w:tcPr>
                  <w:tcW w:w="1849" w:type="pct"/>
                  <w:tcBorders>
                    <w:tl2br w:val="nil"/>
                    <w:tr2bl w:val="nil"/>
                  </w:tcBorders>
                  <w:noWrap w:val="0"/>
                  <w:vAlign w:val="center"/>
                </w:tcPr>
                <w:p w14:paraId="66DC0A0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新增工业废水直排建设项目（槽罐车外送污水处理厂的除外）；新增废水直排的污水集中处理厂</w:t>
                  </w:r>
                </w:p>
              </w:tc>
              <w:tc>
                <w:tcPr>
                  <w:tcW w:w="1689" w:type="pct"/>
                  <w:tcBorders>
                    <w:tl2br w:val="nil"/>
                    <w:tr2bl w:val="nil"/>
                  </w:tcBorders>
                  <w:noWrap w:val="0"/>
                  <w:vAlign w:val="center"/>
                </w:tcPr>
                <w:p w14:paraId="37C1337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本项目为锅炉建设项目，锅炉用水</w:t>
                  </w:r>
                  <w:r>
                    <w:rPr>
                      <w:rFonts w:hint="eastAsia" w:ascii="Times New Roman" w:hAnsi="Times New Roman" w:cs="Times New Roman"/>
                      <w:color w:val="auto"/>
                      <w:kern w:val="0"/>
                      <w:sz w:val="21"/>
                      <w:szCs w:val="21"/>
                      <w:highlight w:val="none"/>
                      <w:lang w:val="en-US" w:eastAsia="zh-CN" w:bidi="ar"/>
                    </w:rPr>
                    <w:t>来自</w:t>
                  </w:r>
                  <w:r>
                    <w:rPr>
                      <w:rFonts w:hint="default" w:ascii="Times New Roman" w:hAnsi="Times New Roman" w:cs="Times New Roman"/>
                      <w:color w:val="auto"/>
                      <w:kern w:val="0"/>
                      <w:sz w:val="21"/>
                      <w:szCs w:val="21"/>
                      <w:highlight w:val="none"/>
                      <w:lang w:val="en-US" w:eastAsia="zh-CN" w:bidi="ar"/>
                    </w:rPr>
                    <w:t>市政提供的自来水</w:t>
                  </w:r>
                  <w:r>
                    <w:rPr>
                      <w:rFonts w:hint="eastAsia" w:ascii="Times New Roman" w:hAnsi="Times New Roman" w:cs="Times New Roman"/>
                      <w:color w:val="auto"/>
                      <w:kern w:val="0"/>
                      <w:sz w:val="21"/>
                      <w:szCs w:val="21"/>
                      <w:highlight w:val="none"/>
                      <w:lang w:val="en-US" w:eastAsia="zh-CN" w:bidi="ar"/>
                    </w:rPr>
                    <w:t>，通过软化水装置供锅炉使用。</w:t>
                  </w:r>
                  <w:r>
                    <w:rPr>
                      <w:rFonts w:hint="default" w:ascii="Times New Roman" w:hAnsi="Times New Roman" w:eastAsia="宋体" w:cs="Times New Roman"/>
                      <w:color w:val="auto"/>
                      <w:spacing w:val="0"/>
                      <w:sz w:val="21"/>
                      <w:szCs w:val="21"/>
                      <w:highlight w:val="none"/>
                      <w:lang w:val="en-US" w:eastAsia="zh-CN"/>
                    </w:rPr>
                    <w:t>锅炉排污水和</w:t>
                  </w:r>
                  <w:r>
                    <w:rPr>
                      <w:rFonts w:hint="default" w:ascii="Times New Roman" w:hAnsi="Times New Roman" w:cs="Times New Roman"/>
                      <w:color w:val="auto"/>
                      <w:spacing w:val="0"/>
                      <w:sz w:val="21"/>
                      <w:szCs w:val="21"/>
                      <w:highlight w:val="none"/>
                      <w:lang w:val="en-US" w:eastAsia="zh-CN"/>
                    </w:rPr>
                    <w:t>软水制备废水</w:t>
                  </w:r>
                  <w:r>
                    <w:rPr>
                      <w:rFonts w:hint="eastAsia" w:ascii="Times New Roman" w:hAnsi="Times New Roman" w:cs="Times New Roman"/>
                      <w:color w:val="auto"/>
                      <w:kern w:val="0"/>
                      <w:sz w:val="21"/>
                      <w:szCs w:val="21"/>
                      <w:highlight w:val="none"/>
                      <w:lang w:val="en-US" w:eastAsia="zh-CN" w:bidi="ar"/>
                    </w:rPr>
                    <w:t>少量</w:t>
                  </w:r>
                  <w:r>
                    <w:rPr>
                      <w:rFonts w:hint="default" w:ascii="Times New Roman" w:hAnsi="Times New Roman" w:cs="Times New Roman"/>
                      <w:color w:val="auto"/>
                      <w:kern w:val="0"/>
                      <w:sz w:val="21"/>
                      <w:szCs w:val="21"/>
                      <w:highlight w:val="none"/>
                      <w:lang w:val="en-US" w:eastAsia="zh-CN" w:bidi="ar"/>
                    </w:rPr>
                    <w:t>用于灰渣</w:t>
                  </w:r>
                  <w:r>
                    <w:rPr>
                      <w:rFonts w:hint="eastAsia" w:ascii="Times New Roman" w:hAnsi="Times New Roman" w:cs="Times New Roman"/>
                      <w:color w:val="auto"/>
                      <w:kern w:val="0"/>
                      <w:sz w:val="21"/>
                      <w:szCs w:val="21"/>
                      <w:highlight w:val="none"/>
                      <w:lang w:val="en-US" w:eastAsia="zh-CN" w:bidi="ar"/>
                    </w:rPr>
                    <w:t>加湿，其余排入市政管网进入城子河区污水处理厂</w:t>
                  </w:r>
                  <w:r>
                    <w:rPr>
                      <w:rFonts w:hint="default" w:ascii="Times New Roman" w:hAnsi="Times New Roman" w:cs="Times New Roman"/>
                      <w:color w:val="auto"/>
                      <w:kern w:val="0"/>
                      <w:sz w:val="21"/>
                      <w:szCs w:val="21"/>
                      <w:highlight w:val="none"/>
                      <w:lang w:val="en-US" w:eastAsia="zh-CN" w:bidi="ar"/>
                    </w:rPr>
                    <w:t>。工作人员依托医院工作人员，不新增生活污水排放。</w:t>
                  </w:r>
                </w:p>
              </w:tc>
              <w:tc>
                <w:tcPr>
                  <w:tcW w:w="764" w:type="pct"/>
                  <w:tcBorders>
                    <w:tl2br w:val="nil"/>
                    <w:tr2bl w:val="nil"/>
                  </w:tcBorders>
                  <w:noWrap w:val="0"/>
                  <w:vAlign w:val="center"/>
                </w:tcPr>
                <w:p w14:paraId="23ECD37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不需设置</w:t>
                  </w:r>
                </w:p>
              </w:tc>
            </w:tr>
            <w:tr w14:paraId="78E7D6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4" w:hRule="atLeast"/>
              </w:trPr>
              <w:tc>
                <w:tcPr>
                  <w:tcW w:w="696" w:type="pct"/>
                  <w:tcBorders>
                    <w:tl2br w:val="nil"/>
                    <w:tr2bl w:val="nil"/>
                  </w:tcBorders>
                  <w:noWrap w:val="0"/>
                  <w:vAlign w:val="center"/>
                </w:tcPr>
                <w:p w14:paraId="448DB16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环境风险</w:t>
                  </w:r>
                </w:p>
              </w:tc>
              <w:tc>
                <w:tcPr>
                  <w:tcW w:w="1849" w:type="pct"/>
                  <w:tcBorders>
                    <w:tl2br w:val="nil"/>
                    <w:tr2bl w:val="nil"/>
                  </w:tcBorders>
                  <w:noWrap w:val="0"/>
                  <w:vAlign w:val="center"/>
                </w:tcPr>
                <w:p w14:paraId="3C22C90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有毒有害和易燃易爆危险物质存储量超过临界量的建设项目</w:t>
                  </w:r>
                </w:p>
              </w:tc>
              <w:tc>
                <w:tcPr>
                  <w:tcW w:w="1689" w:type="pct"/>
                  <w:tcBorders>
                    <w:tl2br w:val="nil"/>
                    <w:tr2bl w:val="nil"/>
                  </w:tcBorders>
                  <w:noWrap w:val="0"/>
                  <w:vAlign w:val="center"/>
                </w:tcPr>
                <w:p w14:paraId="509F46A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0"/>
                      <w:sz w:val="21"/>
                      <w:szCs w:val="21"/>
                      <w:highlight w:val="none"/>
                      <w:lang w:val="en-US" w:eastAsia="zh-CN" w:bidi="ar"/>
                    </w:rPr>
                    <w:t>本项目</w:t>
                  </w:r>
                  <w:r>
                    <w:rPr>
                      <w:rFonts w:hint="eastAsia" w:ascii="Times New Roman" w:hAnsi="Times New Roman" w:cs="Times New Roman"/>
                      <w:color w:val="auto"/>
                      <w:kern w:val="0"/>
                      <w:sz w:val="21"/>
                      <w:szCs w:val="21"/>
                      <w:highlight w:val="none"/>
                      <w:lang w:val="en-US" w:eastAsia="zh-CN" w:bidi="ar"/>
                    </w:rPr>
                    <w:t>产生的</w:t>
                  </w:r>
                  <w:r>
                    <w:rPr>
                      <w:rFonts w:hint="default" w:ascii="Times New Roman" w:hAnsi="Times New Roman" w:cs="Times New Roman"/>
                      <w:color w:val="auto"/>
                      <w:kern w:val="0"/>
                      <w:sz w:val="21"/>
                      <w:szCs w:val="21"/>
                      <w:highlight w:val="none"/>
                      <w:lang w:val="en-US" w:eastAsia="zh-CN" w:bidi="ar"/>
                    </w:rPr>
                    <w:t>有毒有害</w:t>
                  </w:r>
                  <w:r>
                    <w:rPr>
                      <w:rFonts w:hint="eastAsia" w:ascii="Times New Roman" w:hAnsi="Times New Roman" w:cs="Times New Roman"/>
                      <w:color w:val="auto"/>
                      <w:kern w:val="0"/>
                      <w:sz w:val="21"/>
                      <w:szCs w:val="21"/>
                      <w:highlight w:val="none"/>
                      <w:lang w:val="en-US" w:eastAsia="zh-CN" w:bidi="ar"/>
                    </w:rPr>
                    <w:t>为</w:t>
                  </w:r>
                  <w:r>
                    <w:rPr>
                      <w:rFonts w:hint="default" w:ascii="Times New Roman" w:hAnsi="Times New Roman" w:cs="Times New Roman"/>
                      <w:color w:val="auto"/>
                      <w:kern w:val="0"/>
                      <w:sz w:val="21"/>
                      <w:szCs w:val="21"/>
                      <w:highlight w:val="none"/>
                      <w:lang w:val="en-US" w:eastAsia="zh-CN" w:bidi="ar"/>
                    </w:rPr>
                    <w:t>废机油、废机油桶、含油抹布</w:t>
                  </w:r>
                  <w:r>
                    <w:rPr>
                      <w:rFonts w:hint="eastAsia" w:ascii="Times New Roman" w:hAnsi="Times New Roman" w:cs="Times New Roman"/>
                      <w:color w:val="auto"/>
                      <w:kern w:val="0"/>
                      <w:sz w:val="21"/>
                      <w:szCs w:val="21"/>
                      <w:highlight w:val="none"/>
                      <w:lang w:val="en-US" w:eastAsia="zh-CN" w:bidi="ar"/>
                    </w:rPr>
                    <w:t>，其存储量未超过临界量。</w:t>
                  </w:r>
                </w:p>
              </w:tc>
              <w:tc>
                <w:tcPr>
                  <w:tcW w:w="764" w:type="pct"/>
                  <w:tcBorders>
                    <w:tl2br w:val="nil"/>
                    <w:tr2bl w:val="nil"/>
                  </w:tcBorders>
                  <w:noWrap w:val="0"/>
                  <w:vAlign w:val="center"/>
                </w:tcPr>
                <w:p w14:paraId="16B165A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不需设置</w:t>
                  </w:r>
                </w:p>
              </w:tc>
            </w:tr>
            <w:tr w14:paraId="15C2C3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6" w:hRule="atLeast"/>
              </w:trPr>
              <w:tc>
                <w:tcPr>
                  <w:tcW w:w="696" w:type="pct"/>
                  <w:tcBorders>
                    <w:tl2br w:val="nil"/>
                    <w:tr2bl w:val="nil"/>
                  </w:tcBorders>
                  <w:noWrap w:val="0"/>
                  <w:vAlign w:val="center"/>
                </w:tcPr>
                <w:p w14:paraId="3925DA7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生态</w:t>
                  </w:r>
                </w:p>
              </w:tc>
              <w:tc>
                <w:tcPr>
                  <w:tcW w:w="1849" w:type="pct"/>
                  <w:tcBorders>
                    <w:tl2br w:val="nil"/>
                    <w:tr2bl w:val="nil"/>
                  </w:tcBorders>
                  <w:noWrap w:val="0"/>
                  <w:vAlign w:val="center"/>
                </w:tcPr>
                <w:p w14:paraId="1AE89AF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取水口下游500米范围内有重要水生生物的自然产卵场、索饵场、越冬场和洄游通道的新增河道取水的污染类建设项目</w:t>
                  </w:r>
                </w:p>
              </w:tc>
              <w:tc>
                <w:tcPr>
                  <w:tcW w:w="1689" w:type="pct"/>
                  <w:tcBorders>
                    <w:tl2br w:val="nil"/>
                    <w:tr2bl w:val="nil"/>
                  </w:tcBorders>
                  <w:noWrap w:val="0"/>
                  <w:vAlign w:val="center"/>
                </w:tcPr>
                <w:p w14:paraId="3492243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本项目不涉及直接从河道取水</w:t>
                  </w:r>
                </w:p>
              </w:tc>
              <w:tc>
                <w:tcPr>
                  <w:tcW w:w="764" w:type="pct"/>
                  <w:tcBorders>
                    <w:tl2br w:val="nil"/>
                    <w:tr2bl w:val="nil"/>
                  </w:tcBorders>
                  <w:noWrap w:val="0"/>
                  <w:vAlign w:val="center"/>
                </w:tcPr>
                <w:p w14:paraId="26275E8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不需设置</w:t>
                  </w:r>
                </w:p>
              </w:tc>
            </w:tr>
            <w:tr w14:paraId="0AAF05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96" w:type="pct"/>
                  <w:tcBorders>
                    <w:tl2br w:val="nil"/>
                    <w:tr2bl w:val="nil"/>
                  </w:tcBorders>
                  <w:noWrap w:val="0"/>
                  <w:vAlign w:val="center"/>
                </w:tcPr>
                <w:p w14:paraId="16FC008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海洋</w:t>
                  </w:r>
                </w:p>
              </w:tc>
              <w:tc>
                <w:tcPr>
                  <w:tcW w:w="1849" w:type="pct"/>
                  <w:tcBorders>
                    <w:tl2br w:val="nil"/>
                    <w:tr2bl w:val="nil"/>
                  </w:tcBorders>
                  <w:noWrap w:val="0"/>
                  <w:vAlign w:val="center"/>
                </w:tcPr>
                <w:p w14:paraId="5797E70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直接向海排放污染物的海洋工程建设项目</w:t>
                  </w:r>
                </w:p>
              </w:tc>
              <w:tc>
                <w:tcPr>
                  <w:tcW w:w="1689" w:type="pct"/>
                  <w:tcBorders>
                    <w:tl2br w:val="nil"/>
                    <w:tr2bl w:val="nil"/>
                  </w:tcBorders>
                  <w:noWrap w:val="0"/>
                  <w:vAlign w:val="center"/>
                </w:tcPr>
                <w:p w14:paraId="179ED2A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本项目不涉及直接向海排放污染物</w:t>
                  </w:r>
                </w:p>
              </w:tc>
              <w:tc>
                <w:tcPr>
                  <w:tcW w:w="764" w:type="pct"/>
                  <w:tcBorders>
                    <w:tl2br w:val="nil"/>
                    <w:tr2bl w:val="nil"/>
                  </w:tcBorders>
                  <w:noWrap w:val="0"/>
                  <w:vAlign w:val="center"/>
                </w:tcPr>
                <w:p w14:paraId="6DB3E94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不需设置</w:t>
                  </w:r>
                </w:p>
              </w:tc>
            </w:tr>
          </w:tbl>
          <w:p w14:paraId="4B818D6D">
            <w:pPr>
              <w:spacing w:line="240" w:lineRule="auto"/>
              <w:ind w:firstLine="0" w:firstLineChars="0"/>
              <w:jc w:val="center"/>
              <w:rPr>
                <w:rFonts w:hint="default" w:ascii="Times New Roman" w:hAnsi="Times New Roman" w:eastAsia="宋体" w:cs="Times New Roman"/>
                <w:color w:val="auto"/>
                <w:spacing w:val="0"/>
                <w:kern w:val="0"/>
                <w:sz w:val="24"/>
                <w:szCs w:val="24"/>
                <w:highlight w:val="none"/>
              </w:rPr>
            </w:pPr>
            <w:r>
              <w:rPr>
                <w:rFonts w:hint="default" w:ascii="Times New Roman" w:hAnsi="Times New Roman" w:cs="Times New Roman"/>
                <w:color w:val="auto"/>
                <w:kern w:val="0"/>
                <w:sz w:val="24"/>
                <w:highlight w:val="none"/>
                <w:lang w:bidi="ar"/>
              </w:rPr>
              <w:t>根据上表分析可知，本项目无需开展专项评价工作。</w:t>
            </w:r>
          </w:p>
        </w:tc>
      </w:tr>
      <w:tr w14:paraId="3CB08C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850" w:hRule="exact"/>
          <w:jc w:val="center"/>
        </w:trPr>
        <w:tc>
          <w:tcPr>
            <w:tcW w:w="704" w:type="dxa"/>
            <w:noWrap w:val="0"/>
            <w:vAlign w:val="center"/>
          </w:tcPr>
          <w:p w14:paraId="2FA39444">
            <w:pPr>
              <w:spacing w:line="240" w:lineRule="auto"/>
              <w:ind w:firstLine="0" w:firstLineChars="0"/>
              <w:jc w:val="center"/>
              <w:rPr>
                <w:rFonts w:hint="default" w:ascii="Times New Roman" w:hAnsi="Times New Roman" w:eastAsia="宋体" w:cs="Times New Roman"/>
                <w:color w:val="auto"/>
                <w:spacing w:val="0"/>
                <w:kern w:val="0"/>
                <w:sz w:val="24"/>
                <w:szCs w:val="24"/>
                <w:highlight w:val="none"/>
              </w:rPr>
            </w:pPr>
            <w:r>
              <w:rPr>
                <w:rFonts w:hint="default" w:ascii="Times New Roman" w:hAnsi="Times New Roman" w:eastAsia="宋体" w:cs="Times New Roman"/>
                <w:color w:val="auto"/>
                <w:spacing w:val="0"/>
                <w:sz w:val="24"/>
                <w:szCs w:val="24"/>
                <w:highlight w:val="none"/>
              </w:rPr>
              <w:t>规划情况</w:t>
            </w:r>
          </w:p>
        </w:tc>
        <w:tc>
          <w:tcPr>
            <w:tcW w:w="7772" w:type="dxa"/>
            <w:gridSpan w:val="4"/>
            <w:noWrap w:val="0"/>
            <w:vAlign w:val="center"/>
          </w:tcPr>
          <w:p w14:paraId="32507ECF">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b w:val="0"/>
                <w:bCs w:val="0"/>
                <w:color w:val="auto"/>
                <w:sz w:val="24"/>
                <w:highlight w:val="none"/>
                <w:lang w:val="en-US" w:eastAsia="zh-CN"/>
              </w:rPr>
              <w:t>无</w:t>
            </w:r>
          </w:p>
        </w:tc>
      </w:tr>
      <w:tr w14:paraId="230DDD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693" w:hRule="atLeast"/>
          <w:jc w:val="center"/>
        </w:trPr>
        <w:tc>
          <w:tcPr>
            <w:tcW w:w="704" w:type="dxa"/>
            <w:noWrap w:val="0"/>
            <w:vAlign w:val="center"/>
          </w:tcPr>
          <w:p w14:paraId="1CB064FF">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规划环境影响</w:t>
            </w:r>
          </w:p>
          <w:p w14:paraId="528A5DBE">
            <w:pPr>
              <w:spacing w:line="240" w:lineRule="auto"/>
              <w:ind w:firstLine="0" w:firstLineChars="0"/>
              <w:jc w:val="center"/>
              <w:rPr>
                <w:rFonts w:hint="default" w:ascii="Times New Roman" w:hAnsi="Times New Roman" w:eastAsia="宋体" w:cs="Times New Roman"/>
                <w:color w:val="auto"/>
                <w:spacing w:val="0"/>
                <w:kern w:val="0"/>
                <w:sz w:val="24"/>
                <w:szCs w:val="24"/>
                <w:highlight w:val="none"/>
              </w:rPr>
            </w:pPr>
            <w:r>
              <w:rPr>
                <w:rFonts w:hint="default" w:ascii="Times New Roman" w:hAnsi="Times New Roman" w:eastAsia="宋体" w:cs="Times New Roman"/>
                <w:color w:val="auto"/>
                <w:spacing w:val="0"/>
                <w:sz w:val="24"/>
                <w:szCs w:val="24"/>
                <w:highlight w:val="none"/>
              </w:rPr>
              <w:t>评价情况</w:t>
            </w:r>
          </w:p>
        </w:tc>
        <w:tc>
          <w:tcPr>
            <w:tcW w:w="7772" w:type="dxa"/>
            <w:gridSpan w:val="4"/>
            <w:noWrap w:val="0"/>
            <w:vAlign w:val="center"/>
          </w:tcPr>
          <w:p w14:paraId="2CCD6547">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sz w:val="24"/>
                <w:highlight w:val="none"/>
                <w:lang w:val="en-US" w:eastAsia="zh-CN"/>
              </w:rPr>
            </w:pPr>
            <w:r>
              <w:rPr>
                <w:rFonts w:hint="default" w:ascii="Times New Roman" w:hAnsi="Times New Roman" w:cs="Times New Roman"/>
                <w:b w:val="0"/>
                <w:bCs w:val="0"/>
                <w:color w:val="auto"/>
                <w:sz w:val="24"/>
                <w:highlight w:val="none"/>
                <w:lang w:val="en-US" w:eastAsia="zh-CN"/>
              </w:rPr>
              <w:t>无</w:t>
            </w:r>
          </w:p>
        </w:tc>
      </w:tr>
      <w:tr w14:paraId="72E08F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850" w:hRule="atLeast"/>
          <w:jc w:val="center"/>
        </w:trPr>
        <w:tc>
          <w:tcPr>
            <w:tcW w:w="704" w:type="dxa"/>
            <w:noWrap w:val="0"/>
            <w:vAlign w:val="center"/>
          </w:tcPr>
          <w:p w14:paraId="4F42CC76">
            <w:pPr>
              <w:spacing w:line="240" w:lineRule="auto"/>
              <w:ind w:firstLine="0" w:firstLineChars="0"/>
              <w:jc w:val="center"/>
              <w:rPr>
                <w:rFonts w:hint="default" w:ascii="Times New Roman" w:hAnsi="Times New Roman" w:eastAsia="宋体" w:cs="Times New Roman"/>
                <w:color w:val="auto"/>
                <w:spacing w:val="0"/>
                <w:kern w:val="0"/>
                <w:sz w:val="24"/>
                <w:szCs w:val="24"/>
                <w:highlight w:val="none"/>
              </w:rPr>
            </w:pPr>
            <w:r>
              <w:rPr>
                <w:rFonts w:hint="default" w:ascii="Times New Roman" w:hAnsi="Times New Roman" w:eastAsia="宋体" w:cs="Times New Roman"/>
                <w:color w:val="auto"/>
                <w:spacing w:val="0"/>
                <w:kern w:val="0"/>
                <w:sz w:val="24"/>
                <w:szCs w:val="24"/>
                <w:highlight w:val="none"/>
              </w:rPr>
              <w:t>规划及规划环境影响评价符合性分析</w:t>
            </w:r>
          </w:p>
        </w:tc>
        <w:tc>
          <w:tcPr>
            <w:tcW w:w="7772" w:type="dxa"/>
            <w:gridSpan w:val="4"/>
            <w:noWrap w:val="0"/>
            <w:vAlign w:val="center"/>
          </w:tcPr>
          <w:p w14:paraId="3A4866BF">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sz w:val="24"/>
                <w:highlight w:val="none"/>
                <w:lang w:val="en-US" w:eastAsia="zh-CN"/>
              </w:rPr>
            </w:pPr>
            <w:r>
              <w:rPr>
                <w:rFonts w:hint="default" w:ascii="Times New Roman" w:hAnsi="Times New Roman" w:cs="Times New Roman"/>
                <w:b w:val="0"/>
                <w:bCs w:val="0"/>
                <w:color w:val="auto"/>
                <w:sz w:val="24"/>
                <w:highlight w:val="none"/>
                <w:lang w:val="en-US" w:eastAsia="zh-CN"/>
              </w:rPr>
              <w:t>无</w:t>
            </w:r>
          </w:p>
        </w:tc>
      </w:tr>
      <w:tr w14:paraId="6F05A0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2416" w:hRule="atLeast"/>
          <w:jc w:val="center"/>
        </w:trPr>
        <w:tc>
          <w:tcPr>
            <w:tcW w:w="704" w:type="dxa"/>
            <w:noWrap w:val="0"/>
            <w:vAlign w:val="center"/>
          </w:tcPr>
          <w:p w14:paraId="4E30F5B3">
            <w:pPr>
              <w:spacing w:line="240" w:lineRule="auto"/>
              <w:ind w:firstLine="0" w:firstLineChars="0"/>
              <w:jc w:val="center"/>
              <w:rPr>
                <w:rFonts w:hint="default" w:ascii="Times New Roman" w:hAnsi="Times New Roman" w:eastAsia="宋体" w:cs="Times New Roman"/>
                <w:color w:val="auto"/>
                <w:spacing w:val="0"/>
                <w:kern w:val="0"/>
                <w:sz w:val="24"/>
                <w:szCs w:val="24"/>
                <w:highlight w:val="none"/>
              </w:rPr>
            </w:pPr>
            <w:r>
              <w:rPr>
                <w:rFonts w:hint="default" w:ascii="Times New Roman" w:hAnsi="Times New Roman" w:eastAsia="宋体" w:cs="Times New Roman"/>
                <w:color w:val="auto"/>
                <w:spacing w:val="0"/>
                <w:kern w:val="0"/>
                <w:sz w:val="24"/>
                <w:szCs w:val="24"/>
                <w:highlight w:val="none"/>
              </w:rPr>
              <w:t>其他符合性分析</w:t>
            </w:r>
          </w:p>
        </w:tc>
        <w:tc>
          <w:tcPr>
            <w:tcW w:w="7772" w:type="dxa"/>
            <w:gridSpan w:val="4"/>
            <w:tcBorders>
              <w:bottom w:val="single" w:color="auto" w:sz="4" w:space="0"/>
              <w:right w:val="single" w:color="auto" w:sz="4" w:space="0"/>
            </w:tcBorders>
            <w:noWrap w:val="0"/>
            <w:vAlign w:val="center"/>
          </w:tcPr>
          <w:p w14:paraId="1E862E09">
            <w:pPr>
              <w:ind w:left="0" w:leftChars="0" w:firstLine="0" w:firstLineChars="0"/>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1.</w:t>
            </w:r>
            <w:r>
              <w:rPr>
                <w:rFonts w:hint="eastAsia" w:ascii="Times New Roman" w:hAnsi="Times New Roman" w:eastAsia="宋体" w:cs="Times New Roman"/>
                <w:b/>
                <w:bCs w:val="0"/>
                <w:color w:val="auto"/>
                <w:spacing w:val="0"/>
                <w:sz w:val="24"/>
                <w:szCs w:val="24"/>
                <w:highlight w:val="none"/>
                <w:lang w:val="en-US" w:eastAsia="zh-CN"/>
              </w:rPr>
              <w:t>生态环境分区管控</w:t>
            </w:r>
            <w:r>
              <w:rPr>
                <w:rFonts w:hint="default" w:ascii="Times New Roman" w:hAnsi="Times New Roman" w:eastAsia="宋体" w:cs="Times New Roman"/>
                <w:b/>
                <w:bCs w:val="0"/>
                <w:color w:val="auto"/>
                <w:spacing w:val="0"/>
                <w:sz w:val="24"/>
                <w:szCs w:val="24"/>
                <w:highlight w:val="none"/>
                <w:lang w:val="en-US" w:eastAsia="zh-CN"/>
              </w:rPr>
              <w:t>符合性分析</w:t>
            </w:r>
          </w:p>
          <w:p w14:paraId="7A6C895F">
            <w:pPr>
              <w:keepNext w:val="0"/>
              <w:keepLines w:val="0"/>
              <w:pageBreakBefore w:val="0"/>
              <w:widowControl w:val="0"/>
              <w:numPr>
                <w:ilvl w:val="0"/>
                <w:numId w:val="0"/>
              </w:numPr>
              <w:shd w:val="clea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生态空间包括生态保护红线和一般生态空间，生态保护红线及一般生态空间均属于优先保护单元。本项目位于</w:t>
            </w:r>
            <w:r>
              <w:rPr>
                <w:rFonts w:hint="default" w:ascii="Times New Roman" w:hAnsi="Times New Roman" w:cs="Times New Roman"/>
                <w:color w:val="auto"/>
                <w:spacing w:val="0"/>
                <w:sz w:val="24"/>
                <w:szCs w:val="24"/>
                <w:highlight w:val="none"/>
                <w:lang w:val="en-US" w:eastAsia="zh-CN"/>
              </w:rPr>
              <w:t>黑龙江鸡西</w:t>
            </w:r>
            <w:r>
              <w:rPr>
                <w:rFonts w:hint="eastAsia" w:ascii="Times New Roman" w:hAnsi="Times New Roman" w:cs="Times New Roman"/>
                <w:color w:val="auto"/>
                <w:spacing w:val="0"/>
                <w:sz w:val="24"/>
                <w:szCs w:val="24"/>
                <w:highlight w:val="none"/>
                <w:lang w:val="en-US" w:eastAsia="zh-CN"/>
              </w:rPr>
              <w:t>市</w:t>
            </w:r>
            <w:r>
              <w:rPr>
                <w:rFonts w:hint="default" w:ascii="Times New Roman" w:hAnsi="Times New Roman" w:cs="Times New Roman"/>
                <w:color w:val="auto"/>
                <w:spacing w:val="0"/>
                <w:sz w:val="24"/>
                <w:szCs w:val="24"/>
                <w:highlight w:val="none"/>
                <w:lang w:val="en-US" w:eastAsia="zh-CN"/>
              </w:rPr>
              <w:t>城子河区</w:t>
            </w:r>
            <w:r>
              <w:rPr>
                <w:rFonts w:hint="default" w:ascii="Times New Roman" w:hAnsi="Times New Roman" w:cs="Times New Roman"/>
                <w:bCs/>
                <w:color w:val="auto"/>
                <w:spacing w:val="0"/>
                <w:sz w:val="24"/>
                <w:szCs w:val="24"/>
                <w:highlight w:val="none"/>
                <w:lang w:val="en-US" w:eastAsia="zh-CN"/>
              </w:rPr>
              <w:t>鸡西鸡矿医院有限公司城子河医院院内，</w:t>
            </w:r>
            <w:r>
              <w:rPr>
                <w:rFonts w:hint="default" w:ascii="Times New Roman" w:hAnsi="Times New Roman" w:eastAsia="宋体" w:cs="Times New Roman"/>
                <w:color w:val="auto"/>
                <w:spacing w:val="0"/>
                <w:sz w:val="24"/>
                <w:szCs w:val="24"/>
                <w:highlight w:val="none"/>
              </w:rPr>
              <w:t>本项目所在区域不属于优先保护单元。选址位置处无自然保护区、风景旅游区、文物保护区及珍稀动物保护区等敏感因素。</w:t>
            </w:r>
          </w:p>
          <w:p w14:paraId="0834A5C0">
            <w:pP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“三区三线”中，三区是指农业空间、生态空间、城镇空间三种类型的国土空间</w:t>
            </w:r>
            <w:r>
              <w:rPr>
                <w:rFonts w:hint="default" w:ascii="Times New Roman" w:hAnsi="Times New Roman"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rPr>
              <w:t>三线分别对应在农业空间、生态空间、城镇空间划定的永久基本农田保护红线、生态保护红线和城镇开发边界三条控制线。黑龙江省“三区三线”划定成果通过自然资源部质检，并于11月1日经自然资源部正式批准启用。</w:t>
            </w:r>
            <w:r>
              <w:rPr>
                <w:rFonts w:hint="default" w:ascii="Times New Roman" w:hAnsi="Times New Roman" w:cs="Times New Roman"/>
                <w:color w:val="auto"/>
                <w:spacing w:val="0"/>
                <w:sz w:val="24"/>
                <w:szCs w:val="24"/>
                <w:highlight w:val="none"/>
                <w:lang w:val="en-US" w:eastAsia="zh-CN"/>
              </w:rPr>
              <w:t>根据《黑龙江省生态环境分区管控数据应用平台》出具的生态环境分区管控分析报告，本项目与生态保护红线交际面积为0平方公里，占项目占地面积的0%，项目不涉及占压生态保护红线，详见附件6。</w:t>
            </w:r>
            <w:r>
              <w:rPr>
                <w:rFonts w:hint="default" w:ascii="Times New Roman" w:hAnsi="Times New Roman" w:eastAsia="宋体" w:cs="Times New Roman"/>
                <w:color w:val="auto"/>
                <w:spacing w:val="0"/>
                <w:sz w:val="24"/>
                <w:szCs w:val="24"/>
                <w:highlight w:val="none"/>
              </w:rPr>
              <w:t>根据</w:t>
            </w:r>
            <w:r>
              <w:rPr>
                <w:rFonts w:hint="default" w:ascii="Times New Roman" w:hAnsi="Times New Roman" w:cs="Times New Roman"/>
                <w:bCs/>
                <w:color w:val="auto"/>
                <w:kern w:val="21"/>
                <w:sz w:val="24"/>
                <w:highlight w:val="none"/>
              </w:rPr>
              <w:t>《鸡西市人民政府关于实施</w:t>
            </w:r>
            <w:r>
              <w:rPr>
                <w:rFonts w:hint="default" w:ascii="Times New Roman" w:hAnsi="Times New Roman" w:eastAsia="宋体" w:cs="Times New Roman"/>
                <w:bCs/>
                <w:color w:val="auto"/>
                <w:kern w:val="21"/>
                <w:sz w:val="24"/>
                <w:highlight w:val="none"/>
              </w:rPr>
              <w:t>“</w:t>
            </w:r>
            <w:r>
              <w:rPr>
                <w:rFonts w:hint="default" w:ascii="Times New Roman" w:hAnsi="Times New Roman" w:cs="Times New Roman"/>
                <w:bCs/>
                <w:color w:val="auto"/>
                <w:kern w:val="21"/>
                <w:sz w:val="24"/>
                <w:highlight w:val="none"/>
              </w:rPr>
              <w:t>三线一单</w:t>
            </w:r>
            <w:r>
              <w:rPr>
                <w:rFonts w:hint="default" w:ascii="Times New Roman" w:hAnsi="Times New Roman" w:eastAsia="宋体" w:cs="Times New Roman"/>
                <w:bCs/>
                <w:color w:val="auto"/>
                <w:kern w:val="21"/>
                <w:sz w:val="24"/>
                <w:highlight w:val="none"/>
              </w:rPr>
              <w:t>”</w:t>
            </w:r>
            <w:r>
              <w:rPr>
                <w:rFonts w:hint="default" w:ascii="Times New Roman" w:hAnsi="Times New Roman" w:cs="Times New Roman"/>
                <w:bCs/>
                <w:color w:val="auto"/>
                <w:kern w:val="21"/>
                <w:sz w:val="24"/>
                <w:highlight w:val="none"/>
              </w:rPr>
              <w:t>生态环境分区管控的意见》（鸡政发</w:t>
            </w:r>
            <w:r>
              <w:rPr>
                <w:rFonts w:hint="default" w:ascii="Times New Roman" w:hAnsi="Times New Roman" w:cs="Times New Roman"/>
                <w:color w:val="auto"/>
                <w:spacing w:val="0"/>
                <w:sz w:val="24"/>
                <w:szCs w:val="24"/>
                <w:highlight w:val="none"/>
                <w:lang w:eastAsia="zh-CN"/>
              </w:rPr>
              <w:t>〔</w:t>
            </w:r>
            <w:r>
              <w:rPr>
                <w:rFonts w:hint="default" w:ascii="Times New Roman" w:hAnsi="Times New Roman" w:cs="Times New Roman"/>
                <w:bCs/>
                <w:color w:val="auto"/>
                <w:kern w:val="21"/>
                <w:sz w:val="24"/>
                <w:highlight w:val="none"/>
              </w:rPr>
              <w:t>2021</w:t>
            </w:r>
            <w:r>
              <w:rPr>
                <w:rFonts w:hint="default" w:ascii="Times New Roman" w:hAnsi="Times New Roman" w:cs="Times New Roman"/>
                <w:color w:val="auto"/>
                <w:spacing w:val="0"/>
                <w:sz w:val="24"/>
                <w:szCs w:val="24"/>
                <w:highlight w:val="none"/>
                <w:lang w:eastAsia="zh-CN"/>
              </w:rPr>
              <w:t>〕</w:t>
            </w:r>
            <w:r>
              <w:rPr>
                <w:rFonts w:hint="default" w:ascii="Times New Roman" w:hAnsi="Times New Roman" w:cs="Times New Roman"/>
                <w:bCs/>
                <w:color w:val="auto"/>
                <w:kern w:val="21"/>
                <w:sz w:val="24"/>
                <w:highlight w:val="none"/>
              </w:rPr>
              <w:t>7号）</w:t>
            </w:r>
            <w:r>
              <w:rPr>
                <w:rFonts w:hint="default" w:ascii="Times New Roman" w:hAnsi="Times New Roman" w:eastAsia="宋体" w:cs="Times New Roman"/>
                <w:color w:val="auto"/>
                <w:spacing w:val="0"/>
                <w:sz w:val="24"/>
                <w:szCs w:val="24"/>
                <w:highlight w:val="none"/>
              </w:rPr>
              <w:t>和《自然资源部办公厅关于依据“三区三线</w:t>
            </w:r>
            <w:r>
              <w:rPr>
                <w:rFonts w:hint="default" w:ascii="Times New Roman" w:hAnsi="Times New Roman"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rPr>
              <w:t>划定成果报批建设项目用地用海有关事宜的函》</w:t>
            </w:r>
            <w:r>
              <w:rPr>
                <w:rFonts w:hint="default" w:ascii="Times New Roman" w:hAnsi="Times New Roman"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rPr>
              <w:t>自然资办函</w:t>
            </w:r>
            <w:r>
              <w:rPr>
                <w:rFonts w:hint="default" w:ascii="Times New Roman" w:hAnsi="Times New Roman" w:cs="Times New Roman"/>
                <w:color w:val="auto"/>
                <w:spacing w:val="0"/>
                <w:sz w:val="24"/>
                <w:szCs w:val="24"/>
                <w:highlight w:val="none"/>
                <w:lang w:eastAsia="zh-CN"/>
              </w:rPr>
              <w:t>〔2022〕2072号）</w:t>
            </w:r>
            <w:r>
              <w:rPr>
                <w:rFonts w:hint="default" w:ascii="Times New Roman" w:hAnsi="Times New Roman" w:eastAsia="宋体" w:cs="Times New Roman"/>
                <w:color w:val="auto"/>
                <w:spacing w:val="0"/>
                <w:sz w:val="24"/>
                <w:szCs w:val="24"/>
                <w:highlight w:val="none"/>
              </w:rPr>
              <w:t>文件及附图，本项目所在地不在生态空间内，同时也不在生态红线内。综上所述，本项目满足生态保护红线要求</w:t>
            </w:r>
            <w:r>
              <w:rPr>
                <w:rFonts w:hint="default" w:ascii="Times New Roman" w:hAnsi="Times New Roman" w:eastAsia="宋体" w:cs="Times New Roman"/>
                <w:color w:val="auto"/>
                <w:spacing w:val="0"/>
                <w:sz w:val="24"/>
                <w:szCs w:val="24"/>
                <w:highlight w:val="none"/>
                <w:lang w:eastAsia="zh-CN"/>
              </w:rPr>
              <w:t>。</w:t>
            </w:r>
          </w:p>
          <w:p w14:paraId="4FC3C2AE">
            <w:pPr>
              <w:numPr>
                <w:ilvl w:val="0"/>
                <w:numId w:val="3"/>
              </w:numPr>
              <w:adjustRightInd w:val="0"/>
              <w:snapToGrid w:val="0"/>
              <w:spacing w:line="360" w:lineRule="auto"/>
              <w:ind w:firstLine="480" w:firstLineChars="200"/>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环境质量底线</w:t>
            </w:r>
          </w:p>
          <w:p w14:paraId="42FD7153">
            <w:pPr>
              <w:adjustRightInd w:val="0"/>
              <w:snapToGrid w:val="0"/>
              <w:spacing w:line="360" w:lineRule="auto"/>
              <w:ind w:firstLine="480" w:firstLineChars="200"/>
              <w:jc w:val="left"/>
              <w:rPr>
                <w:rFonts w:hint="default" w:ascii="Times New Roman" w:hAnsi="Times New Roman" w:eastAsia="宋体" w:cs="Times New Roman"/>
                <w:iCs/>
                <w:color w:val="auto"/>
                <w:spacing w:val="0"/>
                <w:sz w:val="24"/>
                <w:highlight w:val="none"/>
              </w:rPr>
            </w:pPr>
            <w:r>
              <w:rPr>
                <w:rFonts w:hint="default" w:ascii="Times New Roman" w:hAnsi="Times New Roman" w:eastAsia="宋体" w:cs="Times New Roman"/>
                <w:color w:val="auto"/>
                <w:spacing w:val="0"/>
                <w:highlight w:val="none"/>
              </w:rPr>
              <w:t>根据《2024年黑龙江省生态环境质量状况》，鸡西市空气质量级别达二级标准</w:t>
            </w:r>
            <w:r>
              <w:rPr>
                <w:rFonts w:hint="default" w:ascii="Times New Roman" w:hAnsi="Times New Roman" w:cs="Times New Roman"/>
                <w:color w:val="auto"/>
                <w:spacing w:val="0"/>
                <w:highlight w:val="none"/>
                <w:lang w:eastAsia="zh-CN"/>
              </w:rPr>
              <w:t>，</w:t>
            </w:r>
            <w:r>
              <w:rPr>
                <w:rFonts w:hint="default" w:ascii="Times New Roman" w:hAnsi="Times New Roman" w:cs="Times New Roman"/>
                <w:color w:val="auto"/>
                <w:spacing w:val="0"/>
                <w:highlight w:val="none"/>
                <w:lang w:val="en-US" w:eastAsia="zh-CN"/>
              </w:rPr>
              <w:t>项目所在区域为达标区</w:t>
            </w:r>
            <w:r>
              <w:rPr>
                <w:rFonts w:hint="default" w:ascii="Times New Roman" w:hAnsi="Times New Roman" w:eastAsia="宋体" w:cs="Times New Roman"/>
                <w:color w:val="auto"/>
                <w:spacing w:val="0"/>
                <w:highlight w:val="none"/>
              </w:rPr>
              <w:t>。</w:t>
            </w:r>
            <w:r>
              <w:rPr>
                <w:rFonts w:hint="default" w:ascii="Times New Roman" w:hAnsi="Times New Roman" w:eastAsia="宋体" w:cs="Times New Roman"/>
                <w:color w:val="auto"/>
                <w:spacing w:val="0"/>
                <w:sz w:val="24"/>
                <w:szCs w:val="24"/>
                <w:highlight w:val="none"/>
                <w:lang w:val="en-US" w:eastAsia="zh-CN"/>
              </w:rPr>
              <w:t>根据《全国重要江河湖泊水功能区划（2011-2030）》，项目区所在水功能区</w:t>
            </w:r>
            <w:r>
              <w:rPr>
                <w:rFonts w:hint="eastAsia" w:ascii="Times New Roman" w:hAnsi="Times New Roman" w:cs="Times New Roman"/>
                <w:color w:val="auto"/>
                <w:spacing w:val="0"/>
                <w:sz w:val="24"/>
                <w:szCs w:val="24"/>
                <w:highlight w:val="none"/>
                <w:lang w:val="en-US" w:eastAsia="zh-CN"/>
              </w:rPr>
              <w:t>穆棱河</w:t>
            </w:r>
            <w:r>
              <w:rPr>
                <w:rFonts w:hint="default" w:ascii="Times New Roman" w:hAnsi="Times New Roman" w:eastAsia="宋体" w:cs="Times New Roman"/>
                <w:color w:val="auto"/>
                <w:spacing w:val="0"/>
                <w:sz w:val="24"/>
                <w:szCs w:val="24"/>
                <w:highlight w:val="none"/>
                <w:lang w:val="en-US" w:eastAsia="zh-CN"/>
              </w:rPr>
              <w:t>起始断面为东胜村，终止断面为鸡古路西100m，</w:t>
            </w:r>
            <w:r>
              <w:rPr>
                <w:rFonts w:hint="default" w:ascii="Times New Roman" w:hAnsi="Times New Roman" w:eastAsia="宋体" w:cs="Times New Roman"/>
                <w:color w:val="auto"/>
                <w:spacing w:val="0"/>
                <w:highlight w:val="none"/>
                <w:lang w:val="en-US" w:eastAsia="zh-CN"/>
              </w:rPr>
              <w:t>水质标准为Ⅳ类。故确定本次评价区域地表水水质目标执行《地表水环境质量标准》（GB3838-2002）中Ⅳ类标准。</w:t>
            </w:r>
            <w:r>
              <w:rPr>
                <w:rFonts w:hint="default" w:ascii="Times New Roman" w:hAnsi="Times New Roman" w:eastAsia="宋体" w:cs="Times New Roman"/>
                <w:color w:val="auto"/>
                <w:spacing w:val="0"/>
                <w:highlight w:val="none"/>
              </w:rPr>
              <w:t>根据《2024年黑龙江省生态环境质量状况公报》，鸡西市区域昼间声环境质量为二级，等效声级为53.6dB（A）；道路交通昼间声环境质量为一级，等效声级为65.8dB（A）；功能区昼间达标率100%；功能区夜间达标率100%。</w:t>
            </w:r>
          </w:p>
          <w:p w14:paraId="4AADDCED">
            <w:pPr>
              <w:adjustRightInd w:val="0"/>
              <w:snapToGrid w:val="0"/>
              <w:spacing w:line="360" w:lineRule="auto"/>
              <w:ind w:firstLine="480" w:firstLineChars="200"/>
              <w:jc w:val="left"/>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本项目产生的废气主要为</w:t>
            </w:r>
            <w:r>
              <w:rPr>
                <w:rFonts w:hint="default" w:ascii="Times New Roman" w:hAnsi="Times New Roman" w:cs="Times New Roman"/>
                <w:color w:val="auto"/>
                <w:spacing w:val="0"/>
                <w:sz w:val="24"/>
                <w:highlight w:val="none"/>
                <w:lang w:val="en-US" w:eastAsia="zh-CN"/>
              </w:rPr>
              <w:t>生物质锅炉</w:t>
            </w:r>
            <w:r>
              <w:rPr>
                <w:rFonts w:hint="default" w:ascii="Times New Roman" w:hAnsi="Times New Roman" w:eastAsia="宋体" w:cs="Times New Roman"/>
                <w:color w:val="auto"/>
                <w:spacing w:val="0"/>
                <w:sz w:val="24"/>
                <w:highlight w:val="none"/>
                <w:lang w:val="en-US" w:eastAsia="zh-CN"/>
              </w:rPr>
              <w:t>废气，产生的废气经</w:t>
            </w:r>
            <w:r>
              <w:rPr>
                <w:rFonts w:hint="default" w:ascii="Times New Roman" w:hAnsi="Times New Roman" w:cs="Times New Roman"/>
                <w:color w:val="auto"/>
                <w:spacing w:val="0"/>
                <w:sz w:val="24"/>
                <w:highlight w:val="none"/>
                <w:lang w:val="en-US" w:eastAsia="zh-CN"/>
              </w:rPr>
              <w:t>DA001</w:t>
            </w:r>
            <w:r>
              <w:rPr>
                <w:rFonts w:hint="default" w:ascii="Times New Roman" w:hAnsi="Times New Roman" w:eastAsia="宋体" w:cs="Times New Roman"/>
                <w:color w:val="auto"/>
                <w:spacing w:val="0"/>
                <w:sz w:val="24"/>
                <w:highlight w:val="none"/>
                <w:lang w:val="en-US" w:eastAsia="zh-CN"/>
              </w:rPr>
              <w:t>排气筒有组织排放，颗粒物、二氧化硫、氮氧化物、烟气黑度排放</w:t>
            </w:r>
            <w:r>
              <w:rPr>
                <w:rFonts w:hint="default" w:ascii="Times New Roman" w:hAnsi="Times New Roman" w:eastAsia="宋体" w:cs="Times New Roman"/>
                <w:color w:val="auto"/>
                <w:spacing w:val="0"/>
                <w:sz w:val="24"/>
                <w:highlight w:val="none"/>
              </w:rPr>
              <w:t>满足《</w:t>
            </w:r>
            <w:r>
              <w:rPr>
                <w:rFonts w:hint="default" w:ascii="Times New Roman" w:hAnsi="Times New Roman" w:eastAsia="宋体" w:cs="Times New Roman"/>
                <w:color w:val="auto"/>
                <w:spacing w:val="0"/>
                <w:sz w:val="24"/>
                <w:highlight w:val="none"/>
                <w:lang w:val="en-US" w:eastAsia="zh-CN"/>
              </w:rPr>
              <w:t>锅炉大气污染物排放标准</w:t>
            </w:r>
            <w:r>
              <w:rPr>
                <w:rFonts w:hint="default" w:ascii="Times New Roman" w:hAnsi="Times New Roman" w:eastAsia="宋体" w:cs="Times New Roman"/>
                <w:color w:val="auto"/>
                <w:spacing w:val="0"/>
                <w:sz w:val="24"/>
                <w:highlight w:val="none"/>
              </w:rPr>
              <w:t>》（GB</w:t>
            </w:r>
            <w:r>
              <w:rPr>
                <w:rFonts w:hint="default" w:ascii="Times New Roman" w:hAnsi="Times New Roman" w:eastAsia="宋体" w:cs="Times New Roman"/>
                <w:color w:val="auto"/>
                <w:spacing w:val="0"/>
                <w:sz w:val="24"/>
                <w:highlight w:val="none"/>
                <w:lang w:val="en-US" w:eastAsia="zh-CN"/>
              </w:rPr>
              <w:t>13271</w:t>
            </w:r>
            <w:r>
              <w:rPr>
                <w:rFonts w:hint="default" w:ascii="Times New Roman" w:hAnsi="Times New Roman" w:eastAsia="宋体" w:cs="Times New Roman"/>
                <w:color w:val="auto"/>
                <w:spacing w:val="0"/>
                <w:sz w:val="24"/>
                <w:highlight w:val="none"/>
              </w:rPr>
              <w:t>-</w:t>
            </w:r>
            <w:r>
              <w:rPr>
                <w:rFonts w:hint="default" w:ascii="Times New Roman" w:hAnsi="Times New Roman" w:eastAsia="宋体" w:cs="Times New Roman"/>
                <w:color w:val="auto"/>
                <w:spacing w:val="0"/>
                <w:sz w:val="24"/>
                <w:highlight w:val="none"/>
                <w:lang w:val="en-US" w:eastAsia="zh-CN"/>
              </w:rPr>
              <w:t>2014</w:t>
            </w:r>
            <w:r>
              <w:rPr>
                <w:rFonts w:hint="default" w:ascii="Times New Roman" w:hAnsi="Times New Roman" w:eastAsia="宋体" w:cs="Times New Roman"/>
                <w:color w:val="auto"/>
                <w:spacing w:val="0"/>
                <w:sz w:val="24"/>
                <w:highlight w:val="none"/>
              </w:rPr>
              <w:t>）表</w:t>
            </w:r>
            <w:r>
              <w:rPr>
                <w:rFonts w:hint="default" w:ascii="Times New Roman" w:hAnsi="Times New Roman" w:eastAsia="宋体" w:cs="Times New Roman"/>
                <w:color w:val="auto"/>
                <w:spacing w:val="0"/>
                <w:sz w:val="24"/>
                <w:highlight w:val="none"/>
                <w:lang w:val="en-US" w:eastAsia="zh-CN"/>
              </w:rPr>
              <w:t>2排放限值</w:t>
            </w:r>
            <w:r>
              <w:rPr>
                <w:rFonts w:hint="default" w:ascii="Times New Roman" w:hAnsi="Times New Roman" w:eastAsia="宋体" w:cs="Times New Roman"/>
                <w:color w:val="auto"/>
                <w:spacing w:val="0"/>
                <w:sz w:val="24"/>
                <w:highlight w:val="none"/>
              </w:rPr>
              <w:t>；本项目产生的废水主要为</w:t>
            </w:r>
            <w:r>
              <w:rPr>
                <w:rFonts w:hint="default" w:ascii="Times New Roman" w:hAnsi="Times New Roman" w:eastAsia="宋体" w:cs="Times New Roman"/>
                <w:color w:val="auto"/>
                <w:spacing w:val="0"/>
                <w:sz w:val="24"/>
                <w:highlight w:val="none"/>
                <w:lang w:val="en-US" w:eastAsia="zh-CN"/>
              </w:rPr>
              <w:t>锅炉排污水和软水制备废水</w:t>
            </w:r>
            <w:r>
              <w:rPr>
                <w:rFonts w:hint="default" w:ascii="Times New Roman" w:hAnsi="Times New Roman" w:eastAsia="宋体" w:cs="Times New Roman"/>
                <w:color w:val="auto"/>
                <w:spacing w:val="0"/>
                <w:sz w:val="24"/>
                <w:highlight w:val="none"/>
              </w:rPr>
              <w:t>，</w:t>
            </w:r>
            <w:r>
              <w:rPr>
                <w:rFonts w:hint="eastAsia" w:ascii="Times New Roman" w:hAnsi="Times New Roman" w:cs="Times New Roman"/>
                <w:color w:val="auto"/>
                <w:spacing w:val="0"/>
                <w:sz w:val="24"/>
                <w:highlight w:val="none"/>
                <w:lang w:val="en-US" w:eastAsia="zh-CN"/>
              </w:rPr>
              <w:t>少量</w:t>
            </w:r>
            <w:r>
              <w:rPr>
                <w:rFonts w:hint="default" w:ascii="Times New Roman" w:hAnsi="Times New Roman" w:cs="Times New Roman"/>
                <w:color w:val="auto"/>
                <w:spacing w:val="0"/>
                <w:sz w:val="24"/>
                <w:highlight w:val="none"/>
                <w:lang w:val="en-US" w:eastAsia="zh-CN"/>
              </w:rPr>
              <w:t>收集后用于灰渣</w:t>
            </w:r>
            <w:r>
              <w:rPr>
                <w:rFonts w:hint="eastAsia" w:ascii="Times New Roman" w:hAnsi="Times New Roman" w:cs="Times New Roman"/>
                <w:color w:val="auto"/>
                <w:spacing w:val="0"/>
                <w:sz w:val="24"/>
                <w:highlight w:val="none"/>
                <w:lang w:val="en-US" w:eastAsia="zh-CN"/>
              </w:rPr>
              <w:t>加湿，其余</w:t>
            </w:r>
            <w:r>
              <w:rPr>
                <w:rFonts w:hint="eastAsia" w:ascii="Times New Roman" w:hAnsi="Times New Roman" w:cs="Times New Roman"/>
                <w:bCs/>
                <w:color w:val="auto"/>
                <w:spacing w:val="0"/>
                <w:sz w:val="24"/>
                <w:highlight w:val="none"/>
                <w:lang w:val="en-US" w:eastAsia="zh-CN" w:bidi="ar"/>
              </w:rPr>
              <w:t>废水</w:t>
            </w:r>
            <w:r>
              <w:rPr>
                <w:rFonts w:hint="eastAsia" w:ascii="Times New Roman" w:hAnsi="Times New Roman" w:eastAsia="宋体" w:cs="Times New Roman"/>
                <w:bCs/>
                <w:color w:val="auto"/>
                <w:spacing w:val="0"/>
                <w:sz w:val="24"/>
                <w:highlight w:val="none"/>
                <w:lang w:val="en-US" w:eastAsia="zh-CN" w:bidi="ar"/>
              </w:rPr>
              <w:t>通过院区污水总排口进入</w:t>
            </w:r>
            <w:r>
              <w:rPr>
                <w:rFonts w:hint="default" w:ascii="Times New Roman" w:hAnsi="Times New Roman" w:eastAsia="宋体" w:cs="Times New Roman"/>
                <w:bCs/>
                <w:color w:val="auto"/>
                <w:spacing w:val="0"/>
                <w:sz w:val="24"/>
                <w:highlight w:val="none"/>
                <w:lang w:val="en-US" w:eastAsia="zh-CN" w:bidi="ar"/>
              </w:rPr>
              <w:t>市政管网</w:t>
            </w:r>
            <w:r>
              <w:rPr>
                <w:rFonts w:hint="eastAsia" w:ascii="Times New Roman" w:hAnsi="Times New Roman" w:cs="Times New Roman"/>
                <w:bCs/>
                <w:color w:val="auto"/>
                <w:spacing w:val="0"/>
                <w:sz w:val="24"/>
                <w:highlight w:val="none"/>
                <w:lang w:val="en-US" w:eastAsia="zh-CN" w:bidi="ar"/>
              </w:rPr>
              <w:t>，最终进入</w:t>
            </w:r>
            <w:r>
              <w:rPr>
                <w:rFonts w:hint="default" w:ascii="Times New Roman" w:hAnsi="Times New Roman" w:eastAsia="宋体" w:cs="Times New Roman"/>
                <w:bCs/>
                <w:color w:val="auto"/>
                <w:spacing w:val="0"/>
                <w:sz w:val="24"/>
                <w:highlight w:val="none"/>
                <w:lang w:val="en-US" w:eastAsia="zh-CN" w:bidi="ar"/>
              </w:rPr>
              <w:t>城子河区</w:t>
            </w:r>
            <w:r>
              <w:rPr>
                <w:rFonts w:hint="default" w:ascii="Times New Roman" w:hAnsi="Times New Roman" w:cs="Times New Roman"/>
                <w:bCs/>
                <w:color w:val="auto"/>
                <w:spacing w:val="0"/>
                <w:sz w:val="24"/>
                <w:highlight w:val="none"/>
                <w:lang w:val="en-US" w:eastAsia="zh-CN" w:bidi="ar"/>
              </w:rPr>
              <w:t>污水处理厂</w:t>
            </w:r>
            <w:r>
              <w:rPr>
                <w:rFonts w:hint="eastAsia" w:ascii="Times New Roman" w:hAnsi="Times New Roman" w:cs="Times New Roman"/>
                <w:bCs/>
                <w:color w:val="auto"/>
                <w:spacing w:val="0"/>
                <w:sz w:val="24"/>
                <w:highlight w:val="none"/>
                <w:lang w:val="en-US" w:eastAsia="zh-CN" w:bidi="ar"/>
              </w:rPr>
              <w:t>进行</w:t>
            </w:r>
            <w:r>
              <w:rPr>
                <w:rFonts w:hint="default" w:ascii="Times New Roman" w:hAnsi="Times New Roman" w:eastAsia="宋体" w:cs="Times New Roman"/>
                <w:bCs/>
                <w:color w:val="auto"/>
                <w:spacing w:val="0"/>
                <w:sz w:val="24"/>
                <w:highlight w:val="none"/>
                <w:lang w:val="en-US" w:eastAsia="zh-CN" w:bidi="ar"/>
              </w:rPr>
              <w:t>处理</w:t>
            </w:r>
            <w:r>
              <w:rPr>
                <w:rFonts w:hint="default" w:ascii="Times New Roman" w:hAnsi="Times New Roman" w:cs="Times New Roman"/>
                <w:color w:val="auto"/>
                <w:spacing w:val="0"/>
                <w:sz w:val="24"/>
                <w:highlight w:val="none"/>
                <w:lang w:eastAsia="zh-CN"/>
              </w:rPr>
              <w:t>；</w:t>
            </w:r>
            <w:r>
              <w:rPr>
                <w:rFonts w:hint="default" w:ascii="Times New Roman" w:hAnsi="Times New Roman" w:eastAsia="宋体" w:cs="Times New Roman"/>
                <w:color w:val="auto"/>
                <w:spacing w:val="0"/>
                <w:sz w:val="24"/>
                <w:highlight w:val="none"/>
              </w:rPr>
              <w:t>本项目噪声主要来自</w:t>
            </w:r>
            <w:r>
              <w:rPr>
                <w:rFonts w:hint="eastAsia" w:ascii="Times New Roman" w:hAnsi="Times New Roman" w:cs="Times New Roman"/>
                <w:color w:val="auto"/>
                <w:spacing w:val="0"/>
                <w:sz w:val="24"/>
                <w:highlight w:val="none"/>
                <w:lang w:val="en-US" w:eastAsia="zh-CN"/>
              </w:rPr>
              <w:t>风机、</w:t>
            </w:r>
            <w:r>
              <w:rPr>
                <w:rFonts w:hint="default" w:ascii="Times New Roman" w:hAnsi="Times New Roman" w:cs="Times New Roman"/>
                <w:color w:val="auto"/>
                <w:spacing w:val="0"/>
                <w:sz w:val="24"/>
                <w:highlight w:val="none"/>
                <w:lang w:val="en-US" w:eastAsia="zh-CN"/>
              </w:rPr>
              <w:t>水泵</w:t>
            </w:r>
            <w:r>
              <w:rPr>
                <w:rFonts w:hint="default" w:ascii="Times New Roman" w:hAnsi="Times New Roman" w:eastAsia="宋体" w:cs="Times New Roman"/>
                <w:color w:val="auto"/>
                <w:spacing w:val="0"/>
                <w:sz w:val="24"/>
                <w:highlight w:val="none"/>
              </w:rPr>
              <w:t>运转过程产生的噪声，在采取选用低噪声设备，基础减振、厂房隔声等措施，能够满足《工业企业厂界环境噪声排放标准》（GB12348-2008）</w:t>
            </w:r>
            <w:r>
              <w:rPr>
                <w:rFonts w:hint="default" w:ascii="Times New Roman" w:hAnsi="Times New Roman" w:cs="Times New Roman"/>
                <w:color w:val="auto"/>
                <w:spacing w:val="0"/>
                <w:sz w:val="24"/>
                <w:highlight w:val="none"/>
                <w:lang w:val="en-US" w:eastAsia="zh-CN"/>
              </w:rPr>
              <w:t>2</w:t>
            </w:r>
            <w:r>
              <w:rPr>
                <w:rFonts w:hint="default" w:ascii="Times New Roman" w:hAnsi="Times New Roman" w:eastAsia="宋体" w:cs="Times New Roman"/>
                <w:color w:val="auto"/>
                <w:spacing w:val="0"/>
                <w:sz w:val="24"/>
                <w:highlight w:val="none"/>
              </w:rPr>
              <w:t>类标准；本项目产生的固体废物通过采取相应的处理措施后，可实现固体废物处理的无害化，减量化及资源化的目标。本项目的建设不会降低项目所在地周边环境的环境功能质量，符合环境质量控制底线要求。</w:t>
            </w:r>
          </w:p>
          <w:p w14:paraId="014EFA57">
            <w:pPr>
              <w:adjustRightInd w:val="0"/>
              <w:snapToGrid w:val="0"/>
              <w:spacing w:line="360" w:lineRule="auto"/>
              <w:ind w:firstLine="480" w:firstLineChars="200"/>
              <w:jc w:val="left"/>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w:t>
            </w:r>
            <w:r>
              <w:rPr>
                <w:rFonts w:hint="default" w:ascii="Times New Roman" w:hAnsi="Times New Roman" w:cs="Times New Roman"/>
                <w:color w:val="auto"/>
                <w:spacing w:val="0"/>
                <w:sz w:val="24"/>
                <w:highlight w:val="none"/>
                <w:lang w:val="en-US" w:eastAsia="zh-CN"/>
              </w:rPr>
              <w:t>2</w:t>
            </w:r>
            <w:r>
              <w:rPr>
                <w:rFonts w:hint="default" w:ascii="Times New Roman" w:hAnsi="Times New Roman" w:eastAsia="宋体" w:cs="Times New Roman"/>
                <w:color w:val="auto"/>
                <w:spacing w:val="0"/>
                <w:sz w:val="24"/>
                <w:highlight w:val="none"/>
              </w:rPr>
              <w:t>）资源利用上线</w:t>
            </w:r>
          </w:p>
          <w:p w14:paraId="76A09A7B">
            <w:pPr>
              <w:adjustRightInd w:val="0"/>
              <w:snapToGrid w:val="0"/>
              <w:spacing w:line="360" w:lineRule="auto"/>
              <w:ind w:firstLine="480" w:firstLineChars="200"/>
              <w:jc w:val="left"/>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z w:val="24"/>
                <w:szCs w:val="24"/>
                <w:highlight w:val="none"/>
                <w:lang w:val="en-US" w:eastAsia="zh-CN"/>
              </w:rPr>
              <w:t>本项目为自然资源一般管控区，</w:t>
            </w:r>
            <w:r>
              <w:rPr>
                <w:rFonts w:hint="default" w:ascii="Times New Roman" w:hAnsi="Times New Roman" w:eastAsia="宋体" w:cs="Times New Roman"/>
                <w:color w:val="auto"/>
                <w:sz w:val="24"/>
                <w:szCs w:val="24"/>
                <w:highlight w:val="none"/>
              </w:rPr>
              <w:t>本</w:t>
            </w:r>
            <w:r>
              <w:rPr>
                <w:rFonts w:hint="default" w:ascii="Times New Roman" w:hAnsi="Times New Roman" w:eastAsia="宋体" w:cs="Times New Roman"/>
                <w:color w:val="auto"/>
                <w:sz w:val="24"/>
                <w:szCs w:val="24"/>
                <w:highlight w:val="none"/>
                <w:lang w:val="en-US" w:eastAsia="zh-CN"/>
              </w:rPr>
              <w:t>项目</w:t>
            </w:r>
            <w:r>
              <w:rPr>
                <w:rFonts w:hint="default" w:ascii="Times New Roman" w:hAnsi="Times New Roman" w:eastAsia="宋体" w:cs="Times New Roman"/>
                <w:color w:val="auto"/>
                <w:sz w:val="24"/>
                <w:szCs w:val="24"/>
                <w:highlight w:val="none"/>
              </w:rPr>
              <w:t>水源</w:t>
            </w:r>
            <w:r>
              <w:rPr>
                <w:rFonts w:hint="default" w:ascii="Times New Roman" w:hAnsi="Times New Roman" w:eastAsia="宋体" w:cs="Times New Roman"/>
                <w:color w:val="auto"/>
                <w:sz w:val="24"/>
                <w:szCs w:val="24"/>
                <w:highlight w:val="none"/>
                <w:lang w:val="en-US" w:eastAsia="zh-CN"/>
              </w:rPr>
              <w:t>为市政管网供水</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年用水量64133.63t，</w:t>
            </w:r>
            <w:r>
              <w:rPr>
                <w:rFonts w:hint="default" w:ascii="Times New Roman" w:hAnsi="Times New Roman" w:eastAsia="宋体" w:cs="Times New Roman"/>
                <w:color w:val="auto"/>
                <w:sz w:val="24"/>
                <w:szCs w:val="24"/>
                <w:highlight w:val="none"/>
              </w:rPr>
              <w:t>不会达到水资源利用上线。</w:t>
            </w:r>
            <w:r>
              <w:rPr>
                <w:rFonts w:hint="eastAsia" w:ascii="Times New Roman" w:hAnsi="Times New Roman" w:cs="Times New Roman"/>
                <w:color w:val="auto"/>
                <w:sz w:val="24"/>
                <w:szCs w:val="24"/>
                <w:highlight w:val="none"/>
                <w:lang w:val="en-US" w:eastAsia="zh-CN"/>
              </w:rPr>
              <w:t>医院用地性质</w:t>
            </w:r>
            <w:r>
              <w:rPr>
                <w:rFonts w:hint="default" w:ascii="Times New Roman" w:hAnsi="Times New Roman" w:eastAsia="宋体" w:cs="Times New Roman"/>
                <w:color w:val="auto"/>
                <w:sz w:val="24"/>
                <w:szCs w:val="24"/>
                <w:highlight w:val="none"/>
                <w:lang w:val="en-US" w:eastAsia="zh-CN"/>
              </w:rPr>
              <w:t>为</w:t>
            </w:r>
            <w:r>
              <w:rPr>
                <w:rFonts w:hint="default" w:ascii="Times New Roman" w:hAnsi="Times New Roman" w:cs="Times New Roman"/>
                <w:color w:val="auto"/>
                <w:sz w:val="24"/>
                <w:szCs w:val="24"/>
                <w:highlight w:val="none"/>
                <w:lang w:val="en-US" w:eastAsia="zh-CN"/>
              </w:rPr>
              <w:t>建设</w:t>
            </w:r>
            <w:r>
              <w:rPr>
                <w:rFonts w:hint="default" w:ascii="Times New Roman" w:hAnsi="Times New Roman" w:eastAsia="宋体" w:cs="Times New Roman"/>
                <w:color w:val="auto"/>
                <w:sz w:val="24"/>
                <w:szCs w:val="24"/>
                <w:highlight w:val="none"/>
                <w:lang w:val="en-US" w:eastAsia="zh-CN"/>
              </w:rPr>
              <w:t>用地，</w:t>
            </w:r>
            <w:r>
              <w:rPr>
                <w:rFonts w:hint="eastAsia" w:ascii="Times New Roman" w:hAnsi="Times New Roman" w:cs="Times New Roman"/>
                <w:color w:val="auto"/>
                <w:sz w:val="24"/>
                <w:szCs w:val="24"/>
                <w:highlight w:val="none"/>
                <w:lang w:val="en-US" w:eastAsia="zh-CN"/>
              </w:rPr>
              <w:t>见附件12。</w:t>
            </w:r>
            <w:r>
              <w:rPr>
                <w:rFonts w:hint="default" w:ascii="Times New Roman" w:hAnsi="Times New Roman" w:eastAsia="宋体" w:cs="Times New Roman"/>
                <w:color w:val="auto"/>
                <w:sz w:val="24"/>
                <w:szCs w:val="24"/>
                <w:highlight w:val="none"/>
              </w:rPr>
              <w:t>符合</w:t>
            </w:r>
            <w:r>
              <w:rPr>
                <w:rFonts w:hint="default" w:ascii="Times New Roman" w:hAnsi="Times New Roman" w:eastAsia="宋体" w:cs="Times New Roman"/>
                <w:color w:val="auto"/>
                <w:sz w:val="24"/>
                <w:szCs w:val="24"/>
                <w:highlight w:val="none"/>
                <w:lang w:val="en-US" w:eastAsia="zh-CN"/>
              </w:rPr>
              <w:t>国土空间规划</w:t>
            </w:r>
            <w:r>
              <w:rPr>
                <w:rFonts w:hint="default" w:ascii="Times New Roman" w:hAnsi="Times New Roman" w:eastAsia="宋体" w:cs="Times New Roman"/>
                <w:color w:val="auto"/>
                <w:sz w:val="24"/>
                <w:szCs w:val="24"/>
                <w:highlight w:val="none"/>
              </w:rPr>
              <w:t>要求，亦不会达到土地资源利用上线。本项目</w:t>
            </w:r>
            <w:r>
              <w:rPr>
                <w:rFonts w:hint="default" w:ascii="Times New Roman" w:hAnsi="Times New Roman" w:eastAsia="宋体" w:cs="Times New Roman"/>
                <w:color w:val="auto"/>
                <w:sz w:val="24"/>
                <w:szCs w:val="24"/>
                <w:highlight w:val="none"/>
                <w:lang w:val="en-US" w:eastAsia="zh-CN"/>
              </w:rPr>
              <w:t>为锅炉建设项目，</w:t>
            </w:r>
            <w:r>
              <w:rPr>
                <w:rFonts w:hint="default" w:ascii="Times New Roman" w:hAnsi="Times New Roman" w:cs="Times New Roman"/>
                <w:color w:val="auto"/>
                <w:sz w:val="24"/>
                <w:szCs w:val="24"/>
                <w:highlight w:val="none"/>
                <w:lang w:val="en-US" w:eastAsia="zh-CN"/>
              </w:rPr>
              <w:t>冬季取暖采用</w:t>
            </w:r>
            <w:r>
              <w:rPr>
                <w:rFonts w:hint="eastAsia" w:ascii="Times New Roman" w:hAnsi="Times New Roman" w:cs="Times New Roman"/>
                <w:color w:val="auto"/>
                <w:sz w:val="24"/>
                <w:szCs w:val="24"/>
                <w:highlight w:val="none"/>
                <w:lang w:val="en-US" w:eastAsia="zh-CN"/>
              </w:rPr>
              <w:t>生物质颗粒燃料</w:t>
            </w:r>
            <w:r>
              <w:rPr>
                <w:rFonts w:hint="default" w:ascii="Times New Roman" w:hAnsi="Times New Roman" w:eastAsia="宋体" w:cs="Times New Roman"/>
                <w:color w:val="auto"/>
                <w:sz w:val="24"/>
                <w:szCs w:val="24"/>
                <w:highlight w:val="none"/>
                <w:lang w:val="en-US" w:eastAsia="zh-CN"/>
              </w:rPr>
              <w:t>，废气通过</w:t>
            </w:r>
            <w:r>
              <w:rPr>
                <w:rFonts w:hint="eastAsia" w:ascii="Times New Roman" w:hAnsi="Times New Roman" w:cs="Times New Roman"/>
                <w:color w:val="auto"/>
                <w:spacing w:val="-1"/>
                <w:sz w:val="24"/>
                <w:szCs w:val="24"/>
                <w:highlight w:val="none"/>
                <w:lang w:val="en-US" w:eastAsia="zh-CN"/>
              </w:rPr>
              <w:t>旋风+</w:t>
            </w:r>
            <w:r>
              <w:rPr>
                <w:rFonts w:hint="default" w:ascii="Times New Roman" w:hAnsi="Times New Roman" w:eastAsia="宋体" w:cs="Times New Roman"/>
                <w:color w:val="auto"/>
                <w:sz w:val="24"/>
                <w:szCs w:val="24"/>
                <w:highlight w:val="none"/>
                <w:lang w:val="en-US" w:eastAsia="zh-CN"/>
              </w:rPr>
              <w:t>布袋除尘器（除尘效率99</w:t>
            </w:r>
            <w:r>
              <w:rPr>
                <w:rFonts w:hint="default" w:ascii="Times New Roman" w:hAnsi="Times New Roman"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%）处理后通过30米高排气筒（DA001）排放。因此，本项目建设符合资源利用上线要</w:t>
            </w:r>
            <w:r>
              <w:rPr>
                <w:rFonts w:hint="default" w:ascii="Times New Roman" w:hAnsi="Times New Roman" w:eastAsia="宋体" w:cs="Times New Roman"/>
                <w:color w:val="auto"/>
                <w:sz w:val="24"/>
                <w:szCs w:val="24"/>
                <w:highlight w:val="none"/>
              </w:rPr>
              <w:t>求。</w:t>
            </w:r>
          </w:p>
          <w:p w14:paraId="4A2E6FD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jc w:val="left"/>
              <w:textAlignment w:val="auto"/>
              <w:rPr>
                <w:rFonts w:hint="default" w:ascii="Times New Roman" w:hAnsi="Times New Roman" w:eastAsia="宋体" w:cs="Times New Roman"/>
                <w:caps w:val="0"/>
                <w:color w:val="auto"/>
                <w:spacing w:val="0"/>
                <w:sz w:val="24"/>
                <w:highlight w:val="none"/>
                <w:lang w:val="en-US" w:eastAsia="zh-CN"/>
              </w:rPr>
            </w:pPr>
            <w:r>
              <w:rPr>
                <w:rFonts w:hint="default" w:ascii="Times New Roman" w:hAnsi="Times New Roman" w:eastAsia="宋体" w:cs="Times New Roman"/>
                <w:caps w:val="0"/>
                <w:color w:val="auto"/>
                <w:spacing w:val="0"/>
                <w:sz w:val="24"/>
                <w:highlight w:val="none"/>
                <w:lang w:val="en-US" w:eastAsia="zh-CN"/>
              </w:rPr>
              <w:t>（4）生态环境准入清单</w:t>
            </w:r>
          </w:p>
          <w:p w14:paraId="3778311A">
            <w:pPr>
              <w:keepNext w:val="0"/>
              <w:keepLines w:val="0"/>
              <w:widowControl/>
              <w:suppressLineNumbers w:val="0"/>
              <w:jc w:val="left"/>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根据2025年10月31日由黑龙江省生态环境分区管控数据应用平台》出具的《鸡西鸡矿医院有限公司城子河医院临时锅炉建设项目生态环境分区管控分析报告》，本项目与地下水环境管控区、与生态环境准入清单符合性如下：</w:t>
            </w:r>
          </w:p>
          <w:p w14:paraId="04B39266">
            <w:pPr>
              <w:widowControl/>
              <w:shd w:val="clear"/>
              <w:adjustRightInd/>
              <w:snapToGrid/>
              <w:spacing w:line="360" w:lineRule="auto"/>
              <w:ind w:firstLine="480" w:firstLineChars="200"/>
              <w:jc w:val="left"/>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1）一图</w:t>
            </w:r>
          </w:p>
          <w:p w14:paraId="3B928D93">
            <w:pPr>
              <w:keepNext w:val="0"/>
              <w:keepLines w:val="0"/>
              <w:pageBreakBefore w:val="0"/>
              <w:widowControl/>
              <w:shd w:val="clear"/>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cs="Times New Roman"/>
                <w:color w:val="auto"/>
                <w:highlight w:val="none"/>
              </w:rPr>
              <w:drawing>
                <wp:inline distT="0" distB="0" distL="114300" distR="114300">
                  <wp:extent cx="4785995" cy="2572385"/>
                  <wp:effectExtent l="0" t="0" r="14605" b="18415"/>
                  <wp:docPr id="1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
                          <pic:cNvPicPr>
                            <a:picLocks noChangeAspect="1"/>
                          </pic:cNvPicPr>
                        </pic:nvPicPr>
                        <pic:blipFill>
                          <a:blip r:embed="rId18"/>
                          <a:stretch>
                            <a:fillRect/>
                          </a:stretch>
                        </pic:blipFill>
                        <pic:spPr>
                          <a:xfrm>
                            <a:off x="0" y="0"/>
                            <a:ext cx="4785995" cy="2572385"/>
                          </a:xfrm>
                          <a:prstGeom prst="rect">
                            <a:avLst/>
                          </a:prstGeom>
                          <a:noFill/>
                          <a:ln>
                            <a:noFill/>
                          </a:ln>
                        </pic:spPr>
                      </pic:pic>
                    </a:graphicData>
                  </a:graphic>
                </wp:inline>
              </w:drawing>
            </w:r>
          </w:p>
          <w:p w14:paraId="78D70DD3">
            <w:pPr>
              <w:keepNext w:val="0"/>
              <w:keepLines w:val="0"/>
              <w:pageBreakBefore w:val="0"/>
              <w:widowControl/>
              <w:shd w:val="clear"/>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b/>
                <w:bCs/>
                <w:color w:val="auto"/>
                <w:highlight w:val="none"/>
                <w:lang w:val="en-US" w:eastAsia="zh-CN"/>
              </w:rPr>
              <w:t>图1-1 本项目与管控单元叠加图</w:t>
            </w:r>
          </w:p>
          <w:p w14:paraId="3D4F13CC">
            <w:pPr>
              <w:widowControl/>
              <w:shd w:val="clear"/>
              <w:adjustRightInd/>
              <w:snapToGrid/>
              <w:spacing w:line="360" w:lineRule="auto"/>
              <w:ind w:firstLine="480" w:firstLineChars="200"/>
              <w:jc w:val="left"/>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2）一表</w:t>
            </w:r>
          </w:p>
          <w:p w14:paraId="14498670">
            <w:pPr>
              <w:shd w:val="clear"/>
              <w:tabs>
                <w:tab w:val="left" w:pos="3687"/>
              </w:tabs>
              <w:spacing w:line="240" w:lineRule="auto"/>
              <w:ind w:firstLine="0" w:firstLineChars="0"/>
              <w:jc w:val="center"/>
              <w:rPr>
                <w:rFonts w:hint="default" w:ascii="Times New Roman" w:hAnsi="Times New Roman" w:eastAsia="宋体" w:cs="Times New Roman"/>
                <w:b/>
                <w:bCs w:val="0"/>
                <w:color w:val="auto"/>
                <w:spacing w:val="0"/>
                <w:kern w:val="2"/>
                <w:sz w:val="21"/>
                <w:szCs w:val="21"/>
                <w:highlight w:val="none"/>
                <w:lang w:val="en-US" w:eastAsia="zh-CN" w:bidi="ar-SA"/>
              </w:rPr>
            </w:pPr>
            <w:r>
              <w:rPr>
                <w:rFonts w:hint="default" w:ascii="Times New Roman" w:hAnsi="Times New Roman" w:eastAsia="宋体" w:cs="Times New Roman"/>
                <w:b/>
                <w:bCs w:val="0"/>
                <w:color w:val="auto"/>
                <w:spacing w:val="0"/>
                <w:kern w:val="2"/>
                <w:sz w:val="21"/>
                <w:szCs w:val="21"/>
                <w:highlight w:val="none"/>
                <w:lang w:val="en-US" w:eastAsia="zh-CN" w:bidi="ar-SA"/>
              </w:rPr>
              <w:t>表1-</w:t>
            </w:r>
            <w:r>
              <w:rPr>
                <w:rFonts w:hint="default" w:ascii="Times New Roman" w:hAnsi="Times New Roman" w:cs="Times New Roman"/>
                <w:b/>
                <w:bCs w:val="0"/>
                <w:color w:val="auto"/>
                <w:spacing w:val="0"/>
                <w:kern w:val="2"/>
                <w:sz w:val="21"/>
                <w:szCs w:val="21"/>
                <w:highlight w:val="none"/>
                <w:lang w:val="en-US" w:eastAsia="zh-CN" w:bidi="ar-SA"/>
              </w:rPr>
              <w:t>2</w:t>
            </w:r>
            <w:r>
              <w:rPr>
                <w:rFonts w:hint="default" w:ascii="Times New Roman" w:hAnsi="Times New Roman" w:eastAsia="宋体" w:cs="Times New Roman"/>
                <w:b/>
                <w:bCs w:val="0"/>
                <w:color w:val="auto"/>
                <w:spacing w:val="0"/>
                <w:kern w:val="2"/>
                <w:sz w:val="21"/>
                <w:szCs w:val="21"/>
                <w:highlight w:val="none"/>
                <w:lang w:val="en-US" w:eastAsia="zh-CN" w:bidi="ar-SA"/>
              </w:rPr>
              <w:t xml:space="preserve"> 生态环境准入清单管控要求符合性分析</w:t>
            </w:r>
          </w:p>
          <w:tbl>
            <w:tblPr>
              <w:tblStyle w:val="3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80"/>
              <w:gridCol w:w="3973"/>
              <w:gridCol w:w="1785"/>
            </w:tblGrid>
            <w:tr w14:paraId="5B3F05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8" w:type="dxa"/>
                  <w:gridSpan w:val="3"/>
                  <w:tcBorders>
                    <w:tl2br w:val="nil"/>
                    <w:tr2bl w:val="nil"/>
                  </w:tcBorders>
                  <w:noWrap w:val="0"/>
                  <w:vAlign w:val="center"/>
                </w:tcPr>
                <w:p w14:paraId="77CC5037">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pacing w:val="0"/>
                      <w:sz w:val="21"/>
                      <w:szCs w:val="21"/>
                      <w:highlight w:val="none"/>
                      <w:lang w:val="en-US"/>
                    </w:rPr>
                  </w:pPr>
                  <w:r>
                    <w:rPr>
                      <w:rFonts w:hint="default" w:ascii="Times New Roman" w:hAnsi="Times New Roman" w:eastAsia="宋体" w:cs="Times New Roman"/>
                      <w:b/>
                      <w:bCs w:val="0"/>
                      <w:color w:val="auto"/>
                      <w:sz w:val="21"/>
                      <w:szCs w:val="21"/>
                      <w:highlight w:val="none"/>
                      <w:lang w:val="en-US" w:eastAsia="zh-CN"/>
                    </w:rPr>
                    <w:t>地下水环境管控区</w:t>
                  </w:r>
                </w:p>
              </w:tc>
            </w:tr>
            <w:tr w14:paraId="2C3B3B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8" w:type="dxa"/>
                  <w:tcBorders>
                    <w:tl2br w:val="nil"/>
                    <w:tr2bl w:val="nil"/>
                  </w:tcBorders>
                  <w:noWrap w:val="0"/>
                  <w:vAlign w:val="center"/>
                </w:tcPr>
                <w:p w14:paraId="6B10AC50">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kern w:val="0"/>
                      <w:sz w:val="21"/>
                      <w:szCs w:val="21"/>
                      <w:highlight w:val="none"/>
                    </w:rPr>
                    <w:t>环境管控</w:t>
                  </w:r>
                  <w:r>
                    <w:rPr>
                      <w:rFonts w:hint="default" w:ascii="Times New Roman" w:hAnsi="Times New Roman" w:eastAsia="宋体" w:cs="Times New Roman"/>
                      <w:b/>
                      <w:bCs w:val="0"/>
                      <w:color w:val="auto"/>
                      <w:spacing w:val="0"/>
                      <w:kern w:val="0"/>
                      <w:sz w:val="21"/>
                      <w:szCs w:val="21"/>
                      <w:highlight w:val="none"/>
                      <w:lang w:val="en-US" w:eastAsia="zh-CN"/>
                    </w:rPr>
                    <w:t>区</w:t>
                  </w:r>
                  <w:r>
                    <w:rPr>
                      <w:rFonts w:hint="default" w:ascii="Times New Roman" w:hAnsi="Times New Roman" w:eastAsia="宋体" w:cs="Times New Roman"/>
                      <w:b/>
                      <w:bCs w:val="0"/>
                      <w:color w:val="auto"/>
                      <w:spacing w:val="0"/>
                      <w:kern w:val="0"/>
                      <w:sz w:val="21"/>
                      <w:szCs w:val="21"/>
                      <w:highlight w:val="none"/>
                    </w:rPr>
                    <w:t>名称</w:t>
                  </w:r>
                </w:p>
              </w:tc>
              <w:tc>
                <w:tcPr>
                  <w:tcW w:w="5750" w:type="dxa"/>
                  <w:gridSpan w:val="2"/>
                  <w:tcBorders>
                    <w:tl2br w:val="nil"/>
                    <w:tr2bl w:val="nil"/>
                  </w:tcBorders>
                  <w:noWrap w:val="0"/>
                  <w:vAlign w:val="center"/>
                </w:tcPr>
                <w:p w14:paraId="02CAD162">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spacing w:val="0"/>
                      <w:kern w:val="0"/>
                      <w:sz w:val="21"/>
                      <w:szCs w:val="21"/>
                      <w:highlight w:val="none"/>
                      <w:lang w:val="en-US" w:eastAsia="zh-CN"/>
                    </w:rPr>
                  </w:pPr>
                  <w:r>
                    <w:rPr>
                      <w:rFonts w:hint="default" w:ascii="Times New Roman" w:hAnsi="Times New Roman" w:eastAsia="宋体" w:cs="Times New Roman"/>
                      <w:b/>
                      <w:bCs w:val="0"/>
                      <w:color w:val="auto"/>
                      <w:spacing w:val="0"/>
                      <w:kern w:val="0"/>
                      <w:sz w:val="21"/>
                      <w:szCs w:val="21"/>
                      <w:highlight w:val="none"/>
                      <w:lang w:val="en-US" w:eastAsia="zh-CN"/>
                    </w:rPr>
                    <w:t>城子河区地下水环境一级管控区</w:t>
                  </w:r>
                </w:p>
              </w:tc>
            </w:tr>
            <w:tr w14:paraId="26650A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8" w:type="dxa"/>
                  <w:tcBorders>
                    <w:tl2br w:val="nil"/>
                    <w:tr2bl w:val="nil"/>
                  </w:tcBorders>
                  <w:noWrap w:val="0"/>
                  <w:vAlign w:val="center"/>
                </w:tcPr>
                <w:p w14:paraId="2D88EC83">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kern w:val="0"/>
                      <w:sz w:val="21"/>
                      <w:szCs w:val="21"/>
                      <w:highlight w:val="none"/>
                    </w:rPr>
                    <w:t>环境管控</w:t>
                  </w:r>
                  <w:r>
                    <w:rPr>
                      <w:rFonts w:hint="default" w:ascii="Times New Roman" w:hAnsi="Times New Roman" w:eastAsia="宋体" w:cs="Times New Roman"/>
                      <w:b/>
                      <w:bCs w:val="0"/>
                      <w:color w:val="auto"/>
                      <w:spacing w:val="0"/>
                      <w:kern w:val="0"/>
                      <w:sz w:val="21"/>
                      <w:szCs w:val="21"/>
                      <w:highlight w:val="none"/>
                      <w:lang w:val="en-US" w:eastAsia="zh-CN"/>
                    </w:rPr>
                    <w:t>区</w:t>
                  </w:r>
                  <w:r>
                    <w:rPr>
                      <w:rFonts w:hint="default" w:ascii="Times New Roman" w:hAnsi="Times New Roman" w:eastAsia="宋体" w:cs="Times New Roman"/>
                      <w:b/>
                      <w:bCs w:val="0"/>
                      <w:color w:val="auto"/>
                      <w:spacing w:val="0"/>
                      <w:kern w:val="0"/>
                      <w:sz w:val="21"/>
                      <w:szCs w:val="21"/>
                      <w:highlight w:val="none"/>
                    </w:rPr>
                    <w:t>编码</w:t>
                  </w:r>
                </w:p>
              </w:tc>
              <w:tc>
                <w:tcPr>
                  <w:tcW w:w="5750" w:type="dxa"/>
                  <w:gridSpan w:val="2"/>
                  <w:tcBorders>
                    <w:tl2br w:val="nil"/>
                    <w:tr2bl w:val="nil"/>
                  </w:tcBorders>
                  <w:noWrap w:val="0"/>
                  <w:vAlign w:val="center"/>
                </w:tcPr>
                <w:p w14:paraId="7147F220">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spacing w:val="0"/>
                      <w:kern w:val="0"/>
                      <w:sz w:val="21"/>
                      <w:szCs w:val="21"/>
                      <w:highlight w:val="none"/>
                      <w:lang w:val="en-US" w:eastAsia="zh-CN"/>
                    </w:rPr>
                  </w:pPr>
                  <w:r>
                    <w:rPr>
                      <w:rFonts w:hint="default" w:ascii="Times New Roman" w:hAnsi="Times New Roman" w:eastAsia="宋体" w:cs="Times New Roman"/>
                      <w:b/>
                      <w:bCs w:val="0"/>
                      <w:color w:val="auto"/>
                      <w:spacing w:val="0"/>
                      <w:kern w:val="0"/>
                      <w:sz w:val="21"/>
                      <w:szCs w:val="21"/>
                      <w:highlight w:val="none"/>
                      <w:lang w:val="en-US" w:eastAsia="zh-CN"/>
                    </w:rPr>
                    <w:t>YS2303066310001</w:t>
                  </w:r>
                </w:p>
              </w:tc>
            </w:tr>
            <w:tr w14:paraId="7FFE61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8" w:type="dxa"/>
                  <w:tcBorders>
                    <w:tl2br w:val="nil"/>
                    <w:tr2bl w:val="nil"/>
                  </w:tcBorders>
                  <w:noWrap w:val="0"/>
                  <w:vAlign w:val="center"/>
                </w:tcPr>
                <w:p w14:paraId="73099B8A">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kern w:val="0"/>
                      <w:sz w:val="21"/>
                      <w:szCs w:val="21"/>
                      <w:highlight w:val="none"/>
                    </w:rPr>
                    <w:t>管控</w:t>
                  </w:r>
                  <w:r>
                    <w:rPr>
                      <w:rFonts w:hint="default" w:ascii="Times New Roman" w:hAnsi="Times New Roman" w:eastAsia="宋体" w:cs="Times New Roman"/>
                      <w:b/>
                      <w:bCs w:val="0"/>
                      <w:color w:val="auto"/>
                      <w:spacing w:val="0"/>
                      <w:kern w:val="0"/>
                      <w:sz w:val="21"/>
                      <w:szCs w:val="21"/>
                      <w:highlight w:val="none"/>
                      <w:lang w:val="en-US" w:eastAsia="zh-CN"/>
                    </w:rPr>
                    <w:t>区类型</w:t>
                  </w:r>
                </w:p>
              </w:tc>
              <w:tc>
                <w:tcPr>
                  <w:tcW w:w="5750" w:type="dxa"/>
                  <w:gridSpan w:val="2"/>
                  <w:tcBorders>
                    <w:tl2br w:val="nil"/>
                    <w:tr2bl w:val="nil"/>
                  </w:tcBorders>
                  <w:noWrap w:val="0"/>
                  <w:vAlign w:val="center"/>
                </w:tcPr>
                <w:p w14:paraId="7562ABA8">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spacing w:val="0"/>
                      <w:kern w:val="0"/>
                      <w:sz w:val="21"/>
                      <w:szCs w:val="21"/>
                      <w:highlight w:val="none"/>
                      <w:lang w:val="en-US" w:eastAsia="zh-CN"/>
                    </w:rPr>
                  </w:pPr>
                  <w:r>
                    <w:rPr>
                      <w:rFonts w:hint="default" w:ascii="Times New Roman" w:hAnsi="Times New Roman" w:eastAsia="宋体" w:cs="Times New Roman"/>
                      <w:b/>
                      <w:bCs w:val="0"/>
                      <w:color w:val="auto"/>
                      <w:spacing w:val="0"/>
                      <w:kern w:val="0"/>
                      <w:sz w:val="21"/>
                      <w:szCs w:val="21"/>
                      <w:highlight w:val="none"/>
                      <w:lang w:val="en-US" w:eastAsia="zh-CN"/>
                    </w:rPr>
                    <w:t>一般管控区</w:t>
                  </w:r>
                </w:p>
              </w:tc>
            </w:tr>
            <w:tr w14:paraId="4B3484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45" w:type="dxa"/>
                  <w:gridSpan w:val="2"/>
                  <w:tcBorders>
                    <w:tl2br w:val="nil"/>
                    <w:tr2bl w:val="nil"/>
                  </w:tcBorders>
                  <w:noWrap w:val="0"/>
                  <w:vAlign w:val="center"/>
                </w:tcPr>
                <w:p w14:paraId="07C1CD6C">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
                      <w:bCs/>
                      <w:color w:val="auto"/>
                      <w:spacing w:val="0"/>
                      <w:sz w:val="21"/>
                      <w:szCs w:val="21"/>
                      <w:highlight w:val="none"/>
                    </w:rPr>
                    <w:t>管控要求</w:t>
                  </w:r>
                </w:p>
              </w:tc>
              <w:tc>
                <w:tcPr>
                  <w:tcW w:w="1783" w:type="dxa"/>
                  <w:tcBorders>
                    <w:tl2br w:val="nil"/>
                    <w:tr2bl w:val="nil"/>
                  </w:tcBorders>
                  <w:noWrap w:val="0"/>
                  <w:vAlign w:val="center"/>
                </w:tcPr>
                <w:p w14:paraId="7DAB34F0">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
                      <w:bCs/>
                      <w:color w:val="auto"/>
                      <w:spacing w:val="0"/>
                      <w:sz w:val="21"/>
                      <w:szCs w:val="21"/>
                      <w:highlight w:val="none"/>
                    </w:rPr>
                    <w:t>项目符合性分析</w:t>
                  </w:r>
                </w:p>
              </w:tc>
            </w:tr>
            <w:tr w14:paraId="5DCFB8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778" w:type="dxa"/>
                  <w:tcBorders>
                    <w:tl2br w:val="nil"/>
                    <w:tr2bl w:val="nil"/>
                  </w:tcBorders>
                  <w:noWrap w:val="0"/>
                  <w:vAlign w:val="center"/>
                </w:tcPr>
                <w:p w14:paraId="7ED934AD">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spacing w:val="0"/>
                      <w:kern w:val="0"/>
                      <w:sz w:val="21"/>
                      <w:szCs w:val="21"/>
                      <w:highlight w:val="none"/>
                    </w:rPr>
                  </w:pPr>
                  <w:r>
                    <w:rPr>
                      <w:rFonts w:hint="default" w:ascii="Times New Roman" w:hAnsi="Times New Roman" w:eastAsia="宋体" w:cs="Times New Roman"/>
                      <w:b/>
                      <w:bCs w:val="0"/>
                      <w:color w:val="auto"/>
                      <w:spacing w:val="0"/>
                      <w:kern w:val="0"/>
                      <w:sz w:val="21"/>
                      <w:szCs w:val="21"/>
                      <w:highlight w:val="none"/>
                      <w:lang w:val="en-US" w:eastAsia="zh-CN"/>
                    </w:rPr>
                    <w:t>空间布局约束</w:t>
                  </w:r>
                </w:p>
              </w:tc>
              <w:tc>
                <w:tcPr>
                  <w:tcW w:w="3967" w:type="dxa"/>
                  <w:tcBorders>
                    <w:tl2br w:val="nil"/>
                    <w:tr2bl w:val="nil"/>
                  </w:tcBorders>
                  <w:noWrap w:val="0"/>
                  <w:vAlign w:val="center"/>
                </w:tcPr>
                <w:p w14:paraId="5018D250">
                  <w:pPr>
                    <w:keepNext w:val="0"/>
                    <w:keepLines w:val="0"/>
                    <w:pageBreakBefore w:val="0"/>
                    <w:shd w:val="clear"/>
                    <w:kinsoku/>
                    <w:wordWrap/>
                    <w:overflowPunct/>
                    <w:topLinePunct w:val="0"/>
                    <w:bidi w:val="0"/>
                    <w:adjustRightInd w:val="0"/>
                    <w:snapToGrid w:val="0"/>
                    <w:spacing w:line="240" w:lineRule="auto"/>
                    <w:ind w:firstLine="0" w:firstLineChars="0"/>
                    <w:jc w:val="left"/>
                    <w:textAlignment w:val="baseline"/>
                    <w:rPr>
                      <w:rFonts w:hint="default" w:ascii="Times New Roman" w:hAnsi="Times New Roman" w:eastAsia="宋体" w:cs="Times New Roman"/>
                      <w:b/>
                      <w:bCs w:val="0"/>
                      <w:color w:val="auto"/>
                      <w:spacing w:val="0"/>
                      <w:kern w:val="0"/>
                      <w:sz w:val="21"/>
                      <w:szCs w:val="21"/>
                      <w:highlight w:val="none"/>
                      <w:lang w:val="en-US" w:eastAsia="zh-CN"/>
                    </w:rPr>
                  </w:pPr>
                  <w:r>
                    <w:rPr>
                      <w:rFonts w:hint="default" w:ascii="Times New Roman" w:hAnsi="Times New Roman" w:cs="Times New Roman"/>
                      <w:b/>
                      <w:bCs w:val="0"/>
                      <w:color w:val="auto"/>
                      <w:spacing w:val="0"/>
                      <w:kern w:val="0"/>
                      <w:sz w:val="21"/>
                      <w:szCs w:val="21"/>
                      <w:highlight w:val="none"/>
                      <w:lang w:val="en-US" w:eastAsia="zh-CN"/>
                    </w:rPr>
                    <w:t>/</w:t>
                  </w:r>
                </w:p>
              </w:tc>
              <w:tc>
                <w:tcPr>
                  <w:tcW w:w="1783" w:type="dxa"/>
                  <w:tcBorders>
                    <w:tl2br w:val="nil"/>
                    <w:tr2bl w:val="nil"/>
                  </w:tcBorders>
                  <w:noWrap w:val="0"/>
                  <w:vAlign w:val="center"/>
                </w:tcPr>
                <w:p w14:paraId="41818675">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pacing w:val="0"/>
                      <w:kern w:val="0"/>
                      <w:sz w:val="21"/>
                      <w:szCs w:val="21"/>
                      <w:highlight w:val="none"/>
                      <w:lang w:val="en-US" w:eastAsia="zh-CN"/>
                    </w:rPr>
                  </w:pPr>
                  <w:r>
                    <w:rPr>
                      <w:rFonts w:hint="default" w:ascii="Times New Roman" w:hAnsi="Times New Roman" w:cs="Times New Roman"/>
                      <w:color w:val="auto"/>
                      <w:spacing w:val="0"/>
                      <w:kern w:val="0"/>
                      <w:sz w:val="21"/>
                      <w:szCs w:val="21"/>
                      <w:highlight w:val="none"/>
                      <w:lang w:val="en-US" w:eastAsia="zh-CN"/>
                    </w:rPr>
                    <w:t>/</w:t>
                  </w:r>
                </w:p>
              </w:tc>
            </w:tr>
            <w:tr w14:paraId="02B82F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778" w:type="dxa"/>
                  <w:tcBorders>
                    <w:tl2br w:val="nil"/>
                    <w:tr2bl w:val="nil"/>
                  </w:tcBorders>
                  <w:noWrap w:val="0"/>
                  <w:vAlign w:val="center"/>
                </w:tcPr>
                <w:p w14:paraId="74ED0C58">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spacing w:val="0"/>
                      <w:kern w:val="0"/>
                      <w:sz w:val="21"/>
                      <w:szCs w:val="21"/>
                      <w:highlight w:val="none"/>
                    </w:rPr>
                  </w:pPr>
                  <w:r>
                    <w:rPr>
                      <w:rFonts w:hint="default" w:ascii="Times New Roman" w:hAnsi="Times New Roman" w:eastAsia="宋体" w:cs="Times New Roman"/>
                      <w:b/>
                      <w:bCs w:val="0"/>
                      <w:color w:val="auto"/>
                      <w:spacing w:val="0"/>
                      <w:kern w:val="0"/>
                      <w:sz w:val="21"/>
                      <w:szCs w:val="21"/>
                      <w:highlight w:val="none"/>
                      <w:lang w:val="en-US" w:eastAsia="zh-CN"/>
                    </w:rPr>
                    <w:t>环境风险防控</w:t>
                  </w:r>
                </w:p>
              </w:tc>
              <w:tc>
                <w:tcPr>
                  <w:tcW w:w="3967" w:type="dxa"/>
                  <w:tcBorders>
                    <w:tl2br w:val="nil"/>
                    <w:tr2bl w:val="nil"/>
                  </w:tcBorders>
                  <w:noWrap w:val="0"/>
                  <w:vAlign w:val="center"/>
                </w:tcPr>
                <w:p w14:paraId="412AC6CA">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 w:val="0"/>
                      <w:bCs/>
                      <w:color w:val="auto"/>
                      <w:spacing w:val="0"/>
                      <w:kern w:val="0"/>
                      <w:sz w:val="21"/>
                      <w:szCs w:val="21"/>
                      <w:highlight w:val="none"/>
                      <w:lang w:val="en-US" w:eastAsia="zh-CN"/>
                    </w:rPr>
                  </w:pPr>
                  <w:r>
                    <w:rPr>
                      <w:rFonts w:hint="default" w:ascii="Times New Roman" w:hAnsi="Times New Roman" w:eastAsia="宋体" w:cs="Times New Roman"/>
                      <w:b w:val="0"/>
                      <w:bCs/>
                      <w:color w:val="auto"/>
                      <w:spacing w:val="0"/>
                      <w:kern w:val="0"/>
                      <w:sz w:val="21"/>
                      <w:szCs w:val="21"/>
                      <w:highlight w:val="none"/>
                      <w:lang w:val="en-US" w:eastAsia="zh-CN"/>
                    </w:rPr>
                    <w:t>1.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2.重点单位新、改、扩建项目地下储罐储存有毒有害物质的，应当在项目投入生产或者使用之前，将地下储罐的信息报所在地设区的市级生态环境主管部门备案。3.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4.化学品生产企业以及工业集聚区、矿山开采区、尾矿库、危险废物处置场、垃圾填埋场等的运营、管理单位，应当采取防渗漏等措施，并建设地下水水质监测井进行监测，防止地下水污染。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1783" w:type="dxa"/>
                  <w:tcBorders>
                    <w:tl2br w:val="nil"/>
                    <w:tr2bl w:val="nil"/>
                  </w:tcBorders>
                  <w:noWrap w:val="0"/>
                  <w:vAlign w:val="center"/>
                </w:tcPr>
                <w:p w14:paraId="25546718">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 w:val="0"/>
                      <w:bCs/>
                      <w:color w:val="auto"/>
                      <w:spacing w:val="0"/>
                      <w:kern w:val="0"/>
                      <w:sz w:val="21"/>
                      <w:szCs w:val="21"/>
                      <w:highlight w:val="none"/>
                      <w:lang w:val="en-US" w:eastAsia="zh-CN"/>
                    </w:rPr>
                  </w:pPr>
                  <w:r>
                    <w:rPr>
                      <w:rFonts w:hint="default" w:ascii="Times New Roman" w:hAnsi="Times New Roman" w:eastAsia="宋体" w:cs="Times New Roman"/>
                      <w:b w:val="0"/>
                      <w:bCs/>
                      <w:color w:val="auto"/>
                      <w:spacing w:val="0"/>
                      <w:kern w:val="0"/>
                      <w:sz w:val="21"/>
                      <w:szCs w:val="21"/>
                      <w:highlight w:val="none"/>
                      <w:lang w:val="en-US" w:eastAsia="zh-CN"/>
                    </w:rPr>
                    <w:t>本项目为生物质锅炉项目，</w:t>
                  </w:r>
                  <w:r>
                    <w:rPr>
                      <w:rFonts w:hint="default" w:ascii="Times New Roman" w:hAnsi="Times New Roman" w:cs="Times New Roman"/>
                      <w:b w:val="0"/>
                      <w:bCs/>
                      <w:color w:val="auto"/>
                      <w:spacing w:val="0"/>
                      <w:kern w:val="0"/>
                      <w:sz w:val="21"/>
                      <w:szCs w:val="21"/>
                      <w:highlight w:val="none"/>
                      <w:lang w:val="en-US" w:eastAsia="zh-CN"/>
                    </w:rPr>
                    <w:t>无有毒有害物质排放，且不属于重点管理单位，不属于化学品生产企业，符合环境风险防控要求。</w:t>
                  </w:r>
                </w:p>
              </w:tc>
            </w:tr>
            <w:tr w14:paraId="748337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778" w:type="dxa"/>
                  <w:tcBorders>
                    <w:tl2br w:val="nil"/>
                    <w:tr2bl w:val="nil"/>
                  </w:tcBorders>
                  <w:noWrap w:val="0"/>
                  <w:vAlign w:val="center"/>
                </w:tcPr>
                <w:p w14:paraId="42936022">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spacing w:val="0"/>
                      <w:kern w:val="0"/>
                      <w:sz w:val="21"/>
                      <w:szCs w:val="21"/>
                      <w:highlight w:val="none"/>
                    </w:rPr>
                  </w:pPr>
                  <w:r>
                    <w:rPr>
                      <w:rFonts w:hint="default" w:ascii="Times New Roman" w:hAnsi="Times New Roman" w:eastAsia="宋体" w:cs="Times New Roman"/>
                      <w:b/>
                      <w:bCs w:val="0"/>
                      <w:color w:val="auto"/>
                      <w:spacing w:val="0"/>
                      <w:kern w:val="0"/>
                      <w:sz w:val="21"/>
                      <w:szCs w:val="21"/>
                      <w:highlight w:val="none"/>
                      <w:lang w:val="en-US" w:eastAsia="zh-CN"/>
                    </w:rPr>
                    <w:t>污染物排放管控</w:t>
                  </w:r>
                </w:p>
              </w:tc>
              <w:tc>
                <w:tcPr>
                  <w:tcW w:w="3967" w:type="dxa"/>
                  <w:tcBorders>
                    <w:tl2br w:val="nil"/>
                    <w:tr2bl w:val="nil"/>
                  </w:tcBorders>
                  <w:noWrap w:val="0"/>
                  <w:vAlign w:val="center"/>
                </w:tcPr>
                <w:p w14:paraId="4CE0B61D">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spacing w:val="0"/>
                      <w:kern w:val="0"/>
                      <w:sz w:val="21"/>
                      <w:szCs w:val="21"/>
                      <w:highlight w:val="none"/>
                      <w:lang w:val="en-US" w:eastAsia="zh-CN"/>
                    </w:rPr>
                  </w:pPr>
                  <w:r>
                    <w:rPr>
                      <w:rFonts w:hint="default" w:ascii="Times New Roman" w:hAnsi="Times New Roman" w:cs="Times New Roman"/>
                      <w:b/>
                      <w:bCs w:val="0"/>
                      <w:color w:val="auto"/>
                      <w:spacing w:val="0"/>
                      <w:kern w:val="0"/>
                      <w:sz w:val="21"/>
                      <w:szCs w:val="21"/>
                      <w:highlight w:val="none"/>
                      <w:lang w:val="en-US" w:eastAsia="zh-CN"/>
                    </w:rPr>
                    <w:t>/</w:t>
                  </w:r>
                </w:p>
              </w:tc>
              <w:tc>
                <w:tcPr>
                  <w:tcW w:w="1783" w:type="dxa"/>
                  <w:tcBorders>
                    <w:tl2br w:val="nil"/>
                    <w:tr2bl w:val="nil"/>
                  </w:tcBorders>
                  <w:noWrap w:val="0"/>
                  <w:vAlign w:val="center"/>
                </w:tcPr>
                <w:p w14:paraId="1C737BBC">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 w:val="0"/>
                      <w:bCs/>
                      <w:color w:val="auto"/>
                      <w:spacing w:val="0"/>
                      <w:kern w:val="0"/>
                      <w:sz w:val="21"/>
                      <w:szCs w:val="21"/>
                      <w:highlight w:val="none"/>
                      <w:lang w:val="en-US" w:eastAsia="zh-CN"/>
                    </w:rPr>
                  </w:pPr>
                  <w:r>
                    <w:rPr>
                      <w:rFonts w:hint="default" w:ascii="Times New Roman" w:hAnsi="Times New Roman" w:cs="Times New Roman"/>
                      <w:b w:val="0"/>
                      <w:bCs/>
                      <w:color w:val="auto"/>
                      <w:spacing w:val="0"/>
                      <w:kern w:val="0"/>
                      <w:sz w:val="21"/>
                      <w:szCs w:val="21"/>
                      <w:highlight w:val="none"/>
                      <w:lang w:val="en-US" w:eastAsia="zh-CN"/>
                    </w:rPr>
                    <w:t>/</w:t>
                  </w:r>
                </w:p>
              </w:tc>
            </w:tr>
            <w:tr w14:paraId="1DB259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8" w:type="dxa"/>
                  <w:gridSpan w:val="3"/>
                  <w:tcBorders>
                    <w:tl2br w:val="nil"/>
                    <w:tr2bl w:val="nil"/>
                  </w:tcBorders>
                  <w:noWrap w:val="0"/>
                  <w:vAlign w:val="center"/>
                </w:tcPr>
                <w:p w14:paraId="6173CEF0">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环境准入清单</w:t>
                  </w:r>
                </w:p>
              </w:tc>
            </w:tr>
            <w:tr w14:paraId="57D5BB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8" w:type="dxa"/>
                  <w:tcBorders>
                    <w:tl2br w:val="nil"/>
                    <w:tr2bl w:val="nil"/>
                  </w:tcBorders>
                  <w:noWrap w:val="0"/>
                  <w:vAlign w:val="center"/>
                </w:tcPr>
                <w:p w14:paraId="4162D0AC">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环境管控单元名称</w:t>
                  </w:r>
                </w:p>
              </w:tc>
              <w:tc>
                <w:tcPr>
                  <w:tcW w:w="5750" w:type="dxa"/>
                  <w:gridSpan w:val="2"/>
                  <w:tcBorders>
                    <w:tl2br w:val="nil"/>
                    <w:tr2bl w:val="nil"/>
                  </w:tcBorders>
                  <w:noWrap w:val="0"/>
                  <w:vAlign w:val="center"/>
                </w:tcPr>
                <w:p w14:paraId="25CFB70E">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spacing w:val="0"/>
                      <w:sz w:val="21"/>
                      <w:szCs w:val="21"/>
                      <w:highlight w:val="none"/>
                      <w:lang w:val="en-US" w:eastAsia="zh-CN"/>
                    </w:rPr>
                  </w:pPr>
                  <w:r>
                    <w:rPr>
                      <w:rFonts w:hint="default" w:ascii="Times New Roman" w:hAnsi="Times New Roman" w:eastAsia="宋体" w:cs="Times New Roman"/>
                      <w:b/>
                      <w:bCs w:val="0"/>
                      <w:color w:val="auto"/>
                      <w:spacing w:val="0"/>
                      <w:sz w:val="21"/>
                      <w:szCs w:val="21"/>
                      <w:highlight w:val="none"/>
                      <w:lang w:val="en-US" w:eastAsia="zh-CN"/>
                    </w:rPr>
                    <w:t>城子河区城镇空间</w:t>
                  </w:r>
                </w:p>
              </w:tc>
            </w:tr>
            <w:tr w14:paraId="46693E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8" w:type="dxa"/>
                  <w:tcBorders>
                    <w:tl2br w:val="nil"/>
                    <w:tr2bl w:val="nil"/>
                  </w:tcBorders>
                  <w:noWrap w:val="0"/>
                  <w:vAlign w:val="center"/>
                </w:tcPr>
                <w:p w14:paraId="2719AF39">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环境管控单元编码</w:t>
                  </w:r>
                </w:p>
              </w:tc>
              <w:tc>
                <w:tcPr>
                  <w:tcW w:w="5750" w:type="dxa"/>
                  <w:gridSpan w:val="2"/>
                  <w:tcBorders>
                    <w:tl2br w:val="nil"/>
                    <w:tr2bl w:val="nil"/>
                  </w:tcBorders>
                  <w:noWrap w:val="0"/>
                  <w:vAlign w:val="center"/>
                </w:tcPr>
                <w:p w14:paraId="558EE8C1">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spacing w:val="0"/>
                      <w:sz w:val="21"/>
                      <w:szCs w:val="21"/>
                      <w:highlight w:val="none"/>
                      <w:lang w:val="en-US" w:eastAsia="zh-CN"/>
                    </w:rPr>
                  </w:pPr>
                  <w:r>
                    <w:rPr>
                      <w:rFonts w:hint="default" w:ascii="Times New Roman" w:hAnsi="Times New Roman" w:eastAsia="宋体" w:cs="Times New Roman"/>
                      <w:b/>
                      <w:bCs w:val="0"/>
                      <w:color w:val="auto"/>
                      <w:spacing w:val="0"/>
                      <w:sz w:val="21"/>
                      <w:szCs w:val="21"/>
                      <w:highlight w:val="none"/>
                      <w:lang w:val="en-US" w:eastAsia="zh-CN"/>
                    </w:rPr>
                    <w:t>ZH23030620001</w:t>
                  </w:r>
                </w:p>
              </w:tc>
            </w:tr>
            <w:tr w14:paraId="26D2DD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8" w:type="dxa"/>
                  <w:tcBorders>
                    <w:tl2br w:val="nil"/>
                    <w:tr2bl w:val="nil"/>
                  </w:tcBorders>
                  <w:noWrap w:val="0"/>
                  <w:vAlign w:val="center"/>
                </w:tcPr>
                <w:p w14:paraId="7ADDE8DB">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管控单元类别</w:t>
                  </w:r>
                </w:p>
              </w:tc>
              <w:tc>
                <w:tcPr>
                  <w:tcW w:w="5750" w:type="dxa"/>
                  <w:gridSpan w:val="2"/>
                  <w:tcBorders>
                    <w:tl2br w:val="nil"/>
                    <w:tr2bl w:val="nil"/>
                  </w:tcBorders>
                  <w:noWrap w:val="0"/>
                  <w:vAlign w:val="center"/>
                </w:tcPr>
                <w:p w14:paraId="4321E1DE">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lang w:val="en-US" w:eastAsia="zh-CN"/>
                    </w:rPr>
                    <w:t>重点管控单元</w:t>
                  </w:r>
                </w:p>
              </w:tc>
            </w:tr>
            <w:tr w14:paraId="6C6FE4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45" w:type="dxa"/>
                  <w:gridSpan w:val="2"/>
                  <w:tcBorders>
                    <w:tl2br w:val="nil"/>
                    <w:tr2bl w:val="nil"/>
                  </w:tcBorders>
                  <w:noWrap w:val="0"/>
                  <w:vAlign w:val="center"/>
                </w:tcPr>
                <w:p w14:paraId="3F3C5BB7">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管控要求</w:t>
                  </w:r>
                </w:p>
              </w:tc>
              <w:tc>
                <w:tcPr>
                  <w:tcW w:w="1783" w:type="dxa"/>
                  <w:tcBorders>
                    <w:tl2br w:val="nil"/>
                    <w:tr2bl w:val="nil"/>
                  </w:tcBorders>
                  <w:noWrap w:val="0"/>
                  <w:vAlign w:val="center"/>
                </w:tcPr>
                <w:p w14:paraId="31DD83FA">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项目符合性分析</w:t>
                  </w:r>
                </w:p>
              </w:tc>
            </w:tr>
            <w:tr w14:paraId="5B9203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8" w:type="dxa"/>
                  <w:tcBorders>
                    <w:tl2br w:val="nil"/>
                    <w:tr2bl w:val="nil"/>
                  </w:tcBorders>
                  <w:noWrap w:val="0"/>
                  <w:vAlign w:val="center"/>
                </w:tcPr>
                <w:p w14:paraId="38997D28">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空间布局约束</w:t>
                  </w:r>
                </w:p>
              </w:tc>
              <w:tc>
                <w:tcPr>
                  <w:tcW w:w="3967" w:type="dxa"/>
                  <w:tcBorders>
                    <w:tl2br w:val="nil"/>
                    <w:tr2bl w:val="nil"/>
                  </w:tcBorders>
                  <w:noWrap w:val="0"/>
                  <w:vAlign w:val="center"/>
                </w:tcPr>
                <w:p w14:paraId="29C4C464">
                  <w:pPr>
                    <w:keepNext w:val="0"/>
                    <w:keepLines w:val="0"/>
                    <w:widowControl/>
                    <w:suppressLineNumbers w:val="0"/>
                    <w:spacing w:line="240" w:lineRule="auto"/>
                    <w:jc w:val="left"/>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lang w:val="en-US" w:eastAsia="zh-CN" w:bidi="ar"/>
                    </w:rPr>
                    <w:t>1.同时执行：（1）严禁在人口密集区新建危险化学品生产项目，城镇人口密集区危险化学品生产企业应搬迁改造。（2）禁止在城镇居民区、文化教育科学研究区等人口集中区域建设畜禽养殖场、养殖小区。2.水环境农业污染重点管控区同时执行 （1）科学划定畜禽养殖禁养区。（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3.水环境城镇生活污染重点管控区同时执行除干旱地区外，新建城区应全面实行雨污分流，鼓励对初期雨水进行收集、处理和资源化利用。4.大气环境布局敏感重点管控区同时执行（1）严控“两高”行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1783" w:type="dxa"/>
                  <w:tcBorders>
                    <w:tl2br w:val="nil"/>
                    <w:tr2bl w:val="nil"/>
                  </w:tcBorders>
                  <w:noWrap w:val="0"/>
                  <w:vAlign w:val="center"/>
                </w:tcPr>
                <w:p w14:paraId="4B4C6D1C">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本项目为医院配套设施锅炉建设，不属于养殖业及“两高”行业，符合空间布局约束。</w:t>
                  </w:r>
                </w:p>
              </w:tc>
            </w:tr>
            <w:tr w14:paraId="3CDC7A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8" w:type="dxa"/>
                  <w:tcBorders>
                    <w:tl2br w:val="nil"/>
                    <w:tr2bl w:val="nil"/>
                  </w:tcBorders>
                  <w:noWrap w:val="0"/>
                  <w:vAlign w:val="center"/>
                </w:tcPr>
                <w:p w14:paraId="7BCC28BD">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污染物排放管控</w:t>
                  </w:r>
                </w:p>
              </w:tc>
              <w:tc>
                <w:tcPr>
                  <w:tcW w:w="3967" w:type="dxa"/>
                  <w:tcBorders>
                    <w:tl2br w:val="nil"/>
                    <w:tr2bl w:val="nil"/>
                  </w:tcBorders>
                  <w:noWrap w:val="0"/>
                  <w:vAlign w:val="center"/>
                </w:tcPr>
                <w:p w14:paraId="19BF8AC3">
                  <w:pPr>
                    <w:keepNext w:val="0"/>
                    <w:keepLines w:val="0"/>
                    <w:widowControl/>
                    <w:suppressLineNumbers w:val="0"/>
                    <w:spacing w:line="240" w:lineRule="auto"/>
                    <w:jc w:val="left"/>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lang w:val="en-US" w:eastAsia="zh-CN" w:bidi="ar"/>
                    </w:rPr>
                    <w:t>1.同时执行：加快65t／h以上燃煤锅炉（含电力）超低排放改造。2.水环境农业污染重点管控区同时执行（1）支持规模化畜禽养殖场（小区）开展标准化改造和建设，提高畜禽粪污收集和处理机械化水平，实施雨污分流、粪污资源化利用，控制畜禽养殖污染排放。（2）畜禽养殖户应当及时对畜禽粪便、污水进行收集、贮存、清运，或者进行无害化处理。县级人民政府应当组织对本行政区域的畜禽散养密集区畜禽粪便、污水进行集中处理利用，督促乡镇人民政府建设或者配备污染防治配套设施。（3）全面加强农业面源污染防控，科学合理使用农业投入品，提高使用效率，减少农业内源性污染。3.水环境城镇生活污染重点管控区同时执行（1）新区污水管网规划建设应当与城市开发同步推进，除干旱地区外均实行雨污分流。（2）强化城中村、老旧城区和城乡结合部污水截流、收集。（3）推进合流制排水系统雨污分流改造，难以改造的，应采取截流、调蓄和治理等措施；推进现有污水处理设施配套管网建设；进一步提高城市、县城生活污水收集处理效能。（4）县级以上人民政府应当合理确定城镇排水与污水处理设施建设标准，统筹安排管网、泵站、污水处理厂以及污泥处理处置、再生水利用、雨水调蓄和排放等排水与污水处理设施建设和改造，提高城镇污水收集率和处理率。4.大气环境布局敏感重点管控区同时执行（1）对以煤、石焦油、渣油、重油等为燃料的锅炉和工业炉窑，加快使用清洁低碳能源以及工厂余热、电力热力等进行替代。（2）到2025年，在用65蒸吨/小时以上的燃煤锅炉（含电力）实现超低排放，钢铁企业基本实现超低排放。</w:t>
                  </w:r>
                </w:p>
              </w:tc>
              <w:tc>
                <w:tcPr>
                  <w:tcW w:w="1783" w:type="dxa"/>
                  <w:tcBorders>
                    <w:tl2br w:val="nil"/>
                    <w:tr2bl w:val="nil"/>
                  </w:tcBorders>
                  <w:noWrap w:val="0"/>
                  <w:vAlign w:val="center"/>
                </w:tcPr>
                <w:p w14:paraId="5D7C93A3">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w:t>
                  </w:r>
                  <w:r>
                    <w:rPr>
                      <w:rFonts w:hint="default" w:ascii="Times New Roman" w:hAnsi="Times New Roman" w:eastAsia="宋体" w:cs="Times New Roman"/>
                      <w:bCs w:val="0"/>
                      <w:color w:val="auto"/>
                      <w:spacing w:val="0"/>
                      <w:kern w:val="2"/>
                      <w:sz w:val="21"/>
                      <w:szCs w:val="21"/>
                      <w:highlight w:val="none"/>
                      <w:lang w:val="en-US" w:eastAsia="zh-CN" w:bidi="ar-SA"/>
                    </w:rPr>
                    <w:t>项目产生的污水主要为</w:t>
                  </w:r>
                  <w:r>
                    <w:rPr>
                      <w:rFonts w:hint="default" w:ascii="Times New Roman" w:hAnsi="Times New Roman" w:eastAsia="宋体" w:cs="Times New Roman"/>
                      <w:color w:val="auto"/>
                      <w:spacing w:val="0"/>
                      <w:sz w:val="21"/>
                      <w:szCs w:val="21"/>
                      <w:highlight w:val="none"/>
                      <w:lang w:val="en-US" w:eastAsia="zh-CN"/>
                    </w:rPr>
                    <w:t>锅炉排污水和</w:t>
                  </w:r>
                  <w:r>
                    <w:rPr>
                      <w:rFonts w:hint="default" w:ascii="Times New Roman" w:hAnsi="Times New Roman" w:cs="Times New Roman"/>
                      <w:color w:val="auto"/>
                      <w:spacing w:val="0"/>
                      <w:sz w:val="21"/>
                      <w:szCs w:val="21"/>
                      <w:highlight w:val="none"/>
                      <w:lang w:val="en-US" w:eastAsia="zh-CN"/>
                    </w:rPr>
                    <w:t>软水制备废水</w:t>
                  </w:r>
                  <w:r>
                    <w:rPr>
                      <w:rFonts w:hint="eastAsia" w:ascii="Times New Roman" w:hAnsi="Times New Roman" w:cs="Times New Roman"/>
                      <w:bCs w:val="0"/>
                      <w:color w:val="auto"/>
                      <w:spacing w:val="0"/>
                      <w:kern w:val="2"/>
                      <w:sz w:val="21"/>
                      <w:szCs w:val="21"/>
                      <w:highlight w:val="none"/>
                      <w:lang w:val="en-US" w:eastAsia="zh-CN" w:bidi="ar-SA"/>
                    </w:rPr>
                    <w:t>，</w:t>
                  </w:r>
                  <w:r>
                    <w:rPr>
                      <w:rFonts w:hint="eastAsia" w:ascii="Times New Roman" w:hAnsi="Times New Roman" w:eastAsia="宋体" w:cs="Times New Roman"/>
                      <w:bCs w:val="0"/>
                      <w:color w:val="auto"/>
                      <w:spacing w:val="0"/>
                      <w:kern w:val="2"/>
                      <w:sz w:val="21"/>
                      <w:szCs w:val="21"/>
                      <w:highlight w:val="none"/>
                      <w:lang w:val="en-US" w:eastAsia="zh-CN" w:bidi="ar-SA"/>
                    </w:rPr>
                    <w:t>少量</w:t>
                  </w:r>
                  <w:r>
                    <w:rPr>
                      <w:rFonts w:hint="default" w:ascii="Times New Roman" w:hAnsi="Times New Roman" w:eastAsia="宋体" w:cs="Times New Roman"/>
                      <w:bCs w:val="0"/>
                      <w:color w:val="auto"/>
                      <w:spacing w:val="0"/>
                      <w:kern w:val="2"/>
                      <w:sz w:val="21"/>
                      <w:szCs w:val="21"/>
                      <w:highlight w:val="none"/>
                      <w:lang w:val="en-US" w:eastAsia="zh-CN" w:bidi="ar-SA"/>
                    </w:rPr>
                    <w:t>收集后用于灰渣</w:t>
                  </w:r>
                  <w:r>
                    <w:rPr>
                      <w:rFonts w:hint="eastAsia" w:ascii="Times New Roman" w:hAnsi="Times New Roman" w:eastAsia="宋体" w:cs="Times New Roman"/>
                      <w:bCs w:val="0"/>
                      <w:color w:val="auto"/>
                      <w:spacing w:val="0"/>
                      <w:kern w:val="2"/>
                      <w:sz w:val="21"/>
                      <w:szCs w:val="21"/>
                      <w:highlight w:val="none"/>
                      <w:lang w:val="en-US" w:eastAsia="zh-CN" w:bidi="ar-SA"/>
                    </w:rPr>
                    <w:t>加湿其余锅炉</w:t>
                  </w:r>
                  <w:r>
                    <w:rPr>
                      <w:rFonts w:hint="eastAsia" w:ascii="Times New Roman" w:hAnsi="Times New Roman" w:cs="Times New Roman"/>
                      <w:bCs w:val="0"/>
                      <w:color w:val="auto"/>
                      <w:spacing w:val="0"/>
                      <w:kern w:val="2"/>
                      <w:sz w:val="21"/>
                      <w:szCs w:val="21"/>
                      <w:highlight w:val="none"/>
                      <w:lang w:val="en-US" w:eastAsia="zh-CN" w:bidi="ar-SA"/>
                    </w:rPr>
                    <w:t>污水通过院区污水总排口进入</w:t>
                  </w:r>
                  <w:r>
                    <w:rPr>
                      <w:rFonts w:hint="eastAsia" w:ascii="Times New Roman" w:hAnsi="Times New Roman" w:eastAsia="宋体" w:cs="Times New Roman"/>
                      <w:bCs w:val="0"/>
                      <w:color w:val="auto"/>
                      <w:spacing w:val="0"/>
                      <w:kern w:val="2"/>
                      <w:sz w:val="21"/>
                      <w:szCs w:val="21"/>
                      <w:highlight w:val="none"/>
                      <w:lang w:val="en-US" w:eastAsia="zh-CN" w:bidi="ar-SA"/>
                    </w:rPr>
                    <w:t>市政管网</w:t>
                  </w:r>
                  <w:r>
                    <w:rPr>
                      <w:rFonts w:hint="eastAsia" w:ascii="Times New Roman" w:hAnsi="Times New Roman" w:cs="Times New Roman"/>
                      <w:bCs w:val="0"/>
                      <w:color w:val="auto"/>
                      <w:spacing w:val="0"/>
                      <w:kern w:val="2"/>
                      <w:sz w:val="21"/>
                      <w:szCs w:val="21"/>
                      <w:highlight w:val="none"/>
                      <w:lang w:val="en-US" w:eastAsia="zh-CN" w:bidi="ar-SA"/>
                    </w:rPr>
                    <w:t>，</w:t>
                  </w:r>
                  <w:r>
                    <w:rPr>
                      <w:rFonts w:hint="eastAsia" w:ascii="Times New Roman" w:hAnsi="Times New Roman" w:eastAsia="宋体" w:cs="Times New Roman"/>
                      <w:bCs w:val="0"/>
                      <w:color w:val="auto"/>
                      <w:spacing w:val="0"/>
                      <w:kern w:val="2"/>
                      <w:sz w:val="21"/>
                      <w:szCs w:val="21"/>
                      <w:highlight w:val="none"/>
                      <w:lang w:val="en-US" w:eastAsia="zh-CN" w:bidi="ar-SA"/>
                    </w:rPr>
                    <w:t>排入城子河区污水处理厂</w:t>
                  </w:r>
                  <w:r>
                    <w:rPr>
                      <w:rFonts w:hint="eastAsia" w:ascii="Times New Roman" w:hAnsi="Times New Roman" w:cs="Times New Roman"/>
                      <w:bCs w:val="0"/>
                      <w:color w:val="auto"/>
                      <w:spacing w:val="0"/>
                      <w:kern w:val="2"/>
                      <w:sz w:val="21"/>
                      <w:szCs w:val="21"/>
                      <w:highlight w:val="none"/>
                      <w:lang w:val="en-US" w:eastAsia="zh-CN" w:bidi="ar-SA"/>
                    </w:rPr>
                    <w:t>进行处理</w:t>
                  </w:r>
                  <w:r>
                    <w:rPr>
                      <w:rFonts w:hint="eastAsia" w:ascii="Times New Roman" w:hAnsi="Times New Roman" w:eastAsia="宋体" w:cs="Times New Roman"/>
                      <w:bCs w:val="0"/>
                      <w:color w:val="auto"/>
                      <w:spacing w:val="0"/>
                      <w:kern w:val="2"/>
                      <w:sz w:val="21"/>
                      <w:szCs w:val="21"/>
                      <w:highlight w:val="none"/>
                      <w:lang w:val="en-US" w:eastAsia="zh-CN" w:bidi="ar-SA"/>
                    </w:rPr>
                    <w:t>，</w:t>
                  </w:r>
                  <w:r>
                    <w:rPr>
                      <w:rFonts w:hint="default" w:ascii="Times New Roman" w:hAnsi="Times New Roman" w:eastAsia="宋体" w:cs="Times New Roman"/>
                      <w:bCs w:val="0"/>
                      <w:color w:val="auto"/>
                      <w:spacing w:val="0"/>
                      <w:kern w:val="2"/>
                      <w:sz w:val="21"/>
                      <w:szCs w:val="21"/>
                      <w:highlight w:val="none"/>
                      <w:lang w:val="en-US" w:eastAsia="zh-CN" w:bidi="ar-SA"/>
                    </w:rPr>
                    <w:t>本项目为</w:t>
                  </w:r>
                  <w:r>
                    <w:rPr>
                      <w:rFonts w:hint="eastAsia" w:ascii="Times New Roman" w:hAnsi="Times New Roman" w:eastAsia="宋体" w:cs="Times New Roman"/>
                      <w:bCs w:val="0"/>
                      <w:color w:val="auto"/>
                      <w:spacing w:val="0"/>
                      <w:kern w:val="2"/>
                      <w:sz w:val="21"/>
                      <w:szCs w:val="21"/>
                      <w:highlight w:val="none"/>
                      <w:lang w:val="en-US" w:eastAsia="zh-CN" w:bidi="ar-SA"/>
                    </w:rPr>
                    <w:t>2.1MW</w:t>
                  </w:r>
                  <w:r>
                    <w:rPr>
                      <w:rFonts w:hint="default" w:ascii="Times New Roman" w:hAnsi="Times New Roman" w:eastAsia="宋体" w:cs="Times New Roman"/>
                      <w:bCs w:val="0"/>
                      <w:color w:val="auto"/>
                      <w:spacing w:val="0"/>
                      <w:kern w:val="2"/>
                      <w:sz w:val="21"/>
                      <w:szCs w:val="21"/>
                      <w:highlight w:val="none"/>
                      <w:lang w:val="en-US" w:eastAsia="zh-CN" w:bidi="ar-SA"/>
                    </w:rPr>
                    <w:t>锅炉房建设项目</w:t>
                  </w:r>
                  <w:r>
                    <w:rPr>
                      <w:rFonts w:hint="default" w:ascii="Times New Roman" w:hAnsi="Times New Roman" w:cs="Times New Roman"/>
                      <w:bCs w:val="0"/>
                      <w:color w:val="auto"/>
                      <w:spacing w:val="0"/>
                      <w:kern w:val="2"/>
                      <w:sz w:val="21"/>
                      <w:szCs w:val="21"/>
                      <w:highlight w:val="none"/>
                      <w:lang w:val="en-US" w:eastAsia="zh-CN" w:bidi="ar-SA"/>
                    </w:rPr>
                    <w:t>，无需实现超低排放指标，符合污染物排放管控要求。</w:t>
                  </w:r>
                </w:p>
              </w:tc>
            </w:tr>
            <w:tr w14:paraId="6CC9CF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8" w:type="dxa"/>
                  <w:tcBorders>
                    <w:tl2br w:val="nil"/>
                    <w:tr2bl w:val="nil"/>
                  </w:tcBorders>
                  <w:noWrap w:val="0"/>
                  <w:vAlign w:val="center"/>
                </w:tcPr>
                <w:p w14:paraId="7B56BE7A">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环境风险防控</w:t>
                  </w:r>
                </w:p>
              </w:tc>
              <w:tc>
                <w:tcPr>
                  <w:tcW w:w="3967" w:type="dxa"/>
                  <w:tcBorders>
                    <w:tl2br w:val="nil"/>
                    <w:tr2bl w:val="nil"/>
                  </w:tcBorders>
                  <w:noWrap w:val="0"/>
                  <w:vAlign w:val="center"/>
                </w:tcPr>
                <w:p w14:paraId="5C676471">
                  <w:pPr>
                    <w:keepNext w:val="0"/>
                    <w:keepLines w:val="0"/>
                    <w:widowControl/>
                    <w:suppressLineNumbers w:val="0"/>
                    <w:spacing w:line="240" w:lineRule="auto"/>
                    <w:jc w:val="left"/>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lang w:val="en-US" w:eastAsia="zh-CN" w:bidi="ar"/>
                    </w:rPr>
                    <w:t>1.化工园区与城市建成区、人员密集场所、重要设施、敏感目标等应当保持规定的安全距离，相对封闭，不应保留常住居民，非关联企业和产业要逐步搬迁或退出，妥善防范化解“邻避”问题。严禁在松花江干流及一级支流沿岸1公里范围内布局化工园区。2.大气环境布局敏感重点管控区同时执行本清单禁止在居民区、学校、医疗和养老机构等周边新建有色金属冶炼、焦化等行业企业。</w:t>
                  </w:r>
                </w:p>
              </w:tc>
              <w:tc>
                <w:tcPr>
                  <w:tcW w:w="1783" w:type="dxa"/>
                  <w:tcBorders>
                    <w:tl2br w:val="nil"/>
                    <w:tr2bl w:val="nil"/>
                  </w:tcBorders>
                  <w:noWrap w:val="0"/>
                  <w:vAlign w:val="center"/>
                </w:tcPr>
                <w:p w14:paraId="59838E60">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项目建成后对</w:t>
                  </w:r>
                  <w:r>
                    <w:rPr>
                      <w:rFonts w:hint="eastAsia" w:ascii="Times New Roman" w:hAnsi="Times New Roman" w:cs="Times New Roman"/>
                      <w:color w:val="auto"/>
                      <w:spacing w:val="0"/>
                      <w:sz w:val="21"/>
                      <w:szCs w:val="21"/>
                      <w:highlight w:val="none"/>
                      <w:lang w:val="en-US" w:eastAsia="zh-CN"/>
                    </w:rPr>
                    <w:t>本项目</w:t>
                  </w:r>
                  <w:r>
                    <w:rPr>
                      <w:rFonts w:hint="default" w:ascii="Times New Roman" w:hAnsi="Times New Roman" w:eastAsia="宋体" w:cs="Times New Roman"/>
                      <w:color w:val="auto"/>
                      <w:spacing w:val="0"/>
                      <w:sz w:val="21"/>
                      <w:szCs w:val="21"/>
                      <w:highlight w:val="none"/>
                      <w:lang w:val="en-US" w:eastAsia="zh-CN"/>
                    </w:rPr>
                    <w:t>进行</w:t>
                  </w:r>
                  <w:r>
                    <w:rPr>
                      <w:rFonts w:hint="default" w:ascii="Times New Roman" w:hAnsi="Times New Roman" w:cs="Times New Roman"/>
                      <w:color w:val="auto"/>
                      <w:kern w:val="0"/>
                      <w:sz w:val="21"/>
                      <w:szCs w:val="21"/>
                      <w:highlight w:val="none"/>
                    </w:rPr>
                    <w:t>编制环境应急预案，加强管理和风险预警，确保将环境风险</w:t>
                  </w:r>
                  <w:r>
                    <w:rPr>
                      <w:rFonts w:hint="default" w:ascii="Times New Roman" w:hAnsi="Times New Roman" w:cs="Times New Roman"/>
                      <w:color w:val="auto"/>
                      <w:kern w:val="0"/>
                      <w:sz w:val="21"/>
                      <w:szCs w:val="21"/>
                      <w:highlight w:val="none"/>
                      <w:lang w:eastAsia="zh-CN"/>
                    </w:rPr>
                    <w:t>降</w:t>
                  </w:r>
                  <w:r>
                    <w:rPr>
                      <w:rFonts w:hint="default" w:ascii="Times New Roman" w:hAnsi="Times New Roman" w:cs="Times New Roman"/>
                      <w:color w:val="auto"/>
                      <w:kern w:val="0"/>
                      <w:sz w:val="21"/>
                      <w:szCs w:val="21"/>
                      <w:highlight w:val="none"/>
                    </w:rPr>
                    <w:t>至最低。</w:t>
                  </w:r>
                  <w:r>
                    <w:rPr>
                      <w:rFonts w:hint="default" w:ascii="Times New Roman" w:hAnsi="Times New Roman" w:cs="Times New Roman"/>
                      <w:color w:val="auto"/>
                      <w:kern w:val="0"/>
                      <w:sz w:val="21"/>
                      <w:szCs w:val="21"/>
                      <w:highlight w:val="none"/>
                      <w:lang w:val="en-US" w:eastAsia="zh-CN"/>
                    </w:rPr>
                    <w:t>符合</w:t>
                  </w:r>
                  <w:r>
                    <w:rPr>
                      <w:rFonts w:hint="default" w:ascii="Times New Roman" w:hAnsi="Times New Roman" w:cs="Times New Roman"/>
                      <w:color w:val="auto"/>
                      <w:kern w:val="0"/>
                      <w:sz w:val="21"/>
                      <w:szCs w:val="21"/>
                      <w:highlight w:val="none"/>
                    </w:rPr>
                    <w:t>环境风险防控</w:t>
                  </w:r>
                  <w:r>
                    <w:rPr>
                      <w:rFonts w:hint="default" w:ascii="Times New Roman" w:hAnsi="Times New Roman" w:cs="Times New Roman"/>
                      <w:color w:val="auto"/>
                      <w:kern w:val="0"/>
                      <w:sz w:val="21"/>
                      <w:szCs w:val="21"/>
                      <w:highlight w:val="none"/>
                      <w:lang w:eastAsia="zh-CN"/>
                    </w:rPr>
                    <w:t>。</w:t>
                  </w:r>
                </w:p>
              </w:tc>
            </w:tr>
            <w:tr w14:paraId="4EC319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8" w:type="dxa"/>
                  <w:tcBorders>
                    <w:tl2br w:val="nil"/>
                    <w:tr2bl w:val="nil"/>
                  </w:tcBorders>
                  <w:noWrap w:val="0"/>
                  <w:vAlign w:val="center"/>
                </w:tcPr>
                <w:p w14:paraId="3AE31382">
                  <w:pPr>
                    <w:keepNext w:val="0"/>
                    <w:keepLines w:val="0"/>
                    <w:pageBreakBefore w:val="0"/>
                    <w:widowControl/>
                    <w:shd w:val="clear"/>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资源利用效率要求</w:t>
                  </w:r>
                </w:p>
              </w:tc>
              <w:tc>
                <w:tcPr>
                  <w:tcW w:w="3967" w:type="dxa"/>
                  <w:tcBorders>
                    <w:tl2br w:val="nil"/>
                    <w:tr2bl w:val="nil"/>
                  </w:tcBorders>
                  <w:noWrap w:val="0"/>
                  <w:vAlign w:val="center"/>
                </w:tcPr>
                <w:p w14:paraId="510F55F7">
                  <w:pPr>
                    <w:keepNext w:val="0"/>
                    <w:keepLines w:val="0"/>
                    <w:widowControl/>
                    <w:suppressLineNumbers w:val="0"/>
                    <w:spacing w:line="240" w:lineRule="auto"/>
                    <w:jc w:val="left"/>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lang w:val="en-US" w:eastAsia="zh-CN" w:bidi="ar"/>
                    </w:rPr>
                    <w:t>1.同时执行：（1）推进污水再生利用设施建设。（2）公共建筑必须采用节水器具，限期淘汰公共建筑中不符合节水标准的水嘴、便器水箱等生活用水器具。2.高污染燃料禁燃区执行（1）在禁燃区内，禁止销售、燃用高污染燃料；禁止新建、扩建燃用高污染燃料的设施，已建成的，应当在城市人民政府规定的期限内改用天然气、页岩气、液化石油气、电或者其他清洁能源。（2）城市建设应当统筹规划，在燃煤供热地区，推进热电联产和集中供热。在集中供热管网覆盖地区，禁止新建、扩建分散燃煤供热锅炉；已建成的不能达标排放的燃煤供热锅炉，应当在城市人民政府规定的期限内拆除。</w:t>
                  </w:r>
                </w:p>
              </w:tc>
              <w:tc>
                <w:tcPr>
                  <w:tcW w:w="1783" w:type="dxa"/>
                  <w:tcBorders>
                    <w:tl2br w:val="nil"/>
                    <w:tr2bl w:val="nil"/>
                  </w:tcBorders>
                  <w:noWrap w:val="0"/>
                  <w:vAlign w:val="center"/>
                </w:tcPr>
                <w:p w14:paraId="70552194">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本工程使用水量较小。符合资源利用效率要求</w:t>
                  </w:r>
                  <w:r>
                    <w:rPr>
                      <w:rFonts w:hint="default" w:ascii="Times New Roman" w:hAnsi="Times New Roman" w:cs="Times New Roman"/>
                      <w:color w:val="auto"/>
                      <w:spacing w:val="0"/>
                      <w:sz w:val="21"/>
                      <w:szCs w:val="21"/>
                      <w:highlight w:val="none"/>
                      <w:lang w:val="en-US" w:eastAsia="zh-CN"/>
                    </w:rPr>
                    <w:t>。</w:t>
                  </w:r>
                </w:p>
              </w:tc>
            </w:tr>
          </w:tbl>
          <w:p w14:paraId="028B2C0F">
            <w:pPr>
              <w:keepNext w:val="0"/>
              <w:keepLines w:val="0"/>
              <w:pageBreakBefore w:val="0"/>
              <w:widowControl w:val="0"/>
              <w:shd w:val="clea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3）一说明</w:t>
            </w:r>
          </w:p>
          <w:p w14:paraId="51E09CE4">
            <w:pPr>
              <w:keepNext w:val="0"/>
              <w:keepLines w:val="0"/>
              <w:pageBreakBefore w:val="0"/>
              <w:widowControl w:val="0"/>
              <w:shd w:val="clea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aps w:val="0"/>
                <w:color w:val="auto"/>
                <w:sz w:val="24"/>
                <w:szCs w:val="24"/>
                <w:highlight w:val="none"/>
                <w:lang w:val="en-US" w:eastAsia="zh-CN"/>
              </w:rPr>
              <w:t>由上表可知，本项目的建设符合《黑龙江省人民政府关于实施“三线一单”生态环境分区管控的意见》（黑政发〔2020〕14号</w:t>
            </w:r>
            <w:r>
              <w:rPr>
                <w:rFonts w:hint="default" w:ascii="Times New Roman" w:hAnsi="Times New Roman" w:cs="Times New Roman"/>
                <w:caps w:val="0"/>
                <w:color w:val="auto"/>
                <w:sz w:val="24"/>
                <w:szCs w:val="24"/>
                <w:highlight w:val="none"/>
                <w:lang w:val="en-US" w:eastAsia="zh-CN"/>
              </w:rPr>
              <w:t>），</w:t>
            </w:r>
            <w:r>
              <w:rPr>
                <w:rFonts w:hint="default" w:ascii="Times New Roman" w:hAnsi="Times New Roman" w:cs="Times New Roman"/>
                <w:color w:val="auto"/>
                <w:spacing w:val="-1"/>
                <w:sz w:val="24"/>
                <w:szCs w:val="24"/>
                <w:highlight w:val="none"/>
              </w:rPr>
              <w:t>《鸡西市人民政府关于实施“三线一单</w:t>
            </w:r>
            <w:r>
              <w:rPr>
                <w:rFonts w:hint="default" w:ascii="Times New Roman" w:hAnsi="Times New Roman" w:cs="Times New Roman"/>
                <w:color w:val="auto"/>
                <w:spacing w:val="-89"/>
                <w:sz w:val="24"/>
                <w:szCs w:val="24"/>
                <w:highlight w:val="none"/>
              </w:rPr>
              <w:t xml:space="preserve"> </w:t>
            </w:r>
            <w:r>
              <w:rPr>
                <w:rFonts w:hint="default" w:ascii="Times New Roman" w:hAnsi="Times New Roman" w:cs="Times New Roman"/>
                <w:color w:val="auto"/>
                <w:spacing w:val="-1"/>
                <w:sz w:val="24"/>
                <w:szCs w:val="24"/>
                <w:highlight w:val="none"/>
                <w:lang w:eastAsia="zh-CN"/>
              </w:rPr>
              <w:t>”</w:t>
            </w:r>
            <w:r>
              <w:rPr>
                <w:rFonts w:hint="default" w:ascii="Times New Roman" w:hAnsi="Times New Roman" w:cs="Times New Roman"/>
                <w:color w:val="auto"/>
                <w:spacing w:val="-1"/>
                <w:sz w:val="24"/>
                <w:szCs w:val="24"/>
                <w:highlight w:val="none"/>
              </w:rPr>
              <w:t>生态环境分区控制的意见</w:t>
            </w:r>
            <w:r>
              <w:rPr>
                <w:rFonts w:hint="default" w:ascii="Times New Roman" w:hAnsi="Times New Roman" w:cs="Times New Roman"/>
                <w:color w:val="auto"/>
                <w:spacing w:val="-2"/>
                <w:sz w:val="24"/>
                <w:szCs w:val="24"/>
                <w:highlight w:val="none"/>
              </w:rPr>
              <w:t>》（鸡政发〔</w:t>
            </w:r>
            <w:r>
              <w:rPr>
                <w:rFonts w:hint="default" w:ascii="Times New Roman" w:hAnsi="Times New Roman" w:eastAsia="Times New Roman" w:cs="Times New Roman"/>
                <w:color w:val="auto"/>
                <w:spacing w:val="-2"/>
                <w:sz w:val="24"/>
                <w:szCs w:val="24"/>
                <w:highlight w:val="none"/>
              </w:rPr>
              <w:t>2021</w:t>
            </w:r>
            <w:r>
              <w:rPr>
                <w:rFonts w:hint="default" w:ascii="Times New Roman" w:hAnsi="Times New Roman" w:cs="Times New Roman"/>
                <w:color w:val="auto"/>
                <w:spacing w:val="-2"/>
                <w:sz w:val="24"/>
                <w:szCs w:val="24"/>
                <w:highlight w:val="none"/>
              </w:rPr>
              <w:t>〕</w:t>
            </w:r>
            <w:r>
              <w:rPr>
                <w:rFonts w:hint="default" w:ascii="Times New Roman" w:hAnsi="Times New Roman" w:eastAsia="Times New Roman" w:cs="Times New Roman"/>
                <w:color w:val="auto"/>
                <w:spacing w:val="-2"/>
                <w:sz w:val="24"/>
                <w:szCs w:val="24"/>
                <w:highlight w:val="none"/>
              </w:rPr>
              <w:t>7</w:t>
            </w:r>
            <w:r>
              <w:rPr>
                <w:rFonts w:hint="default" w:ascii="Times New Roman" w:hAnsi="Times New Roman" w:cs="Times New Roman"/>
                <w:color w:val="auto"/>
                <w:spacing w:val="-2"/>
                <w:sz w:val="24"/>
                <w:szCs w:val="24"/>
                <w:highlight w:val="none"/>
              </w:rPr>
              <w:t>号）</w:t>
            </w:r>
            <w:r>
              <w:rPr>
                <w:rFonts w:hint="default" w:ascii="Times New Roman" w:hAnsi="Times New Roman" w:eastAsia="宋体" w:cs="Times New Roman"/>
                <w:color w:val="auto"/>
                <w:kern w:val="2"/>
                <w:sz w:val="24"/>
                <w:szCs w:val="24"/>
                <w:highlight w:val="none"/>
              </w:rPr>
              <w:t>及</w:t>
            </w:r>
            <w:r>
              <w:rPr>
                <w:rFonts w:hint="default" w:ascii="Times New Roman" w:hAnsi="Times New Roman" w:cs="Times New Roman"/>
                <w:color w:val="auto"/>
                <w:spacing w:val="-5"/>
                <w:sz w:val="24"/>
                <w:szCs w:val="24"/>
                <w:highlight w:val="none"/>
              </w:rPr>
              <w:t>《鸡西市生态环境准入清</w:t>
            </w:r>
            <w:r>
              <w:rPr>
                <w:rFonts w:hint="default" w:ascii="Times New Roman" w:hAnsi="Times New Roman" w:cs="Times New Roman"/>
                <w:color w:val="auto"/>
                <w:spacing w:val="-1"/>
                <w:sz w:val="24"/>
                <w:szCs w:val="24"/>
                <w:highlight w:val="none"/>
              </w:rPr>
              <w:t>单》（</w:t>
            </w:r>
            <w:r>
              <w:rPr>
                <w:rFonts w:hint="default" w:ascii="Times New Roman" w:hAnsi="Times New Roman" w:eastAsia="Times New Roman" w:cs="Times New Roman"/>
                <w:color w:val="auto"/>
                <w:spacing w:val="-1"/>
                <w:sz w:val="24"/>
                <w:szCs w:val="24"/>
                <w:highlight w:val="none"/>
              </w:rPr>
              <w:t>2023</w:t>
            </w:r>
            <w:r>
              <w:rPr>
                <w:rFonts w:hint="default" w:ascii="Times New Roman" w:hAnsi="Times New Roman" w:cs="Times New Roman"/>
                <w:color w:val="auto"/>
                <w:spacing w:val="-1"/>
                <w:sz w:val="24"/>
                <w:szCs w:val="24"/>
                <w:highlight w:val="none"/>
              </w:rPr>
              <w:t>年版）</w:t>
            </w:r>
            <w:r>
              <w:rPr>
                <w:rFonts w:hint="default" w:ascii="Times New Roman" w:hAnsi="Times New Roman" w:cs="Times New Roman"/>
                <w:color w:val="auto"/>
                <w:kern w:val="2"/>
                <w:sz w:val="24"/>
                <w:szCs w:val="24"/>
                <w:highlight w:val="none"/>
                <w:lang w:val="en-US" w:eastAsia="zh-CN"/>
              </w:rPr>
              <w:t>相关要求。</w:t>
            </w:r>
          </w:p>
          <w:p w14:paraId="6F2A712A">
            <w:pPr>
              <w:spacing w:line="360" w:lineRule="auto"/>
              <w:ind w:left="0" w:leftChars="0" w:firstLine="480" w:firstLineChars="20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根据</w:t>
            </w:r>
            <w:r>
              <w:rPr>
                <w:rFonts w:hint="default" w:ascii="Times New Roman" w:hAnsi="Times New Roman" w:cs="Times New Roman"/>
                <w:bCs/>
                <w:color w:val="auto"/>
                <w:spacing w:val="0"/>
                <w:sz w:val="24"/>
                <w:szCs w:val="24"/>
                <w:highlight w:val="none"/>
                <w:lang w:val="en-US" w:eastAsia="zh-CN"/>
              </w:rPr>
              <w:t>鸡西鸡矿医院有限公司城子河医院临时锅炉建设项目</w:t>
            </w:r>
            <w:r>
              <w:rPr>
                <w:rFonts w:hint="default" w:ascii="Times New Roman" w:hAnsi="Times New Roman" w:eastAsia="宋体" w:cs="Times New Roman"/>
                <w:color w:val="auto"/>
                <w:kern w:val="0"/>
                <w:sz w:val="24"/>
                <w:szCs w:val="24"/>
                <w:highlight w:val="none"/>
                <w:lang w:val="en-US" w:eastAsia="zh-CN" w:bidi="ar"/>
              </w:rPr>
              <w:t>“三线一单”分析成果，</w:t>
            </w:r>
            <w:r>
              <w:rPr>
                <w:rFonts w:hint="default" w:ascii="Times New Roman" w:hAnsi="Times New Roman" w:cs="Times New Roman"/>
                <w:color w:val="auto"/>
                <w:kern w:val="0"/>
                <w:sz w:val="24"/>
                <w:szCs w:val="24"/>
                <w:highlight w:val="none"/>
                <w:lang w:val="en-US" w:eastAsia="zh-CN" w:bidi="ar"/>
              </w:rPr>
              <w:t>鸡西鸡矿医院有限公司城子河医院</w:t>
            </w:r>
            <w:r>
              <w:rPr>
                <w:rFonts w:hint="eastAsia" w:ascii="Times New Roman" w:hAnsi="Times New Roman" w:cs="Times New Roman"/>
                <w:color w:val="auto"/>
                <w:kern w:val="0"/>
                <w:sz w:val="24"/>
                <w:szCs w:val="24"/>
                <w:highlight w:val="none"/>
                <w:lang w:val="en-US" w:eastAsia="zh-CN" w:bidi="ar"/>
              </w:rPr>
              <w:t>建设一台</w:t>
            </w:r>
            <w:r>
              <w:rPr>
                <w:rFonts w:hint="default" w:ascii="Times New Roman" w:hAnsi="Times New Roman" w:cs="Times New Roman"/>
                <w:color w:val="auto"/>
                <w:kern w:val="0"/>
                <w:sz w:val="24"/>
                <w:szCs w:val="24"/>
                <w:highlight w:val="none"/>
                <w:lang w:val="en-US" w:eastAsia="zh-CN" w:bidi="ar"/>
              </w:rPr>
              <w:t>锅炉</w:t>
            </w:r>
            <w:r>
              <w:rPr>
                <w:rFonts w:hint="eastAsia" w:ascii="Times New Roman" w:hAnsi="Times New Roman" w:cs="Times New Roman"/>
                <w:color w:val="auto"/>
                <w:kern w:val="0"/>
                <w:sz w:val="24"/>
                <w:szCs w:val="24"/>
                <w:highlight w:val="none"/>
                <w:lang w:val="en-US" w:eastAsia="zh-CN" w:bidi="ar"/>
              </w:rPr>
              <w:t>，</w:t>
            </w:r>
            <w:r>
              <w:rPr>
                <w:rFonts w:hint="default" w:ascii="Times New Roman" w:hAnsi="Times New Roman" w:cs="Times New Roman"/>
                <w:color w:val="auto"/>
                <w:kern w:val="0"/>
                <w:sz w:val="24"/>
                <w:szCs w:val="24"/>
                <w:highlight w:val="none"/>
                <w:lang w:val="en-US" w:eastAsia="zh-CN" w:bidi="ar"/>
              </w:rPr>
              <w:t>项目</w:t>
            </w:r>
            <w:r>
              <w:rPr>
                <w:rFonts w:hint="default" w:ascii="Times New Roman" w:hAnsi="Times New Roman" w:eastAsia="宋体" w:cs="Times New Roman"/>
                <w:color w:val="auto"/>
                <w:kern w:val="0"/>
                <w:sz w:val="24"/>
                <w:szCs w:val="24"/>
                <w:highlight w:val="none"/>
                <w:lang w:val="en-US" w:eastAsia="zh-CN" w:bidi="ar"/>
              </w:rPr>
              <w:t>涉及鸡西市</w:t>
            </w:r>
            <w:r>
              <w:rPr>
                <w:rFonts w:hint="default" w:ascii="Times New Roman" w:hAnsi="Times New Roman" w:cs="Times New Roman"/>
                <w:color w:val="auto"/>
                <w:kern w:val="0"/>
                <w:sz w:val="24"/>
                <w:szCs w:val="24"/>
                <w:highlight w:val="none"/>
                <w:lang w:val="en-US" w:eastAsia="zh-CN" w:bidi="ar"/>
              </w:rPr>
              <w:t>城子河区</w:t>
            </w:r>
            <w:r>
              <w:rPr>
                <w:rFonts w:hint="default" w:ascii="Times New Roman" w:hAnsi="Times New Roman" w:eastAsia="宋体" w:cs="Times New Roman"/>
                <w:color w:val="auto"/>
                <w:kern w:val="0"/>
                <w:sz w:val="24"/>
                <w:szCs w:val="24"/>
                <w:highlight w:val="none"/>
                <w:u w:val="none"/>
                <w:lang w:val="en-US" w:eastAsia="zh-CN" w:bidi="ar"/>
              </w:rPr>
              <w:t>；</w:t>
            </w:r>
            <w:r>
              <w:rPr>
                <w:rFonts w:hint="default" w:ascii="Times New Roman" w:hAnsi="Times New Roman" w:cs="Times New Roman"/>
                <w:bCs/>
                <w:color w:val="auto"/>
                <w:spacing w:val="0"/>
                <w:sz w:val="24"/>
                <w:szCs w:val="24"/>
                <w:highlight w:val="none"/>
                <w:lang w:val="en-US" w:eastAsia="zh-CN"/>
              </w:rPr>
              <w:t>鸡西鸡矿医院有限公司城子河医院临时锅炉建设项目</w:t>
            </w:r>
            <w:r>
              <w:rPr>
                <w:rFonts w:hint="default" w:ascii="Times New Roman" w:hAnsi="Times New Roman" w:eastAsia="宋体" w:cs="Times New Roman"/>
                <w:color w:val="auto"/>
                <w:kern w:val="0"/>
                <w:sz w:val="24"/>
                <w:szCs w:val="24"/>
                <w:highlight w:val="none"/>
                <w:u w:val="none"/>
                <w:lang w:val="en-US" w:eastAsia="zh-CN" w:bidi="ar"/>
              </w:rPr>
              <w:t>与生态保护红</w:t>
            </w:r>
            <w:r>
              <w:rPr>
                <w:rFonts w:hint="default" w:ascii="Times New Roman" w:hAnsi="Times New Roman" w:eastAsia="宋体" w:cs="Times New Roman"/>
                <w:color w:val="auto"/>
                <w:kern w:val="0"/>
                <w:sz w:val="24"/>
                <w:szCs w:val="24"/>
                <w:highlight w:val="none"/>
                <w:lang w:val="en-US" w:eastAsia="zh-CN" w:bidi="ar"/>
              </w:rPr>
              <w:t>位置</w:t>
            </w:r>
            <w:r>
              <w:rPr>
                <w:rFonts w:hint="default" w:ascii="Times New Roman" w:hAnsi="Times New Roman" w:eastAsia="宋体" w:cs="Times New Roman"/>
                <w:color w:val="auto"/>
                <w:kern w:val="0"/>
                <w:sz w:val="24"/>
                <w:szCs w:val="24"/>
                <w:highlight w:val="none"/>
                <w:u w:val="none"/>
                <w:lang w:val="en-US" w:eastAsia="zh-CN" w:bidi="ar"/>
              </w:rPr>
              <w:t>线无交集；与自然保护地无交集；</w:t>
            </w:r>
            <w:r>
              <w:rPr>
                <w:rFonts w:hint="default" w:ascii="Times New Roman" w:hAnsi="Times New Roman" w:eastAsia="宋体" w:cs="Times New Roman"/>
                <w:color w:val="auto"/>
                <w:kern w:val="0"/>
                <w:sz w:val="24"/>
                <w:szCs w:val="24"/>
                <w:highlight w:val="none"/>
                <w:lang w:val="en-US" w:eastAsia="zh-CN" w:bidi="ar"/>
              </w:rPr>
              <w:t>与饮用水水源保护区无交集；与国家级水产种质资源保护区无交集；与环境管控单元优先保护</w:t>
            </w:r>
            <w:r>
              <w:rPr>
                <w:rFonts w:hint="default" w:ascii="Times New Roman" w:hAnsi="Times New Roman" w:cs="Times New Roman"/>
                <w:color w:val="auto"/>
                <w:kern w:val="0"/>
                <w:sz w:val="24"/>
                <w:szCs w:val="24"/>
                <w:highlight w:val="none"/>
                <w:lang w:val="en-US" w:eastAsia="zh-CN" w:bidi="ar"/>
              </w:rPr>
              <w:t>单元无</w:t>
            </w:r>
            <w:r>
              <w:rPr>
                <w:rFonts w:hint="default" w:ascii="Times New Roman" w:hAnsi="Times New Roman" w:eastAsia="宋体" w:cs="Times New Roman"/>
                <w:color w:val="auto"/>
                <w:kern w:val="0"/>
                <w:sz w:val="24"/>
                <w:szCs w:val="24"/>
                <w:highlight w:val="none"/>
                <w:lang w:val="en-US" w:eastAsia="zh-CN" w:bidi="ar"/>
              </w:rPr>
              <w:t>交集，与环境管控单元重点管控单元</w:t>
            </w:r>
            <w:r>
              <w:rPr>
                <w:rFonts w:hint="default" w:ascii="Times New Roman" w:hAnsi="Times New Roman" w:cs="Times New Roman"/>
                <w:color w:val="auto"/>
                <w:kern w:val="0"/>
                <w:sz w:val="24"/>
                <w:szCs w:val="24"/>
                <w:highlight w:val="none"/>
                <w:lang w:val="en-US" w:eastAsia="zh-CN" w:bidi="ar"/>
              </w:rPr>
              <w:t>有</w:t>
            </w:r>
            <w:r>
              <w:rPr>
                <w:rFonts w:hint="default" w:ascii="Times New Roman" w:hAnsi="Times New Roman" w:eastAsia="宋体" w:cs="Times New Roman"/>
                <w:color w:val="auto"/>
                <w:kern w:val="0"/>
                <w:sz w:val="24"/>
                <w:szCs w:val="24"/>
                <w:highlight w:val="none"/>
                <w:lang w:val="en-US" w:eastAsia="zh-CN" w:bidi="ar"/>
              </w:rPr>
              <w:t>交集</w:t>
            </w:r>
            <w:r>
              <w:rPr>
                <w:rFonts w:hint="default" w:ascii="Times New Roman" w:hAnsi="Times New Roman"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占项目占地面积的100.00%；与环境管控单元一般管控单元</w:t>
            </w:r>
            <w:r>
              <w:rPr>
                <w:rFonts w:hint="default" w:ascii="Times New Roman" w:hAnsi="Times New Roman" w:cs="Times New Roman"/>
                <w:color w:val="auto"/>
                <w:kern w:val="0"/>
                <w:sz w:val="24"/>
                <w:szCs w:val="24"/>
                <w:highlight w:val="none"/>
                <w:lang w:val="en-US" w:eastAsia="zh-CN" w:bidi="ar"/>
              </w:rPr>
              <w:t>无</w:t>
            </w:r>
            <w:r>
              <w:rPr>
                <w:rFonts w:hint="default" w:ascii="Times New Roman" w:hAnsi="Times New Roman" w:eastAsia="宋体" w:cs="Times New Roman"/>
                <w:color w:val="auto"/>
                <w:kern w:val="0"/>
                <w:sz w:val="24"/>
                <w:szCs w:val="24"/>
                <w:highlight w:val="none"/>
                <w:lang w:val="en-US" w:eastAsia="zh-CN" w:bidi="ar"/>
              </w:rPr>
              <w:t>交集。</w:t>
            </w:r>
          </w:p>
          <w:p w14:paraId="1EE8C600">
            <w:pPr>
              <w:spacing w:line="360" w:lineRule="auto"/>
              <w:ind w:left="0" w:leftChars="0" w:firstLine="0" w:firstLineChars="0"/>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lang w:val="en-US" w:eastAsia="zh-CN"/>
              </w:rPr>
              <w:t>（6）</w:t>
            </w:r>
            <w:r>
              <w:rPr>
                <w:rFonts w:hint="eastAsia" w:ascii="Times New Roman" w:hAnsi="Times New Roman" w:eastAsia="宋体" w:cs="Times New Roman"/>
                <w:color w:val="auto"/>
                <w:spacing w:val="0"/>
                <w:sz w:val="24"/>
                <w:szCs w:val="24"/>
                <w:highlight w:val="none"/>
                <w:lang w:val="en-US" w:eastAsia="zh-CN"/>
              </w:rPr>
              <w:t>生态环境分区管控</w:t>
            </w:r>
            <w:r>
              <w:rPr>
                <w:rFonts w:hint="default" w:ascii="Times New Roman" w:hAnsi="Times New Roman" w:eastAsia="宋体" w:cs="Times New Roman"/>
                <w:color w:val="auto"/>
                <w:spacing w:val="0"/>
                <w:sz w:val="24"/>
                <w:szCs w:val="24"/>
                <w:highlight w:val="none"/>
              </w:rPr>
              <w:t>符合性结论</w:t>
            </w:r>
          </w:p>
          <w:p w14:paraId="26F60AE2">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b/>
                <w:bCs w:val="0"/>
                <w:color w:val="auto"/>
                <w:spacing w:val="0"/>
                <w:sz w:val="28"/>
                <w:szCs w:val="28"/>
                <w:highlight w:val="none"/>
                <w:lang w:val="en-US" w:eastAsia="zh-CN"/>
              </w:rPr>
            </w:pPr>
            <w:r>
              <w:rPr>
                <w:rFonts w:hint="default" w:ascii="Times New Roman" w:hAnsi="Times New Roman" w:eastAsia="宋体" w:cs="Times New Roman"/>
                <w:color w:val="auto"/>
                <w:spacing w:val="0"/>
                <w:sz w:val="24"/>
                <w:szCs w:val="24"/>
                <w:highlight w:val="none"/>
              </w:rPr>
              <w:t>综</w:t>
            </w:r>
            <w:r>
              <w:rPr>
                <w:rFonts w:hint="default" w:ascii="Times New Roman" w:hAnsi="Times New Roman" w:eastAsia="宋体" w:cs="Times New Roman"/>
                <w:bCs/>
                <w:color w:val="auto"/>
                <w:spacing w:val="0"/>
                <w:sz w:val="24"/>
                <w:szCs w:val="24"/>
                <w:highlight w:val="none"/>
              </w:rPr>
              <w:t>上，本项目</w:t>
            </w:r>
            <w:r>
              <w:rPr>
                <w:rFonts w:hint="default" w:ascii="Times New Roman" w:hAnsi="Times New Roman" w:eastAsia="宋体" w:cs="Times New Roman"/>
                <w:bCs w:val="0"/>
                <w:color w:val="auto"/>
                <w:spacing w:val="0"/>
                <w:kern w:val="2"/>
                <w:sz w:val="24"/>
                <w:szCs w:val="24"/>
                <w:highlight w:val="none"/>
                <w:lang w:val="zh-CN" w:eastAsia="zh-CN" w:bidi="ar-SA"/>
              </w:rPr>
              <w:t>选址不涉及</w:t>
            </w:r>
            <w:r>
              <w:rPr>
                <w:rFonts w:hint="default" w:ascii="Times New Roman" w:hAnsi="Times New Roman" w:cs="Times New Roman"/>
                <w:bCs w:val="0"/>
                <w:color w:val="auto"/>
                <w:spacing w:val="0"/>
                <w:kern w:val="2"/>
                <w:sz w:val="24"/>
                <w:szCs w:val="24"/>
                <w:highlight w:val="none"/>
                <w:lang w:val="en-US" w:eastAsia="zh-CN" w:bidi="ar-SA"/>
              </w:rPr>
              <w:t>鸡西市</w:t>
            </w:r>
            <w:r>
              <w:rPr>
                <w:rFonts w:hint="default" w:ascii="Times New Roman" w:hAnsi="Times New Roman" w:eastAsia="宋体" w:cs="Times New Roman"/>
                <w:bCs w:val="0"/>
                <w:color w:val="auto"/>
                <w:spacing w:val="0"/>
                <w:kern w:val="2"/>
                <w:sz w:val="24"/>
                <w:szCs w:val="24"/>
                <w:highlight w:val="none"/>
                <w:lang w:val="zh-CN" w:eastAsia="zh-CN" w:bidi="ar-SA"/>
              </w:rPr>
              <w:t>划定的生态保护红线，同时符合环境质量底线、资源利用上线以及</w:t>
            </w:r>
            <w:r>
              <w:rPr>
                <w:rFonts w:hint="default" w:ascii="Times New Roman" w:hAnsi="Times New Roman" w:eastAsia="宋体" w:cs="Times New Roman"/>
                <w:color w:val="auto"/>
                <w:spacing w:val="0"/>
                <w:sz w:val="24"/>
                <w:szCs w:val="24"/>
                <w:highlight w:val="none"/>
                <w:lang w:val="en-US" w:eastAsia="zh-CN"/>
              </w:rPr>
              <w:t>《鸡西市生态环境准入清单》（2023年版）</w:t>
            </w:r>
            <w:r>
              <w:rPr>
                <w:rFonts w:hint="default" w:ascii="Times New Roman" w:hAnsi="Times New Roman" w:eastAsia="宋体" w:cs="Times New Roman"/>
                <w:bCs w:val="0"/>
                <w:color w:val="auto"/>
                <w:spacing w:val="0"/>
                <w:kern w:val="2"/>
                <w:sz w:val="24"/>
                <w:szCs w:val="24"/>
                <w:highlight w:val="none"/>
                <w:lang w:val="zh-CN" w:eastAsia="zh-CN" w:bidi="ar-SA"/>
              </w:rPr>
              <w:t>管理要求。</w:t>
            </w:r>
            <w:r>
              <w:rPr>
                <w:rFonts w:hint="default" w:ascii="Times New Roman" w:hAnsi="Times New Roman" w:eastAsia="宋体" w:cs="Times New Roman"/>
                <w:color w:val="auto"/>
                <w:spacing w:val="0"/>
                <w:sz w:val="24"/>
                <w:szCs w:val="24"/>
                <w:highlight w:val="none"/>
                <w:lang w:val="en-US" w:eastAsia="zh-CN"/>
              </w:rPr>
              <w:t>本项目产生的废气主要为锅炉产生</w:t>
            </w:r>
            <w:r>
              <w:rPr>
                <w:rFonts w:hint="default" w:ascii="Times New Roman" w:hAnsi="Times New Roman" w:eastAsia="宋体" w:cs="Times New Roman"/>
                <w:color w:val="auto"/>
                <w:spacing w:val="0"/>
                <w:sz w:val="24"/>
                <w:highlight w:val="none"/>
                <w:lang w:val="en-US" w:eastAsia="zh-CN"/>
              </w:rPr>
              <w:t>颗粒物、二氧化硫、氮氧化物、烟气黑度</w:t>
            </w:r>
            <w:r>
              <w:rPr>
                <w:rFonts w:hint="default" w:ascii="Times New Roman" w:hAnsi="Times New Roman" w:eastAsia="宋体" w:cs="Times New Roman"/>
                <w:color w:val="auto"/>
                <w:spacing w:val="0"/>
                <w:sz w:val="24"/>
                <w:szCs w:val="24"/>
                <w:highlight w:val="none"/>
                <w:lang w:val="en-US" w:eastAsia="zh-CN"/>
              </w:rPr>
              <w:t>。废气经由</w:t>
            </w:r>
            <w:r>
              <w:rPr>
                <w:rFonts w:hint="default" w:ascii="Times New Roman" w:hAnsi="Times New Roman" w:cs="Times New Roman"/>
                <w:color w:val="auto"/>
                <w:spacing w:val="0"/>
                <w:sz w:val="24"/>
                <w:szCs w:val="24"/>
                <w:highlight w:val="none"/>
                <w:lang w:val="en-US" w:eastAsia="zh-CN"/>
              </w:rPr>
              <w:t>1</w:t>
            </w:r>
            <w:r>
              <w:rPr>
                <w:rFonts w:hint="default" w:ascii="Times New Roman" w:hAnsi="Times New Roman" w:eastAsia="宋体" w:cs="Times New Roman"/>
                <w:color w:val="auto"/>
                <w:spacing w:val="0"/>
                <w:sz w:val="24"/>
                <w:szCs w:val="24"/>
                <w:highlight w:val="none"/>
                <w:lang w:val="en-US" w:eastAsia="zh-CN"/>
              </w:rPr>
              <w:t>根</w:t>
            </w:r>
            <w:r>
              <w:rPr>
                <w:rFonts w:hint="default" w:ascii="Times New Roman" w:hAnsi="Times New Roman" w:cs="Times New Roman"/>
                <w:color w:val="auto"/>
                <w:spacing w:val="0"/>
                <w:sz w:val="24"/>
                <w:szCs w:val="24"/>
                <w:highlight w:val="none"/>
                <w:lang w:val="en-US" w:eastAsia="zh-CN"/>
              </w:rPr>
              <w:t>30</w:t>
            </w:r>
            <w:r>
              <w:rPr>
                <w:rFonts w:hint="default" w:ascii="Times New Roman" w:hAnsi="Times New Roman" w:eastAsia="宋体" w:cs="Times New Roman"/>
                <w:color w:val="auto"/>
                <w:spacing w:val="0"/>
                <w:sz w:val="24"/>
                <w:szCs w:val="24"/>
                <w:highlight w:val="none"/>
              </w:rPr>
              <w:t>m高排气筒</w:t>
            </w:r>
            <w:r>
              <w:rPr>
                <w:rFonts w:hint="default" w:ascii="Times New Roman" w:hAnsi="Times New Roman" w:cs="Times New Roman"/>
                <w:color w:val="auto"/>
                <w:spacing w:val="0"/>
                <w:sz w:val="24"/>
                <w:szCs w:val="24"/>
                <w:highlight w:val="none"/>
                <w:lang w:val="en-US" w:eastAsia="zh-CN"/>
              </w:rPr>
              <w:t>DA001</w:t>
            </w:r>
            <w:r>
              <w:rPr>
                <w:rFonts w:hint="default" w:ascii="Times New Roman" w:hAnsi="Times New Roman" w:eastAsia="宋体" w:cs="Times New Roman"/>
                <w:color w:val="auto"/>
                <w:spacing w:val="0"/>
                <w:sz w:val="24"/>
                <w:szCs w:val="24"/>
                <w:highlight w:val="none"/>
                <w:lang w:val="en-US" w:eastAsia="zh-CN"/>
              </w:rPr>
              <w:t>有组织</w:t>
            </w:r>
            <w:r>
              <w:rPr>
                <w:rFonts w:hint="default" w:ascii="Times New Roman" w:hAnsi="Times New Roman" w:eastAsia="宋体" w:cs="Times New Roman"/>
                <w:color w:val="auto"/>
                <w:spacing w:val="0"/>
                <w:sz w:val="24"/>
                <w:szCs w:val="24"/>
                <w:highlight w:val="none"/>
              </w:rPr>
              <w:t>排放</w:t>
            </w: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lang w:val="en-US" w:eastAsia="zh-CN"/>
              </w:rPr>
              <w:t>废气排放满足</w:t>
            </w:r>
            <w:r>
              <w:rPr>
                <w:rFonts w:hint="default" w:ascii="Times New Roman" w:hAnsi="Times New Roman" w:eastAsia="宋体" w:cs="Times New Roman"/>
                <w:color w:val="auto"/>
                <w:spacing w:val="0"/>
                <w:sz w:val="24"/>
                <w:highlight w:val="none"/>
              </w:rPr>
              <w:t>《</w:t>
            </w:r>
            <w:r>
              <w:rPr>
                <w:rFonts w:hint="default" w:ascii="Times New Roman" w:hAnsi="Times New Roman" w:eastAsia="宋体" w:cs="Times New Roman"/>
                <w:color w:val="auto"/>
                <w:spacing w:val="0"/>
                <w:sz w:val="24"/>
                <w:highlight w:val="none"/>
                <w:lang w:val="en-US" w:eastAsia="zh-CN"/>
              </w:rPr>
              <w:t>锅炉大气污染物排放标准</w:t>
            </w:r>
            <w:r>
              <w:rPr>
                <w:rFonts w:hint="default" w:ascii="Times New Roman" w:hAnsi="Times New Roman" w:eastAsia="宋体" w:cs="Times New Roman"/>
                <w:color w:val="auto"/>
                <w:spacing w:val="0"/>
                <w:sz w:val="24"/>
                <w:highlight w:val="none"/>
              </w:rPr>
              <w:t>》（GB</w:t>
            </w:r>
            <w:r>
              <w:rPr>
                <w:rFonts w:hint="default" w:ascii="Times New Roman" w:hAnsi="Times New Roman" w:eastAsia="宋体" w:cs="Times New Roman"/>
                <w:color w:val="auto"/>
                <w:spacing w:val="0"/>
                <w:sz w:val="24"/>
                <w:highlight w:val="none"/>
                <w:lang w:val="en-US" w:eastAsia="zh-CN"/>
              </w:rPr>
              <w:t>13271</w:t>
            </w:r>
            <w:r>
              <w:rPr>
                <w:rFonts w:hint="default" w:ascii="Times New Roman" w:hAnsi="Times New Roman" w:eastAsia="宋体" w:cs="Times New Roman"/>
                <w:color w:val="auto"/>
                <w:spacing w:val="0"/>
                <w:sz w:val="24"/>
                <w:highlight w:val="none"/>
              </w:rPr>
              <w:t>-</w:t>
            </w:r>
            <w:r>
              <w:rPr>
                <w:rFonts w:hint="default" w:ascii="Times New Roman" w:hAnsi="Times New Roman" w:eastAsia="宋体" w:cs="Times New Roman"/>
                <w:color w:val="auto"/>
                <w:spacing w:val="0"/>
                <w:sz w:val="24"/>
                <w:highlight w:val="none"/>
                <w:lang w:val="en-US" w:eastAsia="zh-CN"/>
              </w:rPr>
              <w:t>2014</w:t>
            </w:r>
            <w:r>
              <w:rPr>
                <w:rFonts w:hint="default" w:ascii="Times New Roman" w:hAnsi="Times New Roman" w:eastAsia="宋体" w:cs="Times New Roman"/>
                <w:color w:val="auto"/>
                <w:spacing w:val="0"/>
                <w:sz w:val="24"/>
                <w:highlight w:val="none"/>
              </w:rPr>
              <w:t>）表</w:t>
            </w:r>
            <w:r>
              <w:rPr>
                <w:rFonts w:hint="default" w:ascii="Times New Roman" w:hAnsi="Times New Roman" w:eastAsia="宋体" w:cs="Times New Roman"/>
                <w:color w:val="auto"/>
                <w:spacing w:val="0"/>
                <w:sz w:val="24"/>
                <w:highlight w:val="none"/>
                <w:lang w:val="en-US" w:eastAsia="zh-CN"/>
              </w:rPr>
              <w:t>2</w:t>
            </w:r>
            <w:r>
              <w:rPr>
                <w:rFonts w:hint="default" w:ascii="Times New Roman" w:hAnsi="Times New Roman" w:eastAsia="宋体" w:cs="Times New Roman"/>
                <w:color w:val="auto"/>
                <w:spacing w:val="0"/>
                <w:sz w:val="24"/>
                <w:highlight w:val="none"/>
              </w:rPr>
              <w:t>中</w:t>
            </w:r>
            <w:r>
              <w:rPr>
                <w:rFonts w:hint="default" w:ascii="Times New Roman" w:hAnsi="Times New Roman" w:cs="Times New Roman"/>
                <w:color w:val="auto"/>
                <w:spacing w:val="0"/>
                <w:sz w:val="24"/>
                <w:highlight w:val="none"/>
                <w:lang w:val="en-US" w:eastAsia="zh-CN"/>
              </w:rPr>
              <w:t>锅炉</w:t>
            </w:r>
            <w:r>
              <w:rPr>
                <w:rFonts w:hint="default" w:ascii="Times New Roman" w:hAnsi="Times New Roman" w:eastAsia="宋体" w:cs="Times New Roman"/>
                <w:color w:val="auto"/>
                <w:spacing w:val="0"/>
                <w:sz w:val="24"/>
                <w:highlight w:val="none"/>
                <w:lang w:val="en-US" w:eastAsia="zh-CN"/>
              </w:rPr>
              <w:t>排放限值</w:t>
            </w:r>
            <w:r>
              <w:rPr>
                <w:rFonts w:hint="default" w:ascii="Times New Roman" w:hAnsi="Times New Roman" w:eastAsia="宋体" w:cs="Times New Roman"/>
                <w:bCs w:val="0"/>
                <w:color w:val="auto"/>
                <w:spacing w:val="0"/>
                <w:kern w:val="2"/>
                <w:sz w:val="24"/>
                <w:szCs w:val="24"/>
                <w:highlight w:val="none"/>
                <w:lang w:val="en-US" w:eastAsia="zh-CN" w:bidi="ar-SA"/>
              </w:rPr>
              <w:t>。</w:t>
            </w:r>
            <w:r>
              <w:rPr>
                <w:rFonts w:hint="default" w:ascii="Times New Roman" w:hAnsi="Times New Roman" w:eastAsia="宋体" w:cs="Times New Roman"/>
                <w:color w:val="auto"/>
                <w:spacing w:val="0"/>
                <w:sz w:val="24"/>
                <w:szCs w:val="24"/>
                <w:highlight w:val="none"/>
                <w:lang w:val="en-US"/>
              </w:rPr>
              <w:t>本项目建成</w:t>
            </w:r>
            <w:r>
              <w:rPr>
                <w:rFonts w:hint="default" w:ascii="Times New Roman" w:hAnsi="Times New Roman" w:eastAsia="宋体" w:cs="Times New Roman"/>
                <w:color w:val="auto"/>
                <w:spacing w:val="0"/>
                <w:sz w:val="24"/>
                <w:szCs w:val="24"/>
                <w:highlight w:val="none"/>
                <w:lang w:val="en-US" w:eastAsia="zh-CN"/>
              </w:rPr>
              <w:t>后外排污水主要为锅炉排污水和软水制备废水</w:t>
            </w:r>
            <w:r>
              <w:rPr>
                <w:rFonts w:hint="eastAsia" w:ascii="Times New Roman" w:hAnsi="Times New Roman" w:eastAsia="宋体" w:cs="Times New Roman"/>
                <w:color w:val="auto"/>
                <w:spacing w:val="0"/>
                <w:sz w:val="24"/>
                <w:szCs w:val="24"/>
                <w:highlight w:val="none"/>
                <w:lang w:val="en-US" w:eastAsia="zh-CN"/>
              </w:rPr>
              <w:t>，少量</w:t>
            </w:r>
            <w:r>
              <w:rPr>
                <w:rFonts w:hint="default" w:ascii="Times New Roman" w:hAnsi="Times New Roman" w:eastAsia="宋体" w:cs="Times New Roman"/>
                <w:color w:val="auto"/>
                <w:spacing w:val="0"/>
                <w:sz w:val="24"/>
                <w:szCs w:val="24"/>
                <w:highlight w:val="none"/>
                <w:lang w:val="en-US" w:eastAsia="zh-CN"/>
              </w:rPr>
              <w:t>收集后用于灰渣</w:t>
            </w:r>
            <w:r>
              <w:rPr>
                <w:rFonts w:hint="eastAsia" w:ascii="Times New Roman" w:hAnsi="Times New Roman" w:eastAsia="宋体" w:cs="Times New Roman"/>
                <w:color w:val="auto"/>
                <w:spacing w:val="0"/>
                <w:sz w:val="24"/>
                <w:szCs w:val="24"/>
                <w:highlight w:val="none"/>
                <w:lang w:val="en-US" w:eastAsia="zh-CN"/>
              </w:rPr>
              <w:t>加湿其余锅炉污水通过院区污水总排口进入市政管网，排入城子河区污水处理厂进行处理</w:t>
            </w:r>
            <w:r>
              <w:rPr>
                <w:rFonts w:hint="default" w:ascii="Times New Roman" w:hAnsi="Times New Roman" w:eastAsia="宋体" w:cs="Times New Roman"/>
                <w:color w:val="auto"/>
                <w:spacing w:val="0"/>
                <w:sz w:val="24"/>
                <w:szCs w:val="24"/>
                <w:highlight w:val="none"/>
                <w:lang w:val="en-US" w:eastAsia="zh-CN"/>
              </w:rPr>
              <w:t>。运营期设备噪声通过厂房隔声、设置基础减振措施，对周围声环境影响较小。锅炉灰渣、</w:t>
            </w:r>
            <w:r>
              <w:rPr>
                <w:rFonts w:hint="eastAsia" w:ascii="Times New Roman" w:hAnsi="Times New Roman" w:cs="Times New Roman"/>
                <w:color w:val="auto"/>
                <w:spacing w:val="-1"/>
                <w:sz w:val="24"/>
                <w:szCs w:val="24"/>
                <w:highlight w:val="none"/>
                <w:lang w:val="en-US" w:eastAsia="zh-CN"/>
              </w:rPr>
              <w:t>旋风+</w:t>
            </w:r>
            <w:r>
              <w:rPr>
                <w:rFonts w:hint="default" w:ascii="Times New Roman" w:hAnsi="Times New Roman" w:eastAsia="宋体" w:cs="Times New Roman"/>
                <w:color w:val="auto"/>
                <w:spacing w:val="0"/>
                <w:sz w:val="24"/>
                <w:szCs w:val="24"/>
                <w:highlight w:val="none"/>
                <w:lang w:val="en-US" w:eastAsia="zh-CN"/>
              </w:rPr>
              <w:t>布袋</w:t>
            </w:r>
            <w:r>
              <w:rPr>
                <w:rFonts w:hint="default" w:ascii="Times New Roman" w:hAnsi="Times New Roman" w:cs="Times New Roman"/>
                <w:color w:val="auto"/>
                <w:spacing w:val="0"/>
                <w:sz w:val="24"/>
                <w:szCs w:val="24"/>
                <w:highlight w:val="none"/>
                <w:lang w:val="en-US" w:eastAsia="zh-CN"/>
              </w:rPr>
              <w:t>除尘器集尘外售综合利用，</w:t>
            </w:r>
            <w:r>
              <w:rPr>
                <w:rFonts w:hint="eastAsia" w:ascii="Times New Roman" w:hAnsi="Times New Roman" w:cs="Times New Roman"/>
                <w:color w:val="auto"/>
                <w:spacing w:val="0"/>
                <w:sz w:val="24"/>
                <w:szCs w:val="24"/>
                <w:highlight w:val="none"/>
                <w:lang w:val="en-US" w:eastAsia="zh-CN"/>
              </w:rPr>
              <w:t>软化水装置产生的废离子交换树脂，由厂家回收更换。</w:t>
            </w:r>
            <w:r>
              <w:rPr>
                <w:rFonts w:hint="default" w:ascii="Times New Roman" w:hAnsi="Times New Roman" w:cs="Times New Roman"/>
                <w:color w:val="auto"/>
                <w:spacing w:val="0"/>
                <w:sz w:val="24"/>
                <w:szCs w:val="24"/>
                <w:highlight w:val="none"/>
                <w:lang w:val="en-US" w:eastAsia="zh-CN"/>
              </w:rPr>
              <w:t>危险废物交有资质单位处置</w:t>
            </w: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lang w:val="en-US" w:eastAsia="zh-CN"/>
              </w:rPr>
              <w:t>综上所述，项目运营期对周边环境的不利影响可得到有效控制，本项目建设对周围环境影响较小，因此本项目符合《鸡西市人民政府关于实施“三线一单”生态环境分区管控的意见》（鸡政发〔2021〕7号）中要求。</w:t>
            </w:r>
          </w:p>
          <w:p w14:paraId="245362C4">
            <w:pPr>
              <w:ind w:left="0" w:leftChars="0" w:firstLine="0" w:firstLineChars="0"/>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2.</w:t>
            </w:r>
            <w:r>
              <w:rPr>
                <w:rFonts w:hint="default" w:ascii="Times New Roman" w:hAnsi="Times New Roman" w:eastAsia="宋体" w:cs="Times New Roman"/>
                <w:b/>
                <w:bCs w:val="0"/>
                <w:color w:val="auto"/>
                <w:spacing w:val="0"/>
                <w:sz w:val="24"/>
                <w:szCs w:val="24"/>
                <w:highlight w:val="none"/>
                <w:lang w:val="en-US" w:eastAsia="zh-CN"/>
              </w:rPr>
              <w:t>与相关环保政策相符性分析</w:t>
            </w:r>
          </w:p>
          <w:p w14:paraId="32019D7C">
            <w:pPr>
              <w:ind w:firstLine="482" w:firstLineChars="200"/>
              <w:rPr>
                <w:rFonts w:hint="default" w:ascii="Times New Roman" w:hAnsi="Times New Roman" w:eastAsia="宋体" w:cs="Times New Roman"/>
                <w:b/>
                <w:bCs/>
                <w:color w:val="auto"/>
                <w:spacing w:val="0"/>
                <w:sz w:val="24"/>
                <w:highlight w:val="none"/>
              </w:rPr>
            </w:pPr>
            <w:r>
              <w:rPr>
                <w:rFonts w:hint="default" w:ascii="Times New Roman" w:hAnsi="Times New Roman" w:eastAsia="宋体" w:cs="Times New Roman"/>
                <w:b/>
                <w:bCs/>
                <w:color w:val="auto"/>
                <w:spacing w:val="0"/>
                <w:sz w:val="24"/>
                <w:highlight w:val="none"/>
                <w:lang w:val="en-US" w:eastAsia="zh-CN"/>
              </w:rPr>
              <w:t>2.1</w:t>
            </w:r>
            <w:r>
              <w:rPr>
                <w:rFonts w:hint="default" w:ascii="Times New Roman" w:hAnsi="Times New Roman" w:eastAsia="宋体" w:cs="Times New Roman"/>
                <w:b/>
                <w:bCs/>
                <w:color w:val="auto"/>
                <w:spacing w:val="0"/>
                <w:sz w:val="24"/>
                <w:highlight w:val="none"/>
              </w:rPr>
              <w:t>与《黑龙江省人民代表大会常务委员会关于修改〈黑龙江省大气污染防治条例〉的决定》（2018年12月27日）符合性分析</w:t>
            </w:r>
          </w:p>
          <w:p w14:paraId="480771F4">
            <w:pPr>
              <w:ind w:firstLine="480" w:firstLineChars="200"/>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在条例中“第三章大气污染防治措施，第一节燃煤污染防治”中“第三十二条要求燃煤电厂、燃煤供热锅炉以及其他燃煤单位，应当采用清洁生产工艺，配套建设除尘、脱硫、脱硝等装置或者采用技术改造等措施，减少大气污染物的产生和排放，排放的大气污染物应当达到规定标准。”“第三十三条要求设区的市级城市建成区内，禁止新建额定蒸发量低于每小时二十吨或者额定功率低于十四兆瓦的燃煤锅炉；已经建成的额定蒸发量每小时十吨以下或者额定功率七兆瓦以下的燃煤锅炉，应当在国家规定的期限内淘汰。国家对新建和淘汰燃煤锅炉另有规定的，从其规定。”，“第三十五条要求设区的市级人民政府和县级人民政府应当积极推进棚户区改造，推行热电联产和区域锅炉等集中供热方式，逐步提高集中供热比例，制定计划将应当淘汰的分散燃煤锅炉供热区域纳入集中供热管网覆盖范围，并负责组织实施。在集中供热管网未覆盖的区域，推广使用高效节能环保型锅炉或者进行锅炉高效除尘改造，或者使用新能源、清洁能源供热。”</w:t>
            </w:r>
          </w:p>
          <w:p w14:paraId="045F8316">
            <w:pPr>
              <w:ind w:firstLine="480" w:firstLineChars="200"/>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szCs w:val="24"/>
                <w:highlight w:val="none"/>
                <w:lang w:val="en-US" w:eastAsia="zh-CN"/>
              </w:rPr>
              <w:t>第二十九条各级人民政府应当调整能源结构，推广清洁能源的生产和使用，制定并组织实施煤炭消费总量控制规划，减少煤炭生产、使用、转化过程中的大气污染物排放。</w:t>
            </w:r>
          </w:p>
          <w:p w14:paraId="71D2FB80">
            <w:pPr>
              <w:ind w:firstLine="480" w:firstLineChars="200"/>
              <w:rPr>
                <w:rFonts w:hint="default" w:ascii="Times New Roman" w:hAnsi="Times New Roman" w:eastAsia="宋体" w:cs="Times New Roman"/>
                <w:b/>
                <w:bCs/>
                <w:color w:val="auto"/>
                <w:spacing w:val="0"/>
                <w:sz w:val="24"/>
                <w:szCs w:val="24"/>
                <w:highlight w:val="none"/>
                <w:lang w:val="en-US" w:eastAsia="zh-CN"/>
              </w:rPr>
            </w:pPr>
            <w:r>
              <w:rPr>
                <w:rFonts w:hint="default" w:ascii="Times New Roman" w:hAnsi="Times New Roman" w:eastAsia="宋体" w:cs="Times New Roman"/>
                <w:color w:val="auto"/>
                <w:spacing w:val="0"/>
                <w:sz w:val="24"/>
                <w:highlight w:val="none"/>
              </w:rPr>
              <w:t>本项目</w:t>
            </w:r>
            <w:r>
              <w:rPr>
                <w:rFonts w:hint="eastAsia" w:ascii="Times New Roman" w:hAnsi="Times New Roman" w:cs="Times New Roman"/>
                <w:color w:val="auto"/>
                <w:spacing w:val="0"/>
                <w:sz w:val="24"/>
                <w:highlight w:val="none"/>
                <w:lang w:val="en-US" w:eastAsia="zh-CN"/>
              </w:rPr>
              <w:t>建设</w:t>
            </w:r>
            <w:r>
              <w:rPr>
                <w:rFonts w:hint="default" w:ascii="Times New Roman" w:hAnsi="Times New Roman" w:cs="Times New Roman"/>
                <w:color w:val="auto"/>
                <w:spacing w:val="0"/>
                <w:sz w:val="24"/>
                <w:highlight w:val="none"/>
                <w:lang w:val="en-US" w:eastAsia="zh-CN"/>
              </w:rPr>
              <w:t>1</w:t>
            </w:r>
            <w:r>
              <w:rPr>
                <w:rFonts w:hint="default" w:ascii="Times New Roman" w:hAnsi="Times New Roman" w:eastAsia="宋体" w:cs="Times New Roman"/>
                <w:color w:val="auto"/>
                <w:spacing w:val="0"/>
                <w:sz w:val="24"/>
                <w:highlight w:val="none"/>
              </w:rPr>
              <w:t>台</w:t>
            </w:r>
            <w:r>
              <w:rPr>
                <w:rFonts w:hint="eastAsia" w:ascii="Times New Roman" w:hAnsi="Times New Roman" w:cs="Times New Roman"/>
                <w:color w:val="auto"/>
                <w:spacing w:val="0"/>
                <w:sz w:val="24"/>
                <w:highlight w:val="none"/>
                <w:lang w:val="en-US" w:eastAsia="zh-CN"/>
              </w:rPr>
              <w:t>2.1MW</w:t>
            </w:r>
            <w:r>
              <w:rPr>
                <w:rFonts w:hint="default" w:ascii="Times New Roman" w:hAnsi="Times New Roman" w:cs="Times New Roman"/>
                <w:color w:val="auto"/>
                <w:spacing w:val="0"/>
                <w:sz w:val="24"/>
                <w:highlight w:val="none"/>
                <w:lang w:val="en-US" w:eastAsia="zh-CN"/>
              </w:rPr>
              <w:t>生物质热水</w:t>
            </w:r>
            <w:r>
              <w:rPr>
                <w:rFonts w:hint="default" w:ascii="Times New Roman" w:hAnsi="Times New Roman" w:eastAsia="宋体" w:cs="Times New Roman"/>
                <w:color w:val="auto"/>
                <w:spacing w:val="0"/>
                <w:sz w:val="24"/>
                <w:highlight w:val="none"/>
              </w:rPr>
              <w:t>锅炉，锅炉烟气经</w:t>
            </w:r>
            <w:r>
              <w:rPr>
                <w:rFonts w:hint="eastAsia" w:ascii="Times New Roman" w:hAnsi="Times New Roman" w:cs="Times New Roman"/>
                <w:color w:val="auto"/>
                <w:spacing w:val="-1"/>
                <w:sz w:val="24"/>
                <w:szCs w:val="24"/>
                <w:highlight w:val="none"/>
                <w:lang w:val="en-US" w:eastAsia="zh-CN"/>
              </w:rPr>
              <w:t>旋风+</w:t>
            </w:r>
            <w:r>
              <w:rPr>
                <w:rFonts w:hint="default" w:ascii="Times New Roman" w:hAnsi="Times New Roman" w:cs="Times New Roman"/>
                <w:color w:val="auto"/>
                <w:spacing w:val="0"/>
                <w:sz w:val="24"/>
                <w:highlight w:val="none"/>
                <w:lang w:eastAsia="zh-CN"/>
              </w:rPr>
              <w:t>布袋除尘器</w:t>
            </w:r>
            <w:r>
              <w:rPr>
                <w:rFonts w:hint="default" w:ascii="Times New Roman" w:hAnsi="Times New Roman" w:eastAsia="宋体" w:cs="Times New Roman"/>
                <w:color w:val="auto"/>
                <w:spacing w:val="0"/>
                <w:sz w:val="24"/>
                <w:highlight w:val="none"/>
              </w:rPr>
              <w:t>处理后通过</w:t>
            </w:r>
            <w:r>
              <w:rPr>
                <w:rFonts w:hint="default" w:ascii="Times New Roman" w:hAnsi="Times New Roman" w:cs="Times New Roman"/>
                <w:color w:val="auto"/>
                <w:spacing w:val="0"/>
                <w:sz w:val="24"/>
                <w:highlight w:val="none"/>
                <w:lang w:val="en-US" w:eastAsia="zh-CN"/>
              </w:rPr>
              <w:t>30</w:t>
            </w:r>
            <w:r>
              <w:rPr>
                <w:rFonts w:hint="default" w:ascii="Times New Roman" w:hAnsi="Times New Roman" w:eastAsia="宋体" w:cs="Times New Roman"/>
                <w:color w:val="auto"/>
                <w:spacing w:val="0"/>
                <w:sz w:val="24"/>
                <w:highlight w:val="none"/>
              </w:rPr>
              <w:t>m高烟囱（DA0</w:t>
            </w:r>
            <w:r>
              <w:rPr>
                <w:rFonts w:hint="default" w:ascii="Times New Roman" w:hAnsi="Times New Roman" w:cs="Times New Roman"/>
                <w:color w:val="auto"/>
                <w:spacing w:val="0"/>
                <w:sz w:val="24"/>
                <w:highlight w:val="none"/>
                <w:lang w:val="en-US" w:eastAsia="zh-CN"/>
              </w:rPr>
              <w:t>01</w:t>
            </w:r>
            <w:r>
              <w:rPr>
                <w:rFonts w:hint="default" w:ascii="Times New Roman" w:hAnsi="Times New Roman" w:eastAsia="宋体" w:cs="Times New Roman"/>
                <w:color w:val="auto"/>
                <w:spacing w:val="0"/>
                <w:sz w:val="24"/>
                <w:highlight w:val="none"/>
              </w:rPr>
              <w:t>）排放，燃料为</w:t>
            </w:r>
            <w:r>
              <w:rPr>
                <w:rFonts w:hint="eastAsia" w:ascii="Times New Roman" w:hAnsi="Times New Roman" w:cs="Times New Roman"/>
                <w:color w:val="auto"/>
                <w:spacing w:val="0"/>
                <w:sz w:val="24"/>
                <w:highlight w:val="none"/>
                <w:lang w:val="en-US" w:eastAsia="zh-CN"/>
              </w:rPr>
              <w:t>生物质颗粒</w:t>
            </w:r>
            <w:r>
              <w:rPr>
                <w:rFonts w:hint="default" w:ascii="Times New Roman" w:hAnsi="Times New Roman" w:eastAsia="宋体" w:cs="Times New Roman"/>
                <w:color w:val="auto"/>
                <w:spacing w:val="0"/>
                <w:sz w:val="24"/>
                <w:highlight w:val="none"/>
              </w:rPr>
              <w:t>，不使用原煤。</w:t>
            </w:r>
            <w:r>
              <w:rPr>
                <w:rFonts w:hint="default" w:ascii="Times New Roman" w:hAnsi="Times New Roman" w:cs="Times New Roman"/>
                <w:color w:val="auto"/>
                <w:spacing w:val="0"/>
                <w:sz w:val="24"/>
                <w:highlight w:val="none"/>
                <w:lang w:val="en-US" w:eastAsia="zh-CN"/>
              </w:rPr>
              <w:t>本项目建设的锅炉作为城</w:t>
            </w:r>
            <w:r>
              <w:rPr>
                <w:rFonts w:hint="default" w:ascii="Times New Roman" w:hAnsi="Times New Roman" w:cs="Times New Roman"/>
                <w:bCs/>
                <w:color w:val="auto"/>
                <w:spacing w:val="0"/>
                <w:sz w:val="24"/>
                <w:szCs w:val="24"/>
                <w:highlight w:val="none"/>
                <w:shd w:val="clear"/>
                <w:lang w:val="en-US" w:eastAsia="zh-CN"/>
              </w:rPr>
              <w:t>子河医院</w:t>
            </w:r>
            <w:r>
              <w:rPr>
                <w:rFonts w:hint="default" w:ascii="Times New Roman" w:hAnsi="Times New Roman" w:cs="Times New Roman"/>
                <w:color w:val="auto"/>
                <w:sz w:val="24"/>
                <w:highlight w:val="none"/>
                <w:lang w:val="en-US" w:eastAsia="zh-CN"/>
              </w:rPr>
              <w:t>冬季临时供热锅炉使用</w:t>
            </w:r>
            <w:r>
              <w:rPr>
                <w:rFonts w:hint="default" w:ascii="Times New Roman" w:hAnsi="Times New Roman" w:cs="Times New Roman"/>
                <w:color w:val="auto"/>
                <w:highlight w:val="none"/>
                <w:lang w:val="en-US" w:eastAsia="zh-CN"/>
              </w:rPr>
              <w:t>，待城子河区集中供热能力达标后，企业承诺将使用城子河区集中供热。承诺书见附件7。</w:t>
            </w:r>
            <w:r>
              <w:rPr>
                <w:rFonts w:hint="default" w:ascii="Times New Roman" w:hAnsi="Times New Roman" w:eastAsia="宋体" w:cs="Times New Roman"/>
                <w:color w:val="auto"/>
                <w:spacing w:val="0"/>
                <w:sz w:val="24"/>
                <w:highlight w:val="none"/>
              </w:rPr>
              <w:t>综上，本项目的建设符合《黑龙江省人民代表大会常务委员会关于修改〈黑龙江省大气污染防治条例〉的决定》（2018年12月27日）的环境管理要求。</w:t>
            </w:r>
          </w:p>
          <w:p w14:paraId="0B251571">
            <w:pPr>
              <w:keepNext w:val="0"/>
              <w:keepLines w:val="0"/>
              <w:pageBreakBefore w:val="0"/>
              <w:widowControl w:val="0"/>
              <w:kinsoku/>
              <w:wordWrap/>
              <w:overflowPunct/>
              <w:topLinePunct w:val="0"/>
              <w:autoSpaceDE/>
              <w:autoSpaceDN/>
              <w:bidi w:val="0"/>
              <w:adjustRightInd w:val="0"/>
              <w:snapToGrid w:val="0"/>
              <w:ind w:left="0" w:leftChars="0" w:firstLine="482" w:firstLineChars="200"/>
              <w:textAlignment w:val="auto"/>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2.2与《黑龙江省大气污染防治行动计划实施细则》符合性分析</w:t>
            </w:r>
          </w:p>
          <w:p w14:paraId="5D6D10D4">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b w:val="0"/>
                <w:bCs/>
                <w:color w:val="auto"/>
                <w:spacing w:val="0"/>
                <w:sz w:val="24"/>
                <w:szCs w:val="24"/>
                <w:highlight w:val="none"/>
                <w:lang w:val="en-US" w:eastAsia="zh-CN"/>
              </w:rPr>
            </w:pPr>
            <w:r>
              <w:rPr>
                <w:rFonts w:hint="default" w:ascii="Times New Roman" w:hAnsi="Times New Roman" w:eastAsia="宋体" w:cs="Times New Roman"/>
                <w:b w:val="0"/>
                <w:bCs/>
                <w:color w:val="auto"/>
                <w:spacing w:val="0"/>
                <w:sz w:val="24"/>
                <w:szCs w:val="24"/>
                <w:highlight w:val="none"/>
                <w:lang w:val="en-US" w:eastAsia="zh-CN"/>
              </w:rPr>
              <w:t>根据《黑龙江省大气污染防治行动计划实施细则》，加大集中供热工程建设，淘汰分散燃煤小锅炉。积极推进“三供两治”工程项目建设，加大城市及周边现有燃煤发电机组的供热改造力度，推进大型集中供热企业接收分散供热小锅炉，拔除小烟筒。积极推进城镇供热锅炉并网工作，加快完善热网和热源基础设施建设及供热老旧管网改造，提高集中供热管网输送能力，扩大集中供热面积，争取到2015年年底，全省县级以上城市集中供热普及率达到70%以上。到2017年年底，全省城市建成区集中供热普及率达到73%以上。从2014年起，禁止新建20蒸吨以下燃煤锅炉。到2015年年底，除必要保留外，全省地级以上城市建成区基本淘汰10蒸吨及以下燃煤锅炉。加快推进工业企业集中供热工作，到2017年年底，现有各类工业园区与工业集中区应基本完成热电联产或集中供热改造。供热供气管网覆盖不到的城乡结合部，要改用电、新能源、洁净煤或再生能源，推广应用高效节能环保型锅炉。且抛煤机和往复炉排等层燃锅炉要使用含硫量低于0.5%、灰分小于27%、全水分15%以下、低位发热量不低于4700千卡/公斤的洁净配煤，并综合考虑加大动力煤洗选力度、清洁能源替代等多种措施。冲天炉完成电炉改造，或实施每小时5吨以上热风炉和湿式除尘器改造，实现稳定达标排放。燃煤窑炉完成煤气发生炉、水煤浆燃烧器等技术改造或使用清洁能源，实现达标排放。</w:t>
            </w:r>
          </w:p>
          <w:p w14:paraId="06886EC7">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b w:val="0"/>
                <w:bCs/>
                <w:color w:val="auto"/>
                <w:spacing w:val="0"/>
                <w:sz w:val="24"/>
                <w:szCs w:val="24"/>
                <w:highlight w:val="none"/>
                <w:lang w:val="en-US" w:eastAsia="zh-CN"/>
              </w:rPr>
            </w:pPr>
            <w:r>
              <w:rPr>
                <w:rFonts w:hint="default" w:ascii="Times New Roman" w:hAnsi="Times New Roman" w:eastAsia="宋体" w:cs="Times New Roman"/>
                <w:b w:val="0"/>
                <w:bCs/>
                <w:color w:val="auto"/>
                <w:spacing w:val="0"/>
                <w:sz w:val="24"/>
                <w:szCs w:val="24"/>
                <w:highlight w:val="none"/>
                <w:lang w:val="en-US" w:eastAsia="zh-CN"/>
              </w:rPr>
              <w:t>本项目</w:t>
            </w:r>
            <w:r>
              <w:rPr>
                <w:rFonts w:hint="eastAsia" w:ascii="Times New Roman" w:hAnsi="Times New Roman" w:cs="Times New Roman"/>
                <w:b w:val="0"/>
                <w:bCs/>
                <w:color w:val="auto"/>
                <w:spacing w:val="0"/>
                <w:sz w:val="24"/>
                <w:szCs w:val="24"/>
                <w:highlight w:val="none"/>
                <w:lang w:val="en-US" w:eastAsia="zh-CN"/>
              </w:rPr>
              <w:t>建设</w:t>
            </w:r>
            <w:r>
              <w:rPr>
                <w:rFonts w:hint="default" w:ascii="Times New Roman" w:hAnsi="Times New Roman" w:cs="Times New Roman"/>
                <w:b w:val="0"/>
                <w:bCs/>
                <w:color w:val="auto"/>
                <w:spacing w:val="0"/>
                <w:sz w:val="24"/>
                <w:szCs w:val="24"/>
                <w:highlight w:val="none"/>
                <w:lang w:val="en-US" w:eastAsia="zh-CN"/>
              </w:rPr>
              <w:t>1</w:t>
            </w:r>
            <w:r>
              <w:rPr>
                <w:rFonts w:hint="default" w:ascii="Times New Roman" w:hAnsi="Times New Roman" w:eastAsia="宋体" w:cs="Times New Roman"/>
                <w:b w:val="0"/>
                <w:bCs/>
                <w:color w:val="auto"/>
                <w:spacing w:val="0"/>
                <w:sz w:val="24"/>
                <w:szCs w:val="24"/>
                <w:highlight w:val="none"/>
                <w:lang w:val="en-US" w:eastAsia="zh-CN"/>
              </w:rPr>
              <w:t>台</w:t>
            </w:r>
            <w:r>
              <w:rPr>
                <w:rFonts w:hint="eastAsia" w:ascii="Times New Roman" w:hAnsi="Times New Roman" w:cs="Times New Roman"/>
                <w:b w:val="0"/>
                <w:bCs/>
                <w:color w:val="auto"/>
                <w:spacing w:val="0"/>
                <w:sz w:val="24"/>
                <w:szCs w:val="24"/>
                <w:highlight w:val="none"/>
                <w:lang w:val="en-US" w:eastAsia="zh-CN"/>
              </w:rPr>
              <w:t>2.1MW</w:t>
            </w:r>
            <w:r>
              <w:rPr>
                <w:rFonts w:hint="default" w:ascii="Times New Roman" w:hAnsi="Times New Roman" w:eastAsia="宋体" w:cs="Times New Roman"/>
                <w:b w:val="0"/>
                <w:bCs/>
                <w:color w:val="auto"/>
                <w:spacing w:val="0"/>
                <w:sz w:val="24"/>
                <w:szCs w:val="24"/>
                <w:highlight w:val="none"/>
                <w:lang w:val="en-US" w:eastAsia="zh-CN"/>
              </w:rPr>
              <w:t>的燃生物质</w:t>
            </w:r>
            <w:r>
              <w:rPr>
                <w:rFonts w:hint="default" w:ascii="Times New Roman" w:hAnsi="Times New Roman" w:cs="Times New Roman"/>
                <w:b w:val="0"/>
                <w:bCs/>
                <w:color w:val="auto"/>
                <w:spacing w:val="0"/>
                <w:sz w:val="24"/>
                <w:szCs w:val="24"/>
                <w:highlight w:val="none"/>
                <w:lang w:val="en-US" w:eastAsia="zh-CN"/>
              </w:rPr>
              <w:t>热水</w:t>
            </w:r>
            <w:r>
              <w:rPr>
                <w:rFonts w:hint="default" w:ascii="Times New Roman" w:hAnsi="Times New Roman" w:eastAsia="宋体" w:cs="Times New Roman"/>
                <w:b w:val="0"/>
                <w:bCs/>
                <w:color w:val="auto"/>
                <w:spacing w:val="0"/>
                <w:sz w:val="24"/>
                <w:szCs w:val="24"/>
                <w:highlight w:val="none"/>
                <w:lang w:val="en-US" w:eastAsia="zh-CN"/>
              </w:rPr>
              <w:t>锅炉为</w:t>
            </w:r>
            <w:r>
              <w:rPr>
                <w:rFonts w:hint="default" w:ascii="Times New Roman" w:hAnsi="Times New Roman" w:cs="Times New Roman"/>
                <w:b w:val="0"/>
                <w:bCs/>
                <w:color w:val="auto"/>
                <w:spacing w:val="0"/>
                <w:sz w:val="24"/>
                <w:szCs w:val="24"/>
                <w:highlight w:val="none"/>
                <w:lang w:val="en-US" w:eastAsia="zh-CN"/>
              </w:rPr>
              <w:t>医院冬季取暖</w:t>
            </w:r>
            <w:r>
              <w:rPr>
                <w:rFonts w:hint="default" w:ascii="Times New Roman" w:hAnsi="Times New Roman" w:eastAsia="宋体" w:cs="Times New Roman"/>
                <w:b w:val="0"/>
                <w:bCs/>
                <w:color w:val="auto"/>
                <w:spacing w:val="0"/>
                <w:sz w:val="24"/>
                <w:szCs w:val="24"/>
                <w:highlight w:val="none"/>
                <w:lang w:val="en-US" w:eastAsia="zh-CN"/>
              </w:rPr>
              <w:t>热源，锅炉烟气经过</w:t>
            </w:r>
            <w:r>
              <w:rPr>
                <w:rFonts w:hint="eastAsia" w:ascii="Times New Roman" w:hAnsi="Times New Roman" w:cs="Times New Roman"/>
                <w:color w:val="auto"/>
                <w:spacing w:val="-1"/>
                <w:sz w:val="24"/>
                <w:szCs w:val="24"/>
                <w:highlight w:val="none"/>
                <w:lang w:val="en-US" w:eastAsia="zh-CN"/>
              </w:rPr>
              <w:t>旋风+</w:t>
            </w:r>
            <w:r>
              <w:rPr>
                <w:rFonts w:hint="default" w:ascii="Times New Roman" w:hAnsi="Times New Roman" w:cs="Times New Roman"/>
                <w:b w:val="0"/>
                <w:bCs/>
                <w:color w:val="auto"/>
                <w:spacing w:val="0"/>
                <w:sz w:val="24"/>
                <w:szCs w:val="24"/>
                <w:highlight w:val="none"/>
                <w:lang w:val="en-US" w:eastAsia="zh-CN"/>
              </w:rPr>
              <w:t>布袋除尘器</w:t>
            </w:r>
            <w:r>
              <w:rPr>
                <w:rFonts w:hint="default" w:ascii="Times New Roman" w:hAnsi="Times New Roman" w:eastAsia="宋体" w:cs="Times New Roman"/>
                <w:b w:val="0"/>
                <w:bCs/>
                <w:color w:val="auto"/>
                <w:spacing w:val="0"/>
                <w:sz w:val="24"/>
                <w:szCs w:val="24"/>
                <w:highlight w:val="none"/>
                <w:lang w:val="en-US" w:eastAsia="zh-CN"/>
              </w:rPr>
              <w:t>处理后通过</w:t>
            </w:r>
            <w:r>
              <w:rPr>
                <w:rFonts w:hint="default" w:ascii="Times New Roman" w:hAnsi="Times New Roman" w:cs="Times New Roman"/>
                <w:b w:val="0"/>
                <w:bCs/>
                <w:color w:val="auto"/>
                <w:spacing w:val="0"/>
                <w:sz w:val="24"/>
                <w:szCs w:val="24"/>
                <w:highlight w:val="none"/>
                <w:lang w:val="en-US" w:eastAsia="zh-CN"/>
              </w:rPr>
              <w:t>30</w:t>
            </w:r>
            <w:r>
              <w:rPr>
                <w:rFonts w:hint="default" w:ascii="Times New Roman" w:hAnsi="Times New Roman" w:eastAsia="宋体" w:cs="Times New Roman"/>
                <w:b w:val="0"/>
                <w:bCs/>
                <w:color w:val="auto"/>
                <w:spacing w:val="0"/>
                <w:sz w:val="24"/>
                <w:szCs w:val="24"/>
                <w:highlight w:val="none"/>
                <w:lang w:val="en-US" w:eastAsia="zh-CN"/>
              </w:rPr>
              <w:t>m高烟囱（DA0</w:t>
            </w:r>
            <w:r>
              <w:rPr>
                <w:rFonts w:hint="default" w:ascii="Times New Roman" w:hAnsi="Times New Roman" w:cs="Times New Roman"/>
                <w:b w:val="0"/>
                <w:bCs/>
                <w:color w:val="auto"/>
                <w:spacing w:val="0"/>
                <w:sz w:val="24"/>
                <w:szCs w:val="24"/>
                <w:highlight w:val="none"/>
                <w:lang w:val="en-US" w:eastAsia="zh-CN"/>
              </w:rPr>
              <w:t>01</w:t>
            </w:r>
            <w:r>
              <w:rPr>
                <w:rFonts w:hint="default" w:ascii="Times New Roman" w:hAnsi="Times New Roman" w:eastAsia="宋体" w:cs="Times New Roman"/>
                <w:b w:val="0"/>
                <w:bCs/>
                <w:color w:val="auto"/>
                <w:spacing w:val="0"/>
                <w:sz w:val="24"/>
                <w:szCs w:val="24"/>
                <w:highlight w:val="none"/>
                <w:lang w:val="en-US" w:eastAsia="zh-CN"/>
              </w:rPr>
              <w:t>）排放，燃料为</w:t>
            </w:r>
            <w:r>
              <w:rPr>
                <w:rFonts w:hint="eastAsia" w:ascii="Times New Roman" w:hAnsi="Times New Roman" w:cs="Times New Roman"/>
                <w:b w:val="0"/>
                <w:bCs/>
                <w:color w:val="auto"/>
                <w:spacing w:val="0"/>
                <w:sz w:val="24"/>
                <w:szCs w:val="24"/>
                <w:highlight w:val="none"/>
                <w:lang w:val="en-US" w:eastAsia="zh-CN"/>
              </w:rPr>
              <w:t>生物质颗粒</w:t>
            </w:r>
            <w:r>
              <w:rPr>
                <w:rFonts w:hint="default" w:ascii="Times New Roman" w:hAnsi="Times New Roman" w:eastAsia="宋体" w:cs="Times New Roman"/>
                <w:b w:val="0"/>
                <w:bCs/>
                <w:color w:val="auto"/>
                <w:spacing w:val="0"/>
                <w:sz w:val="24"/>
                <w:szCs w:val="24"/>
                <w:highlight w:val="none"/>
                <w:lang w:val="en-US" w:eastAsia="zh-CN"/>
              </w:rPr>
              <w:t>，不使用原煤。综上，本项目的建设符合《黑龙江省大气污染防治行动计划实施细则》要求。</w:t>
            </w:r>
          </w:p>
          <w:p w14:paraId="22996A83">
            <w:pPr>
              <w:pStyle w:val="18"/>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eastAsia="宋体" w:cs="Times New Roman"/>
                <w:b/>
                <w:bCs w:val="0"/>
                <w:i w:val="0"/>
                <w:iCs w:val="0"/>
                <w:color w:val="auto"/>
                <w:spacing w:val="0"/>
                <w:sz w:val="24"/>
                <w:szCs w:val="24"/>
                <w:highlight w:val="none"/>
                <w:shd w:val="clear"/>
                <w:lang w:val="en-US" w:eastAsia="zh-CN"/>
              </w:rPr>
            </w:pPr>
            <w:r>
              <w:rPr>
                <w:rFonts w:hint="default" w:ascii="Times New Roman" w:hAnsi="Times New Roman" w:eastAsia="宋体" w:cs="Times New Roman"/>
                <w:b/>
                <w:bCs w:val="0"/>
                <w:i w:val="0"/>
                <w:iCs w:val="0"/>
                <w:color w:val="auto"/>
                <w:spacing w:val="0"/>
                <w:sz w:val="24"/>
                <w:szCs w:val="24"/>
                <w:highlight w:val="none"/>
                <w:shd w:val="clear"/>
                <w:lang w:val="en-US" w:eastAsia="zh-CN"/>
              </w:rPr>
              <w:t>2.</w:t>
            </w:r>
            <w:r>
              <w:rPr>
                <w:rFonts w:hint="default" w:ascii="Times New Roman" w:hAnsi="Times New Roman" w:cs="Times New Roman"/>
                <w:b/>
                <w:bCs w:val="0"/>
                <w:i w:val="0"/>
                <w:iCs w:val="0"/>
                <w:color w:val="auto"/>
                <w:spacing w:val="0"/>
                <w:sz w:val="24"/>
                <w:szCs w:val="24"/>
                <w:highlight w:val="none"/>
                <w:shd w:val="clear"/>
                <w:lang w:val="en-US" w:eastAsia="zh-CN"/>
              </w:rPr>
              <w:t>3</w:t>
            </w:r>
            <w:r>
              <w:rPr>
                <w:rFonts w:hint="default" w:ascii="Times New Roman" w:hAnsi="Times New Roman" w:eastAsia="宋体" w:cs="Times New Roman"/>
                <w:b/>
                <w:bCs w:val="0"/>
                <w:i w:val="0"/>
                <w:iCs w:val="0"/>
                <w:color w:val="auto"/>
                <w:spacing w:val="0"/>
                <w:sz w:val="24"/>
                <w:szCs w:val="24"/>
                <w:highlight w:val="none"/>
                <w:shd w:val="clear"/>
                <w:lang w:val="en-US" w:eastAsia="zh-CN"/>
              </w:rPr>
              <w:t>与《黑龙江省“十四五”生态环境保护规划》符合性分析</w:t>
            </w:r>
          </w:p>
          <w:p w14:paraId="7D2B7C30">
            <w:pPr>
              <w:rPr>
                <w:rFonts w:hint="default" w:ascii="Times New Roman" w:hAnsi="Times New Roman" w:cs="Times New Roman"/>
                <w:i w:val="0"/>
                <w:iCs w:val="0"/>
                <w:color w:val="auto"/>
                <w:highlight w:val="none"/>
              </w:rPr>
            </w:pPr>
            <w:r>
              <w:rPr>
                <w:rFonts w:hint="default" w:ascii="Times New Roman" w:hAnsi="Times New Roman" w:cs="Times New Roman"/>
                <w:i w:val="0"/>
                <w:iCs w:val="0"/>
                <w:color w:val="auto"/>
                <w:highlight w:val="none"/>
              </w:rPr>
              <w:t>优化能源供给结构。建设清洁低碳、安全高效的能源体系。严格控制煤炭消费总量增速，实施煤炭消费减量替代，推动煤炭等化石能源清洁高效利用。实施能耗总量和强度双控，大幅降低能耗强度。实施可再生能源替代行动，促进非化石能源成为能源消费增量的主体。优化电力生产和输送通道布局，提高能源输配效率。优化风电、光伏发电布局。优先发展新能源产业，推进核能供暖示范，探索可再生能源制氢，开展绿色氢能利用。</w:t>
            </w:r>
          </w:p>
          <w:p w14:paraId="0472B278">
            <w:pPr>
              <w:rPr>
                <w:rFonts w:hint="default" w:ascii="Times New Roman" w:hAnsi="Times New Roman" w:cs="Times New Roman"/>
                <w:i w:val="0"/>
                <w:iCs w:val="0"/>
                <w:color w:val="auto"/>
                <w:highlight w:val="none"/>
              </w:rPr>
            </w:pPr>
            <w:r>
              <w:rPr>
                <w:rFonts w:hint="default" w:ascii="Times New Roman" w:hAnsi="Times New Roman" w:cs="Times New Roman"/>
                <w:i w:val="0"/>
                <w:iCs w:val="0"/>
                <w:color w:val="auto"/>
                <w:highlight w:val="none"/>
              </w:rPr>
              <w:t>实施终端用能清洁化替代。重点削减小型燃煤锅炉、民用散煤与农业用煤消费量，降低煤炭在终端分散利用比例，对以煤、石焦油、渣油、重油等为燃料的锅炉和工业炉窑，加快使用清洁低碳能源以及工厂余热、电力热力等进行替代。深入实施“气化龙江”战略，率先在哈尔滨市、齐齐哈尔市、大庆市、黑河市等城市以及工业园区推广应用分布式天然气供暖，重点将哈尔滨新区打造成天然气应用示范区。加快推进齐齐哈尔市、大庆市可再生能源综合应用示范区建设和四煤城新能源项目建设。到2025年，全省清洁取暖率提高到75%以上。</w:t>
            </w:r>
          </w:p>
          <w:p w14:paraId="5E847852">
            <w:pPr>
              <w:pStyle w:val="46"/>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baseline"/>
              <w:rPr>
                <w:rFonts w:hint="default" w:ascii="Times New Roman" w:hAnsi="Times New Roman" w:eastAsia="宋体" w:cs="Times New Roman"/>
                <w:bCs w:val="0"/>
                <w:color w:val="auto"/>
                <w:kern w:val="0"/>
                <w:sz w:val="24"/>
                <w:szCs w:val="24"/>
                <w:highlight w:val="none"/>
                <w:lang w:val="en-US" w:eastAsia="zh-CN" w:bidi="ar-SA"/>
              </w:rPr>
            </w:pPr>
            <w:r>
              <w:rPr>
                <w:rFonts w:hint="default" w:ascii="Times New Roman" w:hAnsi="Times New Roman" w:eastAsia="宋体" w:cs="Times New Roman"/>
                <w:i w:val="0"/>
                <w:iCs w:val="0"/>
                <w:color w:val="auto"/>
                <w:spacing w:val="0"/>
                <w:sz w:val="24"/>
                <w:highlight w:val="none"/>
              </w:rPr>
              <w:t>本项目</w:t>
            </w:r>
            <w:r>
              <w:rPr>
                <w:rFonts w:hint="default" w:ascii="Times New Roman" w:hAnsi="Times New Roman" w:eastAsia="宋体" w:cs="Times New Roman"/>
                <w:i w:val="0"/>
                <w:iCs w:val="0"/>
                <w:color w:val="auto"/>
                <w:spacing w:val="0"/>
                <w:sz w:val="24"/>
                <w:highlight w:val="none"/>
                <w:lang w:val="en-US" w:eastAsia="zh-CN"/>
              </w:rPr>
              <w:t>建设</w:t>
            </w:r>
            <w:r>
              <w:rPr>
                <w:rFonts w:hint="eastAsia" w:ascii="Times New Roman" w:hAnsi="Times New Roman" w:cs="Times New Roman"/>
                <w:i w:val="0"/>
                <w:iCs w:val="0"/>
                <w:color w:val="auto"/>
                <w:spacing w:val="0"/>
                <w:sz w:val="24"/>
                <w:highlight w:val="none"/>
                <w:lang w:val="en-US" w:eastAsia="zh-CN"/>
              </w:rPr>
              <w:t>一台2.1MW</w:t>
            </w:r>
            <w:r>
              <w:rPr>
                <w:rFonts w:hint="default" w:ascii="Times New Roman" w:hAnsi="Times New Roman" w:cs="Times New Roman"/>
                <w:i w:val="0"/>
                <w:iCs w:val="0"/>
                <w:color w:val="auto"/>
                <w:spacing w:val="0"/>
                <w:sz w:val="24"/>
                <w:highlight w:val="none"/>
                <w:lang w:eastAsia="zh-CN"/>
              </w:rPr>
              <w:t>生物质锅炉</w:t>
            </w:r>
            <w:r>
              <w:rPr>
                <w:rFonts w:hint="default" w:ascii="Times New Roman" w:hAnsi="Times New Roman" w:eastAsia="宋体" w:cs="Times New Roman"/>
                <w:i w:val="0"/>
                <w:iCs w:val="0"/>
                <w:color w:val="auto"/>
                <w:spacing w:val="0"/>
                <w:sz w:val="24"/>
                <w:highlight w:val="none"/>
              </w:rPr>
              <w:t>，锅炉使用</w:t>
            </w:r>
            <w:r>
              <w:rPr>
                <w:rFonts w:hint="default" w:ascii="Times New Roman" w:hAnsi="Times New Roman" w:cs="Times New Roman"/>
                <w:i w:val="0"/>
                <w:iCs w:val="0"/>
                <w:color w:val="auto"/>
                <w:spacing w:val="0"/>
                <w:sz w:val="24"/>
                <w:highlight w:val="none"/>
                <w:lang w:val="en-US" w:eastAsia="zh-CN"/>
              </w:rPr>
              <w:t>生物质颗粒燃料</w:t>
            </w:r>
            <w:r>
              <w:rPr>
                <w:rFonts w:hint="default" w:ascii="Times New Roman" w:hAnsi="Times New Roman" w:eastAsia="宋体" w:cs="Times New Roman"/>
                <w:i w:val="0"/>
                <w:iCs w:val="0"/>
                <w:color w:val="auto"/>
                <w:spacing w:val="0"/>
                <w:sz w:val="24"/>
                <w:highlight w:val="none"/>
              </w:rPr>
              <w:t>，</w:t>
            </w:r>
            <w:r>
              <w:rPr>
                <w:rFonts w:hint="eastAsia" w:ascii="Times New Roman" w:hAnsi="Times New Roman" w:cs="Times New Roman"/>
                <w:i w:val="0"/>
                <w:iCs w:val="0"/>
                <w:color w:val="auto"/>
                <w:spacing w:val="0"/>
                <w:sz w:val="24"/>
                <w:highlight w:val="none"/>
                <w:lang w:val="en-US" w:eastAsia="zh-CN"/>
              </w:rPr>
              <w:t>污染物排放量低</w:t>
            </w:r>
            <w:r>
              <w:rPr>
                <w:rFonts w:hint="default" w:ascii="Times New Roman" w:hAnsi="Times New Roman" w:eastAsia="宋体" w:cs="Times New Roman"/>
                <w:i w:val="0"/>
                <w:iCs w:val="0"/>
                <w:color w:val="auto"/>
                <w:spacing w:val="0"/>
                <w:sz w:val="24"/>
                <w:highlight w:val="none"/>
                <w:lang w:val="en-US" w:eastAsia="zh-CN"/>
              </w:rPr>
              <w:t>。</w:t>
            </w:r>
            <w:r>
              <w:rPr>
                <w:rFonts w:hint="default" w:ascii="Times New Roman" w:hAnsi="Times New Roman" w:eastAsia="宋体" w:cs="Times New Roman"/>
                <w:i w:val="0"/>
                <w:iCs w:val="0"/>
                <w:color w:val="auto"/>
                <w:spacing w:val="0"/>
                <w:sz w:val="24"/>
                <w:highlight w:val="none"/>
              </w:rPr>
              <w:t>烟气排放能够</w:t>
            </w:r>
            <w:r>
              <w:rPr>
                <w:rFonts w:hint="default" w:ascii="Times New Roman" w:hAnsi="Times New Roman" w:eastAsia="宋体" w:cs="Times New Roman"/>
                <w:i w:val="0"/>
                <w:iCs w:val="0"/>
                <w:color w:val="auto"/>
                <w:spacing w:val="0"/>
                <w:sz w:val="24"/>
                <w:highlight w:val="none"/>
                <w:lang w:val="en-US" w:eastAsia="zh-CN"/>
              </w:rPr>
              <w:t>满足《锅炉大气污染物排放标准》（GB13271-2014）表2排放限值</w:t>
            </w:r>
            <w:r>
              <w:rPr>
                <w:rFonts w:hint="default" w:ascii="Times New Roman" w:hAnsi="Times New Roman" w:eastAsia="宋体" w:cs="Times New Roman"/>
                <w:i w:val="0"/>
                <w:iCs w:val="0"/>
                <w:color w:val="auto"/>
                <w:spacing w:val="0"/>
                <w:sz w:val="24"/>
                <w:highlight w:val="none"/>
              </w:rPr>
              <w:t>，符合</w:t>
            </w:r>
            <w:r>
              <w:rPr>
                <w:rFonts w:hint="default" w:ascii="Times New Roman" w:hAnsi="Times New Roman" w:eastAsia="宋体" w:cs="Times New Roman"/>
                <w:i w:val="0"/>
                <w:iCs w:val="0"/>
                <w:color w:val="auto"/>
                <w:spacing w:val="0"/>
                <w:sz w:val="24"/>
                <w:highlight w:val="none"/>
                <w:lang w:val="en-US" w:eastAsia="zh-CN"/>
              </w:rPr>
              <w:t>《黑龙江省“十四五”生态环境保护规划》</w:t>
            </w:r>
            <w:r>
              <w:rPr>
                <w:rFonts w:hint="default" w:ascii="Times New Roman" w:hAnsi="Times New Roman" w:eastAsia="宋体" w:cs="Times New Roman"/>
                <w:i w:val="0"/>
                <w:iCs w:val="0"/>
                <w:color w:val="auto"/>
                <w:spacing w:val="0"/>
                <w:sz w:val="24"/>
                <w:highlight w:val="none"/>
              </w:rPr>
              <w:t>的要求。</w:t>
            </w:r>
          </w:p>
          <w:p w14:paraId="4712762A">
            <w:pPr>
              <w:rPr>
                <w:rFonts w:hint="default" w:ascii="Times New Roman" w:hAnsi="Times New Roman" w:cs="Times New Roman"/>
                <w:i w:val="0"/>
                <w:iCs w:val="0"/>
                <w:color w:val="auto"/>
                <w:highlight w:val="none"/>
                <w:lang w:val="en-US" w:eastAsia="zh-CN"/>
              </w:rPr>
            </w:pPr>
            <w:r>
              <w:rPr>
                <w:rFonts w:hint="default" w:ascii="Times New Roman" w:hAnsi="Times New Roman" w:cs="Times New Roman"/>
                <w:b/>
                <w:bCs w:val="0"/>
                <w:i w:val="0"/>
                <w:iCs w:val="0"/>
                <w:color w:val="auto"/>
                <w:highlight w:val="none"/>
                <w:lang w:val="en-US" w:eastAsia="zh-CN"/>
              </w:rPr>
              <w:t>2.4与《</w:t>
            </w:r>
            <w:r>
              <w:rPr>
                <w:rFonts w:hint="default" w:ascii="Times New Roman" w:hAnsi="Times New Roman" w:cs="Times New Roman"/>
                <w:b/>
                <w:bCs w:val="0"/>
                <w:color w:val="auto"/>
                <w:sz w:val="24"/>
                <w:highlight w:val="none"/>
                <w:lang w:val="en-US" w:eastAsia="zh-CN"/>
              </w:rPr>
              <w:t>黑龙江省空气质量持续改善行动计划实施方案</w:t>
            </w:r>
            <w:r>
              <w:rPr>
                <w:rFonts w:hint="default" w:ascii="Times New Roman" w:hAnsi="Times New Roman" w:cs="Times New Roman"/>
                <w:b/>
                <w:bCs w:val="0"/>
                <w:i w:val="0"/>
                <w:iCs w:val="0"/>
                <w:color w:val="auto"/>
                <w:highlight w:val="none"/>
                <w:lang w:val="en-US" w:eastAsia="zh-CN"/>
              </w:rPr>
              <w:t>》符合性分析</w:t>
            </w:r>
          </w:p>
          <w:p w14:paraId="059B1873">
            <w:pPr>
              <w:pStyle w:val="46"/>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baseline"/>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积极推进燃煤锅炉淘汰改造。各地要将燃煤供热锅炉替代项目纳入城镇供热规划。县级及以上城市建成区原则上不再新建35蒸吨/小时及以下燃煤锅炉，其他地区原则上不再新建10蒸吨/小时及以下燃煤锅炉。加快热力管网建设，依托电厂、大型工业企业开展远距离供热示范，充分释放热电联产、工业余热等供热能力，淘汰管网覆盖范围内的供热燃煤锅炉和散煤。到2025年，哈尔滨市、佳木斯市、七台河市、绥化市基本完成城市建成区35蒸吨/小时及以下燃煤锅炉淘汰；哈尔滨市、绥化市基本淘汰行政区域内10蒸吨/小时及以下的燃煤锅炉。（省发展改革委、省生态环境厅、省住房城乡建设厅、省市场监管局等按职责分工负责）</w:t>
            </w:r>
          </w:p>
          <w:p w14:paraId="58D6DF45">
            <w:pPr>
              <w:rPr>
                <w:rFonts w:hint="default" w:ascii="Times New Roman" w:hAnsi="Times New Roman" w:eastAsia="宋体" w:cs="Times New Roman"/>
                <w:i w:val="0"/>
                <w:iCs w:val="0"/>
                <w:color w:val="auto"/>
                <w:highlight w:val="none"/>
                <w:lang w:val="en-US" w:eastAsia="zh-CN"/>
              </w:rPr>
            </w:pPr>
            <w:r>
              <w:rPr>
                <w:rFonts w:hint="default" w:ascii="Times New Roman" w:hAnsi="Times New Roman" w:cs="Times New Roman"/>
                <w:i w:val="0"/>
                <w:iCs w:val="0"/>
                <w:color w:val="auto"/>
                <w:highlight w:val="none"/>
                <w:lang w:val="en-US" w:eastAsia="zh-CN"/>
              </w:rPr>
              <w:t>本项目建设一台</w:t>
            </w:r>
            <w:r>
              <w:rPr>
                <w:rFonts w:hint="eastAsia" w:ascii="Times New Roman" w:hAnsi="Times New Roman" w:cs="Times New Roman"/>
                <w:i w:val="0"/>
                <w:iCs w:val="0"/>
                <w:color w:val="auto"/>
                <w:highlight w:val="none"/>
                <w:lang w:val="en-US" w:eastAsia="zh-CN"/>
              </w:rPr>
              <w:t>2.1MW</w:t>
            </w:r>
            <w:r>
              <w:rPr>
                <w:rFonts w:hint="default" w:ascii="Times New Roman" w:hAnsi="Times New Roman" w:cs="Times New Roman"/>
                <w:i w:val="0"/>
                <w:iCs w:val="0"/>
                <w:color w:val="auto"/>
                <w:highlight w:val="none"/>
                <w:lang w:val="en-US" w:eastAsia="zh-CN"/>
              </w:rPr>
              <w:t>生物质锅炉用于冬季供热，燃料为</w:t>
            </w:r>
            <w:r>
              <w:rPr>
                <w:rFonts w:hint="eastAsia" w:ascii="Times New Roman" w:hAnsi="Times New Roman" w:cs="Times New Roman"/>
                <w:i w:val="0"/>
                <w:iCs w:val="0"/>
                <w:color w:val="auto"/>
                <w:highlight w:val="none"/>
                <w:lang w:val="en-US" w:eastAsia="zh-CN"/>
              </w:rPr>
              <w:t>生物质颗粒燃料</w:t>
            </w:r>
            <w:r>
              <w:rPr>
                <w:rFonts w:hint="default" w:ascii="Times New Roman" w:hAnsi="Times New Roman" w:cs="Times New Roman"/>
                <w:i w:val="0"/>
                <w:iCs w:val="0"/>
                <w:color w:val="auto"/>
                <w:highlight w:val="none"/>
                <w:lang w:val="en-US" w:eastAsia="zh-CN"/>
              </w:rPr>
              <w:t>。不属于35</w:t>
            </w:r>
            <w:r>
              <w:rPr>
                <w:rFonts w:hint="default" w:ascii="Times New Roman" w:hAnsi="Times New Roman" w:cs="Times New Roman"/>
                <w:color w:val="auto"/>
                <w:highlight w:val="none"/>
                <w:lang w:val="en-US" w:eastAsia="zh-CN"/>
              </w:rPr>
              <w:t>蒸吨/小时及以下燃煤锅炉。</w:t>
            </w:r>
            <w:r>
              <w:rPr>
                <w:rFonts w:hint="default" w:ascii="Times New Roman" w:hAnsi="Times New Roman" w:cs="Times New Roman"/>
                <w:color w:val="auto"/>
                <w:spacing w:val="0"/>
                <w:sz w:val="24"/>
                <w:highlight w:val="none"/>
                <w:lang w:val="en-US" w:eastAsia="zh-CN"/>
              </w:rPr>
              <w:t>本项目建设的锅炉作为城</w:t>
            </w:r>
            <w:r>
              <w:rPr>
                <w:rFonts w:hint="default" w:ascii="Times New Roman" w:hAnsi="Times New Roman" w:cs="Times New Roman"/>
                <w:bCs/>
                <w:color w:val="auto"/>
                <w:spacing w:val="0"/>
                <w:sz w:val="24"/>
                <w:szCs w:val="24"/>
                <w:highlight w:val="none"/>
                <w:shd w:val="clear"/>
                <w:lang w:val="en-US" w:eastAsia="zh-CN"/>
              </w:rPr>
              <w:t>子河医院</w:t>
            </w:r>
            <w:r>
              <w:rPr>
                <w:rFonts w:hint="default" w:ascii="Times New Roman" w:hAnsi="Times New Roman" w:cs="Times New Roman"/>
                <w:color w:val="auto"/>
                <w:sz w:val="24"/>
                <w:highlight w:val="none"/>
                <w:lang w:val="en-US" w:eastAsia="zh-CN"/>
              </w:rPr>
              <w:t>冬季临时供热锅炉使用</w:t>
            </w:r>
            <w:r>
              <w:rPr>
                <w:rFonts w:hint="default" w:ascii="Times New Roman" w:hAnsi="Times New Roman" w:cs="Times New Roman"/>
                <w:color w:val="auto"/>
                <w:highlight w:val="none"/>
                <w:lang w:val="en-US" w:eastAsia="zh-CN"/>
              </w:rPr>
              <w:t>，待城子河区集中供热能力达标后，企业承诺将使用城子河区集中供热。承诺书见附件7。符合《黑龙江省空气质量持续改善行动计划实施方案》要求。</w:t>
            </w:r>
          </w:p>
          <w:p w14:paraId="6111712F">
            <w:pPr>
              <w:rPr>
                <w:rFonts w:hint="default" w:ascii="Times New Roman" w:hAnsi="Times New Roman" w:eastAsia="宋体" w:cs="Times New Roman"/>
                <w:b/>
                <w:bCs w:val="0"/>
                <w:i w:val="0"/>
                <w:iCs w:val="0"/>
                <w:color w:val="auto"/>
                <w:highlight w:val="none"/>
                <w:lang w:val="en-US" w:eastAsia="zh-CN"/>
              </w:rPr>
            </w:pPr>
            <w:r>
              <w:rPr>
                <w:rFonts w:hint="default" w:ascii="Times New Roman" w:hAnsi="Times New Roman" w:cs="Times New Roman"/>
                <w:b/>
                <w:bCs w:val="0"/>
                <w:i w:val="0"/>
                <w:iCs w:val="0"/>
                <w:color w:val="auto"/>
                <w:highlight w:val="none"/>
                <w:lang w:val="en-US" w:eastAsia="zh-CN"/>
              </w:rPr>
              <w:t>2.5与《鸡西市空气质量持续改善行动计划贯彻落实方案》符合性分析</w:t>
            </w:r>
          </w:p>
          <w:p w14:paraId="6E046335">
            <w:pPr>
              <w:rPr>
                <w:rFonts w:hint="default" w:ascii="Times New Roman" w:hAnsi="Times New Roman" w:cs="Times New Roman"/>
                <w:i w:val="0"/>
                <w:iCs w:val="0"/>
                <w:color w:val="auto"/>
                <w:highlight w:val="none"/>
              </w:rPr>
            </w:pPr>
            <w:r>
              <w:rPr>
                <w:rFonts w:hint="default" w:ascii="Times New Roman" w:hAnsi="Times New Roman" w:cs="Times New Roman"/>
                <w:i w:val="0"/>
                <w:iCs w:val="0"/>
                <w:color w:val="auto"/>
                <w:highlight w:val="none"/>
              </w:rPr>
              <w:t>持续开展燃煤锅炉淘汰改造。有序推进小型电站锅炉和服役时间超过15年的老旧低效工业锅炉淘汰工作。将燃煤供热锅炉替代项目纳入城镇供热规划。县级及以上城市建成区原则上不再新建35蒸吨/小时及以下燃煤锅炉，其他地区原则上不再新建10蒸吨/小时及以下燃煤锅炉和2蒸吨/小时及以下生物质锅炉。加快热力管网建设，推广中长距离供热，加快替代供热管网覆盖范围内的小型燃煤锅炉，充分释放热电联产、工业余热等供热能力。到2025年，全市淘汰管网覆盖范围内的供热燃煤锅炉；细颗粒物（PM</w:t>
            </w:r>
            <w:r>
              <w:rPr>
                <w:rFonts w:hint="default" w:ascii="Times New Roman" w:hAnsi="Times New Roman" w:cs="Times New Roman"/>
                <w:i w:val="0"/>
                <w:iCs w:val="0"/>
                <w:color w:val="auto"/>
                <w:highlight w:val="none"/>
                <w:vertAlign w:val="subscript"/>
              </w:rPr>
              <w:t>2.5</w:t>
            </w:r>
            <w:r>
              <w:rPr>
                <w:rFonts w:hint="default" w:ascii="Times New Roman" w:hAnsi="Times New Roman" w:cs="Times New Roman"/>
                <w:i w:val="0"/>
                <w:iCs w:val="0"/>
                <w:color w:val="auto"/>
                <w:highlight w:val="none"/>
              </w:rPr>
              <w:t>）未达标县（市）区基本淘汰10蒸吨/小时及以下的燃煤锅炉。（由市发改委、市生态环境局、市住建局、市市场监管局等按职责分工负责）</w:t>
            </w:r>
          </w:p>
          <w:p w14:paraId="058A6295">
            <w:pPr>
              <w:rPr>
                <w:rFonts w:hint="default" w:ascii="Times New Roman" w:hAnsi="Times New Roman" w:eastAsia="宋体" w:cs="Times New Roman"/>
                <w:i w:val="0"/>
                <w:iCs w:val="0"/>
                <w:color w:val="auto"/>
                <w:highlight w:val="none"/>
                <w:lang w:val="en-US" w:eastAsia="zh-CN"/>
              </w:rPr>
            </w:pPr>
            <w:r>
              <w:rPr>
                <w:rFonts w:hint="default" w:ascii="Times New Roman" w:hAnsi="Times New Roman" w:cs="Times New Roman"/>
                <w:i w:val="0"/>
                <w:iCs w:val="0"/>
                <w:color w:val="auto"/>
                <w:highlight w:val="none"/>
                <w:lang w:val="en-US" w:eastAsia="zh-CN"/>
              </w:rPr>
              <w:t>本项目建设一台</w:t>
            </w:r>
            <w:r>
              <w:rPr>
                <w:rFonts w:hint="eastAsia" w:ascii="Times New Roman" w:hAnsi="Times New Roman" w:cs="Times New Roman"/>
                <w:i w:val="0"/>
                <w:iCs w:val="0"/>
                <w:color w:val="auto"/>
                <w:highlight w:val="none"/>
                <w:lang w:val="en-US" w:eastAsia="zh-CN"/>
              </w:rPr>
              <w:t>2.1MW</w:t>
            </w:r>
            <w:r>
              <w:rPr>
                <w:rFonts w:hint="default" w:ascii="Times New Roman" w:hAnsi="Times New Roman" w:cs="Times New Roman"/>
                <w:i w:val="0"/>
                <w:iCs w:val="0"/>
                <w:color w:val="auto"/>
                <w:highlight w:val="none"/>
                <w:lang w:val="en-US" w:eastAsia="zh-CN"/>
              </w:rPr>
              <w:t>生物质锅炉用于冬季供热，不属于</w:t>
            </w:r>
            <w:r>
              <w:rPr>
                <w:rFonts w:hint="default" w:ascii="Times New Roman" w:hAnsi="Times New Roman" w:cs="Times New Roman"/>
                <w:i w:val="0"/>
                <w:iCs w:val="0"/>
                <w:color w:val="auto"/>
                <w:highlight w:val="none"/>
              </w:rPr>
              <w:t>10蒸吨/小时及以下燃煤锅炉和2蒸吨/小时及以下生物质锅炉</w:t>
            </w:r>
            <w:r>
              <w:rPr>
                <w:rFonts w:hint="default" w:ascii="Times New Roman" w:hAnsi="Times New Roman" w:cs="Times New Roman"/>
                <w:i w:val="0"/>
                <w:iCs w:val="0"/>
                <w:color w:val="auto"/>
                <w:highlight w:val="none"/>
                <w:lang w:eastAsia="zh-CN"/>
              </w:rPr>
              <w:t>。</w:t>
            </w:r>
            <w:r>
              <w:rPr>
                <w:rFonts w:hint="default" w:ascii="Times New Roman" w:hAnsi="Times New Roman" w:cs="Times New Roman"/>
                <w:color w:val="auto"/>
                <w:spacing w:val="0"/>
                <w:sz w:val="24"/>
                <w:highlight w:val="none"/>
                <w:lang w:val="en-US" w:eastAsia="zh-CN"/>
              </w:rPr>
              <w:t>本项目建设的锅炉作为城</w:t>
            </w:r>
            <w:r>
              <w:rPr>
                <w:rFonts w:hint="default" w:ascii="Times New Roman" w:hAnsi="Times New Roman" w:cs="Times New Roman"/>
                <w:bCs/>
                <w:color w:val="auto"/>
                <w:spacing w:val="0"/>
                <w:sz w:val="24"/>
                <w:szCs w:val="24"/>
                <w:highlight w:val="none"/>
                <w:shd w:val="clear"/>
                <w:lang w:val="en-US" w:eastAsia="zh-CN"/>
              </w:rPr>
              <w:t>子河医院</w:t>
            </w:r>
            <w:r>
              <w:rPr>
                <w:rFonts w:hint="default" w:ascii="Times New Roman" w:hAnsi="Times New Roman" w:cs="Times New Roman"/>
                <w:color w:val="auto"/>
                <w:sz w:val="24"/>
                <w:highlight w:val="none"/>
                <w:lang w:val="en-US" w:eastAsia="zh-CN"/>
              </w:rPr>
              <w:t>作为临时供热锅炉使用</w:t>
            </w:r>
            <w:r>
              <w:rPr>
                <w:rFonts w:hint="default" w:ascii="Times New Roman" w:hAnsi="Times New Roman" w:cs="Times New Roman"/>
                <w:color w:val="auto"/>
                <w:highlight w:val="none"/>
                <w:lang w:val="en-US" w:eastAsia="zh-CN"/>
              </w:rPr>
              <w:t>，待城子河区集中供热能力达标后，企业承诺将使用城子河区集中供热。承诺书见附件7。符合《鸡西市空气质量持续改善行动计划贯彻落实方案》要求。</w:t>
            </w:r>
          </w:p>
          <w:p w14:paraId="7D339C2F">
            <w:pPr>
              <w:rPr>
                <w:rFonts w:hint="default" w:ascii="Times New Roman" w:hAnsi="Times New Roman" w:cs="Times New Roman"/>
                <w:i w:val="0"/>
                <w:iCs w:val="0"/>
                <w:color w:val="auto"/>
                <w:highlight w:val="none"/>
                <w:lang w:val="en-US"/>
              </w:rPr>
            </w:pPr>
            <w:r>
              <w:rPr>
                <w:rFonts w:hint="default" w:ascii="Times New Roman" w:hAnsi="Times New Roman" w:cs="Times New Roman"/>
                <w:b/>
                <w:bCs/>
                <w:color w:val="auto"/>
                <w:sz w:val="24"/>
                <w:highlight w:val="none"/>
                <w:lang w:val="en-US" w:eastAsia="zh-CN"/>
              </w:rPr>
              <w:t>2.6与《黑龙江省固体废物污染环境防治条例》的符合性分析</w:t>
            </w:r>
          </w:p>
          <w:p w14:paraId="2E49019F">
            <w:pPr>
              <w:pStyle w:val="46"/>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baseline"/>
              <w:rPr>
                <w:rFonts w:hint="default" w:ascii="Times New Roman" w:hAnsi="Times New Roman" w:cs="Times New Roman"/>
                <w:i w:val="0"/>
                <w:iCs w:val="0"/>
                <w:color w:val="auto"/>
                <w:highlight w:val="none"/>
              </w:rPr>
            </w:pPr>
            <w:r>
              <w:rPr>
                <w:rFonts w:hint="default" w:ascii="Times New Roman" w:hAnsi="Times New Roman" w:cs="Times New Roman"/>
                <w:i w:val="0"/>
                <w:iCs w:val="0"/>
                <w:color w:val="auto"/>
                <w:highlight w:val="none"/>
              </w:rPr>
              <w:t>第十条建设产生、贮存、利用、处置固体废物的项目，应当符合生态环境分区管控要求，依法进行环境影响评价，并遵守国家有关建设项目环境保护管理的规定。</w:t>
            </w:r>
          </w:p>
          <w:p w14:paraId="5EC5EDD7">
            <w:pPr>
              <w:rPr>
                <w:rFonts w:hint="default" w:ascii="Times New Roman" w:hAnsi="Times New Roman" w:cs="Times New Roman"/>
                <w:color w:val="auto"/>
                <w:highlight w:val="none"/>
              </w:rPr>
            </w:pPr>
            <w:r>
              <w:rPr>
                <w:rFonts w:hint="default" w:ascii="Times New Roman" w:hAnsi="Times New Roman" w:cs="Times New Roman"/>
                <w:color w:val="auto"/>
                <w:highlight w:val="none"/>
              </w:rPr>
              <w:t>第十八条产生工业固体废物的单位应当依法实施清洁生产审核，通过采取工艺设备改造、清洁能源使用、原料替代等措施，从源头减少工业固体废物产生；加强原材料深度加工以及循环使用、伴生产品加工利用、副产物综合利用。</w:t>
            </w:r>
          </w:p>
          <w:p w14:paraId="11D5F836">
            <w:pPr>
              <w:rPr>
                <w:rFonts w:hint="default" w:ascii="Times New Roman" w:hAnsi="Times New Roman" w:cs="Times New Roman"/>
                <w:color w:val="auto"/>
                <w:highlight w:val="none"/>
              </w:rPr>
            </w:pPr>
            <w:r>
              <w:rPr>
                <w:rFonts w:hint="default" w:ascii="Times New Roman" w:hAnsi="Times New Roman" w:cs="Times New Roman"/>
                <w:color w:val="auto"/>
                <w:highlight w:val="none"/>
              </w:rPr>
              <w:t>产生工业固体废物的单位应当取得排污许可证；向所在地生态环境主管部门提供工业固体废物的种类、数量、流向、贮存、利用、处置等有关资料，以及减少工业固体废物产生、促进综合利用的具体措施，并执行排污许可管理制度的相关规定。</w:t>
            </w:r>
          </w:p>
          <w:p w14:paraId="1E74A2D9">
            <w:pPr>
              <w:rPr>
                <w:rFonts w:hint="default" w:ascii="Times New Roman" w:hAnsi="Times New Roman" w:cs="Times New Roman"/>
                <w:i w:val="0"/>
                <w:iCs w:val="0"/>
                <w:color w:val="auto"/>
                <w:highlight w:val="none"/>
              </w:rPr>
            </w:pPr>
            <w:r>
              <w:rPr>
                <w:rFonts w:hint="default" w:ascii="Times New Roman" w:hAnsi="Times New Roman" w:cs="Times New Roman"/>
                <w:i w:val="0"/>
                <w:iCs w:val="0"/>
                <w:color w:val="auto"/>
                <w:highlight w:val="none"/>
              </w:rPr>
              <w:t>第二十六条 产生危险废物的单位，应当按照国家有关规定制定危险废物管理计划，通过国家固体废物管理信息系统向所在地生态环境主管部门备案。危险废物管理计划调整的，产生危险废物的单位应当及时备案。</w:t>
            </w:r>
          </w:p>
          <w:p w14:paraId="7A4159BA">
            <w:pPr>
              <w:rPr>
                <w:rFonts w:hint="default" w:ascii="Times New Roman" w:hAnsi="Times New Roman" w:eastAsia="宋体" w:cs="Times New Roman"/>
                <w:i w:val="0"/>
                <w:iCs w:val="0"/>
                <w:color w:val="auto"/>
                <w:highlight w:val="none"/>
                <w:lang w:val="en-US" w:eastAsia="zh-CN"/>
              </w:rPr>
            </w:pPr>
            <w:r>
              <w:rPr>
                <w:rFonts w:hint="default" w:ascii="Times New Roman" w:hAnsi="Times New Roman" w:cs="Times New Roman"/>
                <w:i w:val="0"/>
                <w:iCs w:val="0"/>
                <w:color w:val="auto"/>
                <w:highlight w:val="none"/>
                <w:lang w:val="en-US" w:eastAsia="zh-CN"/>
              </w:rPr>
              <w:t>本项目的建设产生的主要固体废物为</w:t>
            </w:r>
            <w:r>
              <w:rPr>
                <w:rFonts w:hint="default" w:ascii="Times New Roman" w:hAnsi="Times New Roman" w:cs="Times New Roman"/>
                <w:color w:val="auto"/>
                <w:spacing w:val="0"/>
                <w:sz w:val="24"/>
                <w:szCs w:val="24"/>
                <w:highlight w:val="none"/>
                <w:lang w:val="en-US" w:eastAsia="zh-CN"/>
              </w:rPr>
              <w:t>锅炉灰渣、除尘器集尘、</w:t>
            </w:r>
            <w:r>
              <w:rPr>
                <w:rFonts w:hint="eastAsia" w:ascii="Times New Roman" w:hAnsi="Times New Roman" w:cs="Times New Roman"/>
                <w:color w:val="auto"/>
                <w:spacing w:val="0"/>
                <w:sz w:val="24"/>
                <w:szCs w:val="24"/>
                <w:highlight w:val="none"/>
                <w:lang w:val="en-US" w:eastAsia="zh-CN"/>
              </w:rPr>
              <w:t>废离子交换树脂、</w:t>
            </w:r>
            <w:r>
              <w:rPr>
                <w:rFonts w:hint="default" w:ascii="Times New Roman" w:hAnsi="Times New Roman" w:cs="Times New Roman"/>
                <w:color w:val="auto"/>
                <w:spacing w:val="0"/>
                <w:sz w:val="24"/>
                <w:szCs w:val="24"/>
                <w:highlight w:val="none"/>
                <w:lang w:val="en-US" w:eastAsia="zh-CN"/>
              </w:rPr>
              <w:t>废布袋和废机油、废机油桶、含油抹布，废布袋收集后交厂家回收处理。</w:t>
            </w:r>
            <w:r>
              <w:rPr>
                <w:rFonts w:hint="eastAsia" w:ascii="Times New Roman" w:hAnsi="Times New Roman" w:cs="Times New Roman"/>
                <w:color w:val="auto"/>
                <w:spacing w:val="0"/>
                <w:sz w:val="24"/>
                <w:szCs w:val="24"/>
                <w:highlight w:val="none"/>
                <w:lang w:val="en-US" w:eastAsia="zh-CN"/>
              </w:rPr>
              <w:t>废离子交换树脂由厂家定期回收更换，不在厂内贮存。</w:t>
            </w:r>
            <w:r>
              <w:rPr>
                <w:rFonts w:hint="default" w:ascii="Times New Roman" w:hAnsi="Times New Roman" w:cs="Times New Roman"/>
                <w:color w:val="auto"/>
                <w:spacing w:val="0"/>
                <w:sz w:val="24"/>
                <w:szCs w:val="24"/>
                <w:highlight w:val="none"/>
                <w:lang w:val="en-US" w:eastAsia="zh-CN"/>
              </w:rPr>
              <w:t>锅炉灰渣外售综合利用。废机油、废机油桶、含油抹布交有资质单位处置。本项目建成后根据全</w:t>
            </w:r>
            <w:r>
              <w:rPr>
                <w:rFonts w:hint="eastAsia" w:ascii="Times New Roman" w:hAnsi="Times New Roman" w:cs="Times New Roman"/>
                <w:color w:val="auto"/>
                <w:spacing w:val="0"/>
                <w:sz w:val="24"/>
                <w:szCs w:val="24"/>
                <w:highlight w:val="none"/>
                <w:lang w:val="en-US" w:eastAsia="zh-CN"/>
              </w:rPr>
              <w:t>院</w:t>
            </w:r>
            <w:r>
              <w:rPr>
                <w:rFonts w:hint="default" w:ascii="Times New Roman" w:hAnsi="Times New Roman" w:cs="Times New Roman"/>
                <w:color w:val="auto"/>
                <w:spacing w:val="0"/>
                <w:sz w:val="24"/>
                <w:szCs w:val="24"/>
                <w:highlight w:val="none"/>
                <w:lang w:val="en-US" w:eastAsia="zh-CN"/>
              </w:rPr>
              <w:t>内容进行排污许可填报，制定危险废物管理计划，向生态环境主管部门备案。因此本项目建设符合《黑龙江省固体废物污染环境防治条例》要求。</w:t>
            </w:r>
          </w:p>
          <w:p w14:paraId="59376767">
            <w:pPr>
              <w:pStyle w:val="34"/>
              <w:keepNext w:val="0"/>
              <w:keepLines w:val="0"/>
              <w:pageBreakBefore w:val="0"/>
              <w:widowControl w:val="0"/>
              <w:kinsoku/>
              <w:wordWrap/>
              <w:overflowPunct/>
              <w:topLinePunct w:val="0"/>
              <w:autoSpaceDE/>
              <w:autoSpaceDN/>
              <w:bidi w:val="0"/>
              <w:adjustRightInd w:val="0"/>
              <w:snapToGrid w:val="0"/>
              <w:spacing w:after="0" w:line="360" w:lineRule="auto"/>
              <w:ind w:firstLine="482" w:firstLineChars="200"/>
              <w:textAlignment w:val="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lang w:val="en-US" w:eastAsia="zh-CN"/>
              </w:rPr>
              <w:t>2.7</w:t>
            </w:r>
            <w:r>
              <w:rPr>
                <w:rFonts w:hint="default" w:ascii="Times New Roman" w:hAnsi="Times New Roman" w:cs="Times New Roman"/>
                <w:b/>
                <w:color w:val="auto"/>
                <w:sz w:val="24"/>
                <w:highlight w:val="none"/>
              </w:rPr>
              <w:t>与《国务院关于印发“十四五”节能减排综合工作方案的通知》（国发</w:t>
            </w:r>
            <w:r>
              <w:rPr>
                <w:rFonts w:hint="default" w:ascii="Times New Roman" w:hAnsi="Times New Roman" w:cs="Times New Roman"/>
                <w:b/>
                <w:color w:val="auto"/>
                <w:sz w:val="24"/>
                <w:highlight w:val="none"/>
                <w:lang w:eastAsia="zh-CN"/>
              </w:rPr>
              <w:t>〔2021〕33号</w:t>
            </w:r>
            <w:r>
              <w:rPr>
                <w:rFonts w:hint="default" w:ascii="Times New Roman" w:hAnsi="Times New Roman" w:cs="Times New Roman"/>
                <w:b/>
                <w:color w:val="auto"/>
                <w:sz w:val="24"/>
                <w:highlight w:val="none"/>
              </w:rPr>
              <w:t>）的相符性分析</w:t>
            </w:r>
          </w:p>
          <w:p w14:paraId="1D599E6F">
            <w:pPr>
              <w:pStyle w:val="48"/>
              <w:adjustRightInd w:val="0"/>
              <w:snapToGrid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w:t>
            </w:r>
            <w:r>
              <w:rPr>
                <w:rFonts w:hint="default" w:ascii="Times New Roman" w:hAnsi="Times New Roman" w:eastAsia="宋体" w:cs="Times New Roman"/>
                <w:bCs/>
                <w:color w:val="auto"/>
                <w:highlight w:val="none"/>
              </w:rPr>
              <w:t>“</w:t>
            </w:r>
            <w:r>
              <w:rPr>
                <w:rFonts w:hint="default" w:ascii="Times New Roman" w:hAnsi="Times New Roman" w:cs="Times New Roman"/>
                <w:bCs/>
                <w:color w:val="auto"/>
                <w:highlight w:val="none"/>
              </w:rPr>
              <w:t>十四五</w:t>
            </w:r>
            <w:r>
              <w:rPr>
                <w:rFonts w:hint="default" w:ascii="Times New Roman" w:hAnsi="Times New Roman" w:eastAsia="宋体" w:cs="Times New Roman"/>
                <w:bCs/>
                <w:color w:val="auto"/>
                <w:highlight w:val="none"/>
              </w:rPr>
              <w:t>”</w:t>
            </w:r>
            <w:r>
              <w:rPr>
                <w:rFonts w:hint="default" w:ascii="Times New Roman" w:hAnsi="Times New Roman" w:cs="Times New Roman"/>
                <w:bCs/>
                <w:color w:val="auto"/>
                <w:highlight w:val="none"/>
              </w:rPr>
              <w:t>节能减排综合工作方案》，“十四五”主要目标：20</w:t>
            </w:r>
            <w:r>
              <w:rPr>
                <w:rFonts w:hint="default" w:ascii="Times New Roman" w:hAnsi="Times New Roman" w:cs="Times New Roman"/>
                <w:color w:val="auto"/>
                <w:highlight w:val="none"/>
              </w:rPr>
              <w:t>25年，全国单位国内生产总值能源消耗比2020年下降13.5%，能源消费总量得到合理控制，化学需氧量、氨氮、氮氧化物、挥发性有机物排放总量比2020年分别下降8%、8%、10%以上、10%以上。节能减排政策机制更加健全，重点行业能源利用效率和主要污染物排放控制水平基本达到国际先进水平，经济社会发展绿色转型取得显著成效。</w:t>
            </w:r>
          </w:p>
          <w:p w14:paraId="45EEB565">
            <w:pPr>
              <w:spacing w:line="360" w:lineRule="auto"/>
              <w:ind w:firstLine="405"/>
              <w:rPr>
                <w:rFonts w:hint="default" w:ascii="Times New Roman" w:hAnsi="Times New Roman" w:cs="Times New Roman"/>
                <w:caps/>
                <w:color w:val="auto"/>
                <w:sz w:val="24"/>
                <w:highlight w:val="none"/>
              </w:rPr>
            </w:pPr>
            <w:r>
              <w:rPr>
                <w:rFonts w:hint="default" w:ascii="Times New Roman" w:hAnsi="Times New Roman" w:cs="Times New Roman"/>
                <w:b/>
                <w:bCs/>
                <w:caps/>
                <w:color w:val="auto"/>
                <w:sz w:val="24"/>
                <w:highlight w:val="none"/>
              </w:rPr>
              <w:t>煤炭清洁高效利用工程。</w:t>
            </w:r>
            <w:r>
              <w:rPr>
                <w:rFonts w:hint="default" w:ascii="Times New Roman" w:hAnsi="Times New Roman" w:cs="Times New Roman"/>
                <w:caps/>
                <w:color w:val="auto"/>
                <w:sz w:val="24"/>
                <w:highlight w:val="none"/>
              </w:rPr>
              <w:t>要立足以煤为主的基本国情，坚持先立后破，严格合理控制煤炭消费增长，抓好煤炭清洁高效利用，推进存量煤电机组节煤降耗改造、供热改造、灵活性改造“三改联动”，持续推动煤电机组超低排放改造。稳妥有序推进大气污染防治重点区域燃料类煤气发生炉、燃煤热风炉、加热炉、热处理炉、干燥炉（窑）以及建材行业煤炭减量，实施清洁电力和天然气替代。</w:t>
            </w:r>
          </w:p>
          <w:p w14:paraId="4E87072E">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Cs/>
                <w:color w:val="auto"/>
                <w:highlight w:val="none"/>
              </w:rPr>
              <w:t>本项目</w:t>
            </w:r>
            <w:r>
              <w:rPr>
                <w:rFonts w:hint="default" w:ascii="Times New Roman" w:hAnsi="Times New Roman" w:cs="Times New Roman"/>
                <w:bCs/>
                <w:color w:val="auto"/>
                <w:highlight w:val="none"/>
                <w:lang w:val="en-US" w:eastAsia="zh-CN"/>
              </w:rPr>
              <w:t>生物质锅炉建设项目，在现有厂区</w:t>
            </w:r>
            <w:r>
              <w:rPr>
                <w:rFonts w:hint="eastAsia" w:ascii="Times New Roman" w:hAnsi="Times New Roman" w:cs="Times New Roman"/>
                <w:bCs/>
                <w:color w:val="auto"/>
                <w:highlight w:val="none"/>
                <w:lang w:val="en-US" w:eastAsia="zh-CN"/>
              </w:rPr>
              <w:t>建设</w:t>
            </w:r>
            <w:r>
              <w:rPr>
                <w:rFonts w:hint="default" w:ascii="Times New Roman" w:hAnsi="Times New Roman" w:cs="Times New Roman"/>
                <w:bCs/>
                <w:color w:val="auto"/>
                <w:highlight w:val="none"/>
                <w:lang w:val="en-US" w:eastAsia="zh-CN"/>
              </w:rPr>
              <w:t>一台</w:t>
            </w:r>
            <w:r>
              <w:rPr>
                <w:rFonts w:hint="eastAsia" w:ascii="Times New Roman" w:hAnsi="Times New Roman" w:cs="Times New Roman"/>
                <w:bCs/>
                <w:color w:val="auto"/>
                <w:highlight w:val="none"/>
                <w:lang w:val="en-US" w:eastAsia="zh-CN"/>
              </w:rPr>
              <w:t>2.1MW</w:t>
            </w:r>
            <w:r>
              <w:rPr>
                <w:rFonts w:hint="default" w:ascii="Times New Roman" w:hAnsi="Times New Roman" w:cs="Times New Roman"/>
                <w:bCs/>
                <w:color w:val="auto"/>
                <w:highlight w:val="none"/>
                <w:lang w:val="en-US" w:eastAsia="zh-CN"/>
              </w:rPr>
              <w:t>生物质锅炉</w:t>
            </w:r>
            <w:r>
              <w:rPr>
                <w:rFonts w:hint="default" w:ascii="Times New Roman" w:hAnsi="Times New Roman" w:cs="Times New Roman"/>
                <w:bCs/>
                <w:color w:val="auto"/>
                <w:highlight w:val="none"/>
              </w:rPr>
              <w:t>，采用</w:t>
            </w:r>
            <w:r>
              <w:rPr>
                <w:rFonts w:hint="eastAsia" w:ascii="Times New Roman" w:hAnsi="Times New Roman" w:cs="Times New Roman"/>
                <w:bCs/>
                <w:color w:val="auto"/>
                <w:highlight w:val="none"/>
                <w:lang w:val="en-US" w:eastAsia="zh-CN"/>
              </w:rPr>
              <w:t>生物质颗粒燃料</w:t>
            </w:r>
            <w:r>
              <w:rPr>
                <w:rFonts w:hint="default" w:ascii="Times New Roman" w:hAnsi="Times New Roman" w:cs="Times New Roman"/>
                <w:bCs/>
                <w:color w:val="auto"/>
                <w:highlight w:val="none"/>
              </w:rPr>
              <w:t>，不使用煤炭，锅炉产生的烟气</w:t>
            </w:r>
            <w:r>
              <w:rPr>
                <w:rFonts w:hint="default" w:ascii="Times New Roman" w:hAnsi="Times New Roman" w:cs="Times New Roman"/>
                <w:bCs/>
                <w:color w:val="auto"/>
                <w:szCs w:val="21"/>
                <w:highlight w:val="none"/>
              </w:rPr>
              <w:t>污染物经处理后，排放浓度满足《锅炉大气污染物排放标准》（GB13271-2014）</w:t>
            </w:r>
            <w:r>
              <w:rPr>
                <w:rFonts w:hint="default" w:ascii="Times New Roman" w:hAnsi="Times New Roman" w:cs="Times New Roman"/>
                <w:bCs/>
                <w:color w:val="auto"/>
                <w:szCs w:val="21"/>
                <w:highlight w:val="none"/>
                <w:lang w:val="en-US" w:eastAsia="zh-CN"/>
              </w:rPr>
              <w:t>要求</w:t>
            </w:r>
            <w:r>
              <w:rPr>
                <w:rFonts w:hint="default" w:ascii="Times New Roman" w:hAnsi="Times New Roman" w:cs="Times New Roman"/>
                <w:bCs/>
                <w:color w:val="auto"/>
                <w:highlight w:val="none"/>
              </w:rPr>
              <w:t>，因此项目建设符合</w:t>
            </w:r>
            <w:r>
              <w:rPr>
                <w:rFonts w:hint="default" w:ascii="Times New Roman" w:hAnsi="Times New Roman" w:cs="Times New Roman"/>
                <w:color w:val="auto"/>
                <w:highlight w:val="none"/>
              </w:rPr>
              <w:t>《</w:t>
            </w:r>
            <w:r>
              <w:rPr>
                <w:rFonts w:hint="default" w:ascii="Times New Roman" w:hAnsi="Times New Roman" w:eastAsia="宋体" w:cs="Times New Roman"/>
                <w:bCs/>
                <w:color w:val="auto"/>
                <w:highlight w:val="none"/>
              </w:rPr>
              <w:t>“</w:t>
            </w:r>
            <w:r>
              <w:rPr>
                <w:rFonts w:hint="default" w:ascii="Times New Roman" w:hAnsi="Times New Roman" w:cs="Times New Roman"/>
                <w:bCs/>
                <w:color w:val="auto"/>
                <w:highlight w:val="none"/>
              </w:rPr>
              <w:t>十四五</w:t>
            </w:r>
            <w:r>
              <w:rPr>
                <w:rFonts w:hint="default" w:ascii="Times New Roman" w:hAnsi="Times New Roman" w:eastAsia="宋体" w:cs="Times New Roman"/>
                <w:bCs/>
                <w:color w:val="auto"/>
                <w:highlight w:val="none"/>
              </w:rPr>
              <w:t>”</w:t>
            </w:r>
            <w:r>
              <w:rPr>
                <w:rFonts w:hint="default" w:ascii="Times New Roman" w:hAnsi="Times New Roman" w:cs="Times New Roman"/>
                <w:bCs/>
                <w:color w:val="auto"/>
                <w:highlight w:val="none"/>
              </w:rPr>
              <w:t>节能减排综合工作方案</w:t>
            </w:r>
            <w:r>
              <w:rPr>
                <w:rFonts w:hint="default" w:ascii="Times New Roman" w:hAnsi="Times New Roman" w:cs="Times New Roman"/>
                <w:color w:val="auto"/>
                <w:highlight w:val="none"/>
              </w:rPr>
              <w:t>》要求。</w:t>
            </w:r>
          </w:p>
          <w:p w14:paraId="4901E96D">
            <w:pPr>
              <w:pStyle w:val="124"/>
              <w:spacing w:line="360" w:lineRule="auto"/>
              <w:ind w:firstLine="482"/>
              <w:jc w:val="both"/>
              <w:rPr>
                <w:rFonts w:hint="default" w:ascii="Times New Roman" w:hAnsi="Times New Roman" w:cs="Times New Roman"/>
                <w:b/>
                <w:color w:val="auto"/>
                <w:kern w:val="0"/>
                <w:sz w:val="24"/>
                <w:szCs w:val="24"/>
                <w:highlight w:val="none"/>
              </w:rPr>
            </w:pPr>
            <w:r>
              <w:rPr>
                <w:rFonts w:hint="default" w:ascii="Times New Roman" w:hAnsi="Times New Roman" w:cs="Times New Roman"/>
                <w:b/>
                <w:color w:val="auto"/>
                <w:kern w:val="0"/>
                <w:sz w:val="24"/>
                <w:szCs w:val="24"/>
                <w:highlight w:val="none"/>
                <w:lang w:val="en-US" w:eastAsia="zh-CN"/>
              </w:rPr>
              <w:t>2.8</w:t>
            </w:r>
            <w:r>
              <w:rPr>
                <w:rFonts w:hint="default" w:ascii="Times New Roman" w:hAnsi="Times New Roman" w:cs="Times New Roman"/>
                <w:b/>
                <w:color w:val="auto"/>
                <w:kern w:val="0"/>
                <w:sz w:val="24"/>
                <w:szCs w:val="24"/>
                <w:highlight w:val="none"/>
              </w:rPr>
              <w:t>与《鸡西市“十四五”生态环境保护规划》符合性分析</w:t>
            </w:r>
          </w:p>
          <w:p w14:paraId="526FFDF6">
            <w:pPr>
              <w:pStyle w:val="124"/>
              <w:spacing w:line="360" w:lineRule="auto"/>
              <w:ind w:firstLine="480"/>
              <w:jc w:val="both"/>
              <w:rPr>
                <w:rFonts w:hint="default" w:ascii="Times New Roman" w:hAnsi="Times New Roman" w:cs="Times New Roman"/>
                <w:color w:val="auto"/>
                <w:sz w:val="24"/>
                <w:highlight w:val="none"/>
              </w:rPr>
            </w:pPr>
            <w:r>
              <w:rPr>
                <w:rFonts w:hint="default" w:ascii="Times New Roman" w:hAnsi="Times New Roman" w:cs="Times New Roman"/>
                <w:bCs w:val="0"/>
                <w:color w:val="auto"/>
                <w:kern w:val="0"/>
                <w:sz w:val="24"/>
                <w:szCs w:val="24"/>
                <w:highlight w:val="none"/>
              </w:rPr>
              <w:t>根据《</w:t>
            </w:r>
            <w:r>
              <w:rPr>
                <w:rFonts w:hint="default" w:ascii="Times New Roman" w:hAnsi="Times New Roman" w:cs="Times New Roman"/>
                <w:bCs w:val="0"/>
                <w:color w:val="auto"/>
                <w:kern w:val="0"/>
                <w:sz w:val="24"/>
                <w:highlight w:val="none"/>
              </w:rPr>
              <w:t>鸡</w:t>
            </w:r>
            <w:r>
              <w:rPr>
                <w:rFonts w:hint="default" w:ascii="Times New Roman" w:hAnsi="Times New Roman" w:cs="Times New Roman"/>
                <w:color w:val="auto"/>
                <w:sz w:val="24"/>
                <w:highlight w:val="none"/>
              </w:rPr>
              <w:t>西市“十四五”生态环境保护规划》，“……加大燃煤污染治理力度。深入实施散煤污染治理“三重一改”攻坚行动，统筹全市棚户区、城中村、城乡结合部、商户和农村地区散煤污染治理，按照“煤炭集中使用、清洁利用”原则，重点削减散煤、工业锅炉、工业炉窑等非电用煤，以“煤改气”“煤改电”为主要方式，降低煤炭在能源消费中的比重。持续推进清洁取暖，加快生物质成型燃料供暖，构建绿色、节约、高效、协调、适用的清洁供暖体系。市主城区建成区基本实现散煤清零。加快淘汰全市建成区10—35蒸吨/小时燃煤锅炉，推进65蒸吨/小时及以上燃煤锅炉（含电力）超低排放改造，实现20蒸吨/小时及以上锅炉稳定达标排放全覆盖。”。</w:t>
            </w:r>
          </w:p>
          <w:p w14:paraId="6592CDFD">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Cs w:val="0"/>
                <w:color w:val="auto"/>
                <w:kern w:val="0"/>
                <w:sz w:val="24"/>
                <w:szCs w:val="24"/>
                <w:highlight w:val="none"/>
              </w:rPr>
              <w:t>本项目位于</w:t>
            </w:r>
            <w:r>
              <w:rPr>
                <w:rFonts w:hint="default" w:ascii="Times New Roman" w:hAnsi="Times New Roman" w:cs="Times New Roman"/>
                <w:color w:val="auto"/>
                <w:sz w:val="24"/>
                <w:highlight w:val="none"/>
              </w:rPr>
              <w:t>黑龙江省鸡西</w:t>
            </w:r>
            <w:r>
              <w:rPr>
                <w:rFonts w:hint="default" w:ascii="Times New Roman" w:hAnsi="Times New Roman" w:cs="Times New Roman"/>
                <w:color w:val="auto"/>
                <w:sz w:val="24"/>
                <w:highlight w:val="none"/>
                <w:lang w:val="en-US" w:eastAsia="zh-CN"/>
              </w:rPr>
              <w:t>市城子河区</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在城子河医院现有占地范围内建设，不新增占地</w:t>
            </w:r>
            <w:r>
              <w:rPr>
                <w:rFonts w:hint="default" w:ascii="Times New Roman" w:hAnsi="Times New Roman" w:cs="Times New Roman"/>
                <w:bCs w:val="0"/>
                <w:color w:val="auto"/>
                <w:kern w:val="0"/>
                <w:sz w:val="24"/>
                <w:szCs w:val="24"/>
                <w:highlight w:val="none"/>
              </w:rPr>
              <w:t>，</w:t>
            </w:r>
            <w:r>
              <w:rPr>
                <w:rFonts w:hint="default" w:ascii="Times New Roman" w:hAnsi="Times New Roman" w:cs="Times New Roman"/>
                <w:bCs w:val="0"/>
                <w:color w:val="auto"/>
                <w:sz w:val="24"/>
                <w:highlight w:val="none"/>
              </w:rPr>
              <w:t>项目所处区域为环境</w:t>
            </w:r>
            <w:r>
              <w:rPr>
                <w:rFonts w:hint="default" w:ascii="Times New Roman" w:hAnsi="Times New Roman" w:cs="Times New Roman"/>
                <w:bCs w:val="0"/>
                <w:color w:val="auto"/>
                <w:sz w:val="24"/>
                <w:szCs w:val="24"/>
                <w:highlight w:val="none"/>
              </w:rPr>
              <w:t>空气质量达标区，因</w:t>
            </w:r>
            <w:r>
              <w:rPr>
                <w:rFonts w:hint="default" w:ascii="Times New Roman" w:hAnsi="Times New Roman" w:cs="Times New Roman"/>
                <w:bCs w:val="0"/>
                <w:color w:val="auto"/>
                <w:sz w:val="24"/>
                <w:szCs w:val="24"/>
                <w:highlight w:val="none"/>
                <w:lang w:val="en-US" w:eastAsia="zh-CN"/>
              </w:rPr>
              <w:t>城子河区</w:t>
            </w:r>
            <w:r>
              <w:rPr>
                <w:rFonts w:hint="default" w:ascii="Times New Roman" w:hAnsi="Times New Roman" w:cs="Times New Roman"/>
                <w:bCs w:val="0"/>
                <w:color w:val="auto"/>
                <w:sz w:val="24"/>
                <w:szCs w:val="24"/>
                <w:highlight w:val="none"/>
              </w:rPr>
              <w:t>集中供热、供气设施不完善</w:t>
            </w:r>
            <w:r>
              <w:rPr>
                <w:rFonts w:hint="default" w:ascii="Times New Roman" w:hAnsi="Times New Roman" w:cs="Times New Roman"/>
                <w:bCs w:val="0"/>
                <w:color w:val="auto"/>
                <w:sz w:val="24"/>
                <w:szCs w:val="24"/>
                <w:highlight w:val="none"/>
                <w:lang w:eastAsia="zh-CN"/>
              </w:rPr>
              <w:t>，</w:t>
            </w:r>
            <w:r>
              <w:rPr>
                <w:rFonts w:hint="default" w:ascii="Times New Roman" w:hAnsi="Times New Roman" w:cs="Times New Roman"/>
                <w:bCs w:val="0"/>
                <w:color w:val="auto"/>
                <w:sz w:val="24"/>
                <w:szCs w:val="24"/>
                <w:highlight w:val="none"/>
                <w:lang w:val="en-US" w:eastAsia="zh-CN"/>
              </w:rPr>
              <w:t>热源不达标</w:t>
            </w:r>
            <w:r>
              <w:rPr>
                <w:rFonts w:hint="eastAsia" w:ascii="Times New Roman" w:hAnsi="Times New Roman" w:cs="Times New Roman"/>
                <w:bCs w:val="0"/>
                <w:color w:val="auto"/>
                <w:sz w:val="24"/>
                <w:szCs w:val="24"/>
                <w:highlight w:val="none"/>
                <w:lang w:val="en-US" w:eastAsia="zh-CN"/>
              </w:rPr>
              <w:t>，导致医院病房温度较低，患者无法休息修养，故本项目建设1台2.1MW的生物质锅炉</w:t>
            </w:r>
            <w:r>
              <w:rPr>
                <w:rFonts w:hint="default" w:ascii="Times New Roman" w:hAnsi="Times New Roman" w:cs="Times New Roman"/>
                <w:bCs w:val="0"/>
                <w:color w:val="auto"/>
                <w:sz w:val="24"/>
                <w:szCs w:val="24"/>
                <w:highlight w:val="none"/>
              </w:rPr>
              <w:t>，燃用</w:t>
            </w:r>
            <w:r>
              <w:rPr>
                <w:rFonts w:hint="eastAsia" w:ascii="Times New Roman" w:hAnsi="Times New Roman" w:cs="Times New Roman"/>
                <w:bCs w:val="0"/>
                <w:color w:val="auto"/>
                <w:sz w:val="24"/>
                <w:szCs w:val="24"/>
                <w:highlight w:val="none"/>
                <w:lang w:val="en-US" w:eastAsia="zh-CN"/>
              </w:rPr>
              <w:t>生物质颗粒燃料</w:t>
            </w:r>
            <w:r>
              <w:rPr>
                <w:rFonts w:hint="default" w:ascii="Times New Roman" w:hAnsi="Times New Roman" w:cs="Times New Roman"/>
                <w:bCs w:val="0"/>
                <w:color w:val="auto"/>
                <w:sz w:val="24"/>
                <w:szCs w:val="24"/>
                <w:highlight w:val="none"/>
              </w:rPr>
              <w:t>，不采用煤炭，采取</w:t>
            </w:r>
            <w:r>
              <w:rPr>
                <w:rFonts w:hint="eastAsia" w:ascii="Times New Roman" w:hAnsi="Times New Roman" w:cs="Times New Roman"/>
                <w:color w:val="auto"/>
                <w:spacing w:val="-1"/>
                <w:sz w:val="24"/>
                <w:szCs w:val="24"/>
                <w:highlight w:val="none"/>
                <w:lang w:val="en-US" w:eastAsia="zh-CN"/>
              </w:rPr>
              <w:t>旋风+</w:t>
            </w:r>
            <w:r>
              <w:rPr>
                <w:rFonts w:hint="default" w:ascii="Times New Roman" w:hAnsi="Times New Roman" w:cs="Times New Roman"/>
                <w:bCs w:val="0"/>
                <w:color w:val="auto"/>
                <w:sz w:val="24"/>
                <w:szCs w:val="24"/>
                <w:highlight w:val="none"/>
                <w:lang w:eastAsia="zh-CN"/>
              </w:rPr>
              <w:t>布袋除尘器</w:t>
            </w:r>
            <w:r>
              <w:rPr>
                <w:rFonts w:hint="eastAsia" w:ascii="Times New Roman" w:hAnsi="Times New Roman" w:cs="Times New Roman"/>
                <w:bCs w:val="0"/>
                <w:color w:val="auto"/>
                <w:sz w:val="24"/>
                <w:szCs w:val="24"/>
                <w:highlight w:val="none"/>
                <w:lang w:eastAsia="zh-CN"/>
              </w:rPr>
              <w:t>（</w:t>
            </w:r>
            <w:r>
              <w:rPr>
                <w:rFonts w:hint="eastAsia" w:ascii="Times New Roman" w:hAnsi="Times New Roman" w:cs="Times New Roman"/>
                <w:bCs w:val="0"/>
                <w:color w:val="auto"/>
                <w:sz w:val="24"/>
                <w:szCs w:val="24"/>
                <w:highlight w:val="none"/>
                <w:lang w:val="en-US" w:eastAsia="zh-CN"/>
              </w:rPr>
              <w:t>除尘效率99.2%</w:t>
            </w:r>
            <w:r>
              <w:rPr>
                <w:rFonts w:hint="eastAsia" w:ascii="Times New Roman" w:hAnsi="Times New Roman" w:cs="Times New Roman"/>
                <w:bCs w:val="0"/>
                <w:color w:val="auto"/>
                <w:sz w:val="24"/>
                <w:szCs w:val="24"/>
                <w:highlight w:val="none"/>
                <w:lang w:eastAsia="zh-CN"/>
              </w:rPr>
              <w:t>）</w:t>
            </w:r>
            <w:r>
              <w:rPr>
                <w:rFonts w:hint="default" w:ascii="Times New Roman" w:hAnsi="Times New Roman" w:cs="Times New Roman"/>
                <w:bCs w:val="0"/>
                <w:color w:val="auto"/>
                <w:sz w:val="24"/>
                <w:szCs w:val="24"/>
                <w:highlight w:val="none"/>
              </w:rPr>
              <w:t>进行除尘，经处理后，大气污染物SO</w:t>
            </w:r>
            <w:r>
              <w:rPr>
                <w:rFonts w:hint="default" w:ascii="Times New Roman" w:hAnsi="Times New Roman" w:cs="Times New Roman"/>
                <w:bCs w:val="0"/>
                <w:color w:val="auto"/>
                <w:sz w:val="24"/>
                <w:szCs w:val="24"/>
                <w:highlight w:val="none"/>
                <w:vertAlign w:val="subscript"/>
              </w:rPr>
              <w:t>2</w:t>
            </w:r>
            <w:r>
              <w:rPr>
                <w:rFonts w:hint="default" w:ascii="Times New Roman" w:hAnsi="Times New Roman" w:cs="Times New Roman"/>
                <w:bCs w:val="0"/>
                <w:color w:val="auto"/>
                <w:sz w:val="24"/>
                <w:szCs w:val="24"/>
                <w:highlight w:val="none"/>
              </w:rPr>
              <w:t>、NO</w:t>
            </w:r>
            <w:r>
              <w:rPr>
                <w:rFonts w:hint="default" w:ascii="Times New Roman" w:hAnsi="Times New Roman" w:cs="Times New Roman"/>
                <w:bCs w:val="0"/>
                <w:color w:val="auto"/>
                <w:sz w:val="24"/>
                <w:szCs w:val="24"/>
                <w:highlight w:val="none"/>
                <w:vertAlign w:val="subscript"/>
              </w:rPr>
              <w:t>X</w:t>
            </w:r>
            <w:r>
              <w:rPr>
                <w:rFonts w:hint="default" w:ascii="Times New Roman" w:hAnsi="Times New Roman" w:cs="Times New Roman"/>
                <w:bCs w:val="0"/>
                <w:color w:val="auto"/>
                <w:sz w:val="24"/>
                <w:szCs w:val="24"/>
                <w:highlight w:val="none"/>
              </w:rPr>
              <w:t>、</w:t>
            </w:r>
            <w:r>
              <w:rPr>
                <w:rFonts w:hint="default" w:ascii="Times New Roman" w:hAnsi="Times New Roman" w:cs="Times New Roman"/>
                <w:bCs w:val="0"/>
                <w:color w:val="auto"/>
                <w:sz w:val="24"/>
                <w:szCs w:val="24"/>
                <w:highlight w:val="none"/>
                <w:lang w:val="en-US" w:eastAsia="zh-CN"/>
              </w:rPr>
              <w:t>颗粒物</w:t>
            </w:r>
            <w:r>
              <w:rPr>
                <w:rFonts w:hint="default" w:ascii="Times New Roman" w:hAnsi="Times New Roman" w:cs="Times New Roman"/>
                <w:bCs w:val="0"/>
                <w:color w:val="auto"/>
                <w:sz w:val="24"/>
                <w:szCs w:val="24"/>
                <w:highlight w:val="none"/>
              </w:rPr>
              <w:t>排放浓度满足《锅炉大气污染物排放标准》（GB13271-2014）</w:t>
            </w:r>
            <w:r>
              <w:rPr>
                <w:rFonts w:hint="default" w:ascii="Times New Roman" w:hAnsi="Times New Roman" w:cs="Times New Roman"/>
                <w:color w:val="auto"/>
                <w:sz w:val="24"/>
                <w:szCs w:val="24"/>
                <w:highlight w:val="none"/>
              </w:rPr>
              <w:t>，项目建设</w:t>
            </w:r>
            <w:r>
              <w:rPr>
                <w:rFonts w:hint="default" w:ascii="Times New Roman" w:hAnsi="Times New Roman" w:cs="Times New Roman"/>
                <w:color w:val="auto"/>
                <w:sz w:val="24"/>
                <w:highlight w:val="none"/>
              </w:rPr>
              <w:t>符合</w:t>
            </w:r>
            <w:r>
              <w:rPr>
                <w:rFonts w:hint="default" w:ascii="Times New Roman" w:hAnsi="Times New Roman" w:cs="Times New Roman"/>
                <w:bCs w:val="0"/>
                <w:color w:val="auto"/>
                <w:kern w:val="0"/>
                <w:sz w:val="24"/>
                <w:szCs w:val="24"/>
                <w:highlight w:val="none"/>
              </w:rPr>
              <w:t>《鸡西市“十四五”生态环境保护规划》要求。</w:t>
            </w:r>
          </w:p>
          <w:p w14:paraId="66B872B9">
            <w:pPr>
              <w:keepNext w:val="0"/>
              <w:keepLines w:val="0"/>
              <w:pageBreakBefore w:val="0"/>
              <w:widowControl w:val="0"/>
              <w:kinsoku/>
              <w:wordWrap/>
              <w:overflowPunct/>
              <w:topLinePunct w:val="0"/>
              <w:autoSpaceDE/>
              <w:autoSpaceDN/>
              <w:bidi w:val="0"/>
              <w:adjustRightInd w:val="0"/>
              <w:snapToGrid w:val="0"/>
              <w:ind w:left="0" w:leftChars="0" w:firstLine="482" w:firstLineChars="200"/>
              <w:textAlignment w:val="auto"/>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2.9与《黑龙江省水污染防治条例》符合性分析</w:t>
            </w:r>
          </w:p>
          <w:p w14:paraId="0A5C728A">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cs="Times New Roman"/>
                <w:bCs w:val="0"/>
                <w:color w:val="auto"/>
                <w:kern w:val="0"/>
                <w:sz w:val="24"/>
                <w:szCs w:val="24"/>
                <w:highlight w:val="none"/>
                <w:lang w:val="en-US" w:eastAsia="zh-CN"/>
              </w:rPr>
            </w:pPr>
            <w:r>
              <w:rPr>
                <w:rFonts w:hint="default" w:ascii="Times New Roman" w:hAnsi="Times New Roman" w:cs="Times New Roman"/>
                <w:bCs w:val="0"/>
                <w:color w:val="auto"/>
                <w:kern w:val="0"/>
                <w:sz w:val="24"/>
                <w:szCs w:val="24"/>
                <w:highlight w:val="none"/>
                <w:lang w:val="en-US" w:eastAsia="zh-CN"/>
              </w:rPr>
              <w:t>第十一条新建、改建、扩建直接或者间接向水体排放污染物的建设项目和其他水上设施，应当依法进行环境影响评价，并符合国家、省、市（地）有关生态保护红线、环境质量底线、资源利用上线和生态环境准入清单的要求。</w:t>
            </w:r>
          </w:p>
          <w:p w14:paraId="5D76F786">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b w:val="0"/>
                <w:bCs/>
                <w:color w:val="auto"/>
                <w:spacing w:val="0"/>
                <w:sz w:val="24"/>
                <w:szCs w:val="24"/>
                <w:highlight w:val="none"/>
                <w:lang w:val="en-US" w:eastAsia="zh-CN"/>
              </w:rPr>
            </w:pPr>
            <w:r>
              <w:rPr>
                <w:rFonts w:hint="default" w:ascii="Times New Roman" w:hAnsi="Times New Roman" w:eastAsia="宋体" w:cs="Times New Roman"/>
                <w:i w:val="0"/>
                <w:iCs w:val="0"/>
                <w:caps w:val="0"/>
                <w:color w:val="auto"/>
                <w:spacing w:val="0"/>
                <w:sz w:val="24"/>
                <w:szCs w:val="24"/>
                <w:highlight w:val="none"/>
                <w:shd w:val="clear" w:fill="FFFFFF"/>
              </w:rPr>
              <w:t>第十六条</w:t>
            </w:r>
            <w:r>
              <w:rPr>
                <w:rFonts w:hint="default" w:ascii="Times New Roman" w:hAnsi="Times New Roman" w:eastAsia="宋体" w:cs="Times New Roman"/>
                <w:b w:val="0"/>
                <w:bCs/>
                <w:color w:val="auto"/>
                <w:spacing w:val="0"/>
                <w:sz w:val="24"/>
                <w:szCs w:val="24"/>
                <w:highlight w:val="none"/>
                <w:lang w:val="en-US" w:eastAsia="zh-CN"/>
              </w:rPr>
              <w:t>实行排污许可管理的企业事业单位和其他生产经营者应当按照排污许可证要求和有关标准规范，自行监测排放的水污染物，保存原始监测记录，建立环境管理台账。原始监测记录、环境管理台账保存期限不少于五年。</w:t>
            </w:r>
          </w:p>
          <w:p w14:paraId="18241F78">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b w:val="0"/>
                <w:bCs/>
                <w:color w:val="auto"/>
                <w:spacing w:val="0"/>
                <w:sz w:val="24"/>
                <w:szCs w:val="24"/>
                <w:highlight w:val="none"/>
                <w:lang w:val="en-US" w:eastAsia="zh-CN"/>
              </w:rPr>
            </w:pPr>
            <w:r>
              <w:rPr>
                <w:rFonts w:hint="default" w:ascii="Times New Roman" w:hAnsi="Times New Roman" w:eastAsia="宋体" w:cs="Times New Roman"/>
                <w:b w:val="0"/>
                <w:bCs/>
                <w:color w:val="auto"/>
                <w:spacing w:val="0"/>
                <w:sz w:val="24"/>
                <w:szCs w:val="24"/>
                <w:highlight w:val="none"/>
                <w:lang w:val="en-US" w:eastAsia="zh-CN"/>
              </w:rPr>
              <w:t>实行排污许可重点管理的排污单位，应当依法安装、使用、维护污染物排放自动监测设备，并与生态环境主管部门的监控设备联网。排污单位发现水污染物排放自动监测设备传输数据异常的，应当及时报告生态环境主管部门，并进行检查、修复。</w:t>
            </w:r>
          </w:p>
          <w:p w14:paraId="1E33F5C9">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b w:val="0"/>
                <w:bCs/>
                <w:color w:val="auto"/>
                <w:spacing w:val="0"/>
                <w:sz w:val="24"/>
                <w:szCs w:val="24"/>
                <w:highlight w:val="none"/>
                <w:lang w:val="en-US" w:eastAsia="zh-CN"/>
              </w:rPr>
            </w:pPr>
            <w:r>
              <w:rPr>
                <w:rFonts w:hint="default" w:ascii="Times New Roman" w:hAnsi="Times New Roman" w:cs="Times New Roman"/>
                <w:b w:val="0"/>
                <w:bCs/>
                <w:color w:val="auto"/>
                <w:spacing w:val="0"/>
                <w:sz w:val="24"/>
                <w:szCs w:val="24"/>
                <w:highlight w:val="none"/>
                <w:lang w:val="en-US" w:eastAsia="zh-CN"/>
              </w:rPr>
              <w:t>本项目为</w:t>
            </w:r>
            <w:r>
              <w:rPr>
                <w:rFonts w:hint="eastAsia" w:ascii="Times New Roman" w:hAnsi="Times New Roman" w:cs="Times New Roman"/>
                <w:b w:val="0"/>
                <w:bCs/>
                <w:color w:val="auto"/>
                <w:spacing w:val="0"/>
                <w:sz w:val="24"/>
                <w:szCs w:val="24"/>
                <w:highlight w:val="none"/>
                <w:lang w:val="en-US" w:eastAsia="zh-CN"/>
              </w:rPr>
              <w:t>建设一台2.1MW</w:t>
            </w:r>
            <w:r>
              <w:rPr>
                <w:rFonts w:hint="default" w:ascii="Times New Roman" w:hAnsi="Times New Roman" w:cs="Times New Roman"/>
                <w:b w:val="0"/>
                <w:bCs/>
                <w:color w:val="auto"/>
                <w:spacing w:val="0"/>
                <w:sz w:val="24"/>
                <w:szCs w:val="24"/>
                <w:highlight w:val="none"/>
                <w:lang w:val="en-US" w:eastAsia="zh-CN"/>
              </w:rPr>
              <w:t>生物质锅炉项目，排放的废水主要为锅炉排污水</w:t>
            </w:r>
            <w:r>
              <w:rPr>
                <w:rFonts w:hint="eastAsia" w:ascii="Times New Roman" w:hAnsi="Times New Roman" w:cs="Times New Roman"/>
                <w:b w:val="0"/>
                <w:bCs/>
                <w:color w:val="auto"/>
                <w:spacing w:val="0"/>
                <w:sz w:val="24"/>
                <w:szCs w:val="24"/>
                <w:highlight w:val="none"/>
                <w:lang w:val="en-US" w:eastAsia="zh-CN"/>
              </w:rPr>
              <w:t>及软水制备废水</w:t>
            </w:r>
            <w:r>
              <w:rPr>
                <w:rFonts w:hint="default" w:ascii="Times New Roman" w:hAnsi="Times New Roman" w:cs="Times New Roman"/>
                <w:b w:val="0"/>
                <w:bCs/>
                <w:color w:val="auto"/>
                <w:spacing w:val="0"/>
                <w:sz w:val="24"/>
                <w:szCs w:val="24"/>
                <w:highlight w:val="none"/>
                <w:lang w:val="en-US" w:eastAsia="zh-CN"/>
              </w:rPr>
              <w:t>，本项目正依法进行环境影响评价，符合生态保护红线、环境质量底线、资源利用上线和生态环境准入清单的要求。本项目建成后按照全</w:t>
            </w:r>
            <w:r>
              <w:rPr>
                <w:rFonts w:hint="eastAsia" w:ascii="Times New Roman" w:hAnsi="Times New Roman" w:cs="Times New Roman"/>
                <w:b w:val="0"/>
                <w:bCs/>
                <w:color w:val="auto"/>
                <w:spacing w:val="0"/>
                <w:sz w:val="24"/>
                <w:szCs w:val="24"/>
                <w:highlight w:val="none"/>
                <w:lang w:val="en-US" w:eastAsia="zh-CN"/>
              </w:rPr>
              <w:t>院</w:t>
            </w:r>
            <w:r>
              <w:rPr>
                <w:rFonts w:hint="default" w:ascii="Times New Roman" w:hAnsi="Times New Roman" w:cs="Times New Roman"/>
                <w:b w:val="0"/>
                <w:bCs/>
                <w:color w:val="auto"/>
                <w:spacing w:val="0"/>
                <w:sz w:val="24"/>
                <w:szCs w:val="24"/>
                <w:highlight w:val="none"/>
                <w:lang w:val="en-US" w:eastAsia="zh-CN"/>
              </w:rPr>
              <w:t>行业类别与污染物排放情况进行排污许可证申领工作，本项目排放的废水主要为锅炉排污水</w:t>
            </w:r>
            <w:r>
              <w:rPr>
                <w:rFonts w:hint="eastAsia" w:ascii="Times New Roman" w:hAnsi="Times New Roman" w:cs="Times New Roman"/>
                <w:b w:val="0"/>
                <w:bCs/>
                <w:color w:val="auto"/>
                <w:spacing w:val="0"/>
                <w:sz w:val="24"/>
                <w:szCs w:val="24"/>
                <w:highlight w:val="none"/>
                <w:lang w:val="en-US" w:eastAsia="zh-CN"/>
              </w:rPr>
              <w:t>及软水制备废水</w:t>
            </w:r>
            <w:r>
              <w:rPr>
                <w:rFonts w:hint="default" w:ascii="Times New Roman" w:hAnsi="Times New Roman" w:cs="Times New Roman"/>
                <w:b w:val="0"/>
                <w:bCs/>
                <w:color w:val="auto"/>
                <w:spacing w:val="0"/>
                <w:sz w:val="24"/>
                <w:szCs w:val="24"/>
                <w:highlight w:val="none"/>
                <w:lang w:val="en-US" w:eastAsia="zh-CN"/>
              </w:rPr>
              <w:t>，不属于高污染废水，</w:t>
            </w:r>
            <w:r>
              <w:rPr>
                <w:rFonts w:hint="default" w:ascii="Times New Roman" w:hAnsi="Times New Roman" w:eastAsia="宋体" w:cs="Times New Roman"/>
                <w:bCs w:val="0"/>
                <w:color w:val="auto"/>
                <w:spacing w:val="0"/>
                <w:kern w:val="2"/>
                <w:sz w:val="21"/>
                <w:szCs w:val="21"/>
                <w:highlight w:val="none"/>
                <w:lang w:val="en-US" w:eastAsia="zh-CN" w:bidi="ar-SA"/>
              </w:rPr>
              <w:t>污</w:t>
            </w:r>
            <w:r>
              <w:rPr>
                <w:rFonts w:hint="default" w:ascii="Times New Roman" w:hAnsi="Times New Roman" w:cs="Times New Roman"/>
                <w:b w:val="0"/>
                <w:bCs/>
                <w:color w:val="auto"/>
                <w:spacing w:val="0"/>
                <w:sz w:val="24"/>
                <w:szCs w:val="24"/>
                <w:highlight w:val="none"/>
                <w:lang w:val="en-US" w:eastAsia="zh-CN"/>
              </w:rPr>
              <w:t>水主要为锅炉排污水和软水制备废水</w:t>
            </w:r>
            <w:r>
              <w:rPr>
                <w:rFonts w:hint="eastAsia" w:ascii="Times New Roman" w:hAnsi="Times New Roman" w:cs="Times New Roman"/>
                <w:b w:val="0"/>
                <w:bCs/>
                <w:color w:val="auto"/>
                <w:spacing w:val="0"/>
                <w:sz w:val="24"/>
                <w:szCs w:val="24"/>
                <w:highlight w:val="none"/>
                <w:lang w:val="en-US" w:eastAsia="zh-CN"/>
              </w:rPr>
              <w:t>，少量</w:t>
            </w:r>
            <w:r>
              <w:rPr>
                <w:rFonts w:hint="default" w:ascii="Times New Roman" w:hAnsi="Times New Roman" w:cs="Times New Roman"/>
                <w:b w:val="0"/>
                <w:bCs/>
                <w:color w:val="auto"/>
                <w:spacing w:val="0"/>
                <w:sz w:val="24"/>
                <w:szCs w:val="24"/>
                <w:highlight w:val="none"/>
                <w:lang w:val="en-US" w:eastAsia="zh-CN"/>
              </w:rPr>
              <w:t>收集后用于灰渣</w:t>
            </w:r>
            <w:r>
              <w:rPr>
                <w:rFonts w:hint="eastAsia" w:ascii="Times New Roman" w:hAnsi="Times New Roman" w:cs="Times New Roman"/>
                <w:b w:val="0"/>
                <w:bCs/>
                <w:color w:val="auto"/>
                <w:spacing w:val="0"/>
                <w:sz w:val="24"/>
                <w:szCs w:val="24"/>
                <w:highlight w:val="none"/>
                <w:lang w:val="en-US" w:eastAsia="zh-CN"/>
              </w:rPr>
              <w:t>加湿其余锅炉污水通过院区污水总排口进入市政管网，排入城子河区污水处理厂进行处理。</w:t>
            </w:r>
            <w:r>
              <w:rPr>
                <w:rFonts w:hint="default" w:ascii="Times New Roman" w:hAnsi="Times New Roman" w:cs="Times New Roman"/>
                <w:b w:val="0"/>
                <w:bCs/>
                <w:color w:val="auto"/>
                <w:spacing w:val="0"/>
                <w:sz w:val="24"/>
                <w:szCs w:val="24"/>
                <w:highlight w:val="none"/>
                <w:lang w:val="en-US" w:eastAsia="zh-CN"/>
              </w:rPr>
              <w:t>因此本项目符合《黑龙江省水污染防治条例》相关要求。</w:t>
            </w:r>
          </w:p>
          <w:p w14:paraId="514C945E">
            <w:pPr>
              <w:keepNext w:val="0"/>
              <w:keepLines w:val="0"/>
              <w:pageBreakBefore w:val="0"/>
              <w:widowControl w:val="0"/>
              <w:kinsoku/>
              <w:wordWrap/>
              <w:overflowPunct/>
              <w:topLinePunct w:val="0"/>
              <w:autoSpaceDE/>
              <w:autoSpaceDN/>
              <w:bidi w:val="0"/>
              <w:adjustRightInd w:val="0"/>
              <w:snapToGrid w:val="0"/>
              <w:ind w:left="0" w:leftChars="0" w:firstLine="482" w:firstLineChars="200"/>
              <w:textAlignment w:val="auto"/>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2.10与《市场监管总局国家发展改革委生态环境部关于加强锅炉节能环保工作的通知》符合性分析</w:t>
            </w:r>
          </w:p>
          <w:p w14:paraId="613297EF">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b w:val="0"/>
                <w:bCs/>
                <w:color w:val="auto"/>
                <w:spacing w:val="0"/>
                <w:sz w:val="24"/>
                <w:szCs w:val="24"/>
                <w:highlight w:val="none"/>
                <w:lang w:val="en-US" w:eastAsia="zh-CN"/>
              </w:rPr>
            </w:pPr>
            <w:r>
              <w:rPr>
                <w:rFonts w:hint="default" w:ascii="Times New Roman" w:hAnsi="Times New Roman" w:eastAsia="宋体" w:cs="Times New Roman"/>
                <w:b w:val="0"/>
                <w:bCs/>
                <w:color w:val="auto"/>
                <w:spacing w:val="0"/>
                <w:sz w:val="24"/>
                <w:szCs w:val="24"/>
                <w:highlight w:val="none"/>
                <w:lang w:val="en-US" w:eastAsia="zh-CN"/>
              </w:rPr>
              <w:t>锅炉使用单位要落实主体责任，确保锅炉运行能效和大气污染物排放满足相关法律法规、技术规范及标准和要求。</w:t>
            </w:r>
          </w:p>
          <w:p w14:paraId="3C3C6509">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b w:val="0"/>
                <w:bCs/>
                <w:color w:val="auto"/>
                <w:spacing w:val="0"/>
                <w:sz w:val="24"/>
                <w:szCs w:val="24"/>
                <w:highlight w:val="none"/>
                <w:lang w:val="en-US" w:eastAsia="zh-CN"/>
              </w:rPr>
            </w:pPr>
            <w:r>
              <w:rPr>
                <w:rFonts w:hint="default" w:ascii="Times New Roman" w:hAnsi="Times New Roman" w:eastAsia="宋体" w:cs="Times New Roman"/>
                <w:b w:val="0"/>
                <w:bCs/>
                <w:color w:val="auto"/>
                <w:spacing w:val="0"/>
                <w:sz w:val="24"/>
                <w:szCs w:val="24"/>
                <w:highlight w:val="none"/>
                <w:lang w:val="en-US" w:eastAsia="zh-CN"/>
              </w:rPr>
              <w:t>1.锅炉使用单位应当按照锅炉技术参数配置合适的辅助设备和环保设施。</w:t>
            </w:r>
          </w:p>
          <w:p w14:paraId="1511EF6D">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b w:val="0"/>
                <w:bCs/>
                <w:color w:val="auto"/>
                <w:spacing w:val="0"/>
                <w:sz w:val="24"/>
                <w:szCs w:val="24"/>
                <w:highlight w:val="none"/>
                <w:lang w:val="en-US" w:eastAsia="zh-CN"/>
              </w:rPr>
            </w:pPr>
            <w:r>
              <w:rPr>
                <w:rFonts w:hint="default" w:ascii="Times New Roman" w:hAnsi="Times New Roman" w:eastAsia="宋体" w:cs="Times New Roman"/>
                <w:b w:val="0"/>
                <w:bCs/>
                <w:color w:val="auto"/>
                <w:spacing w:val="0"/>
                <w:sz w:val="24"/>
                <w:szCs w:val="24"/>
                <w:highlight w:val="none"/>
                <w:lang w:val="en-US" w:eastAsia="zh-CN"/>
              </w:rPr>
              <w:t>2.锅炉及其系统要配备符合技术规范及相关标准规定的计量装置，并记录相关数据。</w:t>
            </w:r>
          </w:p>
          <w:p w14:paraId="20DC4154">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b w:val="0"/>
                <w:bCs/>
                <w:color w:val="auto"/>
                <w:spacing w:val="0"/>
                <w:sz w:val="24"/>
                <w:szCs w:val="24"/>
                <w:highlight w:val="none"/>
                <w:lang w:val="en-US" w:eastAsia="zh-CN"/>
              </w:rPr>
            </w:pPr>
            <w:r>
              <w:rPr>
                <w:rFonts w:hint="default" w:ascii="Times New Roman" w:hAnsi="Times New Roman" w:eastAsia="宋体" w:cs="Times New Roman"/>
                <w:b w:val="0"/>
                <w:bCs/>
                <w:color w:val="auto"/>
                <w:spacing w:val="0"/>
                <w:sz w:val="24"/>
                <w:szCs w:val="24"/>
                <w:highlight w:val="none"/>
                <w:lang w:val="en-US" w:eastAsia="zh-CN"/>
              </w:rPr>
              <w:t>3.锅炉使用单位应当完善相关节能环保管理制度，建立锅炉节能环保技术档案，明确目标责任与岗位管理责任。</w:t>
            </w:r>
          </w:p>
          <w:p w14:paraId="4FE4FA7E">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b w:val="0"/>
                <w:bCs/>
                <w:color w:val="auto"/>
                <w:spacing w:val="0"/>
                <w:sz w:val="24"/>
                <w:szCs w:val="24"/>
                <w:highlight w:val="none"/>
                <w:lang w:val="en-US" w:eastAsia="zh-CN"/>
              </w:rPr>
            </w:pPr>
            <w:r>
              <w:rPr>
                <w:rFonts w:hint="default" w:ascii="Times New Roman" w:hAnsi="Times New Roman" w:eastAsia="宋体" w:cs="Times New Roman"/>
                <w:b w:val="0"/>
                <w:bCs/>
                <w:color w:val="auto"/>
                <w:spacing w:val="0"/>
                <w:sz w:val="24"/>
                <w:szCs w:val="24"/>
                <w:highlight w:val="none"/>
                <w:lang w:val="en-US" w:eastAsia="zh-CN"/>
              </w:rPr>
              <w:t>4.锅炉使用单位应当依法依规申领排污许可证，建立自行监测制度，落实自行监测管理要求，严格记录并保存环境管理台账，及时编制并提交排污许可证执行报告。</w:t>
            </w:r>
          </w:p>
          <w:p w14:paraId="20E3807D">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b w:val="0"/>
                <w:bCs/>
                <w:color w:val="auto"/>
                <w:spacing w:val="0"/>
                <w:sz w:val="24"/>
                <w:szCs w:val="24"/>
                <w:highlight w:val="none"/>
                <w:lang w:val="en-US" w:eastAsia="zh-CN"/>
              </w:rPr>
            </w:pPr>
            <w:r>
              <w:rPr>
                <w:rFonts w:hint="default" w:ascii="Times New Roman" w:hAnsi="Times New Roman" w:eastAsia="宋体" w:cs="Times New Roman"/>
                <w:b w:val="0"/>
                <w:bCs/>
                <w:color w:val="auto"/>
                <w:spacing w:val="0"/>
                <w:sz w:val="24"/>
                <w:szCs w:val="24"/>
                <w:highlight w:val="none"/>
                <w:lang w:val="en-US" w:eastAsia="zh-CN"/>
              </w:rPr>
              <w:t>5.在用锅炉的大气污染物排放不符合环境保护要求的，使用单位应当采取相应的改进措施。整改后仍然不符合要求的，不得继续使用。</w:t>
            </w:r>
          </w:p>
          <w:p w14:paraId="306FB131">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b w:val="0"/>
                <w:bCs/>
                <w:color w:val="auto"/>
                <w:spacing w:val="0"/>
                <w:sz w:val="24"/>
                <w:szCs w:val="24"/>
                <w:highlight w:val="none"/>
                <w:lang w:val="en-US" w:eastAsia="zh-CN"/>
              </w:rPr>
            </w:pPr>
            <w:r>
              <w:rPr>
                <w:rFonts w:hint="default" w:ascii="Times New Roman" w:hAnsi="Times New Roman" w:eastAsia="宋体" w:cs="Times New Roman"/>
                <w:b w:val="0"/>
                <w:bCs/>
                <w:color w:val="auto"/>
                <w:spacing w:val="0"/>
                <w:sz w:val="24"/>
                <w:szCs w:val="24"/>
                <w:highlight w:val="none"/>
                <w:lang w:val="en-US" w:eastAsia="zh-CN"/>
              </w:rPr>
              <w:t>6.锅炉使用单位应及时主动报废已淘汰锅炉，并申请注销使用登记证，不得将已淘汰锅炉移装或再次投入使用。</w:t>
            </w:r>
          </w:p>
          <w:p w14:paraId="0B9EA87B">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cs="Times New Roman"/>
                <w:b w:val="0"/>
                <w:bCs/>
                <w:color w:val="auto"/>
                <w:spacing w:val="0"/>
                <w:sz w:val="24"/>
                <w:szCs w:val="24"/>
                <w:highlight w:val="none"/>
                <w:lang w:val="en-US" w:eastAsia="zh-CN"/>
              </w:rPr>
            </w:pPr>
            <w:r>
              <w:rPr>
                <w:rFonts w:hint="default" w:ascii="Times New Roman" w:hAnsi="Times New Roman" w:cs="Times New Roman"/>
                <w:b w:val="0"/>
                <w:bCs/>
                <w:color w:val="auto"/>
                <w:spacing w:val="0"/>
                <w:sz w:val="24"/>
                <w:szCs w:val="24"/>
                <w:highlight w:val="none"/>
                <w:lang w:val="en-US" w:eastAsia="zh-CN"/>
              </w:rPr>
              <w:t>本项目</w:t>
            </w:r>
            <w:r>
              <w:rPr>
                <w:rFonts w:hint="eastAsia" w:ascii="Times New Roman" w:hAnsi="Times New Roman" w:cs="Times New Roman"/>
                <w:b w:val="0"/>
                <w:bCs/>
                <w:color w:val="auto"/>
                <w:spacing w:val="0"/>
                <w:sz w:val="24"/>
                <w:szCs w:val="24"/>
                <w:highlight w:val="none"/>
                <w:lang w:val="en-US" w:eastAsia="zh-CN"/>
              </w:rPr>
              <w:t>建设</w:t>
            </w:r>
            <w:r>
              <w:rPr>
                <w:rFonts w:hint="default" w:ascii="Times New Roman" w:hAnsi="Times New Roman" w:cs="Times New Roman"/>
                <w:b w:val="0"/>
                <w:bCs/>
                <w:color w:val="auto"/>
                <w:spacing w:val="0"/>
                <w:sz w:val="24"/>
                <w:szCs w:val="24"/>
                <w:highlight w:val="none"/>
                <w:lang w:val="en-US" w:eastAsia="zh-CN"/>
              </w:rPr>
              <w:t>一台</w:t>
            </w:r>
            <w:r>
              <w:rPr>
                <w:rFonts w:hint="eastAsia" w:ascii="Times New Roman" w:hAnsi="Times New Roman" w:cs="Times New Roman"/>
                <w:b w:val="0"/>
                <w:bCs/>
                <w:color w:val="auto"/>
                <w:spacing w:val="0"/>
                <w:sz w:val="24"/>
                <w:szCs w:val="24"/>
                <w:highlight w:val="none"/>
                <w:lang w:val="en-US" w:eastAsia="zh-CN"/>
              </w:rPr>
              <w:t>2.1MW</w:t>
            </w:r>
            <w:r>
              <w:rPr>
                <w:rFonts w:hint="default" w:ascii="Times New Roman" w:hAnsi="Times New Roman" w:cs="Times New Roman"/>
                <w:b w:val="0"/>
                <w:bCs/>
                <w:color w:val="auto"/>
                <w:spacing w:val="0"/>
                <w:sz w:val="24"/>
                <w:szCs w:val="24"/>
                <w:highlight w:val="none"/>
                <w:lang w:val="en-US" w:eastAsia="zh-CN"/>
              </w:rPr>
              <w:t>生物质锅炉用于城子河医院供热期间临时热源使用。锅炉配套一台</w:t>
            </w:r>
            <w:r>
              <w:rPr>
                <w:rFonts w:hint="eastAsia" w:ascii="Times New Roman" w:hAnsi="Times New Roman" w:cs="Times New Roman"/>
                <w:color w:val="auto"/>
                <w:spacing w:val="-1"/>
                <w:sz w:val="24"/>
                <w:szCs w:val="24"/>
                <w:highlight w:val="none"/>
                <w:lang w:val="en-US" w:eastAsia="zh-CN"/>
              </w:rPr>
              <w:t>旋风+</w:t>
            </w:r>
            <w:r>
              <w:rPr>
                <w:rFonts w:hint="default" w:ascii="Times New Roman" w:hAnsi="Times New Roman" w:cs="Times New Roman"/>
                <w:b w:val="0"/>
                <w:bCs/>
                <w:color w:val="auto"/>
                <w:spacing w:val="0"/>
                <w:sz w:val="24"/>
                <w:szCs w:val="24"/>
                <w:highlight w:val="none"/>
                <w:lang w:val="en-US" w:eastAsia="zh-CN"/>
              </w:rPr>
              <w:t>布袋除尘器作为环保措施。建成后配备相关计量装置并记录相关数据，完善相关环保管理制度，明确目标责任与管理岗位，建成后应依法依规进行排污许可申领，建立自行监测制度，开展自行监测，本项目使用的</w:t>
            </w:r>
            <w:r>
              <w:rPr>
                <w:rFonts w:hint="eastAsia" w:ascii="Times New Roman" w:hAnsi="Times New Roman" w:cs="Times New Roman"/>
                <w:color w:val="auto"/>
                <w:spacing w:val="-1"/>
                <w:sz w:val="24"/>
                <w:szCs w:val="24"/>
                <w:highlight w:val="none"/>
                <w:lang w:val="en-US" w:eastAsia="zh-CN"/>
              </w:rPr>
              <w:t>旋风+</w:t>
            </w:r>
            <w:r>
              <w:rPr>
                <w:rFonts w:hint="default" w:ascii="Times New Roman" w:hAnsi="Times New Roman" w:cs="Times New Roman"/>
                <w:b w:val="0"/>
                <w:bCs/>
                <w:color w:val="auto"/>
                <w:spacing w:val="0"/>
                <w:sz w:val="24"/>
                <w:szCs w:val="24"/>
                <w:highlight w:val="none"/>
                <w:lang w:val="en-US" w:eastAsia="zh-CN"/>
              </w:rPr>
              <w:t>布袋除尘器等属于《排污许可证申请与核发技术规范 锅炉》（HJ953—2018）可行性技术。因此本项目符合《市场监管总局国家发展改革委生态环境部关于加强锅炉节能环保工作的通知》相关要求。</w:t>
            </w:r>
          </w:p>
          <w:p w14:paraId="5DB7DAC3">
            <w:pPr>
              <w:keepNext w:val="0"/>
              <w:keepLines w:val="0"/>
              <w:pageBreakBefore w:val="0"/>
              <w:widowControl w:val="0"/>
              <w:kinsoku/>
              <w:wordWrap/>
              <w:overflowPunct/>
              <w:topLinePunct w:val="0"/>
              <w:autoSpaceDE/>
              <w:autoSpaceDN/>
              <w:bidi w:val="0"/>
              <w:adjustRightInd w:val="0"/>
              <w:snapToGrid w:val="0"/>
              <w:ind w:left="0" w:leftChars="0" w:firstLine="482" w:firstLineChars="200"/>
              <w:textAlignment w:val="auto"/>
              <w:rPr>
                <w:rFonts w:hint="default" w:ascii="Times New Roman" w:hAnsi="Times New Roman" w:cs="Times New Roman"/>
                <w:b w:val="0"/>
                <w:bCs/>
                <w:color w:val="auto"/>
                <w:spacing w:val="0"/>
                <w:sz w:val="24"/>
                <w:szCs w:val="24"/>
                <w:highlight w:val="none"/>
                <w:lang w:val="en-US" w:eastAsia="zh-CN"/>
              </w:rPr>
            </w:pPr>
            <w:r>
              <w:rPr>
                <w:rFonts w:hint="default" w:ascii="Times New Roman" w:hAnsi="Times New Roman" w:eastAsia="宋体" w:cs="Times New Roman"/>
                <w:b/>
                <w:bCs w:val="0"/>
                <w:color w:val="auto"/>
                <w:spacing w:val="0"/>
                <w:sz w:val="24"/>
                <w:szCs w:val="24"/>
                <w:highlight w:val="none"/>
                <w:lang w:val="en-US" w:eastAsia="zh-CN"/>
              </w:rPr>
              <w:t>2.1</w:t>
            </w:r>
            <w:r>
              <w:rPr>
                <w:rFonts w:hint="eastAsia" w:ascii="Times New Roman" w:hAnsi="Times New Roman" w:eastAsia="宋体" w:cs="Times New Roman"/>
                <w:b/>
                <w:bCs w:val="0"/>
                <w:color w:val="auto"/>
                <w:spacing w:val="0"/>
                <w:sz w:val="24"/>
                <w:szCs w:val="24"/>
                <w:highlight w:val="none"/>
                <w:lang w:val="en-US" w:eastAsia="zh-CN"/>
              </w:rPr>
              <w:t>1</w:t>
            </w:r>
            <w:r>
              <w:rPr>
                <w:rFonts w:hint="default" w:ascii="Times New Roman" w:hAnsi="Times New Roman" w:eastAsia="宋体" w:cs="Times New Roman"/>
                <w:b/>
                <w:bCs w:val="0"/>
                <w:color w:val="auto"/>
                <w:spacing w:val="0"/>
                <w:sz w:val="24"/>
                <w:szCs w:val="24"/>
                <w:highlight w:val="none"/>
                <w:lang w:val="en-US" w:eastAsia="zh-CN"/>
              </w:rPr>
              <w:t>与</w:t>
            </w:r>
            <w:r>
              <w:rPr>
                <w:rFonts w:hint="eastAsia" w:ascii="Times New Roman" w:hAnsi="Times New Roman" w:eastAsia="宋体" w:cs="Times New Roman"/>
                <w:b/>
                <w:bCs w:val="0"/>
                <w:color w:val="auto"/>
                <w:spacing w:val="0"/>
                <w:sz w:val="24"/>
                <w:szCs w:val="24"/>
                <w:highlight w:val="none"/>
              </w:rPr>
              <w:t>《固体废物综合治理行动计划</w:t>
            </w:r>
            <w:r>
              <w:rPr>
                <w:rFonts w:hint="default" w:ascii="Times New Roman" w:hAnsi="Times New Roman" w:eastAsia="宋体" w:cs="Times New Roman"/>
                <w:b/>
                <w:bCs w:val="0"/>
                <w:color w:val="auto"/>
                <w:spacing w:val="0"/>
                <w:sz w:val="24"/>
                <w:szCs w:val="24"/>
                <w:highlight w:val="none"/>
                <w:lang w:val="en-US" w:eastAsia="zh-CN"/>
              </w:rPr>
              <w:t>》符合性分析</w:t>
            </w:r>
          </w:p>
          <w:p w14:paraId="05BC7271">
            <w:pPr>
              <w:rPr>
                <w:rFonts w:hint="default" w:ascii="Times New Roman" w:hAnsi="Times New Roman" w:cs="Times New Roman"/>
                <w:b w:val="0"/>
                <w:bCs/>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rPr>
              <w:t>加强工业固体废物规范化管理。</w:t>
            </w:r>
            <w:r>
              <w:rPr>
                <w:rFonts w:hint="eastAsia" w:ascii="Times New Roman" w:hAnsi="Times New Roman" w:eastAsia="宋体" w:cs="Times New Roman"/>
                <w:color w:val="auto"/>
                <w:spacing w:val="0"/>
                <w:sz w:val="24"/>
                <w:szCs w:val="24"/>
                <w:highlight w:val="none"/>
              </w:rPr>
              <w:t>完善工业固体废物管理台账制度，强化全链条跟踪管控。推行工业固体废物分类收集贮存，防范混堆混排。禁止向生活垃圾收集设施中投放工业固体废物。严格执行工业固体废物、危险废物跨省转移审批制度。规范各类企业危险废物收集管理。</w:t>
            </w:r>
          </w:p>
          <w:p w14:paraId="4D804C5D">
            <w:pPr>
              <w:keepNext w:val="0"/>
              <w:keepLines w:val="0"/>
              <w:pageBreakBefore w:val="0"/>
              <w:widowControl w:val="0"/>
              <w:kinsoku/>
              <w:wordWrap/>
              <w:overflowPunct/>
              <w:topLinePunct w:val="0"/>
              <w:autoSpaceDE/>
              <w:autoSpaceDN/>
              <w:bidi w:val="0"/>
              <w:adjustRightInd w:val="0"/>
              <w:snapToGrid w:val="0"/>
              <w:ind w:left="0" w:leftChars="0" w:firstLine="420" w:firstLineChars="200"/>
              <w:textAlignment w:val="auto"/>
              <w:rPr>
                <w:rFonts w:hint="default" w:ascii="Times New Roman" w:hAnsi="Times New Roman" w:cs="Times New Roman"/>
                <w:b w:val="0"/>
                <w:bCs/>
                <w:color w:val="auto"/>
                <w:spacing w:val="0"/>
                <w:sz w:val="24"/>
                <w:szCs w:val="24"/>
                <w:highlight w:val="none"/>
                <w:lang w:val="en-US" w:eastAsia="zh-CN"/>
              </w:rPr>
            </w:pPr>
            <w:r>
              <w:rPr>
                <w:rFonts w:hint="default" w:ascii="Times New Roman" w:hAnsi="Times New Roman" w:cs="Times New Roman"/>
                <w:bCs w:val="0"/>
                <w:color w:val="auto"/>
                <w:spacing w:val="0"/>
                <w:kern w:val="2"/>
                <w:sz w:val="21"/>
                <w:szCs w:val="21"/>
                <w:highlight w:val="none"/>
                <w:lang w:val="en-US" w:eastAsia="zh-CN" w:bidi="ar-SA"/>
              </w:rPr>
              <w:t>本项目不新增劳动定员，不产生生活垃圾，主要固废为锅炉灰渣、除尘器集尘、</w:t>
            </w:r>
            <w:r>
              <w:rPr>
                <w:rFonts w:hint="eastAsia" w:ascii="Times New Roman" w:hAnsi="Times New Roman" w:cs="Times New Roman"/>
                <w:bCs w:val="0"/>
                <w:color w:val="auto"/>
                <w:spacing w:val="0"/>
                <w:kern w:val="2"/>
                <w:sz w:val="21"/>
                <w:szCs w:val="21"/>
                <w:highlight w:val="none"/>
                <w:lang w:val="en-US" w:eastAsia="zh-CN" w:bidi="ar-SA"/>
              </w:rPr>
              <w:t>废离子交换树脂、</w:t>
            </w:r>
            <w:r>
              <w:rPr>
                <w:rFonts w:hint="default" w:ascii="Times New Roman" w:hAnsi="Times New Roman" w:cs="Times New Roman"/>
                <w:bCs w:val="0"/>
                <w:color w:val="auto"/>
                <w:spacing w:val="0"/>
                <w:kern w:val="2"/>
                <w:sz w:val="21"/>
                <w:szCs w:val="21"/>
                <w:highlight w:val="none"/>
                <w:lang w:val="en-US" w:eastAsia="zh-CN" w:bidi="ar-SA"/>
              </w:rPr>
              <w:t>废布袋和废机油、废机油桶、含油抹布，废布袋收集后交厂家回收处理。废机油、废机油桶、含油抹布属于危险废物交有资质单位处置。锅炉灰渣和除尘器集尘外售综合利用。</w:t>
            </w:r>
            <w:r>
              <w:rPr>
                <w:rFonts w:hint="eastAsia" w:ascii="Times New Roman" w:hAnsi="Times New Roman" w:cs="Times New Roman"/>
                <w:bCs w:val="0"/>
                <w:color w:val="auto"/>
                <w:spacing w:val="0"/>
                <w:kern w:val="2"/>
                <w:sz w:val="21"/>
                <w:szCs w:val="21"/>
                <w:highlight w:val="none"/>
                <w:lang w:val="en-US" w:eastAsia="zh-CN" w:bidi="ar-SA"/>
              </w:rPr>
              <w:t>热水</w:t>
            </w:r>
            <w:r>
              <w:rPr>
                <w:rFonts w:hint="default" w:ascii="Times New Roman" w:hAnsi="Times New Roman" w:cs="Times New Roman"/>
                <w:bCs w:val="0"/>
                <w:color w:val="auto"/>
                <w:spacing w:val="0"/>
                <w:kern w:val="2"/>
                <w:sz w:val="21"/>
                <w:szCs w:val="21"/>
                <w:highlight w:val="none"/>
                <w:lang w:val="en-US" w:eastAsia="zh-CN" w:bidi="ar-SA"/>
              </w:rPr>
              <w:t>锅炉软化水制备系统每年更换一次离子交换树脂，废离子交换树脂不在厂区暂存，由厂家更换回收处置</w:t>
            </w:r>
            <w:r>
              <w:rPr>
                <w:rFonts w:hint="eastAsia" w:ascii="Times New Roman" w:hAnsi="Times New Roman" w:cs="Times New Roman"/>
                <w:bCs w:val="0"/>
                <w:color w:val="auto"/>
                <w:spacing w:val="0"/>
                <w:kern w:val="2"/>
                <w:sz w:val="21"/>
                <w:szCs w:val="21"/>
                <w:highlight w:val="none"/>
                <w:lang w:val="en-US" w:eastAsia="zh-CN" w:bidi="ar-SA"/>
              </w:rPr>
              <w:t>。符合《固体废物综合治理行动计划</w:t>
            </w:r>
            <w:r>
              <w:rPr>
                <w:rFonts w:hint="default" w:ascii="Times New Roman" w:hAnsi="Times New Roman" w:cs="Times New Roman"/>
                <w:bCs w:val="0"/>
                <w:color w:val="auto"/>
                <w:spacing w:val="0"/>
                <w:kern w:val="2"/>
                <w:sz w:val="21"/>
                <w:szCs w:val="21"/>
                <w:highlight w:val="none"/>
                <w:lang w:val="en-US" w:eastAsia="zh-CN" w:bidi="ar-SA"/>
              </w:rPr>
              <w:t>》</w:t>
            </w:r>
            <w:r>
              <w:rPr>
                <w:rFonts w:hint="eastAsia" w:ascii="Times New Roman" w:hAnsi="Times New Roman" w:cs="Times New Roman"/>
                <w:bCs w:val="0"/>
                <w:color w:val="auto"/>
                <w:spacing w:val="0"/>
                <w:kern w:val="2"/>
                <w:sz w:val="21"/>
                <w:szCs w:val="21"/>
                <w:highlight w:val="none"/>
                <w:lang w:val="en-US" w:eastAsia="zh-CN" w:bidi="ar-SA"/>
              </w:rPr>
              <w:t>中要求。</w:t>
            </w:r>
          </w:p>
          <w:p w14:paraId="12C92178">
            <w:pPr>
              <w:keepNext w:val="0"/>
              <w:keepLines w:val="0"/>
              <w:pageBreakBefore w:val="0"/>
              <w:widowControl w:val="0"/>
              <w:kinsoku/>
              <w:wordWrap/>
              <w:overflowPunct/>
              <w:topLinePunct w:val="0"/>
              <w:autoSpaceDE/>
              <w:autoSpaceDN/>
              <w:bidi w:val="0"/>
              <w:adjustRightInd w:val="0"/>
              <w:snapToGrid w:val="0"/>
              <w:ind w:left="0" w:leftChars="0" w:firstLine="482" w:firstLineChars="200"/>
              <w:textAlignment w:val="auto"/>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eastAsia="宋体" w:cs="Times New Roman"/>
                <w:b/>
                <w:bCs w:val="0"/>
                <w:color w:val="auto"/>
                <w:spacing w:val="0"/>
                <w:sz w:val="24"/>
                <w:szCs w:val="24"/>
                <w:highlight w:val="none"/>
                <w:lang w:val="en-US" w:eastAsia="zh-CN"/>
              </w:rPr>
              <w:t>2.1</w:t>
            </w:r>
            <w:r>
              <w:rPr>
                <w:rFonts w:hint="eastAsia" w:ascii="Times New Roman" w:hAnsi="Times New Roman" w:cs="Times New Roman"/>
                <w:b/>
                <w:bCs w:val="0"/>
                <w:color w:val="auto"/>
                <w:spacing w:val="0"/>
                <w:sz w:val="24"/>
                <w:szCs w:val="24"/>
                <w:highlight w:val="none"/>
                <w:lang w:val="en-US" w:eastAsia="zh-CN"/>
              </w:rPr>
              <w:t>2</w:t>
            </w:r>
            <w:r>
              <w:rPr>
                <w:rFonts w:hint="default" w:ascii="Times New Roman" w:hAnsi="Times New Roman" w:eastAsia="宋体" w:cs="Times New Roman"/>
                <w:b/>
                <w:bCs w:val="0"/>
                <w:color w:val="auto"/>
                <w:spacing w:val="0"/>
                <w:sz w:val="24"/>
                <w:szCs w:val="24"/>
                <w:highlight w:val="none"/>
                <w:lang w:val="en-US" w:eastAsia="zh-CN"/>
              </w:rPr>
              <w:t>与</w:t>
            </w:r>
            <w:r>
              <w:rPr>
                <w:rFonts w:hint="eastAsia" w:ascii="Times New Roman" w:hAnsi="Times New Roman" w:eastAsia="宋体" w:cs="Times New Roman"/>
                <w:b/>
                <w:bCs w:val="0"/>
                <w:color w:val="auto"/>
                <w:spacing w:val="0"/>
                <w:sz w:val="24"/>
                <w:szCs w:val="24"/>
                <w:highlight w:val="none"/>
              </w:rPr>
              <w:t>《一般工业固体废物环境管理工作指南》</w:t>
            </w:r>
            <w:r>
              <w:rPr>
                <w:rFonts w:hint="default" w:ascii="Times New Roman" w:hAnsi="Times New Roman" w:eastAsia="宋体" w:cs="Times New Roman"/>
                <w:b/>
                <w:bCs w:val="0"/>
                <w:color w:val="auto"/>
                <w:spacing w:val="0"/>
                <w:sz w:val="24"/>
                <w:szCs w:val="24"/>
                <w:highlight w:val="none"/>
                <w:lang w:val="en-US" w:eastAsia="zh-CN"/>
              </w:rPr>
              <w:t>符合性分析</w:t>
            </w:r>
          </w:p>
          <w:p w14:paraId="2606F7A2">
            <w:pPr>
              <w:keepNext w:val="0"/>
              <w:keepLines w:val="0"/>
              <w:pageBreakBefore w:val="0"/>
              <w:widowControl w:val="0"/>
              <w:kinsoku/>
              <w:wordWrap/>
              <w:overflowPunct/>
              <w:topLinePunct w:val="0"/>
              <w:autoSpaceDE/>
              <w:autoSpaceDN/>
              <w:bidi w:val="0"/>
              <w:adjustRightInd w:val="0"/>
              <w:snapToGrid w:val="0"/>
              <w:ind w:left="0" w:leftChars="0" w:firstLine="420" w:firstLineChars="200"/>
              <w:textAlignment w:val="auto"/>
              <w:rPr>
                <w:rFonts w:hint="default" w:ascii="Times New Roman" w:hAnsi="Times New Roman" w:cs="Times New Roman"/>
                <w:bCs w:val="0"/>
                <w:color w:val="auto"/>
                <w:spacing w:val="0"/>
                <w:kern w:val="2"/>
                <w:sz w:val="21"/>
                <w:szCs w:val="21"/>
                <w:highlight w:val="none"/>
                <w:lang w:val="en-US" w:eastAsia="zh-CN" w:bidi="ar-SA"/>
              </w:rPr>
            </w:pPr>
            <w:r>
              <w:rPr>
                <w:rFonts w:hint="default" w:ascii="Times New Roman" w:hAnsi="Times New Roman" w:cs="Times New Roman"/>
                <w:bCs w:val="0"/>
                <w:color w:val="auto"/>
                <w:spacing w:val="0"/>
                <w:kern w:val="2"/>
                <w:sz w:val="21"/>
                <w:szCs w:val="21"/>
                <w:highlight w:val="none"/>
                <w:lang w:val="en-US" w:eastAsia="zh-CN" w:bidi="ar-SA"/>
              </w:rPr>
              <w:t>注重源头管理。在建设项目环境影响评价文件中明确工业固体废物的种类、名称、产生量、利用和处置方式等内容。提高排污许可证和执行报告以及排放源统计年报中一般工业固体废物信息填报的准确率。推进产废单位依法实施清洁生产审核。依法限期淘汰产生严重污染环境的工业固体废物的落后生产工艺和设备。产废单位应当按照工业固体废物的污染特性进行分类管理，采取必要措施防止工业固体废物污染。</w:t>
            </w:r>
          </w:p>
          <w:p w14:paraId="734E94A3">
            <w:pPr>
              <w:keepNext w:val="0"/>
              <w:keepLines w:val="0"/>
              <w:pageBreakBefore w:val="0"/>
              <w:widowControl w:val="0"/>
              <w:kinsoku/>
              <w:wordWrap/>
              <w:overflowPunct/>
              <w:topLinePunct w:val="0"/>
              <w:autoSpaceDE/>
              <w:autoSpaceDN/>
              <w:bidi w:val="0"/>
              <w:adjustRightInd w:val="0"/>
              <w:snapToGrid w:val="0"/>
              <w:ind w:left="0" w:leftChars="0" w:firstLine="420" w:firstLineChars="200"/>
              <w:textAlignment w:val="auto"/>
              <w:rPr>
                <w:rFonts w:hint="default" w:ascii="宋体" w:hAnsi="宋体" w:eastAsia="宋体" w:cs="宋体"/>
                <w:bCs/>
                <w:color w:val="auto"/>
                <w:kern w:val="0"/>
                <w:sz w:val="24"/>
                <w:szCs w:val="24"/>
                <w:highlight w:val="none"/>
                <w:lang w:val="en-US" w:eastAsia="zh-CN" w:bidi="ar"/>
              </w:rPr>
            </w:pPr>
            <w:r>
              <w:rPr>
                <w:rFonts w:hint="eastAsia" w:ascii="Times New Roman" w:hAnsi="Times New Roman" w:cs="Times New Roman"/>
                <w:bCs w:val="0"/>
                <w:color w:val="auto"/>
                <w:spacing w:val="0"/>
                <w:kern w:val="2"/>
                <w:sz w:val="21"/>
                <w:szCs w:val="21"/>
                <w:highlight w:val="none"/>
                <w:lang w:val="en-US" w:eastAsia="zh-CN" w:bidi="ar-SA"/>
              </w:rPr>
              <w:t>本项目一般工业固废和危险废物分类管理，</w:t>
            </w:r>
            <w:r>
              <w:rPr>
                <w:rFonts w:hint="default" w:ascii="Times New Roman" w:hAnsi="Times New Roman" w:cs="Times New Roman"/>
                <w:bCs w:val="0"/>
                <w:color w:val="auto"/>
                <w:spacing w:val="0"/>
                <w:kern w:val="2"/>
                <w:sz w:val="21"/>
                <w:szCs w:val="21"/>
                <w:highlight w:val="none"/>
                <w:lang w:val="en-US" w:eastAsia="zh-CN" w:bidi="ar-SA"/>
              </w:rPr>
              <w:t>主要固废为锅炉灰渣、除尘器集尘、</w:t>
            </w:r>
            <w:r>
              <w:rPr>
                <w:rFonts w:hint="eastAsia" w:ascii="Times New Roman" w:hAnsi="Times New Roman" w:cs="Times New Roman"/>
                <w:bCs w:val="0"/>
                <w:color w:val="auto"/>
                <w:spacing w:val="0"/>
                <w:kern w:val="2"/>
                <w:sz w:val="21"/>
                <w:szCs w:val="21"/>
                <w:highlight w:val="none"/>
                <w:lang w:val="en-US" w:eastAsia="zh-CN" w:bidi="ar-SA"/>
              </w:rPr>
              <w:t>废离子交换树脂、</w:t>
            </w:r>
            <w:r>
              <w:rPr>
                <w:rFonts w:hint="default" w:ascii="Times New Roman" w:hAnsi="Times New Roman" w:cs="Times New Roman"/>
                <w:bCs w:val="0"/>
                <w:color w:val="auto"/>
                <w:spacing w:val="0"/>
                <w:kern w:val="2"/>
                <w:sz w:val="21"/>
                <w:szCs w:val="21"/>
                <w:highlight w:val="none"/>
                <w:lang w:val="en-US" w:eastAsia="zh-CN" w:bidi="ar-SA"/>
              </w:rPr>
              <w:t>废布袋和废机油、废机油桶、含油抹布，废布袋收集后交厂家回收处理。废机油、废机油桶、含油抹布属于危险废物交有资质单位处置。锅炉灰渣和除尘器集尘外售综合利用。</w:t>
            </w:r>
            <w:r>
              <w:rPr>
                <w:rFonts w:hint="eastAsia" w:ascii="Times New Roman" w:hAnsi="Times New Roman" w:cs="Times New Roman"/>
                <w:bCs w:val="0"/>
                <w:color w:val="auto"/>
                <w:spacing w:val="0"/>
                <w:kern w:val="2"/>
                <w:sz w:val="21"/>
                <w:szCs w:val="21"/>
                <w:highlight w:val="none"/>
                <w:lang w:val="en-US" w:eastAsia="zh-CN" w:bidi="ar-SA"/>
              </w:rPr>
              <w:t>热水</w:t>
            </w:r>
            <w:r>
              <w:rPr>
                <w:rFonts w:hint="default" w:ascii="Times New Roman" w:hAnsi="Times New Roman" w:cs="Times New Roman"/>
                <w:bCs w:val="0"/>
                <w:color w:val="auto"/>
                <w:spacing w:val="0"/>
                <w:kern w:val="2"/>
                <w:sz w:val="21"/>
                <w:szCs w:val="21"/>
                <w:highlight w:val="none"/>
                <w:lang w:val="en-US" w:eastAsia="zh-CN" w:bidi="ar-SA"/>
              </w:rPr>
              <w:t>锅炉软化水制备系统每年更换一次离子交换树脂，废离子交换树脂不在厂区暂存，由厂家更换回收处置</w:t>
            </w:r>
            <w:r>
              <w:rPr>
                <w:rFonts w:hint="eastAsia" w:ascii="Times New Roman" w:hAnsi="Times New Roman" w:cs="Times New Roman"/>
                <w:bCs w:val="0"/>
                <w:color w:val="auto"/>
                <w:spacing w:val="0"/>
                <w:kern w:val="2"/>
                <w:sz w:val="21"/>
                <w:szCs w:val="21"/>
                <w:highlight w:val="none"/>
                <w:lang w:val="en-US" w:eastAsia="zh-CN" w:bidi="ar-SA"/>
              </w:rPr>
              <w:t>。采取以上措施</w:t>
            </w:r>
            <w:r>
              <w:rPr>
                <w:rFonts w:hint="default" w:ascii="Times New Roman" w:hAnsi="Times New Roman" w:cs="Times New Roman"/>
                <w:bCs w:val="0"/>
                <w:color w:val="auto"/>
                <w:spacing w:val="0"/>
                <w:kern w:val="2"/>
                <w:sz w:val="21"/>
                <w:szCs w:val="21"/>
                <w:highlight w:val="none"/>
                <w:lang w:val="en-US" w:eastAsia="zh-CN" w:bidi="ar-SA"/>
              </w:rPr>
              <w:t>防止工业固体废物污染。</w:t>
            </w:r>
            <w:r>
              <w:rPr>
                <w:rFonts w:hint="eastAsia" w:ascii="Times New Roman" w:hAnsi="Times New Roman" w:cs="Times New Roman"/>
                <w:bCs w:val="0"/>
                <w:color w:val="auto"/>
                <w:spacing w:val="0"/>
                <w:kern w:val="2"/>
                <w:sz w:val="21"/>
                <w:szCs w:val="21"/>
                <w:highlight w:val="none"/>
                <w:lang w:val="en-US" w:eastAsia="zh-CN" w:bidi="ar-SA"/>
              </w:rPr>
              <w:t>符合《一般工业固体废物环境管理工作指南》中要求。</w:t>
            </w:r>
          </w:p>
          <w:p w14:paraId="75068D70">
            <w:pPr>
              <w:keepNext w:val="0"/>
              <w:keepLines w:val="0"/>
              <w:pageBreakBefore w:val="0"/>
              <w:widowControl w:val="0"/>
              <w:kinsoku/>
              <w:wordWrap/>
              <w:overflowPunct/>
              <w:topLinePunct w:val="0"/>
              <w:autoSpaceDE/>
              <w:autoSpaceDN/>
              <w:bidi w:val="0"/>
              <w:adjustRightInd w:val="0"/>
              <w:snapToGrid w:val="0"/>
              <w:ind w:left="0" w:leftChars="0" w:firstLine="482" w:firstLineChars="200"/>
              <w:textAlignment w:val="auto"/>
              <w:rPr>
                <w:rFonts w:hint="default" w:ascii="Times New Roman" w:hAnsi="Times New Roman" w:eastAsia="宋体" w:cs="Times New Roman"/>
                <w:b/>
                <w:bCs w:val="0"/>
                <w:color w:val="auto"/>
                <w:spacing w:val="0"/>
                <w:sz w:val="24"/>
                <w:szCs w:val="24"/>
                <w:highlight w:val="none"/>
              </w:rPr>
            </w:pPr>
            <w:r>
              <w:rPr>
                <w:rFonts w:hint="default" w:ascii="Times New Roman" w:hAnsi="Times New Roman" w:eastAsia="宋体" w:cs="Times New Roman"/>
                <w:b/>
                <w:bCs w:val="0"/>
                <w:color w:val="auto"/>
                <w:spacing w:val="0"/>
                <w:sz w:val="24"/>
                <w:szCs w:val="24"/>
                <w:highlight w:val="none"/>
                <w:lang w:val="en-US" w:eastAsia="zh-CN"/>
              </w:rPr>
              <w:t>2.</w:t>
            </w:r>
            <w:r>
              <w:rPr>
                <w:rFonts w:hint="default" w:ascii="Times New Roman" w:hAnsi="Times New Roman" w:cs="Times New Roman"/>
                <w:b/>
                <w:bCs w:val="0"/>
                <w:color w:val="auto"/>
                <w:spacing w:val="0"/>
                <w:sz w:val="24"/>
                <w:szCs w:val="24"/>
                <w:highlight w:val="none"/>
                <w:lang w:val="en-US" w:eastAsia="zh-CN"/>
              </w:rPr>
              <w:t>1</w:t>
            </w:r>
            <w:r>
              <w:rPr>
                <w:rFonts w:hint="eastAsia" w:ascii="Times New Roman" w:hAnsi="Times New Roman" w:cs="Times New Roman"/>
                <w:b/>
                <w:bCs w:val="0"/>
                <w:color w:val="auto"/>
                <w:spacing w:val="0"/>
                <w:sz w:val="24"/>
                <w:szCs w:val="24"/>
                <w:highlight w:val="none"/>
                <w:lang w:val="en-US" w:eastAsia="zh-CN"/>
              </w:rPr>
              <w:t>3</w:t>
            </w:r>
            <w:r>
              <w:rPr>
                <w:rFonts w:hint="default" w:ascii="Times New Roman" w:hAnsi="Times New Roman" w:eastAsia="宋体" w:cs="Times New Roman"/>
                <w:b/>
                <w:bCs w:val="0"/>
                <w:color w:val="auto"/>
                <w:spacing w:val="0"/>
                <w:sz w:val="24"/>
                <w:szCs w:val="24"/>
                <w:highlight w:val="none"/>
              </w:rPr>
              <w:t>产业政策符合性分析</w:t>
            </w:r>
          </w:p>
          <w:p w14:paraId="0CC1667C">
            <w:pP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bCs/>
                <w:color w:val="auto"/>
                <w:spacing w:val="0"/>
                <w:sz w:val="24"/>
                <w:szCs w:val="24"/>
                <w:highlight w:val="none"/>
              </w:rPr>
              <w:t>本项目为</w:t>
            </w:r>
            <w:r>
              <w:rPr>
                <w:rFonts w:hint="eastAsia" w:ascii="Times New Roman" w:hAnsi="Times New Roman" w:cs="Times New Roman"/>
                <w:bCs/>
                <w:color w:val="auto"/>
                <w:spacing w:val="0"/>
                <w:sz w:val="24"/>
                <w:szCs w:val="24"/>
                <w:highlight w:val="none"/>
                <w:lang w:val="en-US" w:eastAsia="zh-CN"/>
              </w:rPr>
              <w:t>2.1MW</w:t>
            </w:r>
            <w:r>
              <w:rPr>
                <w:rFonts w:hint="default" w:ascii="Times New Roman" w:hAnsi="Times New Roman" w:eastAsia="宋体" w:cs="Times New Roman"/>
                <w:bCs/>
                <w:color w:val="auto"/>
                <w:spacing w:val="0"/>
                <w:sz w:val="24"/>
                <w:szCs w:val="24"/>
                <w:highlight w:val="none"/>
                <w:lang w:val="en-US" w:eastAsia="zh-CN"/>
              </w:rPr>
              <w:t>燃</w:t>
            </w:r>
            <w:r>
              <w:rPr>
                <w:rFonts w:hint="default" w:ascii="Times New Roman" w:hAnsi="Times New Roman" w:cs="Times New Roman"/>
                <w:bCs/>
                <w:color w:val="auto"/>
                <w:spacing w:val="0"/>
                <w:sz w:val="24"/>
                <w:szCs w:val="24"/>
                <w:highlight w:val="none"/>
                <w:lang w:val="en-US" w:eastAsia="zh-CN"/>
              </w:rPr>
              <w:t>生物质锅炉</w:t>
            </w:r>
            <w:r>
              <w:rPr>
                <w:rFonts w:hint="default" w:ascii="Times New Roman" w:hAnsi="Times New Roman" w:eastAsia="宋体" w:cs="Times New Roman"/>
                <w:bCs/>
                <w:color w:val="auto"/>
                <w:spacing w:val="0"/>
                <w:sz w:val="24"/>
                <w:szCs w:val="24"/>
                <w:highlight w:val="none"/>
                <w:lang w:val="en-US" w:eastAsia="zh-CN"/>
              </w:rPr>
              <w:t>项目</w:t>
            </w:r>
            <w:r>
              <w:rPr>
                <w:rFonts w:hint="default" w:ascii="Times New Roman" w:hAnsi="Times New Roman" w:eastAsia="宋体" w:cs="Times New Roman"/>
                <w:color w:val="auto"/>
                <w:spacing w:val="0"/>
                <w:sz w:val="24"/>
                <w:szCs w:val="24"/>
                <w:highlight w:val="none"/>
              </w:rPr>
              <w:t>，根据《产业结构调整指导目录（</w:t>
            </w:r>
            <w:r>
              <w:rPr>
                <w:rFonts w:hint="default" w:ascii="Times New Roman" w:hAnsi="Times New Roman" w:eastAsia="宋体" w:cs="Times New Roman"/>
                <w:color w:val="auto"/>
                <w:spacing w:val="0"/>
                <w:sz w:val="24"/>
                <w:szCs w:val="24"/>
                <w:highlight w:val="none"/>
                <w:lang w:val="en-US" w:eastAsia="zh-CN"/>
              </w:rPr>
              <w:t>2024</w:t>
            </w:r>
            <w:r>
              <w:rPr>
                <w:rFonts w:hint="default" w:ascii="Times New Roman" w:hAnsi="Times New Roman" w:eastAsia="宋体" w:cs="Times New Roman"/>
                <w:color w:val="auto"/>
                <w:spacing w:val="0"/>
                <w:sz w:val="24"/>
                <w:szCs w:val="24"/>
                <w:highlight w:val="none"/>
              </w:rPr>
              <w:t>年本）》，本项目不属于鼓励类、淘汰类和限制类，</w:t>
            </w:r>
            <w:r>
              <w:rPr>
                <w:rFonts w:hint="default" w:ascii="Times New Roman" w:hAnsi="Times New Roman" w:cs="Times New Roman"/>
                <w:color w:val="auto"/>
                <w:spacing w:val="0"/>
                <w:sz w:val="24"/>
                <w:szCs w:val="24"/>
                <w:highlight w:val="none"/>
                <w:lang w:val="en-US" w:eastAsia="zh-CN"/>
              </w:rPr>
              <w:t>目录中明确：“</w:t>
            </w:r>
            <w:r>
              <w:rPr>
                <w:rFonts w:hint="default" w:ascii="Times New Roman" w:hAnsi="Times New Roman" w:eastAsia="宋体" w:cs="Times New Roman"/>
                <w:color w:val="auto"/>
                <w:spacing w:val="0"/>
                <w:sz w:val="24"/>
                <w:szCs w:val="24"/>
                <w:highlight w:val="none"/>
              </w:rPr>
              <w:t>鼓励类、限制类和淘汰类之外的，且符合国家有关法律、法规</w:t>
            </w:r>
            <w:r>
              <w:rPr>
                <w:rFonts w:hint="default" w:ascii="Times New Roman" w:hAnsi="Times New Roman" w:cs="Times New Roman"/>
                <w:color w:val="auto"/>
                <w:spacing w:val="0"/>
                <w:sz w:val="24"/>
                <w:szCs w:val="24"/>
                <w:highlight w:val="none"/>
                <w:lang w:val="en-US" w:eastAsia="zh-CN"/>
              </w:rPr>
              <w:t>和</w:t>
            </w:r>
            <w:r>
              <w:rPr>
                <w:rFonts w:hint="default" w:ascii="Times New Roman" w:hAnsi="Times New Roman" w:eastAsia="宋体" w:cs="Times New Roman"/>
                <w:color w:val="auto"/>
                <w:spacing w:val="0"/>
                <w:sz w:val="24"/>
                <w:szCs w:val="24"/>
                <w:highlight w:val="none"/>
              </w:rPr>
              <w:t>政策规定的属于允许类</w:t>
            </w:r>
            <w:r>
              <w:rPr>
                <w:rFonts w:hint="default" w:ascii="Times New Roman" w:hAnsi="Times New Roman" w:cs="Times New Roman"/>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lang w:eastAsia="zh-CN"/>
              </w:rPr>
              <w:t>。</w:t>
            </w:r>
            <w:r>
              <w:rPr>
                <w:rFonts w:hint="default" w:ascii="Times New Roman" w:hAnsi="Times New Roman" w:cs="Times New Roman"/>
                <w:color w:val="auto"/>
                <w:spacing w:val="0"/>
                <w:sz w:val="24"/>
                <w:szCs w:val="24"/>
                <w:highlight w:val="none"/>
                <w:lang w:val="en-US" w:eastAsia="zh-CN"/>
              </w:rPr>
              <w:t>本项目为允许类项目，</w:t>
            </w:r>
            <w:r>
              <w:rPr>
                <w:rFonts w:hint="default" w:ascii="Times New Roman" w:hAnsi="Times New Roman" w:eastAsia="宋体" w:cs="Times New Roman"/>
                <w:color w:val="auto"/>
                <w:spacing w:val="0"/>
                <w:sz w:val="24"/>
                <w:szCs w:val="24"/>
                <w:highlight w:val="none"/>
              </w:rPr>
              <w:t>符合国家产业政策的要求。</w:t>
            </w:r>
          </w:p>
          <w:p w14:paraId="2EB86515">
            <w:pPr>
              <w:keepNext w:val="0"/>
              <w:keepLines w:val="0"/>
              <w:pageBreakBefore w:val="0"/>
              <w:widowControl w:val="0"/>
              <w:kinsoku/>
              <w:wordWrap/>
              <w:overflowPunct/>
              <w:topLinePunct w:val="0"/>
              <w:autoSpaceDE/>
              <w:autoSpaceDN/>
              <w:bidi w:val="0"/>
              <w:adjustRightInd w:val="0"/>
              <w:snapToGrid w:val="0"/>
              <w:ind w:left="0" w:leftChars="0" w:firstLine="482" w:firstLineChars="200"/>
              <w:textAlignment w:val="auto"/>
              <w:rPr>
                <w:rFonts w:hint="default" w:ascii="Times New Roman" w:hAnsi="Times New Roman" w:eastAsia="宋体" w:cs="Times New Roman"/>
                <w:b/>
                <w:bCs w:val="0"/>
                <w:color w:val="auto"/>
                <w:spacing w:val="0"/>
                <w:sz w:val="24"/>
                <w:szCs w:val="24"/>
                <w:highlight w:val="none"/>
              </w:rPr>
            </w:pPr>
            <w:r>
              <w:rPr>
                <w:rFonts w:hint="default" w:ascii="Times New Roman" w:hAnsi="Times New Roman" w:eastAsia="宋体" w:cs="Times New Roman"/>
                <w:b/>
                <w:bCs w:val="0"/>
                <w:color w:val="auto"/>
                <w:spacing w:val="0"/>
                <w:sz w:val="24"/>
                <w:szCs w:val="24"/>
                <w:highlight w:val="none"/>
                <w:lang w:val="en-US" w:eastAsia="zh-CN"/>
              </w:rPr>
              <w:t>2.</w:t>
            </w:r>
            <w:r>
              <w:rPr>
                <w:rFonts w:hint="default" w:ascii="Times New Roman" w:hAnsi="Times New Roman" w:cs="Times New Roman"/>
                <w:b/>
                <w:bCs w:val="0"/>
                <w:color w:val="auto"/>
                <w:spacing w:val="0"/>
                <w:sz w:val="24"/>
                <w:szCs w:val="24"/>
                <w:highlight w:val="none"/>
                <w:lang w:val="en-US" w:eastAsia="zh-CN"/>
              </w:rPr>
              <w:t>1</w:t>
            </w:r>
            <w:r>
              <w:rPr>
                <w:rFonts w:hint="eastAsia" w:ascii="Times New Roman" w:hAnsi="Times New Roman" w:cs="Times New Roman"/>
                <w:b/>
                <w:bCs w:val="0"/>
                <w:color w:val="auto"/>
                <w:spacing w:val="0"/>
                <w:sz w:val="24"/>
                <w:szCs w:val="24"/>
                <w:highlight w:val="none"/>
                <w:lang w:val="en-US" w:eastAsia="zh-CN"/>
              </w:rPr>
              <w:t>4</w:t>
            </w:r>
            <w:r>
              <w:rPr>
                <w:rFonts w:hint="default" w:ascii="Times New Roman" w:hAnsi="Times New Roman" w:eastAsia="宋体" w:cs="Times New Roman"/>
                <w:b/>
                <w:bCs w:val="0"/>
                <w:color w:val="auto"/>
                <w:spacing w:val="0"/>
                <w:sz w:val="24"/>
                <w:szCs w:val="24"/>
                <w:highlight w:val="none"/>
              </w:rPr>
              <w:t>选址合理性分析</w:t>
            </w:r>
          </w:p>
          <w:p w14:paraId="0F0933FF">
            <w:pPr>
              <w:pStyle w:val="11"/>
              <w:keepNext w:val="0"/>
              <w:keepLines w:val="0"/>
              <w:pageBreakBefore w:val="0"/>
              <w:widowControl/>
              <w:kinsoku/>
              <w:wordWrap/>
              <w:overflowPunct/>
              <w:topLinePunct w:val="0"/>
              <w:autoSpaceDE/>
              <w:autoSpaceDN/>
              <w:bidi w:val="0"/>
              <w:adjustRightInd w:val="0"/>
              <w:snapToGrid w:val="0"/>
              <w:spacing w:before="0" w:after="0" w:line="360" w:lineRule="auto"/>
              <w:ind w:right="0" w:firstLine="480" w:firstLineChars="200"/>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eastAsia="宋体" w:cs="Times New Roman"/>
                <w:color w:val="auto"/>
                <w:spacing w:val="0"/>
                <w:sz w:val="24"/>
                <w:szCs w:val="28"/>
                <w:highlight w:val="none"/>
              </w:rPr>
              <w:t>（</w:t>
            </w:r>
            <w:r>
              <w:rPr>
                <w:rFonts w:hint="default" w:ascii="Times New Roman" w:hAnsi="Times New Roman" w:eastAsia="宋体" w:cs="Times New Roman"/>
                <w:bCs/>
                <w:color w:val="auto"/>
                <w:spacing w:val="0"/>
                <w:kern w:val="2"/>
                <w:sz w:val="24"/>
                <w:szCs w:val="24"/>
                <w:highlight w:val="none"/>
                <w:lang w:val="en-US" w:eastAsia="zh-CN" w:bidi="ar-SA"/>
              </w:rPr>
              <w:t>1）用地相符性</w:t>
            </w:r>
          </w:p>
          <w:p w14:paraId="3F84F8CD">
            <w:pPr>
              <w:pStyle w:val="11"/>
              <w:keepNext w:val="0"/>
              <w:keepLines w:val="0"/>
              <w:pageBreakBefore w:val="0"/>
              <w:widowControl/>
              <w:kinsoku/>
              <w:wordWrap/>
              <w:overflowPunct/>
              <w:topLinePunct w:val="0"/>
              <w:autoSpaceDE/>
              <w:autoSpaceDN/>
              <w:bidi w:val="0"/>
              <w:adjustRightInd w:val="0"/>
              <w:snapToGrid w:val="0"/>
              <w:spacing w:before="0" w:after="0" w:line="360" w:lineRule="auto"/>
              <w:ind w:right="0" w:firstLine="480" w:firstLineChars="200"/>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eastAsia" w:ascii="Times New Roman" w:hAnsi="Times New Roman" w:eastAsia="宋体" w:cs="Times New Roman"/>
                <w:bCs/>
                <w:color w:val="auto"/>
                <w:spacing w:val="0"/>
                <w:kern w:val="2"/>
                <w:sz w:val="24"/>
                <w:szCs w:val="24"/>
                <w:highlight w:val="none"/>
                <w:lang w:val="en-US" w:eastAsia="zh-CN" w:bidi="ar-SA"/>
              </w:rPr>
              <w:t>自然资源部</w:t>
            </w:r>
            <w:r>
              <w:rPr>
                <w:rFonts w:hint="eastAsia" w:cs="Times New Roman"/>
                <w:bCs/>
                <w:color w:val="auto"/>
                <w:spacing w:val="0"/>
                <w:kern w:val="2"/>
                <w:sz w:val="24"/>
                <w:szCs w:val="24"/>
                <w:highlight w:val="none"/>
                <w:lang w:val="en-US" w:eastAsia="zh-CN" w:bidi="ar-SA"/>
              </w:rPr>
              <w:t>、</w:t>
            </w:r>
            <w:r>
              <w:rPr>
                <w:rFonts w:hint="eastAsia" w:ascii="Times New Roman" w:hAnsi="Times New Roman" w:eastAsia="宋体" w:cs="Times New Roman"/>
                <w:bCs/>
                <w:color w:val="auto"/>
                <w:spacing w:val="0"/>
                <w:kern w:val="2"/>
                <w:sz w:val="24"/>
                <w:szCs w:val="24"/>
                <w:highlight w:val="none"/>
                <w:lang w:val="en-US" w:eastAsia="zh-CN" w:bidi="ar-SA"/>
              </w:rPr>
              <w:t>国家发展和改革委员会</w:t>
            </w:r>
            <w:r>
              <w:rPr>
                <w:rFonts w:hint="eastAsia" w:cs="Times New Roman"/>
                <w:bCs/>
                <w:color w:val="auto"/>
                <w:spacing w:val="0"/>
                <w:kern w:val="2"/>
                <w:sz w:val="24"/>
                <w:szCs w:val="24"/>
                <w:highlight w:val="none"/>
                <w:lang w:val="en-US" w:eastAsia="zh-CN" w:bidi="ar-SA"/>
              </w:rPr>
              <w:t>、</w:t>
            </w:r>
            <w:r>
              <w:rPr>
                <w:rFonts w:hint="eastAsia" w:ascii="Times New Roman" w:hAnsi="Times New Roman" w:eastAsia="宋体" w:cs="Times New Roman"/>
                <w:bCs/>
                <w:color w:val="auto"/>
                <w:spacing w:val="0"/>
                <w:kern w:val="2"/>
                <w:sz w:val="24"/>
                <w:szCs w:val="24"/>
                <w:highlight w:val="none"/>
                <w:lang w:val="en-US" w:eastAsia="zh-CN" w:bidi="ar-SA"/>
              </w:rPr>
              <w:t>国家林业和草原局关于印发《自然资源要素支撑产业高质量发展指导目录（2024年本）》的通知</w:t>
            </w:r>
            <w:r>
              <w:rPr>
                <w:rFonts w:hint="default" w:ascii="Times New Roman" w:hAnsi="Times New Roman" w:eastAsia="宋体" w:cs="Times New Roman"/>
                <w:bCs/>
                <w:color w:val="auto"/>
                <w:spacing w:val="0"/>
                <w:kern w:val="2"/>
                <w:sz w:val="24"/>
                <w:szCs w:val="24"/>
                <w:highlight w:val="none"/>
                <w:lang w:val="en-US" w:eastAsia="zh-CN" w:bidi="ar-SA"/>
              </w:rPr>
              <w:t>中规定，</w:t>
            </w:r>
            <w:r>
              <w:rPr>
                <w:rFonts w:hint="eastAsia" w:ascii="宋体" w:hAnsi="宋体" w:eastAsia="宋体" w:cs="宋体"/>
                <w:i w:val="0"/>
                <w:iCs w:val="0"/>
                <w:caps w:val="0"/>
                <w:color w:val="auto"/>
                <w:spacing w:val="0"/>
                <w:sz w:val="24"/>
                <w:szCs w:val="24"/>
                <w:highlight w:val="none"/>
                <w:shd w:val="clear" w:fill="FFFFFF"/>
              </w:rPr>
              <w:t>建设用地要严格控制增量，积极盘活存量，把节约用地放在首位，重点在盘活存量上下功夫。新上建设项目首先要利用现有建设用地，严格控制建设占用耕地、林地、草地和湿地等。各地要严格按照《目录》有关要求，在建设项目批准、核准前或者备案前后，依法依规对建设项目用地事项进行审查，提出建设项目用地预审意见；除依据有关规定不需用地预审的情形外，没有预审意见或预审未通过的，不得批准或核准建设项目。</w:t>
            </w:r>
          </w:p>
          <w:p w14:paraId="4E866BE8">
            <w:pPr>
              <w:pStyle w:val="11"/>
              <w:keepNext w:val="0"/>
              <w:keepLines w:val="0"/>
              <w:pageBreakBefore w:val="0"/>
              <w:widowControl/>
              <w:kinsoku/>
              <w:wordWrap/>
              <w:overflowPunct/>
              <w:topLinePunct w:val="0"/>
              <w:autoSpaceDE/>
              <w:autoSpaceDN/>
              <w:bidi w:val="0"/>
              <w:adjustRightInd w:val="0"/>
              <w:snapToGrid w:val="0"/>
              <w:spacing w:before="0" w:after="0" w:line="360" w:lineRule="auto"/>
              <w:ind w:right="0" w:firstLine="480" w:firstLineChars="200"/>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eastAsia="宋体" w:cs="Times New Roman"/>
                <w:bCs/>
                <w:color w:val="auto"/>
                <w:spacing w:val="0"/>
                <w:kern w:val="2"/>
                <w:sz w:val="24"/>
                <w:szCs w:val="24"/>
                <w:highlight w:val="none"/>
                <w:lang w:val="en-US" w:eastAsia="zh-CN" w:bidi="ar-SA"/>
              </w:rPr>
              <w:t>本项目建设地点位于</w:t>
            </w:r>
            <w:r>
              <w:rPr>
                <w:rFonts w:hint="default" w:ascii="Times New Roman" w:hAnsi="Times New Roman" w:cs="Times New Roman"/>
                <w:bCs/>
                <w:color w:val="auto"/>
                <w:spacing w:val="0"/>
                <w:sz w:val="24"/>
                <w:szCs w:val="24"/>
                <w:highlight w:val="none"/>
                <w:lang w:val="en-US" w:eastAsia="zh-CN"/>
              </w:rPr>
              <w:t>鸡西鸡矿医院有限公司城子河医院院内</w:t>
            </w:r>
            <w:r>
              <w:rPr>
                <w:rFonts w:hint="default" w:ascii="Times New Roman" w:hAnsi="Times New Roman" w:cs="Times New Roman"/>
                <w:bCs/>
                <w:color w:val="auto"/>
                <w:spacing w:val="0"/>
                <w:kern w:val="2"/>
                <w:sz w:val="24"/>
                <w:szCs w:val="24"/>
                <w:highlight w:val="none"/>
                <w:lang w:val="en-US" w:eastAsia="zh-CN" w:bidi="ar-SA"/>
              </w:rPr>
              <w:t>，</w:t>
            </w:r>
            <w:r>
              <w:rPr>
                <w:rFonts w:hint="eastAsia" w:ascii="Times New Roman" w:hAnsi="Times New Roman" w:cs="Times New Roman"/>
                <w:color w:val="auto"/>
                <w:sz w:val="24"/>
                <w:szCs w:val="24"/>
                <w:highlight w:val="none"/>
                <w:lang w:val="en-US" w:eastAsia="zh-CN"/>
              </w:rPr>
              <w:t>医院用地性质</w:t>
            </w:r>
            <w:r>
              <w:rPr>
                <w:rFonts w:hint="default" w:ascii="Times New Roman" w:hAnsi="Times New Roman" w:eastAsia="宋体" w:cs="Times New Roman"/>
                <w:color w:val="auto"/>
                <w:sz w:val="24"/>
                <w:szCs w:val="24"/>
                <w:highlight w:val="none"/>
                <w:lang w:val="en-US" w:eastAsia="zh-CN"/>
              </w:rPr>
              <w:t>为</w:t>
            </w:r>
            <w:r>
              <w:rPr>
                <w:rFonts w:hint="default" w:ascii="Times New Roman" w:hAnsi="Times New Roman" w:cs="Times New Roman"/>
                <w:color w:val="auto"/>
                <w:sz w:val="24"/>
                <w:szCs w:val="24"/>
                <w:highlight w:val="none"/>
                <w:lang w:val="en-US" w:eastAsia="zh-CN"/>
              </w:rPr>
              <w:t>建设</w:t>
            </w:r>
            <w:r>
              <w:rPr>
                <w:rFonts w:hint="default" w:ascii="Times New Roman" w:hAnsi="Times New Roman" w:eastAsia="宋体" w:cs="Times New Roman"/>
                <w:color w:val="auto"/>
                <w:sz w:val="24"/>
                <w:szCs w:val="24"/>
                <w:highlight w:val="none"/>
                <w:lang w:val="en-US" w:eastAsia="zh-CN"/>
              </w:rPr>
              <w:t>用地，</w:t>
            </w:r>
            <w:r>
              <w:rPr>
                <w:rFonts w:hint="eastAsia" w:cs="Times New Roman"/>
                <w:color w:val="auto"/>
                <w:sz w:val="24"/>
                <w:szCs w:val="24"/>
                <w:highlight w:val="none"/>
                <w:lang w:val="en-US" w:eastAsia="zh-CN"/>
              </w:rPr>
              <w:t>过路的建设</w:t>
            </w:r>
            <w:r>
              <w:rPr>
                <w:rFonts w:hint="default" w:ascii="Times New Roman" w:hAnsi="Times New Roman" w:cs="Times New Roman"/>
                <w:color w:val="auto"/>
                <w:sz w:val="24"/>
                <w:highlight w:val="none"/>
                <w:lang w:val="en-US" w:eastAsia="zh-CN"/>
              </w:rPr>
              <w:t>不新增用地面积。</w:t>
            </w:r>
            <w:r>
              <w:rPr>
                <w:rFonts w:hint="default" w:ascii="Times New Roman" w:hAnsi="Times New Roman" w:eastAsia="宋体" w:cs="Times New Roman"/>
                <w:color w:val="auto"/>
                <w:sz w:val="24"/>
                <w:szCs w:val="24"/>
                <w:highlight w:val="none"/>
              </w:rPr>
              <w:t>符合</w:t>
            </w:r>
            <w:r>
              <w:rPr>
                <w:rFonts w:hint="default" w:ascii="Times New Roman" w:hAnsi="Times New Roman" w:eastAsia="宋体" w:cs="Times New Roman"/>
                <w:color w:val="auto"/>
                <w:sz w:val="24"/>
                <w:szCs w:val="24"/>
                <w:highlight w:val="none"/>
                <w:lang w:val="en-US" w:eastAsia="zh-CN"/>
              </w:rPr>
              <w:t>国土空间规划</w:t>
            </w:r>
            <w:r>
              <w:rPr>
                <w:rFonts w:hint="default" w:ascii="Times New Roman" w:hAnsi="Times New Roman" w:eastAsia="宋体" w:cs="Times New Roman"/>
                <w:color w:val="auto"/>
                <w:sz w:val="24"/>
                <w:szCs w:val="24"/>
                <w:highlight w:val="none"/>
              </w:rPr>
              <w:t>要求，</w:t>
            </w:r>
            <w:r>
              <w:rPr>
                <w:rFonts w:hint="eastAsia" w:cs="Times New Roman"/>
                <w:color w:val="auto"/>
                <w:sz w:val="24"/>
                <w:highlight w:val="none"/>
                <w:lang w:val="en-US" w:eastAsia="zh-CN"/>
              </w:rPr>
              <w:t>可做到</w:t>
            </w:r>
            <w:r>
              <w:rPr>
                <w:rFonts w:hint="eastAsia" w:ascii="Times New Roman" w:hAnsi="Times New Roman" w:eastAsia="宋体" w:cs="Times New Roman"/>
                <w:bCs/>
                <w:color w:val="auto"/>
                <w:spacing w:val="0"/>
                <w:kern w:val="2"/>
                <w:sz w:val="24"/>
                <w:szCs w:val="24"/>
                <w:highlight w:val="none"/>
                <w:lang w:val="en-US" w:eastAsia="zh-CN" w:bidi="ar-SA"/>
              </w:rPr>
              <w:t>《自然资源要素支撑产业高质量发展指导目录（2024年本）》的通知</w:t>
            </w:r>
            <w:r>
              <w:rPr>
                <w:rFonts w:hint="default" w:ascii="Times New Roman" w:hAnsi="Times New Roman" w:eastAsia="宋体" w:cs="Times New Roman"/>
                <w:bCs/>
                <w:color w:val="auto"/>
                <w:spacing w:val="0"/>
                <w:kern w:val="2"/>
                <w:sz w:val="24"/>
                <w:szCs w:val="24"/>
                <w:highlight w:val="none"/>
                <w:lang w:val="en-US" w:eastAsia="zh-CN" w:bidi="ar-SA"/>
              </w:rPr>
              <w:t>中</w:t>
            </w:r>
            <w:r>
              <w:rPr>
                <w:rFonts w:hint="eastAsia" w:cs="Times New Roman"/>
                <w:bCs/>
                <w:color w:val="auto"/>
                <w:spacing w:val="0"/>
                <w:kern w:val="2"/>
                <w:sz w:val="24"/>
                <w:szCs w:val="24"/>
                <w:highlight w:val="none"/>
                <w:lang w:val="en-US" w:eastAsia="zh-CN" w:bidi="ar-SA"/>
              </w:rPr>
              <w:t>的“</w:t>
            </w:r>
            <w:r>
              <w:rPr>
                <w:rFonts w:hint="eastAsia" w:ascii="宋体" w:hAnsi="宋体" w:eastAsia="宋体" w:cs="宋体"/>
                <w:i w:val="0"/>
                <w:iCs w:val="0"/>
                <w:caps w:val="0"/>
                <w:color w:val="auto"/>
                <w:spacing w:val="0"/>
                <w:sz w:val="24"/>
                <w:szCs w:val="24"/>
                <w:highlight w:val="none"/>
                <w:shd w:val="clear" w:fill="FFFFFF"/>
              </w:rPr>
              <w:t>建设用地要严格控制增量，积极盘活存量，把节约用地放在首位，重点在盘活存量上下功夫</w:t>
            </w:r>
            <w:r>
              <w:rPr>
                <w:rFonts w:hint="eastAsia" w:cs="Times New Roman"/>
                <w:bCs/>
                <w:color w:val="auto"/>
                <w:spacing w:val="0"/>
                <w:kern w:val="2"/>
                <w:sz w:val="24"/>
                <w:szCs w:val="24"/>
                <w:highlight w:val="none"/>
                <w:lang w:val="en-US" w:eastAsia="zh-CN" w:bidi="ar-SA"/>
              </w:rPr>
              <w:t>”要求，</w:t>
            </w:r>
            <w:r>
              <w:rPr>
                <w:rFonts w:hint="default" w:ascii="Times New Roman" w:hAnsi="Times New Roman" w:eastAsia="宋体" w:cs="Times New Roman"/>
                <w:bCs/>
                <w:color w:val="auto"/>
                <w:spacing w:val="0"/>
                <w:kern w:val="2"/>
                <w:sz w:val="24"/>
                <w:szCs w:val="24"/>
                <w:highlight w:val="none"/>
                <w:lang w:val="en-US" w:eastAsia="zh-CN" w:bidi="ar-SA"/>
              </w:rPr>
              <w:t>符合土地政策要求。</w:t>
            </w:r>
          </w:p>
          <w:p w14:paraId="732FDA69">
            <w:pPr>
              <w:pStyle w:val="42"/>
              <w:rPr>
                <w:rFonts w:hint="default"/>
                <w:color w:val="auto"/>
                <w:highlight w:val="none"/>
                <w:lang w:val="en-US" w:eastAsia="zh-CN"/>
              </w:rPr>
            </w:pPr>
            <w:r>
              <w:rPr>
                <w:rFonts w:hint="eastAsia" w:cs="Times New Roman"/>
                <w:bCs/>
                <w:color w:val="auto"/>
                <w:spacing w:val="0"/>
                <w:kern w:val="2"/>
                <w:sz w:val="24"/>
                <w:szCs w:val="24"/>
                <w:highlight w:val="none"/>
                <w:lang w:val="en-US" w:eastAsia="zh-CN" w:bidi="ar-SA"/>
              </w:rPr>
              <w:t>拟建</w:t>
            </w:r>
            <w:r>
              <w:rPr>
                <w:rFonts w:hint="default" w:ascii="Times New Roman" w:hAnsi="Times New Roman" w:cs="Times New Roman" w:eastAsiaTheme="minorEastAsia"/>
                <w:bCs/>
                <w:color w:val="auto"/>
                <w:spacing w:val="0"/>
                <w:kern w:val="2"/>
                <w:sz w:val="24"/>
                <w:szCs w:val="24"/>
                <w:highlight w:val="none"/>
                <w:lang w:val="en-US" w:eastAsia="zh-CN" w:bidi="ar-SA"/>
              </w:rPr>
              <w:t>项目厂界东侧100米处为空地，南侧50米处为公园，西侧40米处为</w:t>
            </w:r>
            <w:r>
              <w:rPr>
                <w:rFonts w:hint="default" w:ascii="Times New Roman" w:hAnsi="Times New Roman" w:cs="Times New Roman" w:eastAsiaTheme="minorEastAsia"/>
                <w:color w:val="auto"/>
                <w:sz w:val="24"/>
                <w:szCs w:val="24"/>
                <w:highlight w:val="none"/>
                <w:lang w:val="en-US" w:eastAsia="zh-CN"/>
              </w:rPr>
              <w:t>部分居民及</w:t>
            </w:r>
            <w:r>
              <w:rPr>
                <w:rFonts w:hint="default" w:ascii="Times New Roman" w:hAnsi="Times New Roman" w:cs="Times New Roman" w:eastAsiaTheme="minorEastAsia"/>
                <w:color w:val="auto"/>
                <w:sz w:val="24"/>
                <w:highlight w:val="none"/>
                <w:lang w:val="en-US" w:eastAsia="zh-CN"/>
              </w:rPr>
              <w:t>城子河区公安局、城子河区纪检委，北侧30米处为居民。本地区常年主导风向为西风，敏感目标均位于上风向及侧风向范围内，对敏感目标的环境质量影响</w:t>
            </w:r>
            <w:r>
              <w:rPr>
                <w:rFonts w:hint="eastAsia" w:cs="Times New Roman"/>
                <w:color w:val="auto"/>
                <w:sz w:val="24"/>
                <w:highlight w:val="none"/>
                <w:lang w:val="en-US" w:eastAsia="zh-CN"/>
              </w:rPr>
              <w:t>较小，东侧为空地，无敏感目标，故建设项目选址合理，项目可行。</w:t>
            </w:r>
          </w:p>
          <w:p w14:paraId="611282AB">
            <w:pPr>
              <w:pStyle w:val="11"/>
              <w:keepNext w:val="0"/>
              <w:keepLines w:val="0"/>
              <w:pageBreakBefore w:val="0"/>
              <w:widowControl/>
              <w:kinsoku/>
              <w:wordWrap/>
              <w:overflowPunct/>
              <w:topLinePunct w:val="0"/>
              <w:autoSpaceDE/>
              <w:autoSpaceDN/>
              <w:bidi w:val="0"/>
              <w:adjustRightInd w:val="0"/>
              <w:snapToGrid w:val="0"/>
              <w:spacing w:before="0" w:after="0" w:line="360" w:lineRule="auto"/>
              <w:ind w:right="0" w:firstLine="480" w:firstLineChars="200"/>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eastAsia="宋体" w:cs="Times New Roman"/>
                <w:bCs/>
                <w:color w:val="auto"/>
                <w:spacing w:val="0"/>
                <w:kern w:val="2"/>
                <w:sz w:val="24"/>
                <w:szCs w:val="24"/>
                <w:highlight w:val="none"/>
                <w:lang w:val="en-US" w:eastAsia="zh-CN" w:bidi="ar-SA"/>
              </w:rPr>
              <w:t>（2）环境相容性</w:t>
            </w:r>
          </w:p>
          <w:p w14:paraId="1436E81F">
            <w:pPr>
              <w:pStyle w:val="11"/>
              <w:keepNext w:val="0"/>
              <w:keepLines w:val="0"/>
              <w:pageBreakBefore w:val="0"/>
              <w:widowControl/>
              <w:kinsoku/>
              <w:wordWrap/>
              <w:overflowPunct/>
              <w:topLinePunct w:val="0"/>
              <w:autoSpaceDE/>
              <w:autoSpaceDN/>
              <w:bidi w:val="0"/>
              <w:adjustRightInd w:val="0"/>
              <w:snapToGrid w:val="0"/>
              <w:spacing w:before="0" w:after="0" w:line="360" w:lineRule="auto"/>
              <w:ind w:right="0" w:firstLine="480" w:firstLineChars="200"/>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eastAsia="宋体" w:cs="Times New Roman"/>
                <w:bCs/>
                <w:color w:val="auto"/>
                <w:spacing w:val="0"/>
                <w:kern w:val="2"/>
                <w:sz w:val="24"/>
                <w:szCs w:val="24"/>
                <w:highlight w:val="none"/>
                <w:lang w:val="en-US" w:eastAsia="zh-CN" w:bidi="ar-SA"/>
              </w:rPr>
              <w:t>项目运营期产生的废气主要作为</w:t>
            </w:r>
            <w:r>
              <w:rPr>
                <w:rFonts w:hint="default" w:ascii="Times New Roman" w:hAnsi="Times New Roman" w:eastAsia="宋体" w:cs="Times New Roman"/>
                <w:color w:val="auto"/>
                <w:spacing w:val="0"/>
                <w:sz w:val="24"/>
                <w:szCs w:val="24"/>
                <w:highlight w:val="none"/>
                <w:lang w:val="en-US" w:eastAsia="zh-CN"/>
              </w:rPr>
              <w:t>锅炉产生</w:t>
            </w:r>
            <w:r>
              <w:rPr>
                <w:rFonts w:hint="default" w:ascii="Times New Roman" w:hAnsi="Times New Roman" w:eastAsia="宋体" w:cs="Times New Roman"/>
                <w:color w:val="auto"/>
                <w:spacing w:val="0"/>
                <w:sz w:val="24"/>
                <w:highlight w:val="none"/>
                <w:lang w:val="en-US" w:eastAsia="zh-CN"/>
              </w:rPr>
              <w:t>颗粒物、二氧化硫、氮氧化物、烟气黑度</w:t>
            </w:r>
            <w:r>
              <w:rPr>
                <w:rFonts w:hint="default" w:ascii="Times New Roman" w:hAnsi="Times New Roman" w:eastAsia="宋体" w:cs="Times New Roman"/>
                <w:color w:val="auto"/>
                <w:spacing w:val="0"/>
                <w:sz w:val="24"/>
                <w:szCs w:val="24"/>
                <w:highlight w:val="none"/>
                <w:lang w:val="en-US" w:eastAsia="zh-CN"/>
              </w:rPr>
              <w:t>。废气经由</w:t>
            </w:r>
            <w:r>
              <w:rPr>
                <w:rFonts w:hint="default" w:ascii="Times New Roman" w:hAnsi="Times New Roman" w:cs="Times New Roman"/>
                <w:color w:val="auto"/>
                <w:spacing w:val="0"/>
                <w:sz w:val="24"/>
                <w:szCs w:val="24"/>
                <w:highlight w:val="none"/>
                <w:lang w:val="en-US" w:eastAsia="zh-CN"/>
              </w:rPr>
              <w:t>1</w:t>
            </w:r>
            <w:r>
              <w:rPr>
                <w:rFonts w:hint="default" w:ascii="Times New Roman" w:hAnsi="Times New Roman" w:eastAsia="宋体" w:cs="Times New Roman"/>
                <w:color w:val="auto"/>
                <w:spacing w:val="0"/>
                <w:sz w:val="24"/>
                <w:szCs w:val="24"/>
                <w:highlight w:val="none"/>
                <w:lang w:val="en-US" w:eastAsia="zh-CN"/>
              </w:rPr>
              <w:t>根</w:t>
            </w:r>
            <w:r>
              <w:rPr>
                <w:rFonts w:hint="default" w:ascii="Times New Roman" w:hAnsi="Times New Roman" w:cs="Times New Roman"/>
                <w:color w:val="auto"/>
                <w:spacing w:val="0"/>
                <w:sz w:val="24"/>
                <w:szCs w:val="24"/>
                <w:highlight w:val="none"/>
                <w:lang w:val="en-US" w:eastAsia="zh-CN"/>
              </w:rPr>
              <w:t>30</w:t>
            </w:r>
            <w:r>
              <w:rPr>
                <w:rFonts w:hint="default" w:ascii="Times New Roman" w:hAnsi="Times New Roman" w:eastAsia="宋体" w:cs="Times New Roman"/>
                <w:color w:val="auto"/>
                <w:spacing w:val="0"/>
                <w:sz w:val="24"/>
                <w:szCs w:val="24"/>
                <w:highlight w:val="none"/>
                <w:lang w:eastAsia="zh-CN"/>
              </w:rPr>
              <w:t>m高</w:t>
            </w:r>
            <w:r>
              <w:rPr>
                <w:rFonts w:hint="default" w:ascii="Times New Roman" w:hAnsi="Times New Roman" w:eastAsia="宋体" w:cs="Times New Roman"/>
                <w:color w:val="auto"/>
                <w:spacing w:val="0"/>
                <w:sz w:val="24"/>
                <w:szCs w:val="24"/>
                <w:highlight w:val="none"/>
                <w:lang w:val="en-US" w:eastAsia="zh-CN"/>
              </w:rPr>
              <w:t>烟囱</w:t>
            </w:r>
            <w:r>
              <w:rPr>
                <w:rFonts w:hint="default" w:ascii="Times New Roman" w:hAnsi="Times New Roman" w:cs="Times New Roman"/>
                <w:color w:val="auto"/>
                <w:spacing w:val="0"/>
                <w:sz w:val="24"/>
                <w:szCs w:val="24"/>
                <w:highlight w:val="none"/>
                <w:lang w:val="en-US" w:eastAsia="zh-CN"/>
              </w:rPr>
              <w:t>DA001</w:t>
            </w:r>
            <w:r>
              <w:rPr>
                <w:rFonts w:hint="default" w:ascii="Times New Roman" w:hAnsi="Times New Roman" w:eastAsia="宋体" w:cs="Times New Roman"/>
                <w:color w:val="auto"/>
                <w:spacing w:val="0"/>
                <w:sz w:val="24"/>
                <w:szCs w:val="24"/>
                <w:highlight w:val="none"/>
                <w:lang w:val="en-US" w:eastAsia="zh-CN"/>
              </w:rPr>
              <w:t>有组织</w:t>
            </w:r>
            <w:r>
              <w:rPr>
                <w:rFonts w:hint="default" w:ascii="Times New Roman" w:hAnsi="Times New Roman" w:eastAsia="宋体" w:cs="Times New Roman"/>
                <w:color w:val="auto"/>
                <w:spacing w:val="0"/>
                <w:sz w:val="24"/>
                <w:szCs w:val="24"/>
                <w:highlight w:val="none"/>
              </w:rPr>
              <w:t>排放</w:t>
            </w: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lang w:val="en-US" w:eastAsia="zh-CN"/>
              </w:rPr>
              <w:t>废气排放满足</w:t>
            </w:r>
            <w:r>
              <w:rPr>
                <w:rFonts w:hint="default" w:ascii="Times New Roman" w:hAnsi="Times New Roman" w:eastAsia="宋体" w:cs="Times New Roman"/>
                <w:color w:val="auto"/>
                <w:spacing w:val="0"/>
                <w:sz w:val="24"/>
                <w:highlight w:val="none"/>
              </w:rPr>
              <w:t>《</w:t>
            </w:r>
            <w:r>
              <w:rPr>
                <w:rFonts w:hint="default" w:ascii="Times New Roman" w:hAnsi="Times New Roman" w:eastAsia="宋体" w:cs="Times New Roman"/>
                <w:color w:val="auto"/>
                <w:spacing w:val="0"/>
                <w:sz w:val="24"/>
                <w:highlight w:val="none"/>
                <w:lang w:val="en-US" w:eastAsia="zh-CN"/>
              </w:rPr>
              <w:t>锅炉大气污染物排放标准</w:t>
            </w:r>
            <w:r>
              <w:rPr>
                <w:rFonts w:hint="default" w:ascii="Times New Roman" w:hAnsi="Times New Roman" w:eastAsia="宋体" w:cs="Times New Roman"/>
                <w:color w:val="auto"/>
                <w:spacing w:val="0"/>
                <w:sz w:val="24"/>
                <w:highlight w:val="none"/>
              </w:rPr>
              <w:t>》（GB</w:t>
            </w:r>
            <w:r>
              <w:rPr>
                <w:rFonts w:hint="default" w:ascii="Times New Roman" w:hAnsi="Times New Roman" w:eastAsia="宋体" w:cs="Times New Roman"/>
                <w:color w:val="auto"/>
                <w:spacing w:val="0"/>
                <w:sz w:val="24"/>
                <w:highlight w:val="none"/>
                <w:lang w:val="en-US" w:eastAsia="zh-CN"/>
              </w:rPr>
              <w:t>13271</w:t>
            </w:r>
            <w:r>
              <w:rPr>
                <w:rFonts w:hint="default" w:ascii="Times New Roman" w:hAnsi="Times New Roman" w:eastAsia="宋体" w:cs="Times New Roman"/>
                <w:color w:val="auto"/>
                <w:spacing w:val="0"/>
                <w:sz w:val="24"/>
                <w:highlight w:val="none"/>
              </w:rPr>
              <w:t>-</w:t>
            </w:r>
            <w:r>
              <w:rPr>
                <w:rFonts w:hint="default" w:ascii="Times New Roman" w:hAnsi="Times New Roman" w:eastAsia="宋体" w:cs="Times New Roman"/>
                <w:color w:val="auto"/>
                <w:spacing w:val="0"/>
                <w:sz w:val="24"/>
                <w:highlight w:val="none"/>
                <w:lang w:val="en-US" w:eastAsia="zh-CN"/>
              </w:rPr>
              <w:t>2014</w:t>
            </w:r>
            <w:r>
              <w:rPr>
                <w:rFonts w:hint="default" w:ascii="Times New Roman" w:hAnsi="Times New Roman" w:eastAsia="宋体" w:cs="Times New Roman"/>
                <w:color w:val="auto"/>
                <w:spacing w:val="0"/>
                <w:sz w:val="24"/>
                <w:highlight w:val="none"/>
              </w:rPr>
              <w:t>）表</w:t>
            </w:r>
            <w:r>
              <w:rPr>
                <w:rFonts w:hint="default" w:ascii="Times New Roman" w:hAnsi="Times New Roman" w:eastAsia="宋体" w:cs="Times New Roman"/>
                <w:color w:val="auto"/>
                <w:spacing w:val="0"/>
                <w:sz w:val="24"/>
                <w:highlight w:val="none"/>
                <w:lang w:val="en-US" w:eastAsia="zh-CN"/>
              </w:rPr>
              <w:t>2</w:t>
            </w:r>
            <w:r>
              <w:rPr>
                <w:rFonts w:hint="default" w:ascii="Times New Roman" w:hAnsi="Times New Roman" w:eastAsia="宋体" w:cs="Times New Roman"/>
                <w:color w:val="auto"/>
                <w:spacing w:val="0"/>
                <w:sz w:val="24"/>
                <w:highlight w:val="none"/>
              </w:rPr>
              <w:t>中</w:t>
            </w:r>
            <w:r>
              <w:rPr>
                <w:rFonts w:hint="default" w:ascii="Times New Roman" w:hAnsi="Times New Roman" w:eastAsia="宋体" w:cs="Times New Roman"/>
                <w:color w:val="auto"/>
                <w:spacing w:val="0"/>
                <w:sz w:val="24"/>
                <w:highlight w:val="none"/>
                <w:lang w:val="en-US" w:eastAsia="zh-CN"/>
              </w:rPr>
              <w:t>排放限值，</w:t>
            </w:r>
            <w:r>
              <w:rPr>
                <w:rFonts w:hint="default" w:ascii="Times New Roman" w:hAnsi="Times New Roman" w:eastAsia="宋体" w:cs="Times New Roman"/>
                <w:bCs/>
                <w:color w:val="auto"/>
                <w:spacing w:val="0"/>
                <w:kern w:val="2"/>
                <w:sz w:val="24"/>
                <w:szCs w:val="24"/>
                <w:highlight w:val="none"/>
                <w:lang w:val="en-US" w:eastAsia="zh-CN" w:bidi="ar-SA"/>
              </w:rPr>
              <w:t>对大气环境造成影响较小；</w:t>
            </w:r>
            <w:r>
              <w:rPr>
                <w:rFonts w:hint="default" w:ascii="Times New Roman" w:hAnsi="Times New Roman" w:eastAsia="宋体" w:cs="Times New Roman"/>
                <w:color w:val="auto"/>
                <w:spacing w:val="0"/>
                <w:sz w:val="24"/>
                <w:szCs w:val="24"/>
                <w:highlight w:val="none"/>
                <w:lang w:val="en-US"/>
              </w:rPr>
              <w:t>本项目建成后</w:t>
            </w:r>
            <w:r>
              <w:rPr>
                <w:rFonts w:hint="default" w:ascii="Times New Roman" w:hAnsi="Times New Roman" w:eastAsia="宋体" w:cs="Times New Roman"/>
                <w:color w:val="auto"/>
                <w:spacing w:val="0"/>
                <w:sz w:val="24"/>
                <w:szCs w:val="24"/>
                <w:highlight w:val="none"/>
                <w:lang w:val="en-US" w:eastAsia="zh-CN"/>
              </w:rPr>
              <w:t>外排</w:t>
            </w:r>
            <w:r>
              <w:rPr>
                <w:rFonts w:hint="default" w:ascii="Times New Roman" w:hAnsi="Times New Roman" w:eastAsia="宋体" w:cs="Times New Roman"/>
                <w:color w:val="auto"/>
                <w:spacing w:val="0"/>
                <w:sz w:val="24"/>
                <w:szCs w:val="24"/>
                <w:highlight w:val="none"/>
                <w:lang w:val="en-US"/>
              </w:rPr>
              <w:t>废水主要是</w:t>
            </w:r>
            <w:r>
              <w:rPr>
                <w:rFonts w:hint="default" w:ascii="Times New Roman" w:hAnsi="Times New Roman" w:cs="Times New Roman"/>
                <w:b w:val="0"/>
                <w:bCs/>
                <w:color w:val="auto"/>
                <w:spacing w:val="0"/>
                <w:sz w:val="24"/>
                <w:szCs w:val="24"/>
                <w:highlight w:val="none"/>
                <w:lang w:val="en-US" w:eastAsia="zh-CN"/>
              </w:rPr>
              <w:t>锅炉排污水和软水制备废水</w:t>
            </w:r>
            <w:r>
              <w:rPr>
                <w:rFonts w:hint="eastAsia" w:ascii="Times New Roman" w:hAnsi="Times New Roman" w:cs="Times New Roman"/>
                <w:b w:val="0"/>
                <w:bCs/>
                <w:color w:val="auto"/>
                <w:spacing w:val="0"/>
                <w:sz w:val="24"/>
                <w:szCs w:val="24"/>
                <w:highlight w:val="none"/>
                <w:lang w:val="en-US" w:eastAsia="zh-CN"/>
              </w:rPr>
              <w:t>，少量</w:t>
            </w:r>
            <w:r>
              <w:rPr>
                <w:rFonts w:hint="default" w:ascii="Times New Roman" w:hAnsi="Times New Roman" w:cs="Times New Roman"/>
                <w:b w:val="0"/>
                <w:bCs/>
                <w:color w:val="auto"/>
                <w:spacing w:val="0"/>
                <w:sz w:val="24"/>
                <w:szCs w:val="24"/>
                <w:highlight w:val="none"/>
                <w:lang w:val="en-US" w:eastAsia="zh-CN"/>
              </w:rPr>
              <w:t>收集后用于灰渣</w:t>
            </w:r>
            <w:r>
              <w:rPr>
                <w:rFonts w:hint="eastAsia" w:ascii="Times New Roman" w:hAnsi="Times New Roman" w:cs="Times New Roman"/>
                <w:b w:val="0"/>
                <w:bCs/>
                <w:color w:val="auto"/>
                <w:spacing w:val="0"/>
                <w:sz w:val="24"/>
                <w:szCs w:val="24"/>
                <w:highlight w:val="none"/>
                <w:lang w:val="en-US" w:eastAsia="zh-CN"/>
              </w:rPr>
              <w:t>加湿其余锅炉污水通过院区污水总排口进入市政管网，排入城子河区污水处理厂进行处理</w:t>
            </w:r>
            <w:r>
              <w:rPr>
                <w:rFonts w:hint="eastAsia" w:ascii="Times New Roman" w:hAnsi="Times New Roman" w:eastAsia="宋体" w:cs="Times New Roman"/>
                <w:color w:val="auto"/>
                <w:spacing w:val="0"/>
                <w:sz w:val="24"/>
                <w:highlight w:val="none"/>
                <w:lang w:val="en-US" w:eastAsia="zh-CN"/>
              </w:rPr>
              <w:t>，</w:t>
            </w:r>
            <w:r>
              <w:rPr>
                <w:rFonts w:hint="default" w:ascii="Times New Roman" w:hAnsi="Times New Roman" w:eastAsia="宋体" w:cs="Times New Roman"/>
                <w:color w:val="auto"/>
                <w:spacing w:val="0"/>
                <w:sz w:val="24"/>
                <w:highlight w:val="none"/>
                <w:lang w:val="en-US" w:eastAsia="zh-CN"/>
              </w:rPr>
              <w:t>水质满足</w:t>
            </w:r>
            <w:r>
              <w:rPr>
                <w:rFonts w:hint="default" w:ascii="Times New Roman" w:hAnsi="Times New Roman" w:eastAsia="宋体" w:cs="Times New Roman"/>
                <w:bCs w:val="0"/>
                <w:color w:val="auto"/>
                <w:kern w:val="0"/>
                <w:sz w:val="24"/>
                <w:szCs w:val="32"/>
                <w:highlight w:val="none"/>
                <w:lang w:val="en-US" w:eastAsia="zh-CN" w:bidi="ar-SA"/>
              </w:rPr>
              <w:t>《医疗机构水污染物排放标准》(GB18466-2005)中表2预处理标准限值的要求</w:t>
            </w:r>
            <w:r>
              <w:rPr>
                <w:rFonts w:hint="eastAsia" w:ascii="Times New Roman" w:hAnsi="Times New Roman" w:eastAsia="宋体" w:cs="Times New Roman"/>
                <w:color w:val="auto"/>
                <w:spacing w:val="0"/>
                <w:sz w:val="24"/>
                <w:highlight w:val="none"/>
                <w:lang w:val="en-US" w:eastAsia="zh-CN"/>
              </w:rPr>
              <w:t>。</w:t>
            </w:r>
            <w:r>
              <w:rPr>
                <w:rFonts w:hint="default" w:ascii="Times New Roman" w:hAnsi="Times New Roman" w:eastAsia="宋体" w:cs="Times New Roman"/>
                <w:bCs/>
                <w:color w:val="auto"/>
                <w:spacing w:val="0"/>
                <w:kern w:val="2"/>
                <w:sz w:val="24"/>
                <w:szCs w:val="24"/>
                <w:highlight w:val="none"/>
                <w:lang w:val="en-US" w:eastAsia="zh-CN" w:bidi="ar-SA"/>
              </w:rPr>
              <w:t>本项目噪声主要来自锅炉运转过程产生的噪声，通过基础减振、</w:t>
            </w:r>
            <w:r>
              <w:rPr>
                <w:rFonts w:hint="default" w:ascii="Times New Roman" w:hAnsi="Times New Roman" w:cs="Times New Roman"/>
                <w:bCs/>
                <w:color w:val="auto"/>
                <w:spacing w:val="0"/>
                <w:kern w:val="2"/>
                <w:sz w:val="24"/>
                <w:szCs w:val="24"/>
                <w:highlight w:val="none"/>
                <w:lang w:val="en-US" w:eastAsia="zh-CN" w:bidi="ar-SA"/>
              </w:rPr>
              <w:t>厂房隔声</w:t>
            </w:r>
            <w:r>
              <w:rPr>
                <w:rFonts w:hint="default" w:ascii="Times New Roman" w:hAnsi="Times New Roman" w:eastAsia="宋体" w:cs="Times New Roman"/>
                <w:bCs/>
                <w:color w:val="auto"/>
                <w:spacing w:val="0"/>
                <w:kern w:val="2"/>
                <w:sz w:val="24"/>
                <w:szCs w:val="24"/>
                <w:highlight w:val="none"/>
                <w:lang w:val="en-US" w:eastAsia="zh-CN" w:bidi="ar-SA"/>
              </w:rPr>
              <w:t>措施，能够满足《工业企业厂界环境噪声排放标准》（GB12348-2008）</w:t>
            </w:r>
            <w:r>
              <w:rPr>
                <w:rFonts w:hint="default" w:ascii="Times New Roman" w:hAnsi="Times New Roman" w:cs="Times New Roman"/>
                <w:bCs/>
                <w:color w:val="auto"/>
                <w:spacing w:val="0"/>
                <w:kern w:val="2"/>
                <w:sz w:val="24"/>
                <w:szCs w:val="24"/>
                <w:highlight w:val="none"/>
                <w:lang w:val="en-US" w:eastAsia="zh-CN" w:bidi="ar-SA"/>
              </w:rPr>
              <w:t>2</w:t>
            </w:r>
            <w:r>
              <w:rPr>
                <w:rFonts w:hint="default" w:ascii="Times New Roman" w:hAnsi="Times New Roman" w:eastAsia="宋体" w:cs="Times New Roman"/>
                <w:bCs/>
                <w:color w:val="auto"/>
                <w:spacing w:val="0"/>
                <w:kern w:val="2"/>
                <w:sz w:val="24"/>
                <w:szCs w:val="24"/>
                <w:highlight w:val="none"/>
                <w:lang w:val="en-US" w:eastAsia="zh-CN" w:bidi="ar-SA"/>
              </w:rPr>
              <w:t>类，对周围声环境质量影响较小；</w:t>
            </w:r>
            <w:r>
              <w:rPr>
                <w:rFonts w:hint="default" w:ascii="Times New Roman" w:hAnsi="Times New Roman" w:cs="Times New Roman"/>
                <w:color w:val="auto"/>
                <w:spacing w:val="0"/>
                <w:sz w:val="24"/>
                <w:szCs w:val="24"/>
                <w:highlight w:val="none"/>
                <w:lang w:val="en-US" w:eastAsia="zh-CN"/>
              </w:rPr>
              <w:t>锅炉灰渣、</w:t>
            </w:r>
            <w:r>
              <w:rPr>
                <w:rFonts w:hint="eastAsia" w:ascii="Times New Roman" w:hAnsi="Times New Roman" w:cs="Times New Roman"/>
                <w:color w:val="auto"/>
                <w:spacing w:val="-1"/>
                <w:sz w:val="24"/>
                <w:szCs w:val="24"/>
                <w:highlight w:val="none"/>
                <w:lang w:val="en-US" w:eastAsia="zh-CN"/>
              </w:rPr>
              <w:t>旋风+</w:t>
            </w:r>
            <w:r>
              <w:rPr>
                <w:rFonts w:hint="default" w:ascii="Times New Roman" w:hAnsi="Times New Roman" w:cs="Times New Roman"/>
                <w:color w:val="auto"/>
                <w:spacing w:val="0"/>
                <w:sz w:val="24"/>
                <w:szCs w:val="24"/>
                <w:highlight w:val="none"/>
                <w:lang w:val="en-US" w:eastAsia="zh-CN"/>
              </w:rPr>
              <w:t>布袋除尘器集尘外售综合利用，</w:t>
            </w:r>
            <w:r>
              <w:rPr>
                <w:rFonts w:hint="eastAsia" w:ascii="Times New Roman" w:hAnsi="Times New Roman" w:cs="Times New Roman"/>
                <w:color w:val="auto"/>
                <w:spacing w:val="0"/>
                <w:sz w:val="24"/>
                <w:szCs w:val="24"/>
                <w:highlight w:val="none"/>
                <w:lang w:val="en-US" w:eastAsia="zh-CN"/>
              </w:rPr>
              <w:t>软化水装置产生的废离子交换树脂，由厂家回收更换。</w:t>
            </w:r>
            <w:r>
              <w:rPr>
                <w:rFonts w:hint="default" w:ascii="Times New Roman" w:hAnsi="Times New Roman" w:cs="Times New Roman"/>
                <w:color w:val="auto"/>
                <w:spacing w:val="0"/>
                <w:sz w:val="24"/>
                <w:szCs w:val="24"/>
                <w:highlight w:val="none"/>
                <w:lang w:val="en-US" w:eastAsia="zh-CN"/>
              </w:rPr>
              <w:t>危险废物交有资质单位处置</w:t>
            </w:r>
            <w:r>
              <w:rPr>
                <w:rFonts w:hint="eastAsia" w:cs="Times New Roman"/>
                <w:color w:val="auto"/>
                <w:spacing w:val="0"/>
                <w:sz w:val="24"/>
                <w:szCs w:val="24"/>
                <w:highlight w:val="none"/>
                <w:lang w:eastAsia="zh-CN"/>
              </w:rPr>
              <w:t>。</w:t>
            </w:r>
            <w:r>
              <w:rPr>
                <w:rFonts w:hint="default" w:ascii="Times New Roman" w:hAnsi="Times New Roman" w:eastAsia="宋体" w:cs="Times New Roman"/>
                <w:bCs/>
                <w:color w:val="auto"/>
                <w:spacing w:val="0"/>
                <w:kern w:val="2"/>
                <w:sz w:val="24"/>
                <w:szCs w:val="24"/>
                <w:highlight w:val="none"/>
                <w:lang w:val="en-US" w:eastAsia="zh-CN" w:bidi="ar-SA"/>
              </w:rPr>
              <w:t>项目建成后对周边环境的影响主要是废气、废水、固体废物以及噪声，采取污染防治措施后对周边环境影响较小。</w:t>
            </w:r>
          </w:p>
          <w:p w14:paraId="62272778">
            <w:pPr>
              <w:widowControl/>
              <w:spacing w:line="360" w:lineRule="auto"/>
              <w:ind w:firstLine="480" w:firstLineChars="200"/>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项目建设过程中产生的废气、废水、噪声、固废对周围环境将产生一定影响，但通过采取相应的环保措施可使该项目对环境的影响降低，项目的建设不会使环境功能发生改变。</w:t>
            </w:r>
          </w:p>
          <w:p w14:paraId="473B21A4">
            <w:pPr>
              <w:ind w:left="0" w:leftChars="0" w:firstLine="480" w:firstLineChars="200"/>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highlight w:val="none"/>
              </w:rPr>
              <w:t>综上所述，项目选址可行。</w:t>
            </w:r>
          </w:p>
        </w:tc>
      </w:tr>
    </w:tbl>
    <w:p w14:paraId="289B4CB9">
      <w:pPr>
        <w:rPr>
          <w:rFonts w:hint="default" w:ascii="Times New Roman" w:hAnsi="Times New Roman" w:eastAsia="宋体" w:cs="Times New Roman"/>
          <w:color w:val="auto"/>
          <w:spacing w:val="0"/>
          <w:highlight w:val="none"/>
        </w:rPr>
        <w:sectPr>
          <w:footerReference r:id="rId11"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decimal" w:start="1"/>
          <w:cols w:space="720" w:num="1"/>
          <w:docGrid w:linePitch="312" w:charSpace="0"/>
        </w:sectPr>
      </w:pPr>
    </w:p>
    <w:p w14:paraId="30CE16F4">
      <w:pPr>
        <w:pStyle w:val="2"/>
        <w:spacing w:line="360" w:lineRule="auto"/>
        <w:jc w:val="center"/>
        <w:rPr>
          <w:rFonts w:hint="default" w:ascii="Times New Roman" w:hAnsi="Times New Roman" w:eastAsia="宋体" w:cs="Times New Roman"/>
          <w:bCs w:val="0"/>
          <w:color w:val="auto"/>
          <w:spacing w:val="0"/>
          <w:highlight w:val="none"/>
        </w:rPr>
      </w:pPr>
      <w:bookmarkStart w:id="4" w:name="_Toc3258"/>
      <w:bookmarkStart w:id="5" w:name="_Toc71191476"/>
      <w:r>
        <w:rPr>
          <w:rFonts w:hint="default" w:ascii="Times New Roman" w:hAnsi="Times New Roman" w:eastAsia="宋体" w:cs="Times New Roman"/>
          <w:bCs w:val="0"/>
          <w:color w:val="auto"/>
          <w:spacing w:val="0"/>
          <w:highlight w:val="none"/>
        </w:rPr>
        <w:t>二、建设项目工程分析</w:t>
      </w:r>
      <w:bookmarkEnd w:id="4"/>
      <w:bookmarkEnd w:id="5"/>
    </w:p>
    <w:tbl>
      <w:tblPr>
        <w:tblStyle w:val="3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35"/>
        <w:gridCol w:w="7987"/>
      </w:tblGrid>
      <w:tr w14:paraId="3C0352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535" w:type="dxa"/>
            <w:noWrap w:val="0"/>
            <w:vAlign w:val="center"/>
          </w:tcPr>
          <w:p w14:paraId="0BC1B563">
            <w:pPr>
              <w:pStyle w:val="31"/>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4"/>
                <w:szCs w:val="24"/>
                <w:highlight w:val="none"/>
              </w:rPr>
              <w:t>建设内容</w:t>
            </w:r>
          </w:p>
        </w:tc>
        <w:tc>
          <w:tcPr>
            <w:tcW w:w="7987" w:type="dxa"/>
            <w:noWrap w:val="0"/>
            <w:vAlign w:val="top"/>
          </w:tcPr>
          <w:p w14:paraId="7DEB58BC">
            <w:pPr>
              <w:numPr>
                <w:ilvl w:val="0"/>
                <w:numId w:val="4"/>
              </w:numPr>
              <w:ind w:left="0" w:leftChars="0" w:firstLine="0" w:firstLineChars="0"/>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eastAsia="宋体" w:cs="Times New Roman"/>
                <w:b/>
                <w:bCs w:val="0"/>
                <w:color w:val="auto"/>
                <w:spacing w:val="0"/>
                <w:sz w:val="24"/>
                <w:szCs w:val="24"/>
                <w:highlight w:val="none"/>
                <w:lang w:val="en-US" w:eastAsia="zh-CN"/>
              </w:rPr>
              <w:t>项目</w:t>
            </w:r>
            <w:r>
              <w:rPr>
                <w:rFonts w:hint="default" w:ascii="Times New Roman" w:hAnsi="Times New Roman" w:cs="Times New Roman"/>
                <w:b/>
                <w:bCs w:val="0"/>
                <w:color w:val="auto"/>
                <w:spacing w:val="0"/>
                <w:sz w:val="24"/>
                <w:szCs w:val="24"/>
                <w:highlight w:val="none"/>
                <w:lang w:val="en-US" w:eastAsia="zh-CN"/>
              </w:rPr>
              <w:t>由来</w:t>
            </w:r>
          </w:p>
          <w:p w14:paraId="24F11F34">
            <w:pPr>
              <w:pStyle w:val="9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firstLine="480" w:firstLineChars="200"/>
              <w:textAlignment w:val="baseline"/>
              <w:rPr>
                <w:rFonts w:hint="default" w:ascii="Times New Roman" w:hAnsi="Times New Roman" w:cs="Times New Roman"/>
                <w:bCs/>
                <w:color w:val="auto"/>
                <w:spacing w:val="0"/>
                <w:sz w:val="24"/>
                <w:szCs w:val="24"/>
                <w:highlight w:val="none"/>
                <w:shd w:val="clear"/>
                <w:lang w:val="en-US" w:eastAsia="zh-CN"/>
              </w:rPr>
            </w:pPr>
            <w:r>
              <w:rPr>
                <w:rFonts w:hint="default" w:ascii="Times New Roman" w:hAnsi="Times New Roman" w:cs="Times New Roman"/>
                <w:bCs/>
                <w:color w:val="auto"/>
                <w:spacing w:val="0"/>
                <w:sz w:val="24"/>
                <w:szCs w:val="24"/>
                <w:highlight w:val="none"/>
                <w:shd w:val="clear"/>
                <w:lang w:eastAsia="zh-CN"/>
              </w:rPr>
              <w:t>鸡西鸡矿医院有限公司城子河医院</w:t>
            </w:r>
            <w:r>
              <w:rPr>
                <w:rFonts w:hint="default" w:ascii="Times New Roman" w:hAnsi="Times New Roman" w:cs="Times New Roman"/>
                <w:bCs/>
                <w:color w:val="auto"/>
                <w:spacing w:val="0"/>
                <w:sz w:val="24"/>
                <w:szCs w:val="24"/>
                <w:highlight w:val="none"/>
                <w:shd w:val="clear"/>
                <w:lang w:val="en-US" w:eastAsia="zh-CN"/>
              </w:rPr>
              <w:t>位于黑龙江鸡西市城子河区，</w:t>
            </w:r>
            <w:r>
              <w:rPr>
                <w:rFonts w:hint="default" w:ascii="Times New Roman" w:hAnsi="Times New Roman" w:eastAsia="宋体" w:cs="Times New Roman"/>
                <w:bCs/>
                <w:color w:val="auto"/>
                <w:spacing w:val="0"/>
                <w:sz w:val="24"/>
                <w:szCs w:val="24"/>
                <w:highlight w:val="none"/>
                <w:shd w:val="clear"/>
                <w:lang w:val="en-US" w:eastAsia="zh-CN"/>
              </w:rPr>
              <w:t>城子河医院是一家综合医院，</w:t>
            </w:r>
            <w:r>
              <w:rPr>
                <w:rFonts w:hint="default" w:ascii="Times New Roman" w:hAnsi="Times New Roman" w:cs="Times New Roman"/>
                <w:bCs/>
                <w:color w:val="auto"/>
                <w:spacing w:val="0"/>
                <w:sz w:val="24"/>
                <w:szCs w:val="24"/>
                <w:highlight w:val="none"/>
                <w:shd w:val="clear"/>
                <w:lang w:val="en-US" w:eastAsia="zh-CN"/>
              </w:rPr>
              <w:t>始建于1947年2月，建厂较早，一直未进行环境影响评价工作，根据《黑龙江省人民政府办公厅关于印发黑龙江省环境保护违法违规建设项目清理整顿工作方案的通知》(黑政办综[2015]26号)、《鸡西市人民政府关于印发鸡西市环境保护违法违规建设项目清理整顿工作方案的通知》，建设单位委托黑龙江亿普环保服务有限公司于2016年11月编制了《鸡西鸡矿医院有限公司城子河医院现状环境影响评估报告》，并提交环保主管部门备案。详见附件</w:t>
            </w:r>
            <w:r>
              <w:rPr>
                <w:rFonts w:hint="eastAsia" w:ascii="Times New Roman" w:hAnsi="Times New Roman" w:cs="Times New Roman"/>
                <w:bCs/>
                <w:color w:val="auto"/>
                <w:spacing w:val="0"/>
                <w:sz w:val="24"/>
                <w:szCs w:val="24"/>
                <w:highlight w:val="none"/>
                <w:shd w:val="clear"/>
                <w:lang w:val="en-US" w:eastAsia="zh-CN"/>
              </w:rPr>
              <w:t>8</w:t>
            </w:r>
            <w:r>
              <w:rPr>
                <w:rFonts w:hint="default" w:ascii="Times New Roman" w:hAnsi="Times New Roman" w:cs="Times New Roman"/>
                <w:bCs/>
                <w:color w:val="auto"/>
                <w:spacing w:val="0"/>
                <w:sz w:val="24"/>
                <w:szCs w:val="24"/>
                <w:highlight w:val="none"/>
                <w:shd w:val="clear"/>
                <w:lang w:val="en-US" w:eastAsia="zh-CN"/>
              </w:rPr>
              <w:t>。</w:t>
            </w:r>
            <w:r>
              <w:rPr>
                <w:rFonts w:hint="default" w:ascii="Times New Roman" w:hAnsi="Times New Roman" w:eastAsia="宋体" w:cs="Times New Roman"/>
                <w:bCs/>
                <w:color w:val="auto"/>
                <w:spacing w:val="0"/>
                <w:sz w:val="24"/>
                <w:szCs w:val="24"/>
                <w:highlight w:val="none"/>
                <w:shd w:val="clear"/>
                <w:lang w:val="en-US" w:eastAsia="zh-CN"/>
              </w:rPr>
              <w:t>设有预防保健科内科、外科、妇产科、空腔科、眼科、耳鼻咽喉科、急诊医学科、麻醉科、临床体液血液专业、临床微生物学专业、临床生化检验专业、临床免疫血清学专业、X线诊断专业、CT诊断专业、超声诊断专业、心电诊断专业。病床总数达160张，每日门诊量30人次</w:t>
            </w:r>
            <w:r>
              <w:rPr>
                <w:rFonts w:hint="default" w:ascii="Times New Roman" w:hAnsi="Times New Roman" w:cs="Times New Roman"/>
                <w:bCs/>
                <w:color w:val="auto"/>
                <w:spacing w:val="0"/>
                <w:sz w:val="24"/>
                <w:szCs w:val="24"/>
                <w:highlight w:val="none"/>
                <w:shd w:val="clear"/>
                <w:lang w:val="en-US" w:eastAsia="zh-CN"/>
              </w:rPr>
              <w:t>。设有自建2t/h热水燃煤锅炉一台，配套旋风除尘器，年燃煤量200t。</w:t>
            </w:r>
          </w:p>
          <w:p w14:paraId="440BC3FC">
            <w:pPr>
              <w:pStyle w:val="9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firstLine="480" w:firstLineChars="200"/>
              <w:textAlignment w:val="baseline"/>
              <w:rPr>
                <w:rFonts w:hint="default" w:ascii="Times New Roman" w:hAnsi="Times New Roman" w:cs="Times New Roman"/>
                <w:bCs/>
                <w:color w:val="auto"/>
                <w:spacing w:val="0"/>
                <w:sz w:val="24"/>
                <w:szCs w:val="24"/>
                <w:highlight w:val="none"/>
                <w:shd w:val="clear"/>
                <w:lang w:val="en-US" w:eastAsia="zh-CN"/>
              </w:rPr>
            </w:pPr>
            <w:r>
              <w:rPr>
                <w:rFonts w:hint="default" w:ascii="Times New Roman" w:hAnsi="Times New Roman" w:cs="Times New Roman"/>
                <w:bCs/>
                <w:color w:val="auto"/>
                <w:spacing w:val="0"/>
                <w:sz w:val="24"/>
                <w:szCs w:val="24"/>
                <w:highlight w:val="none"/>
                <w:shd w:val="clear"/>
                <w:lang w:val="en-US" w:eastAsia="zh-CN"/>
              </w:rPr>
              <w:t>2017</w:t>
            </w:r>
            <w:r>
              <w:rPr>
                <w:rFonts w:hint="default" w:ascii="Times New Roman" w:hAnsi="Times New Roman" w:eastAsia="宋体" w:cs="Times New Roman"/>
                <w:bCs/>
                <w:color w:val="auto"/>
                <w:spacing w:val="0"/>
                <w:sz w:val="24"/>
                <w:szCs w:val="24"/>
                <w:highlight w:val="none"/>
                <w:shd w:val="clear"/>
                <w:lang w:val="en-US" w:eastAsia="zh-CN"/>
              </w:rPr>
              <w:t>年</w:t>
            </w:r>
            <w:r>
              <w:rPr>
                <w:rFonts w:hint="default" w:ascii="Times New Roman" w:hAnsi="Times New Roman" w:cs="Times New Roman"/>
                <w:bCs/>
                <w:color w:val="auto"/>
                <w:spacing w:val="0"/>
                <w:sz w:val="24"/>
                <w:szCs w:val="24"/>
                <w:highlight w:val="none"/>
                <w:shd w:val="clear"/>
                <w:lang w:val="en-US" w:eastAsia="zh-CN"/>
              </w:rPr>
              <w:t>4月城子河医院</w:t>
            </w:r>
            <w:r>
              <w:rPr>
                <w:rFonts w:hint="default" w:ascii="Times New Roman" w:hAnsi="Times New Roman" w:cs="Times New Roman"/>
                <w:color w:val="auto"/>
                <w:sz w:val="24"/>
                <w:szCs w:val="18"/>
                <w:highlight w:val="none"/>
                <w:lang w:val="en-US" w:eastAsia="zh-CN"/>
              </w:rPr>
              <w:t>委托中冶节能环保有限责任公司</w:t>
            </w:r>
            <w:r>
              <w:rPr>
                <w:rFonts w:hint="default" w:ascii="Times New Roman" w:hAnsi="Times New Roman" w:cs="Times New Roman"/>
                <w:bCs/>
                <w:color w:val="auto"/>
                <w:spacing w:val="0"/>
                <w:sz w:val="24"/>
                <w:szCs w:val="24"/>
                <w:highlight w:val="none"/>
                <w:shd w:val="clear"/>
                <w:lang w:val="en-US" w:eastAsia="zh-CN"/>
              </w:rPr>
              <w:t>开展了《鸡西矿业集团鸡矿医院有限公司城子河医院门诊综合楼项目</w:t>
            </w:r>
            <w:r>
              <w:rPr>
                <w:rFonts w:hint="eastAsia" w:ascii="Times New Roman" w:hAnsi="Times New Roman" w:cs="Times New Roman"/>
                <w:bCs/>
                <w:color w:val="auto"/>
                <w:spacing w:val="0"/>
                <w:sz w:val="24"/>
                <w:szCs w:val="24"/>
                <w:highlight w:val="none"/>
                <w:shd w:val="clear"/>
                <w:lang w:val="en-US" w:eastAsia="zh-CN"/>
              </w:rPr>
              <w:t>环境影响报告书</w:t>
            </w:r>
            <w:r>
              <w:rPr>
                <w:rFonts w:hint="default" w:ascii="Times New Roman" w:hAnsi="Times New Roman" w:cs="Times New Roman"/>
                <w:bCs/>
                <w:color w:val="auto"/>
                <w:spacing w:val="0"/>
                <w:sz w:val="24"/>
                <w:szCs w:val="24"/>
                <w:highlight w:val="none"/>
                <w:shd w:val="clear"/>
                <w:lang w:val="en-US" w:eastAsia="zh-CN"/>
              </w:rPr>
              <w:t>》的编制工作。于2017年5月10日取得了由鸡西市环境保护局出具的批复，</w:t>
            </w:r>
            <w:r>
              <w:rPr>
                <w:rFonts w:hint="default" w:ascii="Times New Roman" w:hAnsi="Times New Roman" w:eastAsia="宋体" w:cs="Times New Roman"/>
                <w:bCs/>
                <w:color w:val="auto"/>
                <w:spacing w:val="0"/>
                <w:sz w:val="24"/>
                <w:szCs w:val="24"/>
                <w:highlight w:val="none"/>
                <w:shd w:val="clear"/>
                <w:lang w:val="en-US" w:eastAsia="zh-CN"/>
              </w:rPr>
              <w:t>批复文号为“鸡环审〔20</w:t>
            </w:r>
            <w:r>
              <w:rPr>
                <w:rFonts w:hint="default" w:ascii="Times New Roman" w:hAnsi="Times New Roman" w:cs="Times New Roman"/>
                <w:bCs/>
                <w:color w:val="auto"/>
                <w:spacing w:val="0"/>
                <w:sz w:val="24"/>
                <w:szCs w:val="24"/>
                <w:highlight w:val="none"/>
                <w:shd w:val="clear"/>
                <w:lang w:val="en-US" w:eastAsia="zh-CN"/>
              </w:rPr>
              <w:t>17</w:t>
            </w:r>
            <w:r>
              <w:rPr>
                <w:rFonts w:hint="default" w:ascii="Times New Roman" w:hAnsi="Times New Roman" w:eastAsia="宋体" w:cs="Times New Roman"/>
                <w:bCs/>
                <w:color w:val="auto"/>
                <w:spacing w:val="0"/>
                <w:sz w:val="24"/>
                <w:szCs w:val="24"/>
                <w:highlight w:val="none"/>
                <w:shd w:val="clear"/>
                <w:lang w:val="en-US" w:eastAsia="zh-CN"/>
              </w:rPr>
              <w:t>〕</w:t>
            </w:r>
            <w:r>
              <w:rPr>
                <w:rFonts w:hint="default" w:ascii="Times New Roman" w:hAnsi="Times New Roman" w:cs="Times New Roman"/>
                <w:bCs/>
                <w:color w:val="auto"/>
                <w:spacing w:val="0"/>
                <w:sz w:val="24"/>
                <w:szCs w:val="24"/>
                <w:highlight w:val="none"/>
                <w:shd w:val="clear"/>
                <w:lang w:val="en-US" w:eastAsia="zh-CN"/>
              </w:rPr>
              <w:t>5</w:t>
            </w:r>
            <w:r>
              <w:rPr>
                <w:rFonts w:hint="default" w:ascii="Times New Roman" w:hAnsi="Times New Roman" w:eastAsia="宋体" w:cs="Times New Roman"/>
                <w:bCs/>
                <w:color w:val="auto"/>
                <w:spacing w:val="0"/>
                <w:sz w:val="24"/>
                <w:szCs w:val="24"/>
                <w:highlight w:val="none"/>
                <w:shd w:val="clear"/>
                <w:lang w:val="en-US" w:eastAsia="zh-CN"/>
              </w:rPr>
              <w:t>号”，</w:t>
            </w:r>
            <w:r>
              <w:rPr>
                <w:rFonts w:hint="default" w:ascii="Times New Roman" w:hAnsi="Times New Roman" w:cs="Times New Roman"/>
                <w:bCs/>
                <w:color w:val="auto"/>
                <w:spacing w:val="0"/>
                <w:sz w:val="24"/>
                <w:szCs w:val="24"/>
                <w:highlight w:val="none"/>
                <w:shd w:val="clear"/>
                <w:lang w:val="en-US" w:eastAsia="zh-CN"/>
              </w:rPr>
              <w:t>详见附件</w:t>
            </w:r>
            <w:r>
              <w:rPr>
                <w:rFonts w:hint="eastAsia" w:ascii="Times New Roman" w:hAnsi="Times New Roman" w:cs="Times New Roman"/>
                <w:bCs/>
                <w:color w:val="auto"/>
                <w:spacing w:val="0"/>
                <w:sz w:val="24"/>
                <w:szCs w:val="24"/>
                <w:highlight w:val="none"/>
                <w:shd w:val="clear"/>
                <w:lang w:val="en-US" w:eastAsia="zh-CN"/>
              </w:rPr>
              <w:t>9</w:t>
            </w:r>
            <w:r>
              <w:rPr>
                <w:rFonts w:hint="default" w:ascii="Times New Roman" w:hAnsi="Times New Roman" w:cs="Times New Roman"/>
                <w:bCs/>
                <w:color w:val="auto"/>
                <w:spacing w:val="0"/>
                <w:sz w:val="24"/>
                <w:szCs w:val="24"/>
                <w:highlight w:val="none"/>
                <w:shd w:val="clear"/>
                <w:lang w:val="en-US" w:eastAsia="zh-CN"/>
              </w:rPr>
              <w:t>。该项目主要建设内容为新建一栋6层(局部7层)框架结构门急诊综合楼，建筑主要功能分区为急诊用房、门诊用房、医技用房、病房、阳光大厅、保障系统用房等六个功能区，建筑面积7469.7m</w:t>
            </w:r>
            <w:r>
              <w:rPr>
                <w:rFonts w:hint="default" w:ascii="Times New Roman" w:hAnsi="Times New Roman" w:cs="Times New Roman"/>
                <w:bCs/>
                <w:color w:val="auto"/>
                <w:spacing w:val="0"/>
                <w:sz w:val="24"/>
                <w:szCs w:val="24"/>
                <w:highlight w:val="none"/>
                <w:shd w:val="clear"/>
                <w:vertAlign w:val="superscript"/>
                <w:lang w:val="en-US" w:eastAsia="zh-CN"/>
              </w:rPr>
              <w:t>2</w:t>
            </w:r>
            <w:r>
              <w:rPr>
                <w:rFonts w:hint="default" w:ascii="Times New Roman" w:hAnsi="Times New Roman" w:cs="Times New Roman"/>
                <w:bCs/>
                <w:color w:val="auto"/>
                <w:spacing w:val="0"/>
                <w:sz w:val="24"/>
                <w:szCs w:val="24"/>
                <w:highlight w:val="none"/>
                <w:shd w:val="clear"/>
                <w:lang w:val="en-US" w:eastAsia="zh-CN"/>
              </w:rPr>
              <w:t>，工程建成后，每天可增加门急诊患者人数约100人。将供热管线并入热网，由鸡西市天润热力有限公司负责提供热源。并拆除原有锅炉房及供热设施。</w:t>
            </w:r>
          </w:p>
          <w:p w14:paraId="0CC34F6F">
            <w:pPr>
              <w:keepNext w:val="0"/>
              <w:keepLines w:val="0"/>
              <w:widowControl/>
              <w:suppressLineNumbers w:val="0"/>
              <w:jc w:val="both"/>
              <w:rPr>
                <w:rFonts w:hint="eastAsia" w:ascii="Times New Roman" w:hAnsi="Times New Roman" w:cs="Times New Roman"/>
                <w:color w:val="auto"/>
                <w:sz w:val="24"/>
                <w:highlight w:val="none"/>
                <w:lang w:val="en-US" w:eastAsia="zh-CN"/>
              </w:rPr>
            </w:pPr>
            <w:r>
              <w:rPr>
                <w:rFonts w:hint="default" w:ascii="Times New Roman" w:hAnsi="Times New Roman" w:cs="Times New Roman"/>
                <w:bCs/>
                <w:color w:val="auto"/>
                <w:spacing w:val="0"/>
                <w:sz w:val="24"/>
                <w:szCs w:val="24"/>
                <w:highlight w:val="none"/>
                <w:shd w:val="clear"/>
                <w:lang w:val="en-US" w:eastAsia="zh-CN"/>
              </w:rPr>
              <w:t>项目实施后发现，</w:t>
            </w:r>
            <w:r>
              <w:rPr>
                <w:rFonts w:hint="eastAsia" w:ascii="Times New Roman" w:hAnsi="Times New Roman" w:cs="Times New Roman"/>
                <w:bCs/>
                <w:color w:val="auto"/>
                <w:spacing w:val="0"/>
                <w:sz w:val="24"/>
                <w:szCs w:val="24"/>
                <w:highlight w:val="none"/>
                <w:shd w:val="clear"/>
                <w:lang w:val="en-US" w:eastAsia="zh-CN"/>
              </w:rPr>
              <w:t>本地区每年9月下旬至集中供热启动前、4月末集中供热结束后，均存在气温偏低的时段，集中供热无法覆盖。我院手术患者、血液透析患者、康复治疗惠者占比较高，该类患者身体状况特殊，对环境温度的要求显著高于普通人群，现有集中供热的温度标准难以达到其康复所需。故</w:t>
            </w:r>
            <w:r>
              <w:rPr>
                <w:rFonts w:hint="eastAsia" w:ascii="Times New Roman" w:hAnsi="Times New Roman" w:cs="Times New Roman"/>
                <w:color w:val="auto"/>
                <w:sz w:val="24"/>
                <w:highlight w:val="none"/>
                <w:lang w:val="en-US" w:eastAsia="zh-CN"/>
              </w:rPr>
              <w:t>医院计划</w:t>
            </w:r>
            <w:r>
              <w:rPr>
                <w:rFonts w:hint="default" w:ascii="Times New Roman" w:hAnsi="Times New Roman" w:cs="Times New Roman"/>
                <w:color w:val="auto"/>
                <w:sz w:val="24"/>
                <w:highlight w:val="none"/>
                <w:lang w:val="en-US" w:eastAsia="zh-CN"/>
              </w:rPr>
              <w:t>自建</w:t>
            </w:r>
            <w:r>
              <w:rPr>
                <w:rFonts w:hint="eastAsia" w:ascii="Times New Roman" w:hAnsi="Times New Roman" w:cs="Times New Roman"/>
                <w:color w:val="auto"/>
                <w:sz w:val="24"/>
                <w:highlight w:val="none"/>
                <w:lang w:val="en-US" w:eastAsia="zh-CN"/>
              </w:rPr>
              <w:t>2.1MW</w:t>
            </w:r>
            <w:r>
              <w:rPr>
                <w:rFonts w:hint="default" w:ascii="Times New Roman" w:hAnsi="Times New Roman" w:cs="Times New Roman"/>
                <w:color w:val="auto"/>
                <w:sz w:val="24"/>
                <w:highlight w:val="none"/>
                <w:lang w:val="en-US" w:eastAsia="zh-CN"/>
              </w:rPr>
              <w:t>生物质锅炉一台作为临时锅炉</w:t>
            </w:r>
            <w:r>
              <w:rPr>
                <w:rFonts w:hint="eastAsia" w:ascii="Times New Roman" w:hAnsi="Times New Roman" w:cs="Times New Roman"/>
                <w:color w:val="auto"/>
                <w:sz w:val="24"/>
                <w:highlight w:val="none"/>
                <w:lang w:val="en-US" w:eastAsia="zh-CN"/>
              </w:rPr>
              <w:t>用于医院供热</w:t>
            </w:r>
            <w:r>
              <w:rPr>
                <w:rFonts w:hint="default" w:ascii="Times New Roman" w:hAnsi="Times New Roman"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对此，</w:t>
            </w:r>
            <w:r>
              <w:rPr>
                <w:rFonts w:hint="default" w:ascii="Times New Roman" w:hAnsi="Times New Roman" w:cs="Times New Roman"/>
                <w:color w:val="auto"/>
                <w:sz w:val="24"/>
                <w:highlight w:val="none"/>
                <w:lang w:val="en-US" w:eastAsia="zh-CN"/>
              </w:rPr>
              <w:t>城子河医院</w:t>
            </w:r>
            <w:r>
              <w:rPr>
                <w:rFonts w:hint="eastAsia" w:ascii="Times New Roman" w:hAnsi="Times New Roman" w:cs="Times New Roman"/>
                <w:color w:val="auto"/>
                <w:sz w:val="24"/>
                <w:highlight w:val="none"/>
                <w:lang w:val="en-US" w:eastAsia="zh-CN"/>
              </w:rPr>
              <w:t>于2026年1月6日向城子河区政府做出了《城子河医院关于申请自行供热的请示》详见附件12。2026年1月9日城子河区住房和城乡建设局出具了《关于鸡西鸡矿医院有限公司城子河医院供热问题的说明》。同意该医院自建符合环保要求的生物质锅炉，用以解决其面临的实际困难。详见附件13。城子河医院于2023年2月16日取得了排污许可证（见附件2），证书编号：91230300MA199UH069001Q。</w:t>
            </w:r>
          </w:p>
          <w:p w14:paraId="39B04DA4">
            <w:pPr>
              <w:pStyle w:val="9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firstLine="480" w:firstLineChars="200"/>
              <w:textAlignment w:val="baseline"/>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sz w:val="24"/>
                <w:highlight w:val="none"/>
                <w:lang w:val="en-US" w:eastAsia="zh-CN"/>
              </w:rPr>
              <w:t>经与企业核实，本项目冬季供热时间为：每年的</w:t>
            </w:r>
            <w:r>
              <w:rPr>
                <w:rFonts w:hint="eastAsia" w:ascii="Times New Roman" w:hAnsi="Times New Roman" w:cs="Times New Roman"/>
                <w:color w:val="auto"/>
                <w:sz w:val="24"/>
                <w:highlight w:val="none"/>
                <w:lang w:val="en-US" w:eastAsia="zh-CN"/>
              </w:rPr>
              <w:t>9</w:t>
            </w:r>
            <w:r>
              <w:rPr>
                <w:rFonts w:hint="default" w:ascii="Times New Roman" w:hAnsi="Times New Roman" w:cs="Times New Roman"/>
                <w:color w:val="auto"/>
                <w:sz w:val="24"/>
                <w:highlight w:val="none"/>
                <w:lang w:val="en-US" w:eastAsia="zh-CN"/>
              </w:rPr>
              <w:t>月</w:t>
            </w:r>
            <w:r>
              <w:rPr>
                <w:rFonts w:hint="eastAsia"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lang w:val="en-US" w:eastAsia="zh-CN"/>
              </w:rPr>
              <w:t>日-次年</w:t>
            </w:r>
            <w:r>
              <w:rPr>
                <w:rFonts w:hint="eastAsia"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lang w:val="en-US" w:eastAsia="zh-CN"/>
              </w:rPr>
              <w:t>月3</w:t>
            </w:r>
            <w:r>
              <w:rPr>
                <w:rFonts w:hint="eastAsia"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lang w:val="en-US" w:eastAsia="zh-CN"/>
              </w:rPr>
              <w:t>日，共计</w:t>
            </w:r>
            <w:r>
              <w:rPr>
                <w:rFonts w:hint="eastAsia" w:ascii="Times New Roman" w:hAnsi="Times New Roman" w:cs="Times New Roman"/>
                <w:color w:val="auto"/>
                <w:sz w:val="24"/>
                <w:highlight w:val="none"/>
                <w:lang w:val="en-US" w:eastAsia="zh-CN"/>
              </w:rPr>
              <w:t>242</w:t>
            </w:r>
            <w:r>
              <w:rPr>
                <w:rFonts w:hint="default" w:ascii="Times New Roman" w:hAnsi="Times New Roman" w:cs="Times New Roman"/>
                <w:color w:val="auto"/>
                <w:sz w:val="24"/>
                <w:highlight w:val="none"/>
                <w:lang w:val="en-US" w:eastAsia="zh-CN"/>
              </w:rPr>
              <w:t>天。因此</w:t>
            </w:r>
            <w:r>
              <w:rPr>
                <w:rFonts w:hint="default" w:ascii="Times New Roman" w:hAnsi="Times New Roman" w:cs="Times New Roman"/>
                <w:bCs/>
                <w:color w:val="auto"/>
                <w:spacing w:val="0"/>
                <w:sz w:val="24"/>
                <w:szCs w:val="24"/>
                <w:highlight w:val="none"/>
                <w:shd w:val="clear"/>
                <w:lang w:val="en-US" w:eastAsia="zh-CN"/>
              </w:rPr>
              <w:t>本项目</w:t>
            </w:r>
            <w:r>
              <w:rPr>
                <w:rFonts w:hint="eastAsia" w:ascii="Times New Roman" w:hAnsi="Times New Roman" w:cs="Times New Roman"/>
                <w:bCs/>
                <w:color w:val="auto"/>
                <w:spacing w:val="0"/>
                <w:sz w:val="24"/>
                <w:szCs w:val="24"/>
                <w:highlight w:val="none"/>
                <w:shd w:val="clear"/>
                <w:lang w:val="en-US" w:eastAsia="zh-CN"/>
              </w:rPr>
              <w:t>建设</w:t>
            </w:r>
            <w:r>
              <w:rPr>
                <w:rFonts w:hint="default" w:ascii="Times New Roman" w:hAnsi="Times New Roman" w:cs="Times New Roman"/>
                <w:bCs/>
                <w:color w:val="auto"/>
                <w:spacing w:val="0"/>
                <w:sz w:val="24"/>
                <w:szCs w:val="24"/>
                <w:highlight w:val="none"/>
                <w:shd w:val="clear"/>
                <w:lang w:val="en-US" w:eastAsia="zh-CN"/>
              </w:rPr>
              <w:t>一台</w:t>
            </w:r>
            <w:r>
              <w:rPr>
                <w:rFonts w:hint="eastAsia" w:ascii="Times New Roman" w:hAnsi="Times New Roman" w:cs="Times New Roman"/>
                <w:bCs/>
                <w:color w:val="auto"/>
                <w:spacing w:val="0"/>
                <w:sz w:val="24"/>
                <w:szCs w:val="24"/>
                <w:highlight w:val="none"/>
                <w:shd w:val="clear"/>
                <w:lang w:val="en-US" w:eastAsia="zh-CN"/>
              </w:rPr>
              <w:t>2.1MW</w:t>
            </w:r>
            <w:r>
              <w:rPr>
                <w:rFonts w:hint="default" w:ascii="Times New Roman" w:hAnsi="Times New Roman" w:cs="Times New Roman"/>
                <w:bCs/>
                <w:color w:val="auto"/>
                <w:spacing w:val="0"/>
                <w:sz w:val="24"/>
                <w:szCs w:val="24"/>
                <w:highlight w:val="none"/>
                <w:shd w:val="clear"/>
                <w:lang w:val="en-US" w:eastAsia="zh-CN"/>
              </w:rPr>
              <w:t>的生物质锅炉作为</w:t>
            </w:r>
            <w:r>
              <w:rPr>
                <w:rFonts w:hint="default" w:ascii="Times New Roman" w:hAnsi="Times New Roman" w:cs="Times New Roman"/>
                <w:color w:val="auto"/>
                <w:sz w:val="24"/>
                <w:highlight w:val="none"/>
                <w:lang w:val="en-US" w:eastAsia="zh-CN"/>
              </w:rPr>
              <w:t>城子河医院临时锅炉使用以满足医院冬季温度的要求</w:t>
            </w:r>
            <w:r>
              <w:rPr>
                <w:rFonts w:hint="default" w:ascii="Times New Roman" w:hAnsi="Times New Roman" w:cs="Times New Roman"/>
                <w:bCs/>
                <w:color w:val="auto"/>
                <w:spacing w:val="0"/>
                <w:sz w:val="24"/>
                <w:szCs w:val="24"/>
                <w:highlight w:val="none"/>
                <w:shd w:val="clear"/>
                <w:lang w:val="en-US" w:eastAsia="zh-CN"/>
              </w:rPr>
              <w:t>。建成后锅炉年运行</w:t>
            </w:r>
            <w:r>
              <w:rPr>
                <w:rFonts w:hint="eastAsia" w:ascii="Times New Roman" w:hAnsi="Times New Roman" w:cs="Times New Roman"/>
                <w:bCs/>
                <w:color w:val="auto"/>
                <w:spacing w:val="0"/>
                <w:sz w:val="24"/>
                <w:szCs w:val="24"/>
                <w:highlight w:val="none"/>
                <w:shd w:val="clear"/>
                <w:lang w:val="en-US" w:eastAsia="zh-CN"/>
              </w:rPr>
              <w:t>242</w:t>
            </w:r>
            <w:r>
              <w:rPr>
                <w:rFonts w:hint="default" w:ascii="Times New Roman" w:hAnsi="Times New Roman" w:cs="Times New Roman"/>
                <w:bCs/>
                <w:color w:val="auto"/>
                <w:spacing w:val="0"/>
                <w:sz w:val="24"/>
                <w:szCs w:val="24"/>
                <w:highlight w:val="none"/>
                <w:shd w:val="clear"/>
                <w:lang w:val="en-US" w:eastAsia="zh-CN"/>
              </w:rPr>
              <w:t>d。</w:t>
            </w:r>
          </w:p>
          <w:p w14:paraId="4D6EA69E">
            <w:pPr>
              <w:spacing w:line="360" w:lineRule="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根据《建设项目环境影响评价分类管理名录》（2021年版），本项目所属类别</w:t>
            </w:r>
            <w:r>
              <w:rPr>
                <w:rFonts w:hint="default" w:ascii="Times New Roman" w:hAnsi="Times New Roman" w:eastAsia="宋体" w:cs="Times New Roman"/>
                <w:color w:val="auto"/>
                <w:spacing w:val="0"/>
                <w:sz w:val="24"/>
                <w:szCs w:val="24"/>
                <w:highlight w:val="none"/>
                <w:lang w:eastAsia="zh-CN"/>
              </w:rPr>
              <w:t>为</w:t>
            </w:r>
            <w:r>
              <w:rPr>
                <w:rFonts w:hint="default" w:ascii="Times New Roman" w:hAnsi="Times New Roman" w:eastAsia="宋体" w:cs="Times New Roman"/>
                <w:color w:val="auto"/>
                <w:spacing w:val="0"/>
                <w:sz w:val="24"/>
                <w:szCs w:val="24"/>
                <w:highlight w:val="none"/>
                <w:lang w:val="en-US" w:eastAsia="zh-CN"/>
              </w:rPr>
              <w:t>“燃煤、燃油锅炉总容量65吨/小时</w:t>
            </w:r>
            <w:r>
              <w:rPr>
                <w:rFonts w:hint="default" w:ascii="Times New Roman" w:hAnsi="Times New Roman"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45.5兆瓦</w:t>
            </w:r>
            <w:r>
              <w:rPr>
                <w:rFonts w:hint="default" w:ascii="Times New Roman" w:hAnsi="Times New Roman"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及以下的</w:t>
            </w:r>
            <w:r>
              <w:rPr>
                <w:rFonts w:hint="default" w:ascii="Times New Roman" w:hAnsi="Times New Roman"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天然气锅炉总容量1吨/小时</w:t>
            </w:r>
            <w:r>
              <w:rPr>
                <w:rFonts w:hint="default" w:ascii="Times New Roman" w:hAnsi="Times New Roman"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0.7兆瓦</w:t>
            </w:r>
            <w:r>
              <w:rPr>
                <w:rFonts w:hint="default" w:ascii="Times New Roman" w:hAnsi="Times New Roman"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以上的</w:t>
            </w:r>
            <w:r>
              <w:rPr>
                <w:rFonts w:hint="default" w:ascii="Times New Roman" w:hAnsi="Times New Roman"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使用其他高污染燃料的”需编制环境影响报告表。</w:t>
            </w:r>
          </w:p>
          <w:p w14:paraId="5C1B894F">
            <w:pPr>
              <w:numPr>
                <w:ilvl w:val="0"/>
                <w:numId w:val="4"/>
              </w:numPr>
              <w:ind w:left="0" w:leftChars="0" w:firstLine="0" w:firstLineChars="0"/>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eastAsia="宋体" w:cs="Times New Roman"/>
                <w:b/>
                <w:bCs w:val="0"/>
                <w:color w:val="auto"/>
                <w:spacing w:val="0"/>
                <w:sz w:val="24"/>
                <w:szCs w:val="24"/>
                <w:highlight w:val="none"/>
                <w:lang w:val="en-US" w:eastAsia="zh-CN"/>
              </w:rPr>
              <w:t>建设内容</w:t>
            </w:r>
          </w:p>
          <w:p w14:paraId="779F6BF9">
            <w:pPr>
              <w:spacing w:line="360" w:lineRule="auto"/>
              <w:rPr>
                <w:rFonts w:hint="default" w:ascii="Times New Roman" w:hAnsi="Times New Roman" w:eastAsia="宋体" w:cs="Times New Roman"/>
                <w:color w:val="auto"/>
                <w:spacing w:val="0"/>
                <w:sz w:val="24"/>
                <w:szCs w:val="24"/>
                <w:highlight w:val="none"/>
              </w:rPr>
            </w:pPr>
            <w:r>
              <w:rPr>
                <w:rFonts w:hint="default" w:ascii="Times New Roman" w:hAnsi="Times New Roman" w:cs="Times New Roman"/>
                <w:color w:val="auto"/>
                <w:spacing w:val="0"/>
                <w:sz w:val="24"/>
                <w:szCs w:val="24"/>
                <w:highlight w:val="none"/>
                <w:lang w:val="en-US" w:eastAsia="zh-CN"/>
              </w:rPr>
              <w:t>本项目为锅炉</w:t>
            </w:r>
            <w:r>
              <w:rPr>
                <w:rFonts w:hint="eastAsia" w:ascii="Times New Roman" w:hAnsi="Times New Roman" w:cs="Times New Roman"/>
                <w:color w:val="auto"/>
                <w:spacing w:val="0"/>
                <w:sz w:val="24"/>
                <w:szCs w:val="24"/>
                <w:highlight w:val="none"/>
                <w:lang w:val="en-US" w:eastAsia="zh-CN"/>
              </w:rPr>
              <w:t>建设</w:t>
            </w:r>
            <w:r>
              <w:rPr>
                <w:rFonts w:hint="default" w:ascii="Times New Roman" w:hAnsi="Times New Roman" w:cs="Times New Roman"/>
                <w:color w:val="auto"/>
                <w:spacing w:val="0"/>
                <w:sz w:val="24"/>
                <w:szCs w:val="24"/>
                <w:highlight w:val="none"/>
                <w:lang w:val="en-US" w:eastAsia="zh-CN"/>
              </w:rPr>
              <w:t>项目，</w:t>
            </w:r>
            <w:r>
              <w:rPr>
                <w:rFonts w:hint="eastAsia" w:ascii="Times New Roman" w:hAnsi="Times New Roman" w:cs="Times New Roman"/>
                <w:color w:val="auto"/>
                <w:spacing w:val="0"/>
                <w:sz w:val="24"/>
                <w:szCs w:val="24"/>
                <w:highlight w:val="none"/>
                <w:lang w:val="en-US" w:eastAsia="zh-CN"/>
              </w:rPr>
              <w:t>建设</w:t>
            </w:r>
            <w:r>
              <w:rPr>
                <w:rFonts w:hint="default" w:ascii="Times New Roman" w:hAnsi="Times New Roman" w:cs="Times New Roman"/>
                <w:color w:val="auto"/>
                <w:spacing w:val="0"/>
                <w:sz w:val="24"/>
                <w:szCs w:val="24"/>
                <w:highlight w:val="none"/>
                <w:lang w:val="en-US" w:eastAsia="zh-CN"/>
              </w:rPr>
              <w:t>1台</w:t>
            </w:r>
            <w:r>
              <w:rPr>
                <w:rFonts w:hint="eastAsia" w:ascii="Times New Roman" w:hAnsi="Times New Roman" w:cs="Times New Roman"/>
                <w:color w:val="auto"/>
                <w:spacing w:val="0"/>
                <w:sz w:val="24"/>
                <w:szCs w:val="24"/>
                <w:highlight w:val="none"/>
                <w:lang w:val="en-US" w:eastAsia="zh-CN"/>
              </w:rPr>
              <w:t>2.1MW</w:t>
            </w:r>
            <w:r>
              <w:rPr>
                <w:rFonts w:hint="default" w:ascii="Times New Roman" w:hAnsi="Times New Roman" w:cs="Times New Roman"/>
                <w:color w:val="auto"/>
                <w:spacing w:val="0"/>
                <w:sz w:val="24"/>
                <w:szCs w:val="24"/>
                <w:highlight w:val="none"/>
                <w:lang w:val="en-US" w:eastAsia="zh-CN"/>
              </w:rPr>
              <w:t>的生物质热水锅炉用做医院临时锅炉。</w:t>
            </w:r>
            <w:r>
              <w:rPr>
                <w:rFonts w:hint="default" w:ascii="Times New Roman" w:hAnsi="Times New Roman" w:eastAsia="宋体" w:cs="Times New Roman"/>
                <w:color w:val="auto"/>
                <w:spacing w:val="0"/>
                <w:sz w:val="24"/>
                <w:szCs w:val="24"/>
                <w:highlight w:val="none"/>
              </w:rPr>
              <w:t>本项目主要工程组成见下表</w:t>
            </w:r>
            <w:r>
              <w:rPr>
                <w:rFonts w:hint="default" w:ascii="Times New Roman" w:hAnsi="Times New Roman" w:eastAsia="宋体" w:cs="Times New Roman"/>
                <w:color w:val="auto"/>
                <w:spacing w:val="0"/>
                <w:sz w:val="24"/>
                <w:szCs w:val="24"/>
                <w:highlight w:val="none"/>
                <w:lang w:val="en-US" w:eastAsia="zh-CN"/>
              </w:rPr>
              <w:t>2-1</w:t>
            </w:r>
            <w:r>
              <w:rPr>
                <w:rFonts w:hint="default" w:ascii="Times New Roman" w:hAnsi="Times New Roman" w:eastAsia="宋体" w:cs="Times New Roman"/>
                <w:color w:val="auto"/>
                <w:spacing w:val="0"/>
                <w:sz w:val="24"/>
                <w:szCs w:val="24"/>
                <w:highlight w:val="none"/>
              </w:rPr>
              <w:t>。</w:t>
            </w:r>
          </w:p>
          <w:p w14:paraId="3C41FE90">
            <w:pPr>
              <w:pStyle w:val="77"/>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b/>
                <w:bCs w:val="0"/>
                <w:color w:val="auto"/>
                <w:spacing w:val="0"/>
                <w:kern w:val="2"/>
                <w:sz w:val="21"/>
                <w:szCs w:val="21"/>
                <w:highlight w:val="none"/>
                <w:lang w:val="en-US" w:eastAsia="zh-CN" w:bidi="ar-SA"/>
              </w:rPr>
            </w:pPr>
            <w:r>
              <w:rPr>
                <w:rFonts w:hint="default" w:ascii="Times New Roman" w:hAnsi="Times New Roman" w:eastAsia="宋体" w:cs="Times New Roman"/>
                <w:b/>
                <w:bCs w:val="0"/>
                <w:color w:val="auto"/>
                <w:spacing w:val="0"/>
                <w:kern w:val="2"/>
                <w:sz w:val="21"/>
                <w:szCs w:val="21"/>
                <w:highlight w:val="none"/>
                <w:lang w:val="en-US" w:eastAsia="zh-CN" w:bidi="ar-SA"/>
              </w:rPr>
              <w:t>表2-1 主要建设内容一览表</w:t>
            </w:r>
          </w:p>
          <w:tbl>
            <w:tblPr>
              <w:tblStyle w:val="3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57"/>
              <w:gridCol w:w="1070"/>
              <w:gridCol w:w="4755"/>
              <w:gridCol w:w="689"/>
            </w:tblGrid>
            <w:tr w14:paraId="5EC09C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850" w:hRule="atLeast"/>
                <w:jc w:val="center"/>
              </w:trPr>
              <w:tc>
                <w:tcPr>
                  <w:tcW w:w="2327" w:type="dxa"/>
                  <w:gridSpan w:val="2"/>
                  <w:noWrap w:val="0"/>
                  <w:vAlign w:val="center"/>
                </w:tcPr>
                <w:p w14:paraId="0B06C3D0">
                  <w:pPr>
                    <w:pStyle w:val="70"/>
                    <w:spacing w:line="240" w:lineRule="auto"/>
                    <w:jc w:val="center"/>
                    <w:rPr>
                      <w:rFonts w:hint="default" w:ascii="Times New Roman" w:hAnsi="Times New Roman" w:eastAsia="宋体" w:cs="Times New Roman"/>
                      <w:snapToGrid w:val="0"/>
                      <w:color w:val="auto"/>
                      <w:spacing w:val="0"/>
                      <w:sz w:val="21"/>
                      <w:szCs w:val="21"/>
                      <w:highlight w:val="none"/>
                    </w:rPr>
                  </w:pPr>
                  <w:r>
                    <w:rPr>
                      <w:rFonts w:hint="default" w:ascii="Times New Roman" w:hAnsi="Times New Roman" w:eastAsia="宋体" w:cs="Times New Roman"/>
                      <w:snapToGrid w:val="0"/>
                      <w:color w:val="auto"/>
                      <w:spacing w:val="0"/>
                      <w:sz w:val="21"/>
                      <w:szCs w:val="21"/>
                      <w:highlight w:val="none"/>
                    </w:rPr>
                    <w:t>项目</w:t>
                  </w:r>
                </w:p>
              </w:tc>
              <w:tc>
                <w:tcPr>
                  <w:tcW w:w="4755" w:type="dxa"/>
                  <w:noWrap w:val="0"/>
                  <w:vAlign w:val="center"/>
                </w:tcPr>
                <w:p w14:paraId="71BADDFC">
                  <w:pPr>
                    <w:pStyle w:val="70"/>
                    <w:spacing w:line="240" w:lineRule="auto"/>
                    <w:jc w:val="center"/>
                    <w:rPr>
                      <w:rFonts w:hint="default" w:ascii="Times New Roman" w:hAnsi="Times New Roman" w:eastAsia="宋体" w:cs="Times New Roman"/>
                      <w:snapToGrid w:val="0"/>
                      <w:color w:val="auto"/>
                      <w:spacing w:val="0"/>
                      <w:sz w:val="21"/>
                      <w:szCs w:val="21"/>
                      <w:highlight w:val="none"/>
                    </w:rPr>
                  </w:pPr>
                  <w:r>
                    <w:rPr>
                      <w:rFonts w:hint="default" w:ascii="Times New Roman" w:hAnsi="Times New Roman" w:eastAsia="宋体" w:cs="Times New Roman"/>
                      <w:snapToGrid w:val="0"/>
                      <w:color w:val="auto"/>
                      <w:spacing w:val="0"/>
                      <w:sz w:val="21"/>
                      <w:szCs w:val="21"/>
                      <w:highlight w:val="none"/>
                    </w:rPr>
                    <w:t>主要建设内容</w:t>
                  </w:r>
                </w:p>
              </w:tc>
              <w:tc>
                <w:tcPr>
                  <w:tcW w:w="689" w:type="dxa"/>
                  <w:noWrap w:val="0"/>
                  <w:vAlign w:val="center"/>
                </w:tcPr>
                <w:p w14:paraId="32A00BA4">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eastAsia="宋体" w:cs="Times New Roman"/>
                      <w:snapToGrid w:val="0"/>
                      <w:color w:val="auto"/>
                      <w:spacing w:val="0"/>
                      <w:sz w:val="21"/>
                      <w:szCs w:val="21"/>
                      <w:highlight w:val="none"/>
                      <w:lang w:val="en-US" w:eastAsia="zh-CN"/>
                    </w:rPr>
                    <w:t>备注</w:t>
                  </w:r>
                </w:p>
              </w:tc>
            </w:tr>
            <w:tr w14:paraId="021A3C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restart"/>
                  <w:noWrap w:val="0"/>
                  <w:vAlign w:val="center"/>
                </w:tcPr>
                <w:p w14:paraId="23262A7D">
                  <w:pPr>
                    <w:pStyle w:val="70"/>
                    <w:spacing w:line="240" w:lineRule="auto"/>
                    <w:jc w:val="center"/>
                    <w:rPr>
                      <w:rFonts w:hint="default" w:ascii="Times New Roman" w:hAnsi="Times New Roman" w:eastAsia="宋体" w:cs="Times New Roman"/>
                      <w:snapToGrid w:val="0"/>
                      <w:color w:val="auto"/>
                      <w:spacing w:val="0"/>
                      <w:sz w:val="21"/>
                      <w:szCs w:val="21"/>
                      <w:highlight w:val="none"/>
                    </w:rPr>
                  </w:pPr>
                  <w:r>
                    <w:rPr>
                      <w:rFonts w:hint="default" w:ascii="Times New Roman" w:hAnsi="Times New Roman" w:eastAsia="宋体" w:cs="Times New Roman"/>
                      <w:snapToGrid w:val="0"/>
                      <w:color w:val="auto"/>
                      <w:spacing w:val="0"/>
                      <w:sz w:val="21"/>
                      <w:szCs w:val="21"/>
                      <w:highlight w:val="none"/>
                    </w:rPr>
                    <w:t>主体工程</w:t>
                  </w:r>
                </w:p>
              </w:tc>
              <w:tc>
                <w:tcPr>
                  <w:tcW w:w="1070" w:type="dxa"/>
                  <w:noWrap w:val="0"/>
                  <w:vAlign w:val="center"/>
                </w:tcPr>
                <w:p w14:paraId="754CDEF8">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rPr>
                  </w:pPr>
                  <w:r>
                    <w:rPr>
                      <w:rFonts w:hint="default" w:ascii="Times New Roman" w:hAnsi="Times New Roman" w:cs="Times New Roman"/>
                      <w:snapToGrid w:val="0"/>
                      <w:color w:val="auto"/>
                      <w:spacing w:val="0"/>
                      <w:sz w:val="21"/>
                      <w:szCs w:val="21"/>
                      <w:highlight w:val="none"/>
                      <w:lang w:val="en-US" w:eastAsia="zh-CN"/>
                    </w:rPr>
                    <w:t>锅炉房</w:t>
                  </w:r>
                </w:p>
              </w:tc>
              <w:tc>
                <w:tcPr>
                  <w:tcW w:w="4755" w:type="dxa"/>
                  <w:noWrap w:val="0"/>
                  <w:vAlign w:val="center"/>
                </w:tcPr>
                <w:p w14:paraId="197583D0">
                  <w:pPr>
                    <w:spacing w:line="240" w:lineRule="auto"/>
                    <w:ind w:left="0" w:leftChars="0" w:firstLine="0" w:firstLineChars="0"/>
                    <w:jc w:val="center"/>
                    <w:rPr>
                      <w:rFonts w:hint="default"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cs="Times New Roman"/>
                      <w:snapToGrid w:val="0"/>
                      <w:color w:val="auto"/>
                      <w:spacing w:val="0"/>
                      <w:sz w:val="21"/>
                      <w:szCs w:val="21"/>
                      <w:highlight w:val="none"/>
                      <w:lang w:val="en-US" w:eastAsia="zh-CN"/>
                    </w:rPr>
                    <w:t>锅炉房设立于门诊综合楼西南侧，</w:t>
                  </w:r>
                  <w:r>
                    <w:rPr>
                      <w:rFonts w:hint="eastAsia" w:ascii="Times New Roman" w:hAnsi="Times New Roman" w:cs="Times New Roman"/>
                      <w:snapToGrid w:val="0"/>
                      <w:color w:val="auto"/>
                      <w:spacing w:val="0"/>
                      <w:sz w:val="21"/>
                      <w:szCs w:val="21"/>
                      <w:highlight w:val="none"/>
                      <w:lang w:val="en-US" w:eastAsia="zh-CN"/>
                    </w:rPr>
                    <w:t>利用原有锅炉房建筑翻新为</w:t>
                  </w:r>
                  <w:r>
                    <w:rPr>
                      <w:rFonts w:hint="default" w:ascii="Times New Roman" w:hAnsi="Times New Roman" w:cs="Times New Roman"/>
                      <w:snapToGrid w:val="0"/>
                      <w:color w:val="auto"/>
                      <w:spacing w:val="0"/>
                      <w:sz w:val="21"/>
                      <w:szCs w:val="21"/>
                      <w:highlight w:val="none"/>
                      <w:lang w:val="en-US" w:eastAsia="zh-CN"/>
                    </w:rPr>
                    <w:t>独立锅炉房，锅炉房为1层地上建筑结构</w:t>
                  </w:r>
                  <w:r>
                    <w:rPr>
                      <w:rFonts w:hint="eastAsia" w:ascii="Times New Roman" w:hAnsi="Times New Roman" w:cs="Times New Roman"/>
                      <w:snapToGrid w:val="0"/>
                      <w:color w:val="auto"/>
                      <w:spacing w:val="0"/>
                      <w:sz w:val="21"/>
                      <w:szCs w:val="21"/>
                      <w:highlight w:val="none"/>
                      <w:lang w:val="en-US" w:eastAsia="zh-CN"/>
                    </w:rPr>
                    <w:t>，高4米</w:t>
                  </w:r>
                  <w:r>
                    <w:rPr>
                      <w:rFonts w:hint="default" w:ascii="Times New Roman" w:hAnsi="Times New Roman" w:cs="Times New Roman"/>
                      <w:snapToGrid w:val="0"/>
                      <w:color w:val="auto"/>
                      <w:spacing w:val="0"/>
                      <w:sz w:val="21"/>
                      <w:szCs w:val="21"/>
                      <w:highlight w:val="none"/>
                      <w:lang w:val="en-US" w:eastAsia="zh-CN"/>
                    </w:rPr>
                    <w:t>，建筑面积为147.77m</w:t>
                  </w:r>
                  <w:r>
                    <w:rPr>
                      <w:rFonts w:hint="default" w:ascii="Times New Roman" w:hAnsi="Times New Roman" w:cs="Times New Roman"/>
                      <w:snapToGrid w:val="0"/>
                      <w:color w:val="auto"/>
                      <w:spacing w:val="0"/>
                      <w:sz w:val="21"/>
                      <w:szCs w:val="21"/>
                      <w:highlight w:val="none"/>
                      <w:vertAlign w:val="superscript"/>
                      <w:lang w:val="en-US" w:eastAsia="zh-CN"/>
                    </w:rPr>
                    <w:t>2</w:t>
                  </w:r>
                  <w:r>
                    <w:rPr>
                      <w:rFonts w:hint="default" w:ascii="Times New Roman" w:hAnsi="Times New Roman" w:cs="Times New Roman"/>
                      <w:snapToGrid w:val="0"/>
                      <w:color w:val="auto"/>
                      <w:spacing w:val="0"/>
                      <w:sz w:val="21"/>
                      <w:szCs w:val="21"/>
                      <w:highlight w:val="none"/>
                      <w:lang w:val="en-US" w:eastAsia="zh-CN"/>
                    </w:rPr>
                    <w:t>。</w:t>
                  </w:r>
                  <w:r>
                    <w:rPr>
                      <w:rFonts w:hint="eastAsia" w:ascii="Times New Roman" w:hAnsi="Times New Roman" w:cs="Times New Roman"/>
                      <w:snapToGrid w:val="0"/>
                      <w:color w:val="auto"/>
                      <w:spacing w:val="0"/>
                      <w:sz w:val="21"/>
                      <w:szCs w:val="21"/>
                      <w:highlight w:val="none"/>
                      <w:lang w:val="en-US" w:eastAsia="zh-CN"/>
                    </w:rPr>
                    <w:t>建设</w:t>
                  </w:r>
                  <w:r>
                    <w:rPr>
                      <w:rFonts w:hint="default" w:ascii="Times New Roman" w:hAnsi="Times New Roman" w:cs="Times New Roman"/>
                      <w:snapToGrid w:val="0"/>
                      <w:color w:val="auto"/>
                      <w:spacing w:val="0"/>
                      <w:sz w:val="21"/>
                      <w:szCs w:val="21"/>
                      <w:highlight w:val="none"/>
                      <w:lang w:val="en-US" w:eastAsia="zh-CN"/>
                    </w:rPr>
                    <w:t>1台</w:t>
                  </w:r>
                  <w:r>
                    <w:rPr>
                      <w:rFonts w:hint="eastAsia" w:ascii="Times New Roman" w:hAnsi="Times New Roman" w:cs="Times New Roman"/>
                      <w:snapToGrid w:val="0"/>
                      <w:color w:val="auto"/>
                      <w:spacing w:val="0"/>
                      <w:sz w:val="21"/>
                      <w:szCs w:val="21"/>
                      <w:highlight w:val="none"/>
                      <w:lang w:val="en-US" w:eastAsia="zh-CN"/>
                    </w:rPr>
                    <w:t>2.1MW</w:t>
                  </w:r>
                  <w:r>
                    <w:rPr>
                      <w:rFonts w:hint="default" w:ascii="Times New Roman" w:hAnsi="Times New Roman" w:cs="Times New Roman"/>
                      <w:snapToGrid w:val="0"/>
                      <w:color w:val="auto"/>
                      <w:spacing w:val="0"/>
                      <w:sz w:val="21"/>
                      <w:szCs w:val="21"/>
                      <w:highlight w:val="none"/>
                      <w:lang w:val="en-US" w:eastAsia="zh-CN"/>
                    </w:rPr>
                    <w:t>的生物质锅炉用于城子河医院供暖用热</w:t>
                  </w:r>
                  <w:r>
                    <w:rPr>
                      <w:rFonts w:hint="eastAsia" w:ascii="Times New Roman" w:hAnsi="Times New Roman" w:cs="Times New Roman"/>
                      <w:snapToGrid w:val="0"/>
                      <w:color w:val="auto"/>
                      <w:spacing w:val="0"/>
                      <w:sz w:val="21"/>
                      <w:szCs w:val="21"/>
                      <w:highlight w:val="none"/>
                      <w:lang w:val="en-US" w:eastAsia="zh-CN"/>
                    </w:rPr>
                    <w:t>，排气筒（DA001）高度为30米。</w:t>
                  </w:r>
                </w:p>
              </w:tc>
              <w:tc>
                <w:tcPr>
                  <w:tcW w:w="689" w:type="dxa"/>
                  <w:noWrap w:val="0"/>
                  <w:vAlign w:val="center"/>
                </w:tcPr>
                <w:p w14:paraId="536DE984">
                  <w:pPr>
                    <w:spacing w:line="240" w:lineRule="auto"/>
                    <w:ind w:left="0" w:leftChars="0" w:firstLine="0" w:firstLineChars="0"/>
                    <w:jc w:val="center"/>
                    <w:rPr>
                      <w:rFonts w:hint="default" w:ascii="Times New Roman" w:hAnsi="Times New Roman" w:eastAsia="宋体" w:cs="Times New Roman"/>
                      <w:snapToGrid w:val="0"/>
                      <w:color w:val="auto"/>
                      <w:spacing w:val="0"/>
                      <w:sz w:val="21"/>
                      <w:szCs w:val="21"/>
                      <w:highlight w:val="none"/>
                      <w:lang w:val="en-US" w:eastAsia="zh-CN"/>
                    </w:rPr>
                  </w:pPr>
                  <w:r>
                    <w:rPr>
                      <w:rFonts w:hint="eastAsia" w:ascii="Times New Roman" w:hAnsi="Times New Roman" w:cs="Times New Roman"/>
                      <w:snapToGrid w:val="0"/>
                      <w:color w:val="auto"/>
                      <w:spacing w:val="0"/>
                      <w:sz w:val="21"/>
                      <w:szCs w:val="21"/>
                      <w:highlight w:val="none"/>
                      <w:lang w:val="en-US" w:eastAsia="zh-CN"/>
                    </w:rPr>
                    <w:t>利用原有建筑</w:t>
                  </w:r>
                </w:p>
              </w:tc>
            </w:tr>
            <w:tr w14:paraId="596FF2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continue"/>
                  <w:noWrap w:val="0"/>
                  <w:vAlign w:val="center"/>
                </w:tcPr>
                <w:p w14:paraId="1F943A5C">
                  <w:pPr>
                    <w:pStyle w:val="70"/>
                    <w:spacing w:line="240" w:lineRule="auto"/>
                    <w:jc w:val="center"/>
                    <w:rPr>
                      <w:rFonts w:hint="default" w:ascii="Times New Roman" w:hAnsi="Times New Roman" w:eastAsia="宋体" w:cs="Times New Roman"/>
                      <w:snapToGrid w:val="0"/>
                      <w:color w:val="auto"/>
                      <w:spacing w:val="0"/>
                      <w:sz w:val="21"/>
                      <w:szCs w:val="21"/>
                      <w:highlight w:val="none"/>
                    </w:rPr>
                  </w:pPr>
                </w:p>
              </w:tc>
              <w:tc>
                <w:tcPr>
                  <w:tcW w:w="1070" w:type="dxa"/>
                  <w:shd w:val="clear" w:color="auto" w:fill="auto"/>
                  <w:noWrap w:val="0"/>
                  <w:vAlign w:val="center"/>
                </w:tcPr>
                <w:p w14:paraId="3018E110">
                  <w:pPr>
                    <w:spacing w:line="240" w:lineRule="auto"/>
                    <w:ind w:left="0" w:leftChars="0" w:firstLine="0" w:firstLineChars="0"/>
                    <w:jc w:val="center"/>
                    <w:rPr>
                      <w:rFonts w:hint="default" w:ascii="Times New Roman" w:hAnsi="Times New Roman" w:cs="Times New Roman"/>
                      <w:snapToGrid w:val="0"/>
                      <w:color w:val="auto"/>
                      <w:spacing w:val="0"/>
                      <w:sz w:val="21"/>
                      <w:szCs w:val="21"/>
                      <w:highlight w:val="none"/>
                      <w:lang w:val="en-US" w:eastAsia="zh-CN"/>
                    </w:rPr>
                  </w:pPr>
                  <w:r>
                    <w:rPr>
                      <w:rFonts w:hint="default" w:ascii="Times New Roman" w:hAnsi="Times New Roman" w:cs="Times New Roman"/>
                      <w:snapToGrid w:val="0"/>
                      <w:color w:val="auto"/>
                      <w:spacing w:val="0"/>
                      <w:sz w:val="21"/>
                      <w:szCs w:val="21"/>
                      <w:highlight w:val="none"/>
                      <w:lang w:val="en-US" w:eastAsia="zh-CN"/>
                    </w:rPr>
                    <w:t>软化水</w:t>
                  </w:r>
                </w:p>
                <w:p w14:paraId="317F9810">
                  <w:pPr>
                    <w:spacing w:line="240" w:lineRule="auto"/>
                    <w:ind w:left="0" w:leftChars="0" w:firstLine="0" w:firstLineChars="0"/>
                    <w:jc w:val="center"/>
                    <w:rPr>
                      <w:rFonts w:hint="default" w:ascii="Times New Roman" w:hAnsi="Times New Roman" w:cs="Times New Roman"/>
                      <w:snapToGrid w:val="0"/>
                      <w:color w:val="auto"/>
                      <w:spacing w:val="0"/>
                      <w:sz w:val="21"/>
                      <w:szCs w:val="21"/>
                      <w:highlight w:val="none"/>
                      <w:lang w:val="en-US" w:eastAsia="zh-CN"/>
                    </w:rPr>
                  </w:pPr>
                  <w:r>
                    <w:rPr>
                      <w:rFonts w:hint="default" w:ascii="Times New Roman" w:hAnsi="Times New Roman" w:cs="Times New Roman"/>
                      <w:snapToGrid w:val="0"/>
                      <w:color w:val="auto"/>
                      <w:spacing w:val="0"/>
                      <w:sz w:val="21"/>
                      <w:szCs w:val="21"/>
                      <w:highlight w:val="none"/>
                      <w:lang w:val="en-US" w:eastAsia="zh-CN"/>
                    </w:rPr>
                    <w:t>装置</w:t>
                  </w:r>
                </w:p>
              </w:tc>
              <w:tc>
                <w:tcPr>
                  <w:tcW w:w="4755" w:type="dxa"/>
                  <w:shd w:val="clear" w:color="auto" w:fill="auto"/>
                  <w:noWrap w:val="0"/>
                  <w:vAlign w:val="center"/>
                </w:tcPr>
                <w:p w14:paraId="53A1C507">
                  <w:pPr>
                    <w:spacing w:line="240" w:lineRule="auto"/>
                    <w:ind w:left="0" w:leftChars="0" w:firstLine="0" w:firstLineChars="0"/>
                    <w:jc w:val="center"/>
                    <w:rPr>
                      <w:rFonts w:hint="default" w:ascii="Times New Roman" w:hAnsi="Times New Roman" w:cs="Times New Roman"/>
                      <w:snapToGrid w:val="0"/>
                      <w:color w:val="auto"/>
                      <w:spacing w:val="0"/>
                      <w:sz w:val="21"/>
                      <w:szCs w:val="21"/>
                      <w:highlight w:val="none"/>
                      <w:lang w:val="en-US" w:eastAsia="zh-CN"/>
                    </w:rPr>
                  </w:pPr>
                  <w:r>
                    <w:rPr>
                      <w:rFonts w:hint="default" w:ascii="Times New Roman" w:hAnsi="Times New Roman" w:cs="Times New Roman"/>
                      <w:snapToGrid w:val="0"/>
                      <w:color w:val="auto"/>
                      <w:spacing w:val="0"/>
                      <w:sz w:val="21"/>
                      <w:szCs w:val="21"/>
                      <w:highlight w:val="none"/>
                      <w:lang w:val="en-US" w:eastAsia="zh-CN"/>
                    </w:rPr>
                    <w:t>安装离子软化水装置，位于锅炉房内，水处理工艺为反渗透，处理能力为</w:t>
                  </w:r>
                  <w:r>
                    <w:rPr>
                      <w:rFonts w:hint="eastAsia" w:ascii="Times New Roman" w:hAnsi="Times New Roman" w:cs="Times New Roman"/>
                      <w:snapToGrid w:val="0"/>
                      <w:color w:val="auto"/>
                      <w:spacing w:val="0"/>
                      <w:sz w:val="21"/>
                      <w:szCs w:val="21"/>
                      <w:highlight w:val="none"/>
                      <w:lang w:val="en-US" w:eastAsia="zh-CN"/>
                    </w:rPr>
                    <w:t>15</w:t>
                  </w:r>
                  <w:r>
                    <w:rPr>
                      <w:rFonts w:hint="default" w:ascii="Times New Roman" w:hAnsi="Times New Roman" w:cs="Times New Roman"/>
                      <w:snapToGrid w:val="0"/>
                      <w:color w:val="auto"/>
                      <w:spacing w:val="0"/>
                      <w:sz w:val="21"/>
                      <w:szCs w:val="21"/>
                      <w:highlight w:val="none"/>
                      <w:lang w:val="en-US" w:eastAsia="zh-CN"/>
                    </w:rPr>
                    <w:t>t/h</w:t>
                  </w:r>
                  <w:r>
                    <w:rPr>
                      <w:rFonts w:hint="eastAsia" w:ascii="Times New Roman" w:hAnsi="Times New Roman" w:cs="Times New Roman"/>
                      <w:snapToGrid w:val="0"/>
                      <w:color w:val="auto"/>
                      <w:spacing w:val="0"/>
                      <w:sz w:val="21"/>
                      <w:szCs w:val="21"/>
                      <w:highlight w:val="none"/>
                      <w:lang w:val="en-US" w:eastAsia="zh-CN"/>
                    </w:rPr>
                    <w:t>。</w:t>
                  </w:r>
                </w:p>
              </w:tc>
              <w:tc>
                <w:tcPr>
                  <w:tcW w:w="689" w:type="dxa"/>
                  <w:noWrap w:val="0"/>
                  <w:vAlign w:val="center"/>
                </w:tcPr>
                <w:p w14:paraId="6A696B7F">
                  <w:pPr>
                    <w:spacing w:line="240" w:lineRule="auto"/>
                    <w:ind w:left="0" w:leftChars="0" w:firstLine="0" w:firstLineChars="0"/>
                    <w:jc w:val="center"/>
                    <w:rPr>
                      <w:rFonts w:hint="default" w:ascii="Times New Roman" w:hAnsi="Times New Roman" w:cs="Times New Roman"/>
                      <w:snapToGrid w:val="0"/>
                      <w:color w:val="auto"/>
                      <w:spacing w:val="0"/>
                      <w:sz w:val="21"/>
                      <w:szCs w:val="21"/>
                      <w:highlight w:val="none"/>
                      <w:lang w:val="en-US" w:eastAsia="zh-CN"/>
                    </w:rPr>
                  </w:pPr>
                  <w:r>
                    <w:rPr>
                      <w:rFonts w:hint="eastAsia" w:ascii="Times New Roman" w:hAnsi="Times New Roman" w:cs="Times New Roman"/>
                      <w:snapToGrid w:val="0"/>
                      <w:color w:val="auto"/>
                      <w:spacing w:val="0"/>
                      <w:sz w:val="21"/>
                      <w:szCs w:val="21"/>
                      <w:highlight w:val="none"/>
                      <w:lang w:val="en-US" w:eastAsia="zh-CN"/>
                    </w:rPr>
                    <w:t>新建</w:t>
                  </w:r>
                </w:p>
              </w:tc>
            </w:tr>
            <w:tr w14:paraId="28249A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restart"/>
                  <w:noWrap w:val="0"/>
                  <w:vAlign w:val="center"/>
                </w:tcPr>
                <w:p w14:paraId="45D7DAF3">
                  <w:pPr>
                    <w:pStyle w:val="70"/>
                    <w:spacing w:line="240" w:lineRule="auto"/>
                    <w:jc w:val="center"/>
                    <w:rPr>
                      <w:rFonts w:hint="default" w:ascii="Times New Roman" w:hAnsi="Times New Roman" w:eastAsia="宋体" w:cs="Times New Roman"/>
                      <w:snapToGrid w:val="0"/>
                      <w:color w:val="auto"/>
                      <w:spacing w:val="0"/>
                      <w:sz w:val="21"/>
                      <w:szCs w:val="21"/>
                      <w:highlight w:val="none"/>
                    </w:rPr>
                  </w:pPr>
                  <w:r>
                    <w:rPr>
                      <w:rFonts w:hint="default" w:ascii="Times New Roman" w:hAnsi="Times New Roman" w:eastAsia="宋体" w:cs="Times New Roman"/>
                      <w:snapToGrid w:val="0"/>
                      <w:color w:val="auto"/>
                      <w:spacing w:val="0"/>
                      <w:sz w:val="21"/>
                      <w:szCs w:val="21"/>
                      <w:highlight w:val="none"/>
                      <w:lang w:val="en-US"/>
                    </w:rPr>
                    <w:t>储运工程</w:t>
                  </w:r>
                </w:p>
              </w:tc>
              <w:tc>
                <w:tcPr>
                  <w:tcW w:w="1070" w:type="dxa"/>
                  <w:noWrap w:val="0"/>
                  <w:vAlign w:val="center"/>
                </w:tcPr>
                <w:p w14:paraId="7EE76C6E">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cs="Times New Roman"/>
                      <w:color w:val="auto"/>
                      <w:highlight w:val="none"/>
                      <w:lang w:val="en-US" w:eastAsia="zh-CN"/>
                    </w:rPr>
                    <w:t>燃料库</w:t>
                  </w:r>
                </w:p>
              </w:tc>
              <w:tc>
                <w:tcPr>
                  <w:tcW w:w="4755" w:type="dxa"/>
                  <w:noWrap w:val="0"/>
                  <w:vAlign w:val="center"/>
                </w:tcPr>
                <w:p w14:paraId="424B112D">
                  <w:pPr>
                    <w:pStyle w:val="70"/>
                    <w:spacing w:line="240" w:lineRule="auto"/>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燃料库位于锅炉房内部北侧，</w:t>
                  </w:r>
                  <w:r>
                    <w:rPr>
                      <w:rFonts w:hint="default" w:ascii="Times New Roman" w:hAnsi="Times New Roman" w:cs="Times New Roman"/>
                      <w:color w:val="auto"/>
                      <w:kern w:val="0"/>
                      <w:szCs w:val="21"/>
                      <w:highlight w:val="none"/>
                      <w:lang w:val="en-US" w:eastAsia="zh-CN"/>
                    </w:rPr>
                    <w:t>1栋，</w:t>
                  </w:r>
                  <w:r>
                    <w:rPr>
                      <w:rFonts w:hint="default" w:ascii="Times New Roman" w:hAnsi="Times New Roman" w:cs="Times New Roman"/>
                      <w:color w:val="auto"/>
                      <w:sz w:val="21"/>
                      <w:szCs w:val="21"/>
                      <w:highlight w:val="none"/>
                      <w:lang w:val="en-US" w:eastAsia="zh-CN"/>
                    </w:rPr>
                    <w:t>建筑高度最高4m，砖混结构，占地面积15m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lang w:val="en-US" w:eastAsia="zh-CN"/>
                    </w:rPr>
                    <w:t>，为生物质成型燃料储存库房，最大储存量为</w:t>
                  </w:r>
                  <w:r>
                    <w:rPr>
                      <w:rFonts w:hint="eastAsia" w:cs="Times New Roman"/>
                      <w:color w:val="auto"/>
                      <w:sz w:val="21"/>
                      <w:szCs w:val="21"/>
                      <w:highlight w:val="none"/>
                      <w:lang w:val="en-US" w:eastAsia="zh-CN"/>
                    </w:rPr>
                    <w:t>90</w:t>
                  </w:r>
                  <w:r>
                    <w:rPr>
                      <w:rFonts w:hint="default" w:ascii="Times New Roman" w:hAnsi="Times New Roman" w:cs="Times New Roman"/>
                      <w:color w:val="auto"/>
                      <w:sz w:val="21"/>
                      <w:szCs w:val="21"/>
                      <w:highlight w:val="none"/>
                      <w:lang w:val="en-US" w:eastAsia="zh-CN"/>
                    </w:rPr>
                    <w:t>t。</w:t>
                  </w:r>
                  <w:r>
                    <w:rPr>
                      <w:rFonts w:hint="default" w:ascii="Times New Roman" w:hAnsi="Times New Roman" w:cs="Times New Roman"/>
                      <w:color w:val="auto"/>
                      <w:highlight w:val="none"/>
                      <w:lang w:val="en-US" w:eastAsia="zh-CN"/>
                    </w:rPr>
                    <w:t>本项目燃料量为</w:t>
                  </w:r>
                  <w:r>
                    <w:rPr>
                      <w:rFonts w:hint="eastAsia" w:cs="Times New Roman"/>
                      <w:color w:val="auto"/>
                      <w:highlight w:val="none"/>
                      <w:lang w:val="en-US" w:eastAsia="zh-CN"/>
                    </w:rPr>
                    <w:t>3020.16</w:t>
                  </w:r>
                  <w:r>
                    <w:rPr>
                      <w:rFonts w:hint="default" w:ascii="Times New Roman" w:hAnsi="Times New Roman" w:cs="Times New Roman"/>
                      <w:color w:val="auto"/>
                      <w:highlight w:val="none"/>
                      <w:lang w:val="en-US" w:eastAsia="zh-CN"/>
                    </w:rPr>
                    <w:t>t/a，燃料库可满足</w:t>
                  </w:r>
                  <w:r>
                    <w:rPr>
                      <w:rFonts w:hint="eastAsia" w:cs="Times New Roman"/>
                      <w:color w:val="auto"/>
                      <w:highlight w:val="none"/>
                      <w:lang w:val="en-US" w:eastAsia="zh-CN"/>
                    </w:rPr>
                    <w:t>7</w:t>
                  </w:r>
                  <w:r>
                    <w:rPr>
                      <w:rFonts w:hint="default" w:ascii="Times New Roman" w:hAnsi="Times New Roman" w:cs="Times New Roman"/>
                      <w:color w:val="auto"/>
                      <w:highlight w:val="none"/>
                      <w:lang w:val="en-US" w:eastAsia="zh-CN"/>
                    </w:rPr>
                    <w:t>d燃料用量。</w:t>
                  </w:r>
                </w:p>
              </w:tc>
              <w:tc>
                <w:tcPr>
                  <w:tcW w:w="689" w:type="dxa"/>
                  <w:noWrap w:val="0"/>
                  <w:vAlign w:val="center"/>
                </w:tcPr>
                <w:p w14:paraId="7E607436">
                  <w:pPr>
                    <w:pStyle w:val="70"/>
                    <w:spacing w:line="240" w:lineRule="auto"/>
                    <w:jc w:val="center"/>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新建</w:t>
                  </w:r>
                </w:p>
              </w:tc>
            </w:tr>
            <w:tr w14:paraId="60A523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continue"/>
                  <w:noWrap w:val="0"/>
                  <w:vAlign w:val="center"/>
                </w:tcPr>
                <w:p w14:paraId="1471A6C4">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rPr>
                  </w:pPr>
                </w:p>
              </w:tc>
              <w:tc>
                <w:tcPr>
                  <w:tcW w:w="1070" w:type="dxa"/>
                  <w:noWrap w:val="0"/>
                  <w:vAlign w:val="center"/>
                </w:tcPr>
                <w:p w14:paraId="2CC9ABD9">
                  <w:pPr>
                    <w:pStyle w:val="70"/>
                    <w:spacing w:line="240" w:lineRule="auto"/>
                    <w:jc w:val="center"/>
                    <w:rPr>
                      <w:rFonts w:hint="eastAsia" w:cs="Times New Roman"/>
                      <w:color w:val="auto"/>
                      <w:highlight w:val="none"/>
                      <w:lang w:val="en-US" w:eastAsia="zh-CN"/>
                    </w:rPr>
                  </w:pPr>
                  <w:r>
                    <w:rPr>
                      <w:rFonts w:hint="default" w:ascii="Times New Roman" w:hAnsi="Times New Roman" w:cs="Times New Roman"/>
                      <w:color w:val="auto"/>
                      <w:highlight w:val="none"/>
                      <w:lang w:val="en-US" w:eastAsia="zh-CN"/>
                    </w:rPr>
                    <w:t>灰渣</w:t>
                  </w:r>
                  <w:r>
                    <w:rPr>
                      <w:rFonts w:hint="eastAsia" w:cs="Times New Roman"/>
                      <w:color w:val="auto"/>
                      <w:highlight w:val="none"/>
                      <w:lang w:val="en-US" w:eastAsia="zh-CN"/>
                    </w:rPr>
                    <w:t>贮</w:t>
                  </w:r>
                </w:p>
                <w:p w14:paraId="418E2C33">
                  <w:pPr>
                    <w:pStyle w:val="70"/>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存间</w:t>
                  </w:r>
                </w:p>
              </w:tc>
              <w:tc>
                <w:tcPr>
                  <w:tcW w:w="4755" w:type="dxa"/>
                  <w:noWrap w:val="0"/>
                  <w:vAlign w:val="center"/>
                </w:tcPr>
                <w:p w14:paraId="622DA8B1">
                  <w:pPr>
                    <w:pStyle w:val="70"/>
                    <w:spacing w:line="240" w:lineRule="auto"/>
                    <w:jc w:val="center"/>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color w:val="auto"/>
                      <w:highlight w:val="none"/>
                      <w:lang w:val="en-US" w:eastAsia="zh-CN"/>
                    </w:rPr>
                    <w:t>灰渣</w:t>
                  </w:r>
                  <w:r>
                    <w:rPr>
                      <w:rFonts w:hint="eastAsia" w:cs="Times New Roman"/>
                      <w:color w:val="auto"/>
                      <w:highlight w:val="none"/>
                      <w:lang w:val="en-US" w:eastAsia="zh-CN"/>
                    </w:rPr>
                    <w:t>贮存间</w:t>
                  </w:r>
                  <w:r>
                    <w:rPr>
                      <w:rFonts w:hint="default" w:ascii="Times New Roman" w:hAnsi="Times New Roman" w:cs="Times New Roman"/>
                      <w:color w:val="auto"/>
                      <w:spacing w:val="0"/>
                      <w:sz w:val="21"/>
                      <w:szCs w:val="21"/>
                      <w:highlight w:val="none"/>
                      <w:lang w:val="en-US" w:eastAsia="zh-CN"/>
                    </w:rPr>
                    <w:t>位于锅炉北侧，体积2m</w:t>
                  </w:r>
                  <w:r>
                    <w:rPr>
                      <w:rFonts w:hint="default" w:ascii="Times New Roman" w:hAnsi="Times New Roman" w:cs="Times New Roman"/>
                      <w:color w:val="auto"/>
                      <w:spacing w:val="0"/>
                      <w:sz w:val="21"/>
                      <w:szCs w:val="21"/>
                      <w:highlight w:val="none"/>
                      <w:vertAlign w:val="superscript"/>
                      <w:lang w:val="en-US" w:eastAsia="zh-CN"/>
                    </w:rPr>
                    <w:t>3</w:t>
                  </w:r>
                  <w:r>
                    <w:rPr>
                      <w:rFonts w:hint="default" w:ascii="Times New Roman" w:hAnsi="Times New Roman" w:cs="Times New Roman"/>
                      <w:color w:val="auto"/>
                      <w:spacing w:val="0"/>
                      <w:sz w:val="21"/>
                      <w:szCs w:val="21"/>
                      <w:highlight w:val="none"/>
                      <w:lang w:val="en-US" w:eastAsia="zh-CN"/>
                    </w:rPr>
                    <w:t>，</w:t>
                  </w:r>
                  <w:r>
                    <w:rPr>
                      <w:rFonts w:hint="default" w:ascii="Times New Roman" w:hAnsi="Times New Roman" w:cs="Times New Roman"/>
                      <w:color w:val="auto"/>
                      <w:highlight w:val="none"/>
                      <w:lang w:val="en-US" w:eastAsia="zh-CN"/>
                    </w:rPr>
                    <w:t>本项目建成后锅炉灰渣产生量为</w:t>
                  </w:r>
                  <w:r>
                    <w:rPr>
                      <w:rFonts w:hint="eastAsia" w:cs="Times New Roman"/>
                      <w:color w:val="auto"/>
                      <w:highlight w:val="none"/>
                      <w:lang w:val="en-US" w:eastAsia="zh-CN"/>
                    </w:rPr>
                    <w:t>21.97</w:t>
                  </w:r>
                  <w:r>
                    <w:rPr>
                      <w:rFonts w:hint="default" w:ascii="Times New Roman" w:hAnsi="Times New Roman" w:cs="Times New Roman"/>
                      <w:color w:val="auto"/>
                      <w:highlight w:val="none"/>
                      <w:lang w:val="en-US" w:eastAsia="zh-CN"/>
                    </w:rPr>
                    <w:t>t/a，项目污水混合灰渣后，</w:t>
                  </w:r>
                  <w:r>
                    <w:rPr>
                      <w:rFonts w:hint="default" w:ascii="Times New Roman" w:hAnsi="Times New Roman" w:cs="Times New Roman"/>
                      <w:color w:val="auto"/>
                      <w:sz w:val="21"/>
                      <w:szCs w:val="21"/>
                      <w:highlight w:val="none"/>
                      <w:lang w:val="en-US" w:eastAsia="zh-CN"/>
                    </w:rPr>
                    <w:t>本项目</w:t>
                  </w:r>
                  <w:r>
                    <w:rPr>
                      <w:rFonts w:hint="default" w:ascii="Times New Roman" w:hAnsi="Times New Roman" w:cs="Times New Roman"/>
                      <w:color w:val="auto"/>
                      <w:highlight w:val="none"/>
                      <w:lang w:val="en-US" w:eastAsia="zh-CN"/>
                    </w:rPr>
                    <w:t>灰渣</w:t>
                  </w:r>
                  <w:r>
                    <w:rPr>
                      <w:rFonts w:hint="eastAsia" w:cs="Times New Roman"/>
                      <w:color w:val="auto"/>
                      <w:highlight w:val="none"/>
                      <w:lang w:val="en-US" w:eastAsia="zh-CN"/>
                    </w:rPr>
                    <w:t>贮存间</w:t>
                  </w:r>
                  <w:r>
                    <w:rPr>
                      <w:rFonts w:hint="default" w:ascii="Times New Roman" w:hAnsi="Times New Roman" w:cs="Times New Roman"/>
                      <w:color w:val="auto"/>
                      <w:sz w:val="21"/>
                      <w:szCs w:val="21"/>
                      <w:highlight w:val="none"/>
                      <w:lang w:val="en-US" w:eastAsia="zh-CN"/>
                    </w:rPr>
                    <w:t>满足10d的储存量。</w:t>
                  </w:r>
                  <w:r>
                    <w:rPr>
                      <w:rFonts w:hint="default" w:ascii="Times New Roman" w:hAnsi="Times New Roman" w:cs="Times New Roman"/>
                      <w:color w:val="auto"/>
                      <w:spacing w:val="0"/>
                      <w:sz w:val="21"/>
                      <w:szCs w:val="21"/>
                      <w:highlight w:val="none"/>
                      <w:lang w:val="en-US" w:eastAsia="zh-CN"/>
                    </w:rPr>
                    <w:t>用于存放锅炉灰渣，定期清掏，外售处置。</w:t>
                  </w:r>
                </w:p>
              </w:tc>
              <w:tc>
                <w:tcPr>
                  <w:tcW w:w="689" w:type="dxa"/>
                  <w:noWrap w:val="0"/>
                  <w:vAlign w:val="center"/>
                </w:tcPr>
                <w:p w14:paraId="1B790A4A">
                  <w:pPr>
                    <w:pStyle w:val="70"/>
                    <w:spacing w:line="240" w:lineRule="auto"/>
                    <w:jc w:val="center"/>
                    <w:rPr>
                      <w:rFonts w:hint="eastAsia" w:ascii="Times New Roman" w:hAnsi="Times New Roman" w:eastAsia="宋体" w:cs="Times New Roman"/>
                      <w:color w:val="auto"/>
                      <w:spacing w:val="0"/>
                      <w:sz w:val="21"/>
                      <w:szCs w:val="21"/>
                      <w:highlight w:val="none"/>
                      <w:lang w:val="en-US" w:eastAsia="zh-CN"/>
                    </w:rPr>
                  </w:pPr>
                  <w:r>
                    <w:rPr>
                      <w:rFonts w:hint="eastAsia"/>
                      <w:color w:val="auto"/>
                      <w:highlight w:val="none"/>
                      <w:lang w:val="en-US" w:eastAsia="zh-CN"/>
                    </w:rPr>
                    <w:t>新建</w:t>
                  </w:r>
                </w:p>
              </w:tc>
            </w:tr>
            <w:tr w14:paraId="1DF87B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57" w:type="dxa"/>
                  <w:vMerge w:val="continue"/>
                  <w:noWrap w:val="0"/>
                  <w:vAlign w:val="center"/>
                </w:tcPr>
                <w:p w14:paraId="4CC02801">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rPr>
                  </w:pPr>
                </w:p>
              </w:tc>
              <w:tc>
                <w:tcPr>
                  <w:tcW w:w="1070" w:type="dxa"/>
                  <w:shd w:val="clear" w:color="auto" w:fill="auto"/>
                  <w:noWrap w:val="0"/>
                  <w:vAlign w:val="center"/>
                </w:tcPr>
                <w:p w14:paraId="7EAA1EA8">
                  <w:pPr>
                    <w:pStyle w:val="70"/>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危废贮</w:t>
                  </w:r>
                </w:p>
                <w:p w14:paraId="06E81167">
                  <w:pPr>
                    <w:pStyle w:val="70"/>
                    <w:spacing w:line="240" w:lineRule="auto"/>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cs="Times New Roman"/>
                      <w:color w:val="auto"/>
                      <w:highlight w:val="none"/>
                      <w:lang w:val="en-US" w:eastAsia="zh-CN"/>
                    </w:rPr>
                    <w:t>存点</w:t>
                  </w:r>
                </w:p>
              </w:tc>
              <w:tc>
                <w:tcPr>
                  <w:tcW w:w="4755" w:type="dxa"/>
                  <w:shd w:val="clear" w:color="auto" w:fill="auto"/>
                  <w:noWrap w:val="0"/>
                  <w:vAlign w:val="center"/>
                </w:tcPr>
                <w:p w14:paraId="720EAFAE">
                  <w:pPr>
                    <w:spacing w:line="240" w:lineRule="auto"/>
                    <w:ind w:left="0" w:leftChars="0" w:firstLine="0" w:firstLineChars="0"/>
                    <w:jc w:val="center"/>
                    <w:rPr>
                      <w:rFonts w:hint="default" w:ascii="Times New Roman" w:hAnsi="Times New Roman" w:eastAsia="宋体" w:cs="Times New Roman"/>
                      <w:bCs w:val="0"/>
                      <w:color w:val="auto"/>
                      <w:spacing w:val="0"/>
                      <w:kern w:val="2"/>
                      <w:sz w:val="21"/>
                      <w:szCs w:val="21"/>
                      <w:highlight w:val="none"/>
                      <w:lang w:val="en-US" w:eastAsia="zh-CN" w:bidi="ar-SA"/>
                    </w:rPr>
                  </w:pPr>
                  <w:r>
                    <w:rPr>
                      <w:rFonts w:hint="default" w:ascii="Times New Roman" w:hAnsi="Times New Roman" w:cs="Times New Roman"/>
                      <w:bCs w:val="0"/>
                      <w:color w:val="auto"/>
                      <w:spacing w:val="0"/>
                      <w:kern w:val="2"/>
                      <w:sz w:val="21"/>
                      <w:szCs w:val="21"/>
                      <w:highlight w:val="none"/>
                      <w:lang w:val="en-US" w:eastAsia="zh-CN" w:bidi="ar-SA"/>
                    </w:rPr>
                    <w:t>本项目产生危险废物</w:t>
                  </w:r>
                  <w:r>
                    <w:rPr>
                      <w:rFonts w:hint="eastAsia" w:ascii="Times New Roman" w:hAnsi="Times New Roman" w:cs="Times New Roman"/>
                      <w:bCs w:val="0"/>
                      <w:color w:val="auto"/>
                      <w:spacing w:val="0"/>
                      <w:kern w:val="2"/>
                      <w:sz w:val="21"/>
                      <w:szCs w:val="21"/>
                      <w:highlight w:val="none"/>
                      <w:lang w:val="en-US" w:eastAsia="zh-CN" w:bidi="ar-SA"/>
                    </w:rPr>
                    <w:t>贮存在锅炉房内建设的</w:t>
                  </w:r>
                  <w:r>
                    <w:rPr>
                      <w:rFonts w:hint="default" w:ascii="Times New Roman" w:hAnsi="Times New Roman" w:cs="Times New Roman"/>
                      <w:bCs w:val="0"/>
                      <w:color w:val="auto"/>
                      <w:spacing w:val="0"/>
                      <w:kern w:val="2"/>
                      <w:sz w:val="21"/>
                      <w:szCs w:val="21"/>
                      <w:highlight w:val="none"/>
                      <w:lang w:val="en-US" w:eastAsia="zh-CN" w:bidi="ar-SA"/>
                    </w:rPr>
                    <w:t>危废贮存</w:t>
                  </w:r>
                  <w:r>
                    <w:rPr>
                      <w:rFonts w:hint="eastAsia" w:ascii="Times New Roman" w:hAnsi="Times New Roman" w:cs="Times New Roman"/>
                      <w:bCs w:val="0"/>
                      <w:color w:val="auto"/>
                      <w:spacing w:val="0"/>
                      <w:kern w:val="2"/>
                      <w:sz w:val="21"/>
                      <w:szCs w:val="21"/>
                      <w:highlight w:val="none"/>
                      <w:lang w:val="en-US" w:eastAsia="zh-CN" w:bidi="ar-SA"/>
                    </w:rPr>
                    <w:t>点</w:t>
                  </w:r>
                  <w:r>
                    <w:rPr>
                      <w:rFonts w:hint="default" w:ascii="Times New Roman" w:hAnsi="Times New Roman" w:cs="Times New Roman"/>
                      <w:bCs w:val="0"/>
                      <w:color w:val="auto"/>
                      <w:spacing w:val="0"/>
                      <w:kern w:val="2"/>
                      <w:sz w:val="21"/>
                      <w:szCs w:val="21"/>
                      <w:highlight w:val="none"/>
                      <w:lang w:val="en-US" w:eastAsia="zh-CN" w:bidi="ar-SA"/>
                    </w:rPr>
                    <w:t>，危废贮存</w:t>
                  </w:r>
                  <w:r>
                    <w:rPr>
                      <w:rFonts w:hint="eastAsia" w:ascii="Times New Roman" w:hAnsi="Times New Roman" w:cs="Times New Roman"/>
                      <w:bCs w:val="0"/>
                      <w:color w:val="auto"/>
                      <w:spacing w:val="0"/>
                      <w:kern w:val="2"/>
                      <w:sz w:val="21"/>
                      <w:szCs w:val="21"/>
                      <w:highlight w:val="none"/>
                      <w:lang w:val="en-US" w:eastAsia="zh-CN" w:bidi="ar-SA"/>
                    </w:rPr>
                    <w:t>点</w:t>
                  </w:r>
                  <w:r>
                    <w:rPr>
                      <w:rFonts w:hint="default" w:ascii="Times New Roman" w:hAnsi="Times New Roman" w:cs="Times New Roman"/>
                      <w:bCs w:val="0"/>
                      <w:color w:val="auto"/>
                      <w:spacing w:val="0"/>
                      <w:kern w:val="2"/>
                      <w:sz w:val="21"/>
                      <w:szCs w:val="21"/>
                      <w:highlight w:val="none"/>
                      <w:lang w:val="en-US" w:eastAsia="zh-CN" w:bidi="ar-SA"/>
                    </w:rPr>
                    <w:t>建筑面积2m</w:t>
                  </w:r>
                  <w:r>
                    <w:rPr>
                      <w:rFonts w:hint="default" w:ascii="Times New Roman" w:hAnsi="Times New Roman" w:cs="Times New Roman"/>
                      <w:bCs w:val="0"/>
                      <w:color w:val="auto"/>
                      <w:spacing w:val="0"/>
                      <w:kern w:val="2"/>
                      <w:sz w:val="21"/>
                      <w:szCs w:val="21"/>
                      <w:highlight w:val="none"/>
                      <w:vertAlign w:val="superscript"/>
                      <w:lang w:val="en-US" w:eastAsia="zh-CN" w:bidi="ar-SA"/>
                    </w:rPr>
                    <w:t>2</w:t>
                  </w:r>
                  <w:r>
                    <w:rPr>
                      <w:rFonts w:hint="default" w:ascii="Times New Roman" w:hAnsi="Times New Roman" w:cs="Times New Roman"/>
                      <w:bCs w:val="0"/>
                      <w:color w:val="auto"/>
                      <w:spacing w:val="0"/>
                      <w:kern w:val="2"/>
                      <w:sz w:val="21"/>
                      <w:szCs w:val="21"/>
                      <w:highlight w:val="none"/>
                      <w:lang w:val="en-US" w:eastAsia="zh-CN" w:bidi="ar-SA"/>
                    </w:rPr>
                    <w:t>，可贮存0.1t危险废物，本项目产生的危废共0.025t/a，最大贮存周期为60d。本项目危险废物产生量较小，该危废贮存</w:t>
                  </w:r>
                  <w:r>
                    <w:rPr>
                      <w:rFonts w:hint="eastAsia" w:ascii="Times New Roman" w:hAnsi="Times New Roman" w:cs="Times New Roman"/>
                      <w:bCs w:val="0"/>
                      <w:color w:val="auto"/>
                      <w:spacing w:val="0"/>
                      <w:kern w:val="2"/>
                      <w:sz w:val="21"/>
                      <w:szCs w:val="21"/>
                      <w:highlight w:val="none"/>
                      <w:lang w:val="en-US" w:eastAsia="zh-CN" w:bidi="ar-SA"/>
                    </w:rPr>
                    <w:t>点</w:t>
                  </w:r>
                  <w:r>
                    <w:rPr>
                      <w:rFonts w:hint="default" w:ascii="Times New Roman" w:hAnsi="Times New Roman" w:cs="Times New Roman"/>
                      <w:bCs w:val="0"/>
                      <w:color w:val="auto"/>
                      <w:spacing w:val="0"/>
                      <w:kern w:val="2"/>
                      <w:sz w:val="21"/>
                      <w:szCs w:val="21"/>
                      <w:highlight w:val="none"/>
                      <w:lang w:val="en-US" w:eastAsia="zh-CN" w:bidi="ar-SA"/>
                    </w:rPr>
                    <w:t>需满足“四防”（防风、防雨、防晒、防渗漏）要求。危险废物贮存点地面及裙脚基础底层至少采用2mm厚的高密度聚乙烯板，渗透系数≤10</w:t>
                  </w:r>
                  <w:r>
                    <w:rPr>
                      <w:rFonts w:hint="default" w:ascii="Times New Roman" w:hAnsi="Times New Roman" w:cs="Times New Roman"/>
                      <w:bCs w:val="0"/>
                      <w:color w:val="auto"/>
                      <w:spacing w:val="0"/>
                      <w:kern w:val="2"/>
                      <w:sz w:val="21"/>
                      <w:szCs w:val="21"/>
                      <w:highlight w:val="none"/>
                      <w:vertAlign w:val="superscript"/>
                      <w:lang w:val="en-US" w:eastAsia="zh-CN" w:bidi="ar-SA"/>
                    </w:rPr>
                    <w:t>-10</w:t>
                  </w:r>
                  <w:r>
                    <w:rPr>
                      <w:rFonts w:hint="default" w:ascii="Times New Roman" w:hAnsi="Times New Roman" w:cs="Times New Roman"/>
                      <w:bCs w:val="0"/>
                      <w:color w:val="auto"/>
                      <w:spacing w:val="0"/>
                      <w:kern w:val="2"/>
                      <w:sz w:val="21"/>
                      <w:szCs w:val="21"/>
                      <w:highlight w:val="none"/>
                      <w:lang w:val="en-US" w:eastAsia="zh-CN" w:bidi="ar-SA"/>
                    </w:rPr>
                    <w:t>cm/s</w:t>
                  </w:r>
                  <w:r>
                    <w:rPr>
                      <w:rFonts w:hint="eastAsia" w:ascii="Times New Roman" w:hAnsi="Times New Roman" w:cs="Times New Roman"/>
                      <w:bCs w:val="0"/>
                      <w:color w:val="auto"/>
                      <w:spacing w:val="0"/>
                      <w:kern w:val="2"/>
                      <w:sz w:val="21"/>
                      <w:szCs w:val="21"/>
                      <w:highlight w:val="none"/>
                      <w:lang w:val="en-US" w:eastAsia="zh-CN" w:bidi="ar-SA"/>
                    </w:rPr>
                    <w:t>。</w:t>
                  </w:r>
                </w:p>
              </w:tc>
              <w:tc>
                <w:tcPr>
                  <w:tcW w:w="689" w:type="dxa"/>
                  <w:noWrap w:val="0"/>
                  <w:vAlign w:val="center"/>
                </w:tcPr>
                <w:p w14:paraId="34BBA824">
                  <w:pPr>
                    <w:pStyle w:val="70"/>
                    <w:spacing w:line="240" w:lineRule="auto"/>
                    <w:jc w:val="center"/>
                    <w:rPr>
                      <w:rFonts w:hint="default" w:eastAsia="宋体"/>
                      <w:color w:val="auto"/>
                      <w:highlight w:val="none"/>
                      <w:lang w:val="en-US" w:eastAsia="zh-CN"/>
                    </w:rPr>
                  </w:pPr>
                  <w:r>
                    <w:rPr>
                      <w:rFonts w:hint="eastAsia"/>
                      <w:color w:val="auto"/>
                      <w:highlight w:val="none"/>
                      <w:lang w:val="en-US" w:eastAsia="zh-CN"/>
                    </w:rPr>
                    <w:t>新建</w:t>
                  </w:r>
                </w:p>
              </w:tc>
            </w:tr>
            <w:tr w14:paraId="602F51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restart"/>
                  <w:noWrap w:val="0"/>
                  <w:vAlign w:val="center"/>
                </w:tcPr>
                <w:p w14:paraId="3F586B16">
                  <w:pPr>
                    <w:pStyle w:val="70"/>
                    <w:spacing w:line="240" w:lineRule="auto"/>
                    <w:jc w:val="center"/>
                    <w:rPr>
                      <w:rFonts w:hint="default" w:ascii="Times New Roman" w:hAnsi="Times New Roman" w:eastAsia="宋体" w:cs="Times New Roman"/>
                      <w:snapToGrid w:val="0"/>
                      <w:color w:val="auto"/>
                      <w:spacing w:val="0"/>
                      <w:sz w:val="21"/>
                      <w:szCs w:val="21"/>
                      <w:highlight w:val="none"/>
                    </w:rPr>
                  </w:pPr>
                  <w:r>
                    <w:rPr>
                      <w:rFonts w:hint="default" w:ascii="Times New Roman" w:hAnsi="Times New Roman" w:eastAsia="宋体" w:cs="Times New Roman"/>
                      <w:snapToGrid w:val="0"/>
                      <w:color w:val="auto"/>
                      <w:spacing w:val="0"/>
                      <w:sz w:val="21"/>
                      <w:szCs w:val="21"/>
                      <w:highlight w:val="none"/>
                    </w:rPr>
                    <w:t>公用工程</w:t>
                  </w:r>
                </w:p>
              </w:tc>
              <w:tc>
                <w:tcPr>
                  <w:tcW w:w="1070" w:type="dxa"/>
                  <w:noWrap w:val="0"/>
                  <w:vAlign w:val="center"/>
                </w:tcPr>
                <w:p w14:paraId="56A9FE76">
                  <w:pPr>
                    <w:pStyle w:val="70"/>
                    <w:spacing w:line="240" w:lineRule="auto"/>
                    <w:jc w:val="center"/>
                    <w:rPr>
                      <w:rFonts w:hint="default" w:ascii="Times New Roman" w:hAnsi="Times New Roman" w:eastAsia="宋体" w:cs="Times New Roman"/>
                      <w:snapToGrid w:val="0"/>
                      <w:color w:val="auto"/>
                      <w:spacing w:val="0"/>
                      <w:sz w:val="21"/>
                      <w:szCs w:val="21"/>
                      <w:highlight w:val="none"/>
                    </w:rPr>
                  </w:pPr>
                  <w:r>
                    <w:rPr>
                      <w:rFonts w:hint="default" w:ascii="Times New Roman" w:hAnsi="Times New Roman" w:eastAsia="宋体" w:cs="Times New Roman"/>
                      <w:snapToGrid w:val="0"/>
                      <w:color w:val="auto"/>
                      <w:spacing w:val="0"/>
                      <w:sz w:val="21"/>
                      <w:szCs w:val="21"/>
                      <w:highlight w:val="none"/>
                      <w:lang w:val="en-US"/>
                    </w:rPr>
                    <w:t>供水</w:t>
                  </w:r>
                </w:p>
              </w:tc>
              <w:tc>
                <w:tcPr>
                  <w:tcW w:w="4755" w:type="dxa"/>
                  <w:noWrap w:val="0"/>
                  <w:vAlign w:val="center"/>
                </w:tcPr>
                <w:p w14:paraId="5932D660">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eastAsia="宋体" w:cs="Times New Roman"/>
                      <w:snapToGrid w:val="0"/>
                      <w:color w:val="auto"/>
                      <w:spacing w:val="0"/>
                      <w:sz w:val="21"/>
                      <w:szCs w:val="21"/>
                      <w:highlight w:val="none"/>
                      <w:lang w:val="en-US" w:eastAsia="zh-CN"/>
                    </w:rPr>
                    <w:t>由</w:t>
                  </w:r>
                  <w:r>
                    <w:rPr>
                      <w:rFonts w:hint="default" w:ascii="Times New Roman" w:hAnsi="Times New Roman" w:cs="Times New Roman"/>
                      <w:snapToGrid w:val="0"/>
                      <w:color w:val="auto"/>
                      <w:spacing w:val="0"/>
                      <w:sz w:val="21"/>
                      <w:szCs w:val="21"/>
                      <w:highlight w:val="none"/>
                      <w:lang w:val="en-US" w:eastAsia="zh-CN"/>
                    </w:rPr>
                    <w:t>市政</w:t>
                  </w:r>
                  <w:r>
                    <w:rPr>
                      <w:rFonts w:hint="default" w:ascii="Times New Roman" w:hAnsi="Times New Roman" w:eastAsia="宋体" w:cs="Times New Roman"/>
                      <w:snapToGrid w:val="0"/>
                      <w:color w:val="auto"/>
                      <w:spacing w:val="0"/>
                      <w:sz w:val="21"/>
                      <w:szCs w:val="21"/>
                      <w:highlight w:val="none"/>
                      <w:lang w:val="en-US" w:eastAsia="zh-CN"/>
                    </w:rPr>
                    <w:t>供水管网供给，本项目用水主要为锅炉</w:t>
                  </w:r>
                  <w:r>
                    <w:rPr>
                      <w:rFonts w:hint="default" w:ascii="Times New Roman" w:hAnsi="Times New Roman" w:cs="Times New Roman"/>
                      <w:snapToGrid w:val="0"/>
                      <w:color w:val="auto"/>
                      <w:spacing w:val="0"/>
                      <w:sz w:val="21"/>
                      <w:szCs w:val="21"/>
                      <w:highlight w:val="none"/>
                      <w:lang w:val="en-US" w:eastAsia="zh-CN"/>
                    </w:rPr>
                    <w:t>补</w:t>
                  </w:r>
                  <w:r>
                    <w:rPr>
                      <w:rFonts w:hint="default" w:ascii="Times New Roman" w:hAnsi="Times New Roman" w:eastAsia="宋体" w:cs="Times New Roman"/>
                      <w:snapToGrid w:val="0"/>
                      <w:color w:val="auto"/>
                      <w:spacing w:val="0"/>
                      <w:sz w:val="21"/>
                      <w:szCs w:val="21"/>
                      <w:highlight w:val="none"/>
                      <w:lang w:val="en-US" w:eastAsia="zh-CN"/>
                    </w:rPr>
                    <w:t>水。</w:t>
                  </w:r>
                  <w:r>
                    <w:rPr>
                      <w:rFonts w:hint="default" w:ascii="Times New Roman" w:hAnsi="Times New Roman" w:cs="Times New Roman"/>
                      <w:snapToGrid w:val="0"/>
                      <w:color w:val="auto"/>
                      <w:spacing w:val="0"/>
                      <w:sz w:val="21"/>
                      <w:szCs w:val="21"/>
                      <w:highlight w:val="none"/>
                      <w:lang w:val="en-US" w:eastAsia="zh-CN"/>
                    </w:rPr>
                    <w:t>用水量为</w:t>
                  </w:r>
                  <w:r>
                    <w:rPr>
                      <w:rFonts w:hint="eastAsia" w:cs="Times New Roman"/>
                      <w:snapToGrid w:val="0"/>
                      <w:color w:val="auto"/>
                      <w:spacing w:val="0"/>
                      <w:sz w:val="21"/>
                      <w:szCs w:val="21"/>
                      <w:highlight w:val="none"/>
                      <w:lang w:val="en-US" w:eastAsia="zh-CN"/>
                    </w:rPr>
                    <w:t>64133.63</w:t>
                  </w:r>
                  <w:r>
                    <w:rPr>
                      <w:rFonts w:hint="default" w:ascii="Times New Roman" w:hAnsi="Times New Roman" w:cs="Times New Roman"/>
                      <w:snapToGrid w:val="0"/>
                      <w:color w:val="auto"/>
                      <w:spacing w:val="0"/>
                      <w:sz w:val="21"/>
                      <w:szCs w:val="21"/>
                      <w:highlight w:val="none"/>
                      <w:lang w:val="en-US" w:eastAsia="zh-CN"/>
                    </w:rPr>
                    <w:t>t/a。供水水源为自来水，</w:t>
                  </w:r>
                  <w:r>
                    <w:rPr>
                      <w:rFonts w:hint="eastAsia" w:cs="Times New Roman"/>
                      <w:snapToGrid w:val="0"/>
                      <w:color w:val="auto"/>
                      <w:spacing w:val="0"/>
                      <w:sz w:val="21"/>
                      <w:szCs w:val="21"/>
                      <w:highlight w:val="none"/>
                      <w:lang w:val="en-US" w:eastAsia="zh-CN"/>
                    </w:rPr>
                    <w:t>通过</w:t>
                  </w:r>
                  <w:r>
                    <w:rPr>
                      <w:rFonts w:hint="default" w:ascii="Times New Roman" w:hAnsi="Times New Roman" w:cs="Times New Roman"/>
                      <w:snapToGrid w:val="0"/>
                      <w:color w:val="auto"/>
                      <w:spacing w:val="0"/>
                      <w:sz w:val="21"/>
                      <w:szCs w:val="21"/>
                      <w:highlight w:val="none"/>
                      <w:lang w:val="en-US" w:eastAsia="zh-CN"/>
                    </w:rPr>
                    <w:t>安装软离子水制备装置</w:t>
                  </w:r>
                  <w:r>
                    <w:rPr>
                      <w:rFonts w:hint="eastAsia" w:cs="Times New Roman"/>
                      <w:snapToGrid w:val="0"/>
                      <w:color w:val="auto"/>
                      <w:spacing w:val="0"/>
                      <w:sz w:val="21"/>
                      <w:szCs w:val="21"/>
                      <w:highlight w:val="none"/>
                      <w:lang w:val="en-US" w:eastAsia="zh-CN"/>
                    </w:rPr>
                    <w:t>为锅炉提供用水</w:t>
                  </w:r>
                  <w:r>
                    <w:rPr>
                      <w:rFonts w:hint="default" w:ascii="Times New Roman" w:hAnsi="Times New Roman" w:cs="Times New Roman"/>
                      <w:snapToGrid w:val="0"/>
                      <w:color w:val="auto"/>
                      <w:spacing w:val="0"/>
                      <w:sz w:val="21"/>
                      <w:szCs w:val="21"/>
                      <w:highlight w:val="none"/>
                      <w:lang w:val="en-US" w:eastAsia="zh-CN"/>
                    </w:rPr>
                    <w:t>。</w:t>
                  </w:r>
                </w:p>
              </w:tc>
              <w:tc>
                <w:tcPr>
                  <w:tcW w:w="689" w:type="dxa"/>
                  <w:noWrap w:val="0"/>
                  <w:vAlign w:val="center"/>
                </w:tcPr>
                <w:p w14:paraId="0B395962">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eastAsia="宋体" w:cs="Times New Roman"/>
                      <w:snapToGrid w:val="0"/>
                      <w:color w:val="auto"/>
                      <w:spacing w:val="0"/>
                      <w:sz w:val="21"/>
                      <w:szCs w:val="21"/>
                      <w:highlight w:val="none"/>
                      <w:lang w:val="en-US" w:eastAsia="zh-CN"/>
                    </w:rPr>
                    <w:t>依托</w:t>
                  </w:r>
                </w:p>
              </w:tc>
            </w:tr>
            <w:tr w14:paraId="22E3CA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continue"/>
                  <w:noWrap w:val="0"/>
                  <w:vAlign w:val="center"/>
                </w:tcPr>
                <w:p w14:paraId="61D607C4">
                  <w:pPr>
                    <w:pStyle w:val="70"/>
                    <w:spacing w:line="240" w:lineRule="auto"/>
                    <w:jc w:val="center"/>
                    <w:rPr>
                      <w:rFonts w:hint="default" w:ascii="Times New Roman" w:hAnsi="Times New Roman" w:eastAsia="宋体" w:cs="Times New Roman"/>
                      <w:snapToGrid w:val="0"/>
                      <w:color w:val="auto"/>
                      <w:spacing w:val="0"/>
                      <w:sz w:val="21"/>
                      <w:szCs w:val="21"/>
                      <w:highlight w:val="none"/>
                    </w:rPr>
                  </w:pPr>
                </w:p>
              </w:tc>
              <w:tc>
                <w:tcPr>
                  <w:tcW w:w="1070" w:type="dxa"/>
                  <w:noWrap w:val="0"/>
                  <w:vAlign w:val="center"/>
                </w:tcPr>
                <w:p w14:paraId="09E4ED08">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rPr>
                  </w:pPr>
                  <w:r>
                    <w:rPr>
                      <w:rFonts w:hint="default" w:ascii="Times New Roman" w:hAnsi="Times New Roman" w:eastAsia="宋体" w:cs="Times New Roman"/>
                      <w:snapToGrid w:val="0"/>
                      <w:color w:val="auto"/>
                      <w:spacing w:val="0"/>
                      <w:sz w:val="21"/>
                      <w:szCs w:val="21"/>
                      <w:highlight w:val="none"/>
                      <w:lang w:val="en-US"/>
                    </w:rPr>
                    <w:t>排水</w:t>
                  </w:r>
                </w:p>
              </w:tc>
              <w:tc>
                <w:tcPr>
                  <w:tcW w:w="4755" w:type="dxa"/>
                  <w:noWrap w:val="0"/>
                  <w:vAlign w:val="center"/>
                </w:tcPr>
                <w:p w14:paraId="4B79560D">
                  <w:pPr>
                    <w:pStyle w:val="70"/>
                    <w:spacing w:line="240" w:lineRule="auto"/>
                    <w:jc w:val="center"/>
                    <w:rPr>
                      <w:rFonts w:hint="eastAsia"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本项目建成后外排废水主要为</w:t>
                  </w:r>
                  <w:r>
                    <w:rPr>
                      <w:rFonts w:hint="default" w:ascii="Times New Roman" w:hAnsi="Times New Roman" w:cs="Times New Roman"/>
                      <w:b w:val="0"/>
                      <w:bCs/>
                      <w:color w:val="auto"/>
                      <w:spacing w:val="0"/>
                      <w:sz w:val="21"/>
                      <w:szCs w:val="21"/>
                      <w:highlight w:val="none"/>
                      <w:lang w:val="en-US" w:eastAsia="zh-CN"/>
                    </w:rPr>
                    <w:t>锅炉排污水和软水制备废水</w:t>
                  </w:r>
                  <w:r>
                    <w:rPr>
                      <w:rFonts w:hint="eastAsia" w:ascii="Times New Roman" w:hAnsi="Times New Roman" w:cs="Times New Roman"/>
                      <w:b w:val="0"/>
                      <w:bCs/>
                      <w:color w:val="auto"/>
                      <w:spacing w:val="0"/>
                      <w:sz w:val="21"/>
                      <w:szCs w:val="21"/>
                      <w:highlight w:val="none"/>
                      <w:lang w:val="en-US" w:eastAsia="zh-CN"/>
                    </w:rPr>
                    <w:t>，少量</w:t>
                  </w:r>
                  <w:r>
                    <w:rPr>
                      <w:rFonts w:hint="default" w:ascii="Times New Roman" w:hAnsi="Times New Roman" w:cs="Times New Roman"/>
                      <w:b w:val="0"/>
                      <w:bCs/>
                      <w:color w:val="auto"/>
                      <w:spacing w:val="0"/>
                      <w:sz w:val="21"/>
                      <w:szCs w:val="21"/>
                      <w:highlight w:val="none"/>
                      <w:lang w:val="en-US" w:eastAsia="zh-CN"/>
                    </w:rPr>
                    <w:t>收集后用于灰渣</w:t>
                  </w:r>
                  <w:r>
                    <w:rPr>
                      <w:rFonts w:hint="eastAsia" w:ascii="Times New Roman" w:hAnsi="Times New Roman" w:cs="Times New Roman"/>
                      <w:b w:val="0"/>
                      <w:bCs/>
                      <w:color w:val="auto"/>
                      <w:spacing w:val="0"/>
                      <w:sz w:val="21"/>
                      <w:szCs w:val="21"/>
                      <w:highlight w:val="none"/>
                      <w:lang w:val="en-US" w:eastAsia="zh-CN"/>
                    </w:rPr>
                    <w:t>加湿其余锅炉污水通过院区污水总排口进入市政管网，排入城子河区污水处理厂进行处理</w:t>
                  </w:r>
                  <w:r>
                    <w:rPr>
                      <w:rFonts w:hint="eastAsia" w:ascii="Times New Roman" w:hAnsi="Times New Roman" w:eastAsia="宋体" w:cs="Times New Roman"/>
                      <w:color w:val="auto"/>
                      <w:sz w:val="21"/>
                      <w:szCs w:val="21"/>
                      <w:highlight w:val="none"/>
                      <w:shd w:val="clear" w:color="auto" w:fill="FFFFFF"/>
                      <w:lang w:val="en-US" w:eastAsia="zh-CN"/>
                    </w:rPr>
                    <w:t>。</w:t>
                  </w:r>
                </w:p>
              </w:tc>
              <w:tc>
                <w:tcPr>
                  <w:tcW w:w="689" w:type="dxa"/>
                  <w:noWrap w:val="0"/>
                  <w:vAlign w:val="center"/>
                </w:tcPr>
                <w:p w14:paraId="633EBF87">
                  <w:pPr>
                    <w:pStyle w:val="70"/>
                    <w:spacing w:line="240" w:lineRule="auto"/>
                    <w:jc w:val="center"/>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w:t>
                  </w:r>
                </w:p>
              </w:tc>
            </w:tr>
            <w:tr w14:paraId="11A75A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1257" w:type="dxa"/>
                  <w:vMerge w:val="continue"/>
                  <w:noWrap w:val="0"/>
                  <w:vAlign w:val="center"/>
                </w:tcPr>
                <w:p w14:paraId="012E48D4">
                  <w:pPr>
                    <w:pStyle w:val="70"/>
                    <w:spacing w:line="240" w:lineRule="auto"/>
                    <w:jc w:val="center"/>
                    <w:rPr>
                      <w:rFonts w:hint="default" w:ascii="Times New Roman" w:hAnsi="Times New Roman" w:eastAsia="宋体" w:cs="Times New Roman"/>
                      <w:snapToGrid w:val="0"/>
                      <w:color w:val="auto"/>
                      <w:spacing w:val="0"/>
                      <w:sz w:val="21"/>
                      <w:szCs w:val="21"/>
                      <w:highlight w:val="none"/>
                    </w:rPr>
                  </w:pPr>
                </w:p>
              </w:tc>
              <w:tc>
                <w:tcPr>
                  <w:tcW w:w="1070" w:type="dxa"/>
                  <w:noWrap w:val="0"/>
                  <w:vAlign w:val="center"/>
                </w:tcPr>
                <w:p w14:paraId="21412019">
                  <w:pPr>
                    <w:pStyle w:val="70"/>
                    <w:spacing w:line="240" w:lineRule="auto"/>
                    <w:jc w:val="center"/>
                    <w:rPr>
                      <w:rFonts w:hint="default" w:ascii="Times New Roman" w:hAnsi="Times New Roman" w:eastAsia="宋体" w:cs="Times New Roman"/>
                      <w:snapToGrid w:val="0"/>
                      <w:color w:val="auto"/>
                      <w:spacing w:val="0"/>
                      <w:sz w:val="21"/>
                      <w:szCs w:val="21"/>
                      <w:highlight w:val="none"/>
                    </w:rPr>
                  </w:pPr>
                  <w:r>
                    <w:rPr>
                      <w:rFonts w:hint="default" w:ascii="Times New Roman" w:hAnsi="Times New Roman" w:eastAsia="宋体" w:cs="Times New Roman"/>
                      <w:snapToGrid w:val="0"/>
                      <w:color w:val="auto"/>
                      <w:spacing w:val="0"/>
                      <w:sz w:val="21"/>
                      <w:szCs w:val="21"/>
                      <w:highlight w:val="none"/>
                    </w:rPr>
                    <w:t>供电</w:t>
                  </w:r>
                </w:p>
              </w:tc>
              <w:tc>
                <w:tcPr>
                  <w:tcW w:w="4755" w:type="dxa"/>
                  <w:noWrap w:val="0"/>
                  <w:vAlign w:val="center"/>
                </w:tcPr>
                <w:p w14:paraId="56790831">
                  <w:pPr>
                    <w:pStyle w:val="70"/>
                    <w:spacing w:line="240" w:lineRule="auto"/>
                    <w:jc w:val="center"/>
                    <w:rPr>
                      <w:rFonts w:hint="default" w:ascii="Times New Roman" w:hAnsi="Times New Roman" w:eastAsia="宋体" w:cs="Times New Roman"/>
                      <w:snapToGrid w:val="0"/>
                      <w:color w:val="auto"/>
                      <w:spacing w:val="0"/>
                      <w:sz w:val="21"/>
                      <w:szCs w:val="21"/>
                      <w:highlight w:val="none"/>
                    </w:rPr>
                  </w:pPr>
                  <w:r>
                    <w:rPr>
                      <w:rFonts w:hint="default" w:ascii="Times New Roman" w:hAnsi="Times New Roman" w:eastAsia="宋体" w:cs="Times New Roman"/>
                      <w:snapToGrid w:val="0"/>
                      <w:color w:val="auto"/>
                      <w:spacing w:val="0"/>
                      <w:sz w:val="21"/>
                      <w:szCs w:val="21"/>
                      <w:highlight w:val="none"/>
                    </w:rPr>
                    <w:t>由市政供电管网统一供给。</w:t>
                  </w:r>
                </w:p>
              </w:tc>
              <w:tc>
                <w:tcPr>
                  <w:tcW w:w="689" w:type="dxa"/>
                  <w:noWrap w:val="0"/>
                  <w:vAlign w:val="center"/>
                </w:tcPr>
                <w:p w14:paraId="059BDDA4">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eastAsia="宋体" w:cs="Times New Roman"/>
                      <w:snapToGrid w:val="0"/>
                      <w:color w:val="auto"/>
                      <w:spacing w:val="0"/>
                      <w:sz w:val="21"/>
                      <w:szCs w:val="21"/>
                      <w:highlight w:val="none"/>
                      <w:lang w:val="en-US" w:eastAsia="zh-CN"/>
                    </w:rPr>
                    <w:t>依托</w:t>
                  </w:r>
                </w:p>
              </w:tc>
            </w:tr>
            <w:tr w14:paraId="5E87AB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257" w:type="dxa"/>
                  <w:vMerge w:val="continue"/>
                  <w:noWrap w:val="0"/>
                  <w:vAlign w:val="center"/>
                </w:tcPr>
                <w:p w14:paraId="631A17A2">
                  <w:pPr>
                    <w:pStyle w:val="70"/>
                    <w:spacing w:line="240" w:lineRule="auto"/>
                    <w:jc w:val="center"/>
                    <w:rPr>
                      <w:rFonts w:hint="default" w:ascii="Times New Roman" w:hAnsi="Times New Roman" w:eastAsia="宋体" w:cs="Times New Roman"/>
                      <w:snapToGrid w:val="0"/>
                      <w:color w:val="auto"/>
                      <w:spacing w:val="0"/>
                      <w:sz w:val="21"/>
                      <w:szCs w:val="21"/>
                      <w:highlight w:val="none"/>
                    </w:rPr>
                  </w:pPr>
                </w:p>
              </w:tc>
              <w:tc>
                <w:tcPr>
                  <w:tcW w:w="1070" w:type="dxa"/>
                  <w:noWrap w:val="0"/>
                  <w:vAlign w:val="center"/>
                </w:tcPr>
                <w:p w14:paraId="24B12DE2">
                  <w:pPr>
                    <w:pStyle w:val="70"/>
                    <w:spacing w:line="240" w:lineRule="auto"/>
                    <w:jc w:val="center"/>
                    <w:rPr>
                      <w:rFonts w:hint="default" w:ascii="Times New Roman" w:hAnsi="Times New Roman" w:eastAsia="宋体" w:cs="Times New Roman"/>
                      <w:snapToGrid w:val="0"/>
                      <w:color w:val="auto"/>
                      <w:spacing w:val="0"/>
                      <w:sz w:val="21"/>
                      <w:szCs w:val="21"/>
                      <w:highlight w:val="none"/>
                    </w:rPr>
                  </w:pPr>
                  <w:r>
                    <w:rPr>
                      <w:rFonts w:hint="default" w:ascii="Times New Roman" w:hAnsi="Times New Roman" w:eastAsia="宋体" w:cs="Times New Roman"/>
                      <w:snapToGrid w:val="0"/>
                      <w:color w:val="auto"/>
                      <w:spacing w:val="0"/>
                      <w:kern w:val="0"/>
                      <w:sz w:val="21"/>
                      <w:szCs w:val="21"/>
                      <w:highlight w:val="none"/>
                    </w:rPr>
                    <w:t>供热</w:t>
                  </w:r>
                </w:p>
              </w:tc>
              <w:tc>
                <w:tcPr>
                  <w:tcW w:w="4755" w:type="dxa"/>
                  <w:noWrap w:val="0"/>
                  <w:vAlign w:val="center"/>
                </w:tcPr>
                <w:p w14:paraId="23051628">
                  <w:pPr>
                    <w:pStyle w:val="18"/>
                    <w:spacing w:after="0" w:line="240" w:lineRule="auto"/>
                    <w:ind w:left="0" w:leftChars="0" w:firstLine="0" w:firstLineChars="0"/>
                    <w:jc w:val="center"/>
                    <w:rPr>
                      <w:rFonts w:hint="default"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cs="Times New Roman"/>
                      <w:color w:val="auto"/>
                      <w:sz w:val="21"/>
                      <w:szCs w:val="21"/>
                      <w:highlight w:val="none"/>
                      <w:lang w:val="en-US" w:eastAsia="zh-CN"/>
                    </w:rPr>
                    <w:t>冬季供暖利用本项目建设的生物质锅炉</w:t>
                  </w:r>
                  <w:r>
                    <w:rPr>
                      <w:rFonts w:hint="default" w:ascii="Times New Roman" w:hAnsi="Times New Roman" w:cs="Times New Roman"/>
                      <w:snapToGrid w:val="0"/>
                      <w:color w:val="auto"/>
                      <w:spacing w:val="0"/>
                      <w:sz w:val="21"/>
                      <w:szCs w:val="21"/>
                      <w:highlight w:val="none"/>
                      <w:lang w:val="en-US" w:eastAsia="zh-CN"/>
                    </w:rPr>
                    <w:t>。</w:t>
                  </w:r>
                </w:p>
              </w:tc>
              <w:tc>
                <w:tcPr>
                  <w:tcW w:w="689" w:type="dxa"/>
                  <w:shd w:val="clear" w:color="auto" w:fill="auto"/>
                  <w:noWrap w:val="0"/>
                  <w:vAlign w:val="center"/>
                </w:tcPr>
                <w:p w14:paraId="77789007">
                  <w:pPr>
                    <w:pStyle w:val="70"/>
                    <w:spacing w:line="240" w:lineRule="auto"/>
                    <w:jc w:val="center"/>
                    <w:rPr>
                      <w:rFonts w:hint="default" w:ascii="Times New Roman" w:hAnsi="Times New Roman" w:eastAsia="宋体" w:cs="Times New Roman"/>
                      <w:snapToGrid w:val="0"/>
                      <w:color w:val="auto"/>
                      <w:spacing w:val="0"/>
                      <w:kern w:val="2"/>
                      <w:sz w:val="21"/>
                      <w:szCs w:val="21"/>
                      <w:highlight w:val="none"/>
                      <w:lang w:val="en-US" w:eastAsia="zh-CN" w:bidi="ar-SA"/>
                    </w:rPr>
                  </w:pPr>
                  <w:r>
                    <w:rPr>
                      <w:rFonts w:hint="eastAsia" w:cs="Times New Roman"/>
                      <w:snapToGrid w:val="0"/>
                      <w:color w:val="auto"/>
                      <w:spacing w:val="0"/>
                      <w:sz w:val="21"/>
                      <w:szCs w:val="21"/>
                      <w:highlight w:val="none"/>
                      <w:lang w:val="en-US" w:eastAsia="zh-CN"/>
                    </w:rPr>
                    <w:t>依托</w:t>
                  </w:r>
                </w:p>
              </w:tc>
            </w:tr>
            <w:tr w14:paraId="222CEB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restart"/>
                  <w:noWrap w:val="0"/>
                  <w:vAlign w:val="center"/>
                </w:tcPr>
                <w:p w14:paraId="20A89B0C">
                  <w:pPr>
                    <w:pStyle w:val="70"/>
                    <w:spacing w:line="240" w:lineRule="auto"/>
                    <w:jc w:val="center"/>
                    <w:rPr>
                      <w:rFonts w:hint="default" w:ascii="Times New Roman" w:hAnsi="Times New Roman" w:eastAsia="宋体" w:cs="Times New Roman"/>
                      <w:snapToGrid w:val="0"/>
                      <w:color w:val="auto"/>
                      <w:spacing w:val="0"/>
                      <w:sz w:val="21"/>
                      <w:szCs w:val="21"/>
                      <w:highlight w:val="none"/>
                    </w:rPr>
                  </w:pPr>
                  <w:r>
                    <w:rPr>
                      <w:rFonts w:hint="default" w:ascii="Times New Roman" w:hAnsi="Times New Roman" w:eastAsia="宋体" w:cs="Times New Roman"/>
                      <w:snapToGrid w:val="0"/>
                      <w:color w:val="auto"/>
                      <w:spacing w:val="0"/>
                      <w:sz w:val="21"/>
                      <w:szCs w:val="21"/>
                      <w:highlight w:val="none"/>
                    </w:rPr>
                    <w:t>环保工程</w:t>
                  </w:r>
                </w:p>
              </w:tc>
              <w:tc>
                <w:tcPr>
                  <w:tcW w:w="1070" w:type="dxa"/>
                  <w:noWrap w:val="0"/>
                  <w:vAlign w:val="center"/>
                </w:tcPr>
                <w:p w14:paraId="222F6960">
                  <w:pPr>
                    <w:pStyle w:val="70"/>
                    <w:spacing w:line="240" w:lineRule="auto"/>
                    <w:jc w:val="center"/>
                    <w:rPr>
                      <w:rFonts w:hint="default" w:ascii="Times New Roman" w:hAnsi="Times New Roman" w:eastAsia="宋体" w:cs="Times New Roman"/>
                      <w:snapToGrid w:val="0"/>
                      <w:color w:val="auto"/>
                      <w:spacing w:val="0"/>
                      <w:sz w:val="21"/>
                      <w:szCs w:val="21"/>
                      <w:highlight w:val="none"/>
                    </w:rPr>
                  </w:pPr>
                  <w:r>
                    <w:rPr>
                      <w:rFonts w:hint="default" w:ascii="Times New Roman" w:hAnsi="Times New Roman" w:eastAsia="宋体" w:cs="Times New Roman"/>
                      <w:snapToGrid w:val="0"/>
                      <w:color w:val="auto"/>
                      <w:spacing w:val="0"/>
                      <w:sz w:val="21"/>
                      <w:szCs w:val="21"/>
                      <w:highlight w:val="none"/>
                    </w:rPr>
                    <w:t>废水治理</w:t>
                  </w:r>
                </w:p>
              </w:tc>
              <w:tc>
                <w:tcPr>
                  <w:tcW w:w="4755" w:type="dxa"/>
                  <w:noWrap w:val="0"/>
                  <w:vAlign w:val="center"/>
                </w:tcPr>
                <w:p w14:paraId="20AE2DF2">
                  <w:pPr>
                    <w:spacing w:line="240" w:lineRule="auto"/>
                    <w:ind w:left="0" w:leftChars="0" w:firstLine="0" w:firstLineChars="0"/>
                    <w:jc w:val="center"/>
                    <w:rPr>
                      <w:rFonts w:hint="default"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本项目建成后外排废水主要为</w:t>
                  </w:r>
                  <w:r>
                    <w:rPr>
                      <w:rFonts w:hint="default" w:ascii="Times New Roman" w:hAnsi="Times New Roman" w:cs="Times New Roman"/>
                      <w:b w:val="0"/>
                      <w:bCs/>
                      <w:color w:val="auto"/>
                      <w:spacing w:val="0"/>
                      <w:sz w:val="21"/>
                      <w:szCs w:val="21"/>
                      <w:highlight w:val="none"/>
                      <w:lang w:val="en-US" w:eastAsia="zh-CN"/>
                    </w:rPr>
                    <w:t>锅炉排污水和软水制备废水</w:t>
                  </w:r>
                  <w:r>
                    <w:rPr>
                      <w:rFonts w:hint="eastAsia" w:ascii="Times New Roman" w:hAnsi="Times New Roman" w:cs="Times New Roman"/>
                      <w:b w:val="0"/>
                      <w:bCs/>
                      <w:color w:val="auto"/>
                      <w:spacing w:val="0"/>
                      <w:sz w:val="21"/>
                      <w:szCs w:val="21"/>
                      <w:highlight w:val="none"/>
                      <w:lang w:val="en-US" w:eastAsia="zh-CN"/>
                    </w:rPr>
                    <w:t>，少量</w:t>
                  </w:r>
                  <w:r>
                    <w:rPr>
                      <w:rFonts w:hint="default" w:ascii="Times New Roman" w:hAnsi="Times New Roman" w:cs="Times New Roman"/>
                      <w:b w:val="0"/>
                      <w:bCs/>
                      <w:color w:val="auto"/>
                      <w:spacing w:val="0"/>
                      <w:sz w:val="21"/>
                      <w:szCs w:val="21"/>
                      <w:highlight w:val="none"/>
                      <w:lang w:val="en-US" w:eastAsia="zh-CN"/>
                    </w:rPr>
                    <w:t>收集后用于灰渣</w:t>
                  </w:r>
                  <w:r>
                    <w:rPr>
                      <w:rFonts w:hint="eastAsia" w:ascii="Times New Roman" w:hAnsi="Times New Roman" w:cs="Times New Roman"/>
                      <w:b w:val="0"/>
                      <w:bCs/>
                      <w:color w:val="auto"/>
                      <w:spacing w:val="0"/>
                      <w:sz w:val="21"/>
                      <w:szCs w:val="21"/>
                      <w:highlight w:val="none"/>
                      <w:lang w:val="en-US" w:eastAsia="zh-CN"/>
                    </w:rPr>
                    <w:t>加湿其余锅炉污水通过院区污水总排口进入市政管网，排入城子河区污水处理厂进行处理</w:t>
                  </w:r>
                  <w:r>
                    <w:rPr>
                      <w:rFonts w:hint="default" w:ascii="Times New Roman" w:hAnsi="Times New Roman" w:eastAsia="宋体" w:cs="Times New Roman"/>
                      <w:color w:val="auto"/>
                      <w:spacing w:val="0"/>
                      <w:sz w:val="21"/>
                      <w:szCs w:val="21"/>
                      <w:highlight w:val="none"/>
                      <w:lang w:val="en-US" w:eastAsia="zh-CN"/>
                    </w:rPr>
                    <w:t>。水质满足《医疗机构水污染物排放标准》(GB18466-2005)中表2预处理标准限值的要求</w:t>
                  </w:r>
                  <w:r>
                    <w:rPr>
                      <w:rFonts w:hint="eastAsia" w:ascii="Times New Roman" w:hAnsi="Times New Roman" w:eastAsia="宋体" w:cs="Times New Roman"/>
                      <w:color w:val="auto"/>
                      <w:spacing w:val="0"/>
                      <w:sz w:val="21"/>
                      <w:szCs w:val="21"/>
                      <w:highlight w:val="none"/>
                      <w:lang w:val="en-US" w:eastAsia="zh-CN"/>
                    </w:rPr>
                    <w:t>。</w:t>
                  </w:r>
                </w:p>
              </w:tc>
              <w:tc>
                <w:tcPr>
                  <w:tcW w:w="689" w:type="dxa"/>
                  <w:noWrap w:val="0"/>
                  <w:vAlign w:val="center"/>
                </w:tcPr>
                <w:p w14:paraId="03B1CF34">
                  <w:pPr>
                    <w:spacing w:line="240" w:lineRule="auto"/>
                    <w:ind w:left="0" w:leftChars="0"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bCs/>
                      <w:color w:val="auto"/>
                      <w:spacing w:val="0"/>
                      <w:kern w:val="2"/>
                      <w:sz w:val="21"/>
                      <w:szCs w:val="21"/>
                      <w:highlight w:val="none"/>
                      <w:lang w:val="en-US" w:eastAsia="zh-CN" w:bidi="ar-SA"/>
                    </w:rPr>
                    <w:t>/</w:t>
                  </w:r>
                </w:p>
              </w:tc>
            </w:tr>
            <w:tr w14:paraId="27272F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continue"/>
                  <w:noWrap w:val="0"/>
                  <w:vAlign w:val="center"/>
                </w:tcPr>
                <w:p w14:paraId="517C8B64">
                  <w:pPr>
                    <w:pStyle w:val="70"/>
                    <w:spacing w:line="240" w:lineRule="auto"/>
                    <w:jc w:val="center"/>
                    <w:rPr>
                      <w:rFonts w:hint="default" w:ascii="Times New Roman" w:hAnsi="Times New Roman" w:eastAsia="宋体" w:cs="Times New Roman"/>
                      <w:snapToGrid w:val="0"/>
                      <w:color w:val="auto"/>
                      <w:spacing w:val="0"/>
                      <w:sz w:val="21"/>
                      <w:szCs w:val="21"/>
                      <w:highlight w:val="none"/>
                    </w:rPr>
                  </w:pPr>
                </w:p>
              </w:tc>
              <w:tc>
                <w:tcPr>
                  <w:tcW w:w="1070" w:type="dxa"/>
                  <w:noWrap w:val="0"/>
                  <w:vAlign w:val="center"/>
                </w:tcPr>
                <w:p w14:paraId="7CE2D924">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rPr>
                  </w:pPr>
                  <w:r>
                    <w:rPr>
                      <w:rFonts w:hint="default" w:ascii="Times New Roman" w:hAnsi="Times New Roman" w:eastAsia="宋体" w:cs="Times New Roman"/>
                      <w:snapToGrid w:val="0"/>
                      <w:color w:val="auto"/>
                      <w:spacing w:val="0"/>
                      <w:sz w:val="21"/>
                      <w:szCs w:val="21"/>
                      <w:highlight w:val="none"/>
                      <w:lang w:val="en-US"/>
                    </w:rPr>
                    <w:t>噪声治理</w:t>
                  </w:r>
                </w:p>
              </w:tc>
              <w:tc>
                <w:tcPr>
                  <w:tcW w:w="4755" w:type="dxa"/>
                  <w:noWrap w:val="0"/>
                  <w:vAlign w:val="center"/>
                </w:tcPr>
                <w:p w14:paraId="2AE8FB43">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主要噪声为锅炉运行产生的噪声，在</w:t>
                  </w:r>
                  <w:r>
                    <w:rPr>
                      <w:rFonts w:hint="default" w:ascii="Times New Roman" w:hAnsi="Times New Roman" w:eastAsia="宋体" w:cs="Times New Roman"/>
                      <w:color w:val="auto"/>
                      <w:spacing w:val="0"/>
                      <w:sz w:val="21"/>
                      <w:szCs w:val="21"/>
                      <w:highlight w:val="none"/>
                      <w:lang w:eastAsia="zh-CN"/>
                    </w:rPr>
                    <w:t>通过采</w:t>
                  </w:r>
                  <w:r>
                    <w:rPr>
                      <w:rFonts w:hint="default" w:ascii="Times New Roman" w:hAnsi="Times New Roman" w:eastAsia="宋体" w:cs="Times New Roman"/>
                      <w:color w:val="auto"/>
                      <w:spacing w:val="0"/>
                      <w:sz w:val="21"/>
                      <w:szCs w:val="21"/>
                      <w:highlight w:val="none"/>
                      <w:lang w:val="en-US" w:eastAsia="zh-CN"/>
                    </w:rPr>
                    <w:t>用</w:t>
                  </w:r>
                  <w:r>
                    <w:rPr>
                      <w:rFonts w:hint="default" w:ascii="Times New Roman" w:hAnsi="Times New Roman" w:eastAsia="宋体" w:cs="Times New Roman"/>
                      <w:color w:val="auto"/>
                      <w:spacing w:val="0"/>
                      <w:sz w:val="21"/>
                      <w:szCs w:val="21"/>
                      <w:highlight w:val="none"/>
                      <w:lang w:eastAsia="zh-CN"/>
                    </w:rPr>
                    <w:t>基础减振、厂房隔声等措施</w:t>
                  </w:r>
                  <w:r>
                    <w:rPr>
                      <w:rFonts w:hint="default" w:ascii="Times New Roman" w:hAnsi="Times New Roman" w:cs="Times New Roman"/>
                      <w:color w:val="auto"/>
                      <w:spacing w:val="0"/>
                      <w:sz w:val="21"/>
                      <w:szCs w:val="21"/>
                      <w:highlight w:val="none"/>
                      <w:lang w:val="en-US" w:eastAsia="zh-CN"/>
                    </w:rPr>
                    <w:t>后</w:t>
                  </w:r>
                  <w:r>
                    <w:rPr>
                      <w:rFonts w:hint="default" w:ascii="Times New Roman" w:hAnsi="Times New Roman" w:cs="Times New Roman"/>
                      <w:color w:val="auto"/>
                      <w:spacing w:val="0"/>
                      <w:sz w:val="21"/>
                      <w:szCs w:val="21"/>
                      <w:highlight w:val="none"/>
                      <w:lang w:eastAsia="zh-CN"/>
                    </w:rPr>
                    <w:t>，厂界</w:t>
                  </w:r>
                  <w:r>
                    <w:rPr>
                      <w:rFonts w:hint="default" w:ascii="Times New Roman" w:hAnsi="Times New Roman" w:cs="Times New Roman"/>
                      <w:color w:val="auto"/>
                      <w:spacing w:val="0"/>
                      <w:sz w:val="21"/>
                      <w:szCs w:val="21"/>
                      <w:highlight w:val="none"/>
                      <w:lang w:val="en-US" w:eastAsia="zh-CN"/>
                    </w:rPr>
                    <w:t>四周</w:t>
                  </w:r>
                  <w:r>
                    <w:rPr>
                      <w:rFonts w:hint="default" w:ascii="Times New Roman" w:hAnsi="Times New Roman" w:cs="Times New Roman"/>
                      <w:color w:val="auto"/>
                      <w:spacing w:val="0"/>
                      <w:sz w:val="21"/>
                      <w:szCs w:val="21"/>
                      <w:highlight w:val="none"/>
                      <w:lang w:eastAsia="zh-CN"/>
                    </w:rPr>
                    <w:t>可满足《工业企业厂界环境噪声排放标准》（GB12348-2008）表1中</w:t>
                  </w:r>
                  <w:r>
                    <w:rPr>
                      <w:rFonts w:hint="default" w:ascii="Times New Roman" w:hAnsi="Times New Roman" w:cs="Times New Roman"/>
                      <w:color w:val="auto"/>
                      <w:spacing w:val="0"/>
                      <w:sz w:val="21"/>
                      <w:szCs w:val="21"/>
                      <w:highlight w:val="none"/>
                      <w:lang w:val="en-US" w:eastAsia="zh-CN"/>
                    </w:rPr>
                    <w:t>2</w:t>
                  </w:r>
                  <w:r>
                    <w:rPr>
                      <w:rFonts w:hint="default" w:ascii="Times New Roman" w:hAnsi="Times New Roman" w:cs="Times New Roman"/>
                      <w:color w:val="auto"/>
                      <w:spacing w:val="0"/>
                      <w:sz w:val="21"/>
                      <w:szCs w:val="21"/>
                      <w:highlight w:val="none"/>
                      <w:lang w:eastAsia="zh-CN"/>
                    </w:rPr>
                    <w:t>类标准要求。</w:t>
                  </w:r>
                  <w:r>
                    <w:rPr>
                      <w:rFonts w:hint="default" w:ascii="Times New Roman" w:hAnsi="Times New Roman" w:cs="Times New Roman"/>
                      <w:color w:val="auto"/>
                      <w:spacing w:val="0"/>
                      <w:sz w:val="21"/>
                      <w:szCs w:val="21"/>
                      <w:highlight w:val="none"/>
                      <w:lang w:val="en-US" w:eastAsia="zh-CN"/>
                    </w:rPr>
                    <w:t>敏感点噪声满足《声环境质量标准》（GB3096-2008）2类标准要求。</w:t>
                  </w:r>
                </w:p>
              </w:tc>
              <w:tc>
                <w:tcPr>
                  <w:tcW w:w="689" w:type="dxa"/>
                  <w:noWrap w:val="0"/>
                  <w:vAlign w:val="center"/>
                </w:tcPr>
                <w:p w14:paraId="36356BCC">
                  <w:pPr>
                    <w:pStyle w:val="70"/>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kern w:val="2"/>
                      <w:sz w:val="21"/>
                      <w:szCs w:val="21"/>
                      <w:highlight w:val="none"/>
                      <w:lang w:val="en-US" w:eastAsia="zh-CN" w:bidi="ar-SA"/>
                    </w:rPr>
                    <w:t>新建</w:t>
                  </w:r>
                </w:p>
              </w:tc>
            </w:tr>
            <w:tr w14:paraId="2B81A5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continue"/>
                  <w:noWrap w:val="0"/>
                  <w:vAlign w:val="center"/>
                </w:tcPr>
                <w:p w14:paraId="65665955">
                  <w:pPr>
                    <w:pStyle w:val="70"/>
                    <w:spacing w:line="240" w:lineRule="auto"/>
                    <w:jc w:val="center"/>
                    <w:rPr>
                      <w:rFonts w:hint="default" w:ascii="Times New Roman" w:hAnsi="Times New Roman" w:eastAsia="宋体" w:cs="Times New Roman"/>
                      <w:snapToGrid w:val="0"/>
                      <w:color w:val="auto"/>
                      <w:spacing w:val="0"/>
                      <w:sz w:val="21"/>
                      <w:szCs w:val="21"/>
                      <w:highlight w:val="none"/>
                    </w:rPr>
                  </w:pPr>
                </w:p>
              </w:tc>
              <w:tc>
                <w:tcPr>
                  <w:tcW w:w="1070" w:type="dxa"/>
                  <w:noWrap w:val="0"/>
                  <w:vAlign w:val="center"/>
                </w:tcPr>
                <w:p w14:paraId="763C6A60">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eastAsia="宋体" w:cs="Times New Roman"/>
                      <w:snapToGrid w:val="0"/>
                      <w:color w:val="auto"/>
                      <w:spacing w:val="0"/>
                      <w:sz w:val="21"/>
                      <w:szCs w:val="21"/>
                      <w:highlight w:val="none"/>
                      <w:lang w:val="en-US" w:eastAsia="zh-CN"/>
                    </w:rPr>
                    <w:t>废气</w:t>
                  </w:r>
                </w:p>
              </w:tc>
              <w:tc>
                <w:tcPr>
                  <w:tcW w:w="4755" w:type="dxa"/>
                  <w:noWrap w:val="0"/>
                  <w:vAlign w:val="center"/>
                </w:tcPr>
                <w:p w14:paraId="524CA42B">
                  <w:pPr>
                    <w:pStyle w:val="70"/>
                    <w:spacing w:line="240" w:lineRule="auto"/>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本项目产生的废气主要为</w:t>
                  </w:r>
                  <w:r>
                    <w:rPr>
                      <w:rFonts w:hint="default" w:ascii="Times New Roman" w:hAnsi="Times New Roman" w:cs="Times New Roman"/>
                      <w:color w:val="auto"/>
                      <w:spacing w:val="0"/>
                      <w:sz w:val="21"/>
                      <w:szCs w:val="21"/>
                      <w:highlight w:val="none"/>
                      <w:lang w:val="en-US" w:eastAsia="zh-CN"/>
                    </w:rPr>
                    <w:t>生物质锅炉</w:t>
                  </w:r>
                  <w:r>
                    <w:rPr>
                      <w:rFonts w:hint="default" w:ascii="Times New Roman" w:hAnsi="Times New Roman" w:eastAsia="宋体" w:cs="Times New Roman"/>
                      <w:color w:val="auto"/>
                      <w:spacing w:val="0"/>
                      <w:sz w:val="21"/>
                      <w:szCs w:val="21"/>
                      <w:highlight w:val="none"/>
                      <w:lang w:val="en-US" w:eastAsia="zh-CN"/>
                    </w:rPr>
                    <w:t>产生锅炉废气，锅炉为</w:t>
                  </w:r>
                  <w:r>
                    <w:rPr>
                      <w:rFonts w:hint="default" w:ascii="Times New Roman" w:hAnsi="Times New Roman" w:cs="Times New Roman"/>
                      <w:color w:val="auto"/>
                      <w:spacing w:val="0"/>
                      <w:sz w:val="21"/>
                      <w:szCs w:val="21"/>
                      <w:highlight w:val="none"/>
                      <w:lang w:val="en-US" w:eastAsia="zh-CN"/>
                    </w:rPr>
                    <w:t>燃</w:t>
                  </w:r>
                  <w:r>
                    <w:rPr>
                      <w:rFonts w:hint="eastAsia" w:cs="Times New Roman"/>
                      <w:color w:val="auto"/>
                      <w:spacing w:val="0"/>
                      <w:sz w:val="21"/>
                      <w:szCs w:val="21"/>
                      <w:highlight w:val="none"/>
                      <w:lang w:val="en-US" w:eastAsia="zh-CN"/>
                    </w:rPr>
                    <w:t>生物质颗粒燃料</w:t>
                  </w:r>
                  <w:r>
                    <w:rPr>
                      <w:rFonts w:hint="default" w:ascii="Times New Roman" w:hAnsi="Times New Roman" w:cs="Times New Roman"/>
                      <w:color w:val="auto"/>
                      <w:spacing w:val="0"/>
                      <w:sz w:val="21"/>
                      <w:szCs w:val="21"/>
                      <w:highlight w:val="none"/>
                      <w:lang w:val="en-US" w:eastAsia="zh-CN"/>
                    </w:rPr>
                    <w:t>热水</w:t>
                  </w:r>
                  <w:r>
                    <w:rPr>
                      <w:rFonts w:hint="default" w:ascii="Times New Roman" w:hAnsi="Times New Roman" w:eastAsia="宋体" w:cs="Times New Roman"/>
                      <w:color w:val="auto"/>
                      <w:spacing w:val="0"/>
                      <w:sz w:val="21"/>
                      <w:szCs w:val="21"/>
                      <w:highlight w:val="none"/>
                      <w:lang w:val="en-US" w:eastAsia="zh-CN"/>
                    </w:rPr>
                    <w:t>锅炉，烟气</w:t>
                  </w:r>
                  <w:r>
                    <w:rPr>
                      <w:rFonts w:hint="default" w:ascii="Times New Roman" w:hAnsi="Times New Roman" w:cs="Times New Roman"/>
                      <w:color w:val="auto"/>
                      <w:spacing w:val="0"/>
                      <w:sz w:val="21"/>
                      <w:szCs w:val="21"/>
                      <w:highlight w:val="none"/>
                      <w:lang w:val="en-US" w:eastAsia="zh-CN"/>
                    </w:rPr>
                    <w:t>通过</w:t>
                  </w:r>
                  <w:r>
                    <w:rPr>
                      <w:rFonts w:hint="eastAsia" w:cs="Times New Roman"/>
                      <w:color w:val="auto"/>
                      <w:spacing w:val="0"/>
                      <w:sz w:val="21"/>
                      <w:szCs w:val="21"/>
                      <w:highlight w:val="none"/>
                      <w:lang w:val="en-US" w:eastAsia="zh-CN"/>
                    </w:rPr>
                    <w:t>旋风+</w:t>
                  </w:r>
                  <w:r>
                    <w:rPr>
                      <w:rFonts w:hint="default" w:ascii="Times New Roman" w:hAnsi="Times New Roman" w:cs="Times New Roman"/>
                      <w:color w:val="auto"/>
                      <w:spacing w:val="0"/>
                      <w:sz w:val="21"/>
                      <w:szCs w:val="21"/>
                      <w:highlight w:val="none"/>
                      <w:lang w:val="en-US" w:eastAsia="zh-CN"/>
                    </w:rPr>
                    <w:t>布袋除尘器净化处理后</w:t>
                  </w:r>
                  <w:r>
                    <w:rPr>
                      <w:rFonts w:hint="default" w:ascii="Times New Roman" w:hAnsi="Times New Roman" w:eastAsia="宋体" w:cs="Times New Roman"/>
                      <w:color w:val="auto"/>
                      <w:spacing w:val="0"/>
                      <w:sz w:val="21"/>
                      <w:szCs w:val="21"/>
                      <w:highlight w:val="none"/>
                      <w:lang w:val="en-US" w:eastAsia="zh-CN"/>
                    </w:rPr>
                    <w:t>经</w:t>
                  </w:r>
                  <w:r>
                    <w:rPr>
                      <w:rFonts w:hint="default" w:ascii="Times New Roman" w:hAnsi="Times New Roman" w:cs="Times New Roman"/>
                      <w:color w:val="auto"/>
                      <w:spacing w:val="0"/>
                      <w:sz w:val="21"/>
                      <w:szCs w:val="21"/>
                      <w:highlight w:val="none"/>
                      <w:lang w:val="en-US" w:eastAsia="zh-CN"/>
                    </w:rPr>
                    <w:t>DA001</w:t>
                  </w:r>
                  <w:r>
                    <w:rPr>
                      <w:rFonts w:hint="default" w:ascii="Times New Roman" w:hAnsi="Times New Roman" w:eastAsia="宋体" w:cs="Times New Roman"/>
                      <w:color w:val="auto"/>
                      <w:spacing w:val="0"/>
                      <w:sz w:val="21"/>
                      <w:szCs w:val="21"/>
                      <w:highlight w:val="none"/>
                      <w:lang w:val="en-US" w:eastAsia="zh-CN"/>
                    </w:rPr>
                    <w:t>烟囱有组织排放，颗粒物、二氧化硫、氮氧化物</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烟气黑度</w:t>
                  </w:r>
                  <w:r>
                    <w:rPr>
                      <w:rFonts w:hint="default" w:ascii="Times New Roman" w:hAnsi="Times New Roman" w:eastAsia="宋体" w:cs="Times New Roman"/>
                      <w:color w:val="auto"/>
                      <w:spacing w:val="0"/>
                      <w:sz w:val="21"/>
                      <w:szCs w:val="21"/>
                      <w:highlight w:val="none"/>
                      <w:lang w:val="en-US" w:eastAsia="zh-CN"/>
                    </w:rPr>
                    <w:t>废气排放满足《锅炉大气污染物排放标准》（GB13271-2014）表2排放限值。</w:t>
                  </w:r>
                </w:p>
              </w:tc>
              <w:tc>
                <w:tcPr>
                  <w:tcW w:w="689" w:type="dxa"/>
                  <w:noWrap w:val="0"/>
                  <w:vAlign w:val="center"/>
                </w:tcPr>
                <w:p w14:paraId="46A7EBA6">
                  <w:pPr>
                    <w:pStyle w:val="70"/>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cs="Times New Roman"/>
                      <w:bCs/>
                      <w:color w:val="auto"/>
                      <w:spacing w:val="0"/>
                      <w:kern w:val="2"/>
                      <w:sz w:val="21"/>
                      <w:szCs w:val="21"/>
                      <w:highlight w:val="none"/>
                      <w:lang w:val="en-US" w:eastAsia="zh-CN" w:bidi="ar-SA"/>
                    </w:rPr>
                    <w:t>新</w:t>
                  </w:r>
                  <w:r>
                    <w:rPr>
                      <w:rFonts w:hint="default" w:ascii="Times New Roman" w:hAnsi="Times New Roman" w:eastAsia="宋体" w:cs="Times New Roman"/>
                      <w:bCs/>
                      <w:color w:val="auto"/>
                      <w:spacing w:val="0"/>
                      <w:kern w:val="2"/>
                      <w:sz w:val="21"/>
                      <w:szCs w:val="21"/>
                      <w:highlight w:val="none"/>
                      <w:lang w:val="en-US" w:eastAsia="zh-CN" w:bidi="ar-SA"/>
                    </w:rPr>
                    <w:t>建</w:t>
                  </w:r>
                </w:p>
              </w:tc>
            </w:tr>
            <w:tr w14:paraId="129545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57" w:type="dxa"/>
                  <w:vMerge w:val="continue"/>
                  <w:noWrap w:val="0"/>
                  <w:vAlign w:val="center"/>
                </w:tcPr>
                <w:p w14:paraId="660BD9B8">
                  <w:pPr>
                    <w:pStyle w:val="70"/>
                    <w:spacing w:line="240" w:lineRule="auto"/>
                    <w:jc w:val="center"/>
                    <w:rPr>
                      <w:rFonts w:hint="default" w:ascii="Times New Roman" w:hAnsi="Times New Roman" w:eastAsia="宋体" w:cs="Times New Roman"/>
                      <w:snapToGrid w:val="0"/>
                      <w:color w:val="auto"/>
                      <w:spacing w:val="0"/>
                      <w:sz w:val="21"/>
                      <w:szCs w:val="21"/>
                      <w:highlight w:val="none"/>
                    </w:rPr>
                  </w:pPr>
                </w:p>
              </w:tc>
              <w:tc>
                <w:tcPr>
                  <w:tcW w:w="1070" w:type="dxa"/>
                  <w:noWrap w:val="0"/>
                  <w:vAlign w:val="center"/>
                </w:tcPr>
                <w:p w14:paraId="27A641D7">
                  <w:pPr>
                    <w:pStyle w:val="70"/>
                    <w:spacing w:line="240" w:lineRule="auto"/>
                    <w:jc w:val="center"/>
                    <w:rPr>
                      <w:rFonts w:hint="default" w:ascii="Times New Roman" w:hAnsi="Times New Roman" w:eastAsia="宋体" w:cs="Times New Roman"/>
                      <w:snapToGrid w:val="0"/>
                      <w:color w:val="auto"/>
                      <w:spacing w:val="0"/>
                      <w:sz w:val="21"/>
                      <w:szCs w:val="21"/>
                      <w:highlight w:val="none"/>
                    </w:rPr>
                  </w:pPr>
                  <w:r>
                    <w:rPr>
                      <w:rFonts w:hint="default" w:ascii="Times New Roman" w:hAnsi="Times New Roman" w:eastAsia="宋体" w:cs="Times New Roman"/>
                      <w:snapToGrid w:val="0"/>
                      <w:color w:val="auto"/>
                      <w:spacing w:val="0"/>
                      <w:sz w:val="21"/>
                      <w:szCs w:val="21"/>
                      <w:highlight w:val="none"/>
                    </w:rPr>
                    <w:t>固废治理</w:t>
                  </w:r>
                </w:p>
              </w:tc>
              <w:tc>
                <w:tcPr>
                  <w:tcW w:w="4755" w:type="dxa"/>
                  <w:noWrap w:val="0"/>
                  <w:vAlign w:val="center"/>
                </w:tcPr>
                <w:p w14:paraId="3C00433A">
                  <w:pPr>
                    <w:spacing w:line="240" w:lineRule="auto"/>
                    <w:ind w:left="0" w:leftChars="0" w:firstLine="0" w:firstLineChars="0"/>
                    <w:jc w:val="center"/>
                    <w:rPr>
                      <w:rFonts w:hint="default" w:ascii="Times New Roman" w:hAnsi="Times New Roman" w:cs="Times New Roman"/>
                      <w:bCs w:val="0"/>
                      <w:color w:val="auto"/>
                      <w:spacing w:val="0"/>
                      <w:kern w:val="2"/>
                      <w:sz w:val="21"/>
                      <w:szCs w:val="21"/>
                      <w:highlight w:val="none"/>
                      <w:lang w:val="en-US" w:eastAsia="zh-CN" w:bidi="ar-SA"/>
                    </w:rPr>
                  </w:pPr>
                  <w:r>
                    <w:rPr>
                      <w:rFonts w:hint="default" w:ascii="Times New Roman" w:hAnsi="Times New Roman" w:cs="Times New Roman"/>
                      <w:bCs w:val="0"/>
                      <w:color w:val="auto"/>
                      <w:spacing w:val="0"/>
                      <w:kern w:val="2"/>
                      <w:sz w:val="21"/>
                      <w:szCs w:val="21"/>
                      <w:highlight w:val="none"/>
                      <w:lang w:val="en-US" w:eastAsia="zh-CN" w:bidi="ar-SA"/>
                    </w:rPr>
                    <w:t>本项目不新增劳动定员，不产生生活垃圾，主要固废为锅炉灰渣、除尘器集尘、</w:t>
                  </w:r>
                  <w:r>
                    <w:rPr>
                      <w:rFonts w:hint="eastAsia" w:ascii="Times New Roman" w:hAnsi="Times New Roman" w:cs="Times New Roman"/>
                      <w:bCs w:val="0"/>
                      <w:color w:val="auto"/>
                      <w:spacing w:val="0"/>
                      <w:kern w:val="2"/>
                      <w:sz w:val="21"/>
                      <w:szCs w:val="21"/>
                      <w:highlight w:val="none"/>
                      <w:lang w:val="en-US" w:eastAsia="zh-CN" w:bidi="ar-SA"/>
                    </w:rPr>
                    <w:t>废离子交换树脂、</w:t>
                  </w:r>
                  <w:r>
                    <w:rPr>
                      <w:rFonts w:hint="default" w:ascii="Times New Roman" w:hAnsi="Times New Roman" w:cs="Times New Roman"/>
                      <w:bCs w:val="0"/>
                      <w:color w:val="auto"/>
                      <w:spacing w:val="0"/>
                      <w:kern w:val="2"/>
                      <w:sz w:val="21"/>
                      <w:szCs w:val="21"/>
                      <w:highlight w:val="none"/>
                      <w:lang w:val="en-US" w:eastAsia="zh-CN" w:bidi="ar-SA"/>
                    </w:rPr>
                    <w:t>废布袋和废机油、废机油桶、含油抹布，废布袋收集后交厂家回收处理。废机油、废机油桶、含油抹布属于危险废物交有资质单位处置。锅炉灰渣和除尘器集尘外售综合利用。</w:t>
                  </w:r>
                  <w:r>
                    <w:rPr>
                      <w:rFonts w:hint="eastAsia" w:ascii="Times New Roman" w:hAnsi="Times New Roman" w:cs="Times New Roman"/>
                      <w:bCs w:val="0"/>
                      <w:color w:val="auto"/>
                      <w:spacing w:val="0"/>
                      <w:kern w:val="2"/>
                      <w:sz w:val="21"/>
                      <w:szCs w:val="21"/>
                      <w:highlight w:val="none"/>
                      <w:lang w:val="en-US" w:eastAsia="zh-CN" w:bidi="ar-SA"/>
                    </w:rPr>
                    <w:t>热水</w:t>
                  </w:r>
                  <w:r>
                    <w:rPr>
                      <w:rFonts w:hint="default" w:ascii="Times New Roman" w:hAnsi="Times New Roman" w:cs="Times New Roman"/>
                      <w:bCs w:val="0"/>
                      <w:color w:val="auto"/>
                      <w:spacing w:val="0"/>
                      <w:kern w:val="2"/>
                      <w:sz w:val="21"/>
                      <w:szCs w:val="21"/>
                      <w:highlight w:val="none"/>
                      <w:lang w:val="en-US" w:eastAsia="zh-CN" w:bidi="ar-SA"/>
                    </w:rPr>
                    <w:t>锅炉软化水制备系统每年更换一次离子交换树脂，废离子交换树脂不在厂区暂存，由厂家更换回收处置；</w:t>
                  </w:r>
                </w:p>
                <w:p w14:paraId="472F9A37">
                  <w:pPr>
                    <w:spacing w:line="240" w:lineRule="auto"/>
                    <w:ind w:left="0" w:lef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bCs w:val="0"/>
                      <w:color w:val="auto"/>
                      <w:spacing w:val="0"/>
                      <w:kern w:val="2"/>
                      <w:sz w:val="21"/>
                      <w:szCs w:val="21"/>
                      <w:highlight w:val="none"/>
                      <w:lang w:val="en-US" w:eastAsia="zh-CN" w:bidi="ar-SA"/>
                    </w:rPr>
                    <w:t>本项目在锅炉房内设立危险废</w:t>
                  </w:r>
                  <w:r>
                    <w:rPr>
                      <w:rFonts w:hint="default" w:ascii="Times New Roman" w:hAnsi="Times New Roman" w:cs="Times New Roman"/>
                      <w:color w:val="auto"/>
                      <w:sz w:val="21"/>
                      <w:szCs w:val="21"/>
                      <w:highlight w:val="none"/>
                      <w:lang w:val="en-US" w:eastAsia="zh-CN"/>
                    </w:rPr>
                    <w:t>物贮存点一处，</w:t>
                  </w:r>
                  <w:r>
                    <w:rPr>
                      <w:rFonts w:hint="default" w:ascii="Times New Roman" w:hAnsi="Times New Roman" w:eastAsia="宋体" w:cs="Times New Roman"/>
                      <w:color w:val="auto"/>
                      <w:sz w:val="21"/>
                      <w:szCs w:val="21"/>
                      <w:highlight w:val="none"/>
                      <w:lang w:val="en-US" w:eastAsia="zh-CN"/>
                    </w:rPr>
                    <w:t>占地面积为</w:t>
                  </w:r>
                  <w:r>
                    <w:rPr>
                      <w:rFonts w:hint="default" w:ascii="Times New Roman" w:hAnsi="Times New Roman"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cs="Times New Roman"/>
                      <w:bCs w:val="0"/>
                      <w:color w:val="auto"/>
                      <w:spacing w:val="0"/>
                      <w:kern w:val="2"/>
                      <w:sz w:val="21"/>
                      <w:szCs w:val="21"/>
                      <w:highlight w:val="none"/>
                      <w:lang w:val="en-US" w:eastAsia="zh-CN" w:bidi="ar-SA"/>
                    </w:rPr>
                    <w:t>，可存储0.1t危险废物。本项目产生的危废共0.025t/a，最大贮存周期为60d。满足贮存要求。在建贮存</w:t>
                  </w:r>
                  <w:r>
                    <w:rPr>
                      <w:rFonts w:hint="eastAsia" w:ascii="Times New Roman" w:hAnsi="Times New Roman" w:cs="Times New Roman"/>
                      <w:bCs w:val="0"/>
                      <w:color w:val="auto"/>
                      <w:spacing w:val="0"/>
                      <w:kern w:val="2"/>
                      <w:sz w:val="21"/>
                      <w:szCs w:val="21"/>
                      <w:highlight w:val="none"/>
                      <w:lang w:val="en-US" w:eastAsia="zh-CN" w:bidi="ar-SA"/>
                    </w:rPr>
                    <w:t>点</w:t>
                  </w:r>
                  <w:r>
                    <w:rPr>
                      <w:rFonts w:hint="default" w:ascii="Times New Roman" w:hAnsi="Times New Roman" w:cs="Times New Roman"/>
                      <w:bCs w:val="0"/>
                      <w:color w:val="auto"/>
                      <w:spacing w:val="0"/>
                      <w:kern w:val="2"/>
                      <w:sz w:val="21"/>
                      <w:szCs w:val="21"/>
                      <w:highlight w:val="none"/>
                      <w:lang w:val="en-US" w:eastAsia="zh-CN" w:bidi="ar-SA"/>
                    </w:rPr>
                    <w:t>满足“防风、防雨、防晒、防扬散、防流失、防渗漏”要求，基础防渗满足至少1m厚黏土层（渗透系数≤10</w:t>
                  </w:r>
                  <w:r>
                    <w:rPr>
                      <w:rFonts w:hint="default" w:ascii="Times New Roman" w:hAnsi="Times New Roman" w:cs="Times New Roman"/>
                      <w:bCs w:val="0"/>
                      <w:color w:val="auto"/>
                      <w:spacing w:val="0"/>
                      <w:kern w:val="2"/>
                      <w:sz w:val="21"/>
                      <w:szCs w:val="21"/>
                      <w:highlight w:val="none"/>
                      <w:vertAlign w:val="superscript"/>
                      <w:lang w:val="en-US" w:eastAsia="zh-CN" w:bidi="ar-SA"/>
                    </w:rPr>
                    <w:t>-7</w:t>
                  </w:r>
                  <w:r>
                    <w:rPr>
                      <w:rFonts w:hint="default" w:ascii="Times New Roman" w:hAnsi="Times New Roman" w:cs="Times New Roman"/>
                      <w:bCs w:val="0"/>
                      <w:color w:val="auto"/>
                      <w:spacing w:val="0"/>
                      <w:kern w:val="2"/>
                      <w:sz w:val="21"/>
                      <w:szCs w:val="21"/>
                      <w:highlight w:val="none"/>
                      <w:lang w:val="en-US" w:eastAsia="zh-CN" w:bidi="ar-SA"/>
                    </w:rPr>
                    <w:t>cm/s），或2mm厚高密度聚乙烯，或至少2mm厚的其他人工材料，渗透系数≤10</w:t>
                  </w:r>
                  <w:r>
                    <w:rPr>
                      <w:rFonts w:hint="default" w:ascii="Times New Roman" w:hAnsi="Times New Roman" w:cs="Times New Roman"/>
                      <w:bCs w:val="0"/>
                      <w:color w:val="auto"/>
                      <w:spacing w:val="0"/>
                      <w:kern w:val="2"/>
                      <w:sz w:val="21"/>
                      <w:szCs w:val="21"/>
                      <w:highlight w:val="none"/>
                      <w:vertAlign w:val="superscript"/>
                      <w:lang w:val="en-US" w:eastAsia="zh-CN" w:bidi="ar-SA"/>
                    </w:rPr>
                    <w:t>-10</w:t>
                  </w:r>
                  <w:r>
                    <w:rPr>
                      <w:rFonts w:hint="default" w:ascii="Times New Roman" w:hAnsi="Times New Roman" w:cs="Times New Roman"/>
                      <w:bCs w:val="0"/>
                      <w:color w:val="auto"/>
                      <w:spacing w:val="0"/>
                      <w:kern w:val="2"/>
                      <w:sz w:val="21"/>
                      <w:szCs w:val="21"/>
                      <w:highlight w:val="none"/>
                      <w:lang w:val="en-US" w:eastAsia="zh-CN" w:bidi="ar-SA"/>
                    </w:rPr>
                    <w:t>cm/s要求。</w:t>
                  </w:r>
                </w:p>
              </w:tc>
              <w:tc>
                <w:tcPr>
                  <w:tcW w:w="689" w:type="dxa"/>
                  <w:noWrap w:val="0"/>
                  <w:vAlign w:val="center"/>
                </w:tcPr>
                <w:p w14:paraId="5C0D0BB7">
                  <w:pPr>
                    <w:spacing w:line="240" w:lineRule="auto"/>
                    <w:ind w:left="0" w:leftChars="0" w:firstLine="0" w:firstLineChars="0"/>
                    <w:jc w:val="center"/>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kern w:val="2"/>
                      <w:sz w:val="21"/>
                      <w:szCs w:val="21"/>
                      <w:highlight w:val="none"/>
                      <w:lang w:val="en-US" w:eastAsia="zh-CN" w:bidi="ar-SA"/>
                    </w:rPr>
                    <w:t>新建</w:t>
                  </w:r>
                </w:p>
              </w:tc>
            </w:tr>
          </w:tbl>
          <w:p w14:paraId="6BAC2213">
            <w:pPr>
              <w:ind w:left="0" w:leftChars="0" w:firstLine="0" w:firstLineChars="0"/>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3.</w:t>
            </w:r>
            <w:r>
              <w:rPr>
                <w:rFonts w:hint="default" w:ascii="Times New Roman" w:hAnsi="Times New Roman" w:eastAsia="宋体" w:cs="Times New Roman"/>
                <w:b/>
                <w:bCs w:val="0"/>
                <w:color w:val="auto"/>
                <w:spacing w:val="0"/>
                <w:sz w:val="24"/>
                <w:szCs w:val="24"/>
                <w:highlight w:val="none"/>
                <w:lang w:val="en-US" w:eastAsia="zh-CN"/>
              </w:rPr>
              <w:t>主要生产设备</w:t>
            </w:r>
          </w:p>
          <w:p w14:paraId="41C6BD5D">
            <w:pP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本项目</w:t>
            </w:r>
            <w:r>
              <w:rPr>
                <w:rFonts w:hint="default" w:ascii="Times New Roman" w:hAnsi="Times New Roman" w:eastAsia="宋体" w:cs="Times New Roman"/>
                <w:color w:val="auto"/>
                <w:spacing w:val="0"/>
                <w:sz w:val="24"/>
                <w:szCs w:val="24"/>
                <w:highlight w:val="none"/>
                <w:lang w:val="en-US" w:eastAsia="zh-CN"/>
              </w:rPr>
              <w:t>主要</w:t>
            </w:r>
            <w:r>
              <w:rPr>
                <w:rFonts w:hint="default" w:ascii="Times New Roman" w:hAnsi="Times New Roman" w:eastAsia="宋体" w:cs="Times New Roman"/>
                <w:b w:val="0"/>
                <w:bCs w:val="0"/>
                <w:color w:val="auto"/>
                <w:spacing w:val="0"/>
                <w:sz w:val="24"/>
                <w:szCs w:val="24"/>
                <w:highlight w:val="none"/>
              </w:rPr>
              <w:t>设备</w:t>
            </w:r>
            <w:r>
              <w:rPr>
                <w:rFonts w:hint="default" w:ascii="Times New Roman" w:hAnsi="Times New Roman" w:eastAsia="宋体" w:cs="Times New Roman"/>
                <w:color w:val="auto"/>
                <w:spacing w:val="0"/>
                <w:sz w:val="24"/>
                <w:szCs w:val="24"/>
                <w:highlight w:val="none"/>
              </w:rPr>
              <w:t>如下表</w:t>
            </w:r>
            <w:r>
              <w:rPr>
                <w:rFonts w:hint="default" w:ascii="Times New Roman" w:hAnsi="Times New Roman" w:eastAsia="宋体" w:cs="Times New Roman"/>
                <w:color w:val="auto"/>
                <w:spacing w:val="0"/>
                <w:sz w:val="24"/>
                <w:szCs w:val="24"/>
                <w:highlight w:val="none"/>
                <w:lang w:val="en-US" w:eastAsia="zh-CN"/>
              </w:rPr>
              <w:t>2-2</w:t>
            </w:r>
            <w:r>
              <w:rPr>
                <w:rFonts w:hint="default" w:ascii="Times New Roman" w:hAnsi="Times New Roman" w:eastAsia="宋体" w:cs="Times New Roman"/>
                <w:color w:val="auto"/>
                <w:spacing w:val="0"/>
                <w:sz w:val="24"/>
                <w:szCs w:val="24"/>
                <w:highlight w:val="none"/>
              </w:rPr>
              <w:t>所示：</w:t>
            </w:r>
          </w:p>
          <w:p w14:paraId="1025C071">
            <w:pPr>
              <w:spacing w:line="240" w:lineRule="auto"/>
              <w:ind w:firstLine="422"/>
              <w:jc w:val="center"/>
              <w:rPr>
                <w:rFonts w:hint="default" w:ascii="Times New Roman" w:hAnsi="Times New Roman" w:eastAsia="宋体" w:cs="Times New Roman"/>
                <w:b/>
                <w:bCs w:val="0"/>
                <w:color w:val="auto"/>
                <w:spacing w:val="0"/>
                <w:kern w:val="2"/>
                <w:sz w:val="21"/>
                <w:szCs w:val="21"/>
                <w:highlight w:val="none"/>
                <w:lang w:val="en-US" w:eastAsia="zh-CN" w:bidi="ar-SA"/>
              </w:rPr>
            </w:pPr>
            <w:r>
              <w:rPr>
                <w:rFonts w:hint="default" w:ascii="Times New Roman" w:hAnsi="Times New Roman" w:eastAsia="宋体" w:cs="Times New Roman"/>
                <w:b/>
                <w:bCs w:val="0"/>
                <w:color w:val="auto"/>
                <w:spacing w:val="0"/>
                <w:kern w:val="2"/>
                <w:sz w:val="21"/>
                <w:szCs w:val="21"/>
                <w:highlight w:val="none"/>
                <w:lang w:val="en-US" w:eastAsia="zh-CN" w:bidi="ar-SA"/>
              </w:rPr>
              <w:t>表2-2 生产设备一览表</w:t>
            </w:r>
          </w:p>
          <w:tbl>
            <w:tblPr>
              <w:tblStyle w:val="36"/>
              <w:tblW w:w="498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14"/>
              <w:gridCol w:w="1968"/>
              <w:gridCol w:w="1799"/>
              <w:gridCol w:w="1467"/>
            </w:tblGrid>
            <w:tr w14:paraId="5D4624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4" w:type="dxa"/>
                  <w:tcBorders>
                    <w:tl2br w:val="nil"/>
                    <w:tr2bl w:val="nil"/>
                  </w:tcBorders>
                  <w:noWrap w:val="0"/>
                  <w:vAlign w:val="center"/>
                </w:tcPr>
                <w:p w14:paraId="533A568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eastAsia="宋体" w:cs="Times New Roman"/>
                      <w:bCs/>
                      <w:color w:val="auto"/>
                      <w:spacing w:val="0"/>
                      <w:kern w:val="2"/>
                      <w:sz w:val="21"/>
                      <w:szCs w:val="21"/>
                      <w:highlight w:val="none"/>
                      <w:vertAlign w:val="baseline"/>
                      <w:lang w:val="en-US" w:eastAsia="zh-CN" w:bidi="ar-SA"/>
                    </w:rPr>
                  </w:pPr>
                  <w:r>
                    <w:rPr>
                      <w:rFonts w:hint="default" w:ascii="Times New Roman" w:hAnsi="Times New Roman" w:eastAsia="宋体" w:cs="Times New Roman"/>
                      <w:color w:val="auto"/>
                      <w:spacing w:val="0"/>
                      <w:sz w:val="21"/>
                      <w:szCs w:val="21"/>
                      <w:highlight w:val="none"/>
                      <w:vertAlign w:val="baseline"/>
                      <w:lang w:val="en-US" w:eastAsia="zh-CN"/>
                    </w:rPr>
                    <w:t>设备名称</w:t>
                  </w:r>
                </w:p>
              </w:tc>
              <w:tc>
                <w:tcPr>
                  <w:tcW w:w="1968" w:type="dxa"/>
                  <w:tcBorders>
                    <w:tl2br w:val="nil"/>
                    <w:tr2bl w:val="nil"/>
                  </w:tcBorders>
                  <w:noWrap w:val="0"/>
                  <w:vAlign w:val="center"/>
                </w:tcPr>
                <w:p w14:paraId="0CBA025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eastAsia="宋体" w:cs="Times New Roman"/>
                      <w:bCs/>
                      <w:color w:val="auto"/>
                      <w:spacing w:val="0"/>
                      <w:kern w:val="2"/>
                      <w:sz w:val="21"/>
                      <w:szCs w:val="21"/>
                      <w:highlight w:val="none"/>
                      <w:vertAlign w:val="baseline"/>
                      <w:lang w:val="en-US" w:eastAsia="zh-CN" w:bidi="ar-SA"/>
                    </w:rPr>
                  </w:pPr>
                  <w:r>
                    <w:rPr>
                      <w:rFonts w:hint="default" w:ascii="Times New Roman" w:hAnsi="Times New Roman" w:eastAsia="宋体" w:cs="Times New Roman"/>
                      <w:color w:val="auto"/>
                      <w:spacing w:val="0"/>
                      <w:sz w:val="21"/>
                      <w:szCs w:val="21"/>
                      <w:highlight w:val="none"/>
                      <w:vertAlign w:val="baseline"/>
                      <w:lang w:val="en-US" w:eastAsia="zh-CN"/>
                    </w:rPr>
                    <w:t>型号</w:t>
                  </w:r>
                </w:p>
              </w:tc>
              <w:tc>
                <w:tcPr>
                  <w:tcW w:w="1799" w:type="dxa"/>
                  <w:tcBorders>
                    <w:tl2br w:val="nil"/>
                    <w:tr2bl w:val="nil"/>
                  </w:tcBorders>
                  <w:noWrap w:val="0"/>
                  <w:vAlign w:val="center"/>
                </w:tcPr>
                <w:p w14:paraId="192D697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eastAsia="宋体" w:cs="Times New Roman"/>
                      <w:bCs/>
                      <w:color w:val="auto"/>
                      <w:spacing w:val="0"/>
                      <w:kern w:val="2"/>
                      <w:sz w:val="21"/>
                      <w:szCs w:val="21"/>
                      <w:highlight w:val="none"/>
                      <w:vertAlign w:val="baseline"/>
                      <w:lang w:val="en-US" w:eastAsia="zh-CN" w:bidi="ar-SA"/>
                    </w:rPr>
                  </w:pPr>
                  <w:r>
                    <w:rPr>
                      <w:rFonts w:hint="default" w:ascii="Times New Roman" w:hAnsi="Times New Roman" w:eastAsia="宋体" w:cs="Times New Roman"/>
                      <w:color w:val="auto"/>
                      <w:spacing w:val="0"/>
                      <w:sz w:val="21"/>
                      <w:szCs w:val="21"/>
                      <w:highlight w:val="none"/>
                      <w:vertAlign w:val="baseline"/>
                      <w:lang w:val="en-US" w:eastAsia="zh-CN"/>
                    </w:rPr>
                    <w:t>数量</w:t>
                  </w:r>
                </w:p>
              </w:tc>
              <w:tc>
                <w:tcPr>
                  <w:tcW w:w="1467" w:type="dxa"/>
                  <w:tcBorders>
                    <w:tl2br w:val="nil"/>
                    <w:tr2bl w:val="nil"/>
                  </w:tcBorders>
                  <w:noWrap w:val="0"/>
                  <w:vAlign w:val="center"/>
                </w:tcPr>
                <w:p w14:paraId="2A635A2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eastAsia="宋体" w:cs="Times New Roman"/>
                      <w:bCs/>
                      <w:color w:val="auto"/>
                      <w:spacing w:val="0"/>
                      <w:kern w:val="2"/>
                      <w:sz w:val="21"/>
                      <w:szCs w:val="21"/>
                      <w:highlight w:val="none"/>
                      <w:vertAlign w:val="baseline"/>
                      <w:lang w:val="en-US" w:eastAsia="zh-CN" w:bidi="ar-SA"/>
                    </w:rPr>
                  </w:pPr>
                  <w:r>
                    <w:rPr>
                      <w:rFonts w:hint="default" w:ascii="Times New Roman" w:hAnsi="Times New Roman" w:eastAsia="宋体" w:cs="Times New Roman"/>
                      <w:color w:val="auto"/>
                      <w:spacing w:val="0"/>
                      <w:sz w:val="21"/>
                      <w:szCs w:val="21"/>
                      <w:highlight w:val="none"/>
                      <w:vertAlign w:val="baseline"/>
                      <w:lang w:val="en-US" w:eastAsia="zh-CN"/>
                    </w:rPr>
                    <w:t>位置</w:t>
                  </w:r>
                </w:p>
              </w:tc>
            </w:tr>
            <w:tr w14:paraId="00C085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4" w:type="dxa"/>
                  <w:tcBorders>
                    <w:tl2br w:val="nil"/>
                    <w:tr2bl w:val="nil"/>
                  </w:tcBorders>
                  <w:noWrap w:val="0"/>
                  <w:vAlign w:val="center"/>
                </w:tcPr>
                <w:p w14:paraId="41293624">
                  <w:pPr>
                    <w:pStyle w:val="12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cs="Times New Roman"/>
                      <w:color w:val="auto"/>
                      <w:szCs w:val="21"/>
                      <w:highlight w:val="none"/>
                      <w:lang w:val="en-US" w:eastAsia="zh-CN"/>
                    </w:rPr>
                    <w:t>生物质锅炉</w:t>
                  </w:r>
                </w:p>
              </w:tc>
              <w:tc>
                <w:tcPr>
                  <w:tcW w:w="1968" w:type="dxa"/>
                  <w:tcBorders>
                    <w:tl2br w:val="nil"/>
                    <w:tr2bl w:val="nil"/>
                  </w:tcBorders>
                  <w:noWrap w:val="0"/>
                  <w:vAlign w:val="center"/>
                </w:tcPr>
                <w:p w14:paraId="1EA7EBB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cs="Times New Roman"/>
                      <w:color w:val="auto"/>
                      <w:spacing w:val="0"/>
                      <w:sz w:val="21"/>
                      <w:szCs w:val="21"/>
                      <w:highlight w:val="none"/>
                      <w:vertAlign w:val="baseline"/>
                      <w:lang w:val="en-US" w:eastAsia="zh-CN"/>
                    </w:rPr>
                    <w:t>CSHQ-180万kcal</w:t>
                  </w:r>
                </w:p>
              </w:tc>
              <w:tc>
                <w:tcPr>
                  <w:tcW w:w="1799" w:type="dxa"/>
                  <w:tcBorders>
                    <w:tl2br w:val="nil"/>
                    <w:tr2bl w:val="nil"/>
                  </w:tcBorders>
                  <w:noWrap w:val="0"/>
                  <w:vAlign w:val="center"/>
                </w:tcPr>
                <w:p w14:paraId="54FDD38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cs="Times New Roman"/>
                      <w:color w:val="auto"/>
                      <w:spacing w:val="0"/>
                      <w:sz w:val="21"/>
                      <w:szCs w:val="21"/>
                      <w:highlight w:val="none"/>
                      <w:vertAlign w:val="baseline"/>
                      <w:lang w:val="en-US" w:eastAsia="zh-CN"/>
                    </w:rPr>
                    <w:t>1</w:t>
                  </w:r>
                </w:p>
              </w:tc>
              <w:tc>
                <w:tcPr>
                  <w:tcW w:w="1467" w:type="dxa"/>
                  <w:vMerge w:val="restart"/>
                  <w:tcBorders>
                    <w:tl2br w:val="nil"/>
                    <w:tr2bl w:val="nil"/>
                  </w:tcBorders>
                  <w:noWrap w:val="0"/>
                  <w:vAlign w:val="center"/>
                </w:tcPr>
                <w:p w14:paraId="76248D6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cs="Times New Roman"/>
                      <w:color w:val="auto"/>
                      <w:spacing w:val="0"/>
                      <w:sz w:val="21"/>
                      <w:szCs w:val="21"/>
                      <w:highlight w:val="none"/>
                      <w:vertAlign w:val="baseline"/>
                      <w:lang w:val="en-US" w:eastAsia="zh-CN"/>
                    </w:rPr>
                    <w:t>锅炉房</w:t>
                  </w:r>
                </w:p>
              </w:tc>
            </w:tr>
            <w:tr w14:paraId="75EBCE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4" w:type="dxa"/>
                  <w:tcBorders>
                    <w:tl2br w:val="nil"/>
                    <w:tr2bl w:val="nil"/>
                  </w:tcBorders>
                  <w:noWrap w:val="0"/>
                  <w:vAlign w:val="center"/>
                </w:tcPr>
                <w:p w14:paraId="174AD3E4">
                  <w:pPr>
                    <w:pStyle w:val="13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布袋除尘器</w:t>
                  </w:r>
                </w:p>
              </w:tc>
              <w:tc>
                <w:tcPr>
                  <w:tcW w:w="1968" w:type="dxa"/>
                  <w:tcBorders>
                    <w:tl2br w:val="nil"/>
                    <w:tr2bl w:val="nil"/>
                  </w:tcBorders>
                  <w:noWrap w:val="0"/>
                  <w:vAlign w:val="center"/>
                </w:tcPr>
                <w:p w14:paraId="6F346E08">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napToGrid w:val="0"/>
                      <w:color w:val="auto"/>
                      <w:spacing w:val="0"/>
                      <w:kern w:val="2"/>
                      <w:sz w:val="21"/>
                      <w:szCs w:val="21"/>
                      <w:highlight w:val="none"/>
                      <w:lang w:val="en-US" w:eastAsia="zh-CN" w:bidi="ar-SA"/>
                    </w:rPr>
                  </w:pPr>
                  <w:r>
                    <w:rPr>
                      <w:rFonts w:hint="default" w:ascii="Times New Roman" w:hAnsi="Times New Roman" w:cs="Times New Roman"/>
                      <w:snapToGrid w:val="0"/>
                      <w:color w:val="auto"/>
                      <w:spacing w:val="0"/>
                      <w:kern w:val="2"/>
                      <w:sz w:val="21"/>
                      <w:szCs w:val="21"/>
                      <w:highlight w:val="none"/>
                      <w:lang w:val="en-US" w:eastAsia="zh-CN" w:bidi="ar-SA"/>
                    </w:rPr>
                    <w:t>/</w:t>
                  </w:r>
                </w:p>
              </w:tc>
              <w:tc>
                <w:tcPr>
                  <w:tcW w:w="1799" w:type="dxa"/>
                  <w:tcBorders>
                    <w:tl2br w:val="nil"/>
                    <w:tr2bl w:val="nil"/>
                  </w:tcBorders>
                  <w:noWrap w:val="0"/>
                  <w:vAlign w:val="center"/>
                </w:tcPr>
                <w:p w14:paraId="3702D286">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pacing w:val="0"/>
                      <w:sz w:val="21"/>
                      <w:szCs w:val="21"/>
                      <w:highlight w:val="none"/>
                      <w:vertAlign w:val="baseline"/>
                      <w:lang w:val="en-US" w:eastAsia="zh-CN"/>
                    </w:rPr>
                  </w:pPr>
                  <w:r>
                    <w:rPr>
                      <w:rFonts w:hint="default" w:ascii="Times New Roman" w:hAnsi="Times New Roman" w:cs="Times New Roman"/>
                      <w:color w:val="auto"/>
                      <w:spacing w:val="0"/>
                      <w:sz w:val="21"/>
                      <w:szCs w:val="21"/>
                      <w:highlight w:val="none"/>
                      <w:vertAlign w:val="baseline"/>
                      <w:lang w:val="en-US" w:eastAsia="zh-CN"/>
                    </w:rPr>
                    <w:t>1</w:t>
                  </w:r>
                </w:p>
              </w:tc>
              <w:tc>
                <w:tcPr>
                  <w:tcW w:w="1467" w:type="dxa"/>
                  <w:vMerge w:val="continue"/>
                  <w:tcBorders>
                    <w:tl2br w:val="nil"/>
                    <w:tr2bl w:val="nil"/>
                  </w:tcBorders>
                  <w:noWrap w:val="0"/>
                  <w:vAlign w:val="center"/>
                </w:tcPr>
                <w:p w14:paraId="2BA3594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cs="Times New Roman"/>
                      <w:color w:val="auto"/>
                      <w:spacing w:val="0"/>
                      <w:sz w:val="21"/>
                      <w:szCs w:val="21"/>
                      <w:highlight w:val="none"/>
                      <w:vertAlign w:val="baseline"/>
                      <w:lang w:val="en-US" w:eastAsia="zh-CN"/>
                    </w:rPr>
                  </w:pPr>
                </w:p>
              </w:tc>
            </w:tr>
            <w:tr w14:paraId="5C3E59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4" w:type="dxa"/>
                  <w:tcBorders>
                    <w:tl2br w:val="nil"/>
                    <w:tr2bl w:val="nil"/>
                  </w:tcBorders>
                  <w:noWrap w:val="0"/>
                  <w:vAlign w:val="center"/>
                </w:tcPr>
                <w:p w14:paraId="152F61B1">
                  <w:pPr>
                    <w:pStyle w:val="13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旋风除尘器</w:t>
                  </w:r>
                </w:p>
              </w:tc>
              <w:tc>
                <w:tcPr>
                  <w:tcW w:w="1968" w:type="dxa"/>
                  <w:tcBorders>
                    <w:tl2br w:val="nil"/>
                    <w:tr2bl w:val="nil"/>
                  </w:tcBorders>
                  <w:noWrap w:val="0"/>
                  <w:vAlign w:val="center"/>
                </w:tcPr>
                <w:p w14:paraId="65AF82C1">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napToGrid w:val="0"/>
                      <w:color w:val="auto"/>
                      <w:spacing w:val="0"/>
                      <w:kern w:val="2"/>
                      <w:sz w:val="21"/>
                      <w:szCs w:val="21"/>
                      <w:highlight w:val="none"/>
                      <w:lang w:val="en-US" w:eastAsia="zh-CN" w:bidi="ar-SA"/>
                    </w:rPr>
                  </w:pPr>
                  <w:r>
                    <w:rPr>
                      <w:rFonts w:hint="eastAsia" w:ascii="Times New Roman" w:hAnsi="Times New Roman" w:cs="Times New Roman"/>
                      <w:snapToGrid w:val="0"/>
                      <w:color w:val="auto"/>
                      <w:spacing w:val="0"/>
                      <w:kern w:val="2"/>
                      <w:sz w:val="21"/>
                      <w:szCs w:val="21"/>
                      <w:highlight w:val="none"/>
                      <w:lang w:val="en-US" w:eastAsia="zh-CN" w:bidi="ar-SA"/>
                    </w:rPr>
                    <w:t>/</w:t>
                  </w:r>
                </w:p>
              </w:tc>
              <w:tc>
                <w:tcPr>
                  <w:tcW w:w="1799" w:type="dxa"/>
                  <w:tcBorders>
                    <w:tl2br w:val="nil"/>
                    <w:tr2bl w:val="nil"/>
                  </w:tcBorders>
                  <w:noWrap w:val="0"/>
                  <w:vAlign w:val="center"/>
                </w:tcPr>
                <w:p w14:paraId="2B776151">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1</w:t>
                  </w:r>
                </w:p>
              </w:tc>
              <w:tc>
                <w:tcPr>
                  <w:tcW w:w="1467" w:type="dxa"/>
                  <w:vMerge w:val="continue"/>
                  <w:tcBorders>
                    <w:tl2br w:val="nil"/>
                    <w:tr2bl w:val="nil"/>
                  </w:tcBorders>
                  <w:noWrap w:val="0"/>
                  <w:vAlign w:val="center"/>
                </w:tcPr>
                <w:p w14:paraId="6745BF2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cs="Times New Roman"/>
                      <w:color w:val="auto"/>
                      <w:spacing w:val="0"/>
                      <w:sz w:val="21"/>
                      <w:szCs w:val="21"/>
                      <w:highlight w:val="none"/>
                      <w:vertAlign w:val="baseline"/>
                      <w:lang w:val="en-US" w:eastAsia="zh-CN"/>
                    </w:rPr>
                  </w:pPr>
                </w:p>
              </w:tc>
            </w:tr>
            <w:tr w14:paraId="09C364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4" w:type="dxa"/>
                  <w:tcBorders>
                    <w:tl2br w:val="nil"/>
                    <w:tr2bl w:val="nil"/>
                  </w:tcBorders>
                  <w:noWrap w:val="0"/>
                  <w:vAlign w:val="center"/>
                </w:tcPr>
                <w:p w14:paraId="5D0667D3">
                  <w:pPr>
                    <w:pStyle w:val="13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cs="Times New Roman"/>
                      <w:color w:val="auto"/>
                      <w:kern w:val="0"/>
                      <w:sz w:val="21"/>
                      <w:szCs w:val="21"/>
                      <w:highlight w:val="none"/>
                      <w:lang w:val="en-US" w:eastAsia="zh-CN" w:bidi="ar-SA"/>
                    </w:rPr>
                  </w:pPr>
                  <w:r>
                    <w:rPr>
                      <w:rFonts w:hint="eastAsia" w:cs="Times New Roman"/>
                      <w:i w:val="0"/>
                      <w:iCs w:val="0"/>
                      <w:color w:val="auto"/>
                      <w:kern w:val="0"/>
                      <w:sz w:val="21"/>
                      <w:szCs w:val="21"/>
                      <w:highlight w:val="none"/>
                      <w:u w:val="none"/>
                      <w:lang w:val="en-US" w:eastAsia="zh-CN" w:bidi="ar"/>
                    </w:rPr>
                    <w:t>软化水装置</w:t>
                  </w:r>
                </w:p>
              </w:tc>
              <w:tc>
                <w:tcPr>
                  <w:tcW w:w="1968" w:type="dxa"/>
                  <w:tcBorders>
                    <w:tl2br w:val="nil"/>
                    <w:tr2bl w:val="nil"/>
                  </w:tcBorders>
                  <w:shd w:val="clear" w:color="auto" w:fill="auto"/>
                  <w:noWrap w:val="0"/>
                  <w:vAlign w:val="center"/>
                </w:tcPr>
                <w:p w14:paraId="1B091C9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15t/h</w:t>
                  </w:r>
                </w:p>
              </w:tc>
              <w:tc>
                <w:tcPr>
                  <w:tcW w:w="1799" w:type="dxa"/>
                  <w:tcBorders>
                    <w:tl2br w:val="nil"/>
                    <w:tr2bl w:val="nil"/>
                  </w:tcBorders>
                  <w:shd w:val="clear" w:color="auto" w:fill="auto"/>
                  <w:noWrap w:val="0"/>
                  <w:vAlign w:val="center"/>
                </w:tcPr>
                <w:p w14:paraId="41050E8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1</w:t>
                  </w:r>
                </w:p>
              </w:tc>
              <w:tc>
                <w:tcPr>
                  <w:tcW w:w="1467" w:type="dxa"/>
                  <w:vMerge w:val="continue"/>
                  <w:tcBorders>
                    <w:tl2br w:val="nil"/>
                    <w:tr2bl w:val="nil"/>
                  </w:tcBorders>
                  <w:noWrap w:val="0"/>
                  <w:vAlign w:val="center"/>
                </w:tcPr>
                <w:p w14:paraId="306117F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cs="Times New Roman"/>
                      <w:color w:val="auto"/>
                      <w:spacing w:val="0"/>
                      <w:sz w:val="21"/>
                      <w:szCs w:val="21"/>
                      <w:highlight w:val="none"/>
                      <w:vertAlign w:val="baseline"/>
                      <w:lang w:val="en-US" w:eastAsia="zh-CN"/>
                    </w:rPr>
                  </w:pPr>
                </w:p>
              </w:tc>
            </w:tr>
            <w:tr w14:paraId="73CCF4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4" w:type="dxa"/>
                  <w:tcBorders>
                    <w:tl2br w:val="nil"/>
                    <w:tr2bl w:val="nil"/>
                  </w:tcBorders>
                  <w:noWrap w:val="0"/>
                  <w:vAlign w:val="center"/>
                </w:tcPr>
                <w:p w14:paraId="4F65E19D">
                  <w:pPr>
                    <w:pStyle w:val="13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排气筒</w:t>
                  </w:r>
                </w:p>
              </w:tc>
              <w:tc>
                <w:tcPr>
                  <w:tcW w:w="1968" w:type="dxa"/>
                  <w:tcBorders>
                    <w:tl2br w:val="nil"/>
                    <w:tr2bl w:val="nil"/>
                  </w:tcBorders>
                  <w:noWrap w:val="0"/>
                  <w:vAlign w:val="center"/>
                </w:tcPr>
                <w:p w14:paraId="777BF183">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napToGrid w:val="0"/>
                      <w:color w:val="auto"/>
                      <w:spacing w:val="0"/>
                      <w:kern w:val="2"/>
                      <w:sz w:val="21"/>
                      <w:szCs w:val="21"/>
                      <w:highlight w:val="none"/>
                      <w:lang w:val="en-US" w:eastAsia="zh-CN" w:bidi="ar-SA"/>
                    </w:rPr>
                  </w:pPr>
                  <w:r>
                    <w:rPr>
                      <w:rFonts w:hint="default" w:ascii="Times New Roman" w:hAnsi="Times New Roman" w:cs="Times New Roman"/>
                      <w:snapToGrid w:val="0"/>
                      <w:color w:val="auto"/>
                      <w:spacing w:val="0"/>
                      <w:kern w:val="2"/>
                      <w:sz w:val="21"/>
                      <w:szCs w:val="21"/>
                      <w:highlight w:val="none"/>
                      <w:lang w:val="en-US" w:eastAsia="zh-CN" w:bidi="ar-SA"/>
                    </w:rPr>
                    <w:t>30m</w:t>
                  </w:r>
                </w:p>
              </w:tc>
              <w:tc>
                <w:tcPr>
                  <w:tcW w:w="1799" w:type="dxa"/>
                  <w:tcBorders>
                    <w:tl2br w:val="nil"/>
                    <w:tr2bl w:val="nil"/>
                  </w:tcBorders>
                  <w:noWrap w:val="0"/>
                  <w:vAlign w:val="center"/>
                </w:tcPr>
                <w:p w14:paraId="3D014871">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pacing w:val="0"/>
                      <w:sz w:val="21"/>
                      <w:szCs w:val="21"/>
                      <w:highlight w:val="none"/>
                      <w:vertAlign w:val="baseline"/>
                      <w:lang w:val="en-US" w:eastAsia="zh-CN"/>
                    </w:rPr>
                  </w:pPr>
                  <w:r>
                    <w:rPr>
                      <w:rFonts w:hint="default" w:ascii="Times New Roman" w:hAnsi="Times New Roman" w:cs="Times New Roman"/>
                      <w:color w:val="auto"/>
                      <w:spacing w:val="0"/>
                      <w:sz w:val="21"/>
                      <w:szCs w:val="21"/>
                      <w:highlight w:val="none"/>
                      <w:vertAlign w:val="baseline"/>
                      <w:lang w:val="en-US" w:eastAsia="zh-CN"/>
                    </w:rPr>
                    <w:t>1</w:t>
                  </w:r>
                </w:p>
              </w:tc>
              <w:tc>
                <w:tcPr>
                  <w:tcW w:w="1467" w:type="dxa"/>
                  <w:vMerge w:val="continue"/>
                  <w:tcBorders>
                    <w:tl2br w:val="nil"/>
                    <w:tr2bl w:val="nil"/>
                  </w:tcBorders>
                  <w:noWrap w:val="0"/>
                  <w:vAlign w:val="center"/>
                </w:tcPr>
                <w:p w14:paraId="039E87F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cs="Times New Roman"/>
                      <w:color w:val="auto"/>
                      <w:spacing w:val="0"/>
                      <w:sz w:val="21"/>
                      <w:szCs w:val="21"/>
                      <w:highlight w:val="none"/>
                      <w:vertAlign w:val="baseline"/>
                      <w:lang w:val="en-US" w:eastAsia="zh-CN"/>
                    </w:rPr>
                  </w:pPr>
                </w:p>
              </w:tc>
            </w:tr>
            <w:tr w14:paraId="1BD23F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4" w:type="dxa"/>
                  <w:tcBorders>
                    <w:tl2br w:val="nil"/>
                    <w:tr2bl w:val="nil"/>
                  </w:tcBorders>
                  <w:noWrap w:val="0"/>
                  <w:vAlign w:val="center"/>
                </w:tcPr>
                <w:p w14:paraId="6AEB9DB3">
                  <w:pPr>
                    <w:pStyle w:val="13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水泵</w:t>
                  </w:r>
                </w:p>
              </w:tc>
              <w:tc>
                <w:tcPr>
                  <w:tcW w:w="1968" w:type="dxa"/>
                  <w:tcBorders>
                    <w:tl2br w:val="nil"/>
                    <w:tr2bl w:val="nil"/>
                  </w:tcBorders>
                  <w:noWrap w:val="0"/>
                  <w:vAlign w:val="center"/>
                </w:tcPr>
                <w:p w14:paraId="0CE3BF7F">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napToGrid w:val="0"/>
                      <w:color w:val="auto"/>
                      <w:spacing w:val="0"/>
                      <w:kern w:val="2"/>
                      <w:sz w:val="21"/>
                      <w:szCs w:val="21"/>
                      <w:highlight w:val="none"/>
                      <w:lang w:val="en-US" w:eastAsia="zh-CN" w:bidi="ar-SA"/>
                    </w:rPr>
                  </w:pPr>
                  <w:r>
                    <w:rPr>
                      <w:rFonts w:hint="eastAsia" w:ascii="Times New Roman" w:hAnsi="Times New Roman" w:cs="Times New Roman"/>
                      <w:snapToGrid w:val="0"/>
                      <w:color w:val="auto"/>
                      <w:spacing w:val="0"/>
                      <w:kern w:val="2"/>
                      <w:sz w:val="21"/>
                      <w:szCs w:val="21"/>
                      <w:highlight w:val="none"/>
                      <w:lang w:val="en-US" w:eastAsia="zh-CN" w:bidi="ar-SA"/>
                    </w:rPr>
                    <w:t>/</w:t>
                  </w:r>
                </w:p>
              </w:tc>
              <w:tc>
                <w:tcPr>
                  <w:tcW w:w="1799" w:type="dxa"/>
                  <w:tcBorders>
                    <w:tl2br w:val="nil"/>
                    <w:tr2bl w:val="nil"/>
                  </w:tcBorders>
                  <w:noWrap w:val="0"/>
                  <w:vAlign w:val="center"/>
                </w:tcPr>
                <w:p w14:paraId="0730FD5E">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1</w:t>
                  </w:r>
                </w:p>
              </w:tc>
              <w:tc>
                <w:tcPr>
                  <w:tcW w:w="1467" w:type="dxa"/>
                  <w:vMerge w:val="continue"/>
                  <w:tcBorders>
                    <w:tl2br w:val="nil"/>
                    <w:tr2bl w:val="nil"/>
                  </w:tcBorders>
                  <w:noWrap w:val="0"/>
                  <w:vAlign w:val="center"/>
                </w:tcPr>
                <w:p w14:paraId="1EF9000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cs="Times New Roman"/>
                      <w:color w:val="auto"/>
                      <w:spacing w:val="0"/>
                      <w:sz w:val="21"/>
                      <w:szCs w:val="21"/>
                      <w:highlight w:val="none"/>
                      <w:vertAlign w:val="baseline"/>
                      <w:lang w:val="en-US" w:eastAsia="zh-CN"/>
                    </w:rPr>
                  </w:pPr>
                </w:p>
              </w:tc>
            </w:tr>
            <w:tr w14:paraId="1EE92A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4" w:type="dxa"/>
                  <w:tcBorders>
                    <w:tl2br w:val="nil"/>
                    <w:tr2bl w:val="nil"/>
                  </w:tcBorders>
                  <w:noWrap w:val="0"/>
                  <w:vAlign w:val="center"/>
                </w:tcPr>
                <w:p w14:paraId="5759C2B9">
                  <w:pPr>
                    <w:pStyle w:val="13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风机</w:t>
                  </w:r>
                </w:p>
              </w:tc>
              <w:tc>
                <w:tcPr>
                  <w:tcW w:w="1968" w:type="dxa"/>
                  <w:tcBorders>
                    <w:tl2br w:val="nil"/>
                    <w:tr2bl w:val="nil"/>
                  </w:tcBorders>
                  <w:noWrap w:val="0"/>
                  <w:vAlign w:val="center"/>
                </w:tcPr>
                <w:p w14:paraId="228842B0">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napToGrid w:val="0"/>
                      <w:color w:val="auto"/>
                      <w:spacing w:val="0"/>
                      <w:kern w:val="2"/>
                      <w:sz w:val="21"/>
                      <w:szCs w:val="21"/>
                      <w:highlight w:val="none"/>
                      <w:lang w:val="en-US" w:eastAsia="zh-CN" w:bidi="ar-SA"/>
                    </w:rPr>
                  </w:pPr>
                  <w:r>
                    <w:rPr>
                      <w:rFonts w:hint="eastAsia" w:ascii="Times New Roman" w:hAnsi="Times New Roman" w:cs="Times New Roman"/>
                      <w:snapToGrid w:val="0"/>
                      <w:color w:val="auto"/>
                      <w:spacing w:val="0"/>
                      <w:kern w:val="2"/>
                      <w:sz w:val="21"/>
                      <w:szCs w:val="21"/>
                      <w:highlight w:val="none"/>
                      <w:lang w:val="en-US" w:eastAsia="zh-CN" w:bidi="ar-SA"/>
                    </w:rPr>
                    <w:t>/</w:t>
                  </w:r>
                </w:p>
              </w:tc>
              <w:tc>
                <w:tcPr>
                  <w:tcW w:w="1799" w:type="dxa"/>
                  <w:tcBorders>
                    <w:tl2br w:val="nil"/>
                    <w:tr2bl w:val="nil"/>
                  </w:tcBorders>
                  <w:noWrap w:val="0"/>
                  <w:vAlign w:val="center"/>
                </w:tcPr>
                <w:p w14:paraId="2A72CD51">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1</w:t>
                  </w:r>
                </w:p>
              </w:tc>
              <w:tc>
                <w:tcPr>
                  <w:tcW w:w="1467" w:type="dxa"/>
                  <w:vMerge w:val="continue"/>
                  <w:tcBorders>
                    <w:tl2br w:val="nil"/>
                    <w:tr2bl w:val="nil"/>
                  </w:tcBorders>
                  <w:noWrap w:val="0"/>
                  <w:vAlign w:val="center"/>
                </w:tcPr>
                <w:p w14:paraId="4208779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cs="Times New Roman"/>
                      <w:color w:val="auto"/>
                      <w:spacing w:val="0"/>
                      <w:sz w:val="21"/>
                      <w:szCs w:val="21"/>
                      <w:highlight w:val="none"/>
                      <w:vertAlign w:val="baseline"/>
                      <w:lang w:val="en-US" w:eastAsia="zh-CN"/>
                    </w:rPr>
                  </w:pPr>
                </w:p>
              </w:tc>
            </w:tr>
          </w:tbl>
          <w:p w14:paraId="580B828C">
            <w:pPr>
              <w:ind w:left="0" w:leftChars="0" w:firstLine="0" w:firstLineChars="0"/>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4.</w:t>
            </w:r>
            <w:r>
              <w:rPr>
                <w:rFonts w:hint="default" w:ascii="Times New Roman" w:hAnsi="Times New Roman" w:eastAsia="宋体" w:cs="Times New Roman"/>
                <w:b/>
                <w:bCs w:val="0"/>
                <w:color w:val="auto"/>
                <w:spacing w:val="0"/>
                <w:sz w:val="24"/>
                <w:szCs w:val="24"/>
                <w:highlight w:val="none"/>
                <w:lang w:val="en-US" w:eastAsia="zh-CN"/>
              </w:rPr>
              <w:t>本项目主要原辅材料消耗如下表2-3</w:t>
            </w:r>
          </w:p>
          <w:p w14:paraId="00DCDB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4"/>
                <w:szCs w:val="24"/>
                <w:highlight w:val="none"/>
              </w:rPr>
            </w:pPr>
            <w:r>
              <w:rPr>
                <w:rFonts w:hint="default" w:ascii="Times New Roman" w:hAnsi="Times New Roman" w:eastAsia="宋体" w:cs="Times New Roman"/>
                <w:b/>
                <w:bCs w:val="0"/>
                <w:color w:val="auto"/>
                <w:spacing w:val="0"/>
                <w:kern w:val="2"/>
                <w:sz w:val="21"/>
                <w:szCs w:val="21"/>
                <w:highlight w:val="none"/>
                <w:lang w:val="en-US" w:eastAsia="zh-CN" w:bidi="ar-SA"/>
              </w:rPr>
              <w:t>表2-</w:t>
            </w:r>
            <w:r>
              <w:rPr>
                <w:rFonts w:hint="default" w:ascii="Times New Roman" w:hAnsi="Times New Roman" w:cs="Times New Roman"/>
                <w:b/>
                <w:bCs w:val="0"/>
                <w:color w:val="auto"/>
                <w:spacing w:val="0"/>
                <w:kern w:val="2"/>
                <w:sz w:val="21"/>
                <w:szCs w:val="21"/>
                <w:highlight w:val="none"/>
                <w:lang w:val="en-US" w:eastAsia="zh-CN" w:bidi="ar-SA"/>
              </w:rPr>
              <w:t>3</w:t>
            </w:r>
            <w:r>
              <w:rPr>
                <w:rFonts w:hint="default" w:ascii="Times New Roman" w:hAnsi="Times New Roman" w:eastAsia="宋体" w:cs="Times New Roman"/>
                <w:b/>
                <w:bCs w:val="0"/>
                <w:color w:val="auto"/>
                <w:spacing w:val="0"/>
                <w:kern w:val="2"/>
                <w:sz w:val="21"/>
                <w:szCs w:val="21"/>
                <w:highlight w:val="none"/>
                <w:lang w:val="en-US" w:eastAsia="zh-CN" w:bidi="ar-SA"/>
              </w:rPr>
              <w:t xml:space="preserve"> 原辅材料消耗一览表</w:t>
            </w:r>
          </w:p>
          <w:tbl>
            <w:tblPr>
              <w:tblStyle w:val="3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85"/>
              <w:gridCol w:w="2286"/>
              <w:gridCol w:w="1245"/>
              <w:gridCol w:w="2181"/>
              <w:gridCol w:w="1071"/>
            </w:tblGrid>
            <w:tr w14:paraId="44E492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34" w:type="pct"/>
                  <w:noWrap w:val="0"/>
                  <w:vAlign w:val="center"/>
                </w:tcPr>
                <w:p w14:paraId="1C99826F">
                  <w:pPr>
                    <w:pStyle w:val="93"/>
                    <w:numPr>
                      <w:ilvl w:val="0"/>
                      <w:numId w:val="0"/>
                    </w:numPr>
                    <w:spacing w:line="240" w:lineRule="auto"/>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序号</w:t>
                  </w:r>
                </w:p>
              </w:tc>
              <w:tc>
                <w:tcPr>
                  <w:tcW w:w="1471" w:type="pct"/>
                  <w:noWrap w:val="0"/>
                  <w:vAlign w:val="center"/>
                </w:tcPr>
                <w:p w14:paraId="213BFA7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olor w:val="auto"/>
                      <w:spacing w:val="0"/>
                      <w:kern w:val="2"/>
                      <w:sz w:val="21"/>
                      <w:szCs w:val="21"/>
                      <w:highlight w:val="none"/>
                      <w:vertAlign w:val="baseline"/>
                      <w:lang w:val="en-US" w:eastAsia="zh-CN" w:bidi="ar-SA"/>
                    </w:rPr>
                  </w:pPr>
                  <w:r>
                    <w:rPr>
                      <w:rFonts w:hint="default" w:ascii="Times New Roman" w:hAnsi="Times New Roman" w:eastAsia="宋体" w:cs="Times New Roman"/>
                      <w:bCs/>
                      <w:color w:val="auto"/>
                      <w:spacing w:val="0"/>
                      <w:kern w:val="2"/>
                      <w:sz w:val="21"/>
                      <w:szCs w:val="21"/>
                      <w:highlight w:val="none"/>
                      <w:vertAlign w:val="baseline"/>
                      <w:lang w:val="en-US" w:eastAsia="zh-CN" w:bidi="ar-SA"/>
                    </w:rPr>
                    <w:t>名称</w:t>
                  </w:r>
                </w:p>
              </w:tc>
              <w:tc>
                <w:tcPr>
                  <w:tcW w:w="801" w:type="pct"/>
                  <w:noWrap w:val="0"/>
                  <w:vAlign w:val="center"/>
                </w:tcPr>
                <w:p w14:paraId="662950BA">
                  <w:pPr>
                    <w:pStyle w:val="93"/>
                    <w:keepNext w:val="0"/>
                    <w:keepLines w:val="0"/>
                    <w:pageBreakBefore w:val="0"/>
                    <w:numPr>
                      <w:ilvl w:val="0"/>
                      <w:numId w:val="0"/>
                    </w:numPr>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kern w:val="2"/>
                      <w:sz w:val="21"/>
                      <w:szCs w:val="21"/>
                      <w:highlight w:val="none"/>
                      <w:vertAlign w:val="baseline"/>
                      <w:lang w:val="en-US" w:eastAsia="zh-CN" w:bidi="ar-SA"/>
                    </w:rPr>
                  </w:pPr>
                  <w:r>
                    <w:rPr>
                      <w:rFonts w:hint="default" w:ascii="Times New Roman" w:hAnsi="Times New Roman" w:eastAsia="宋体" w:cs="Times New Roman"/>
                      <w:bCs/>
                      <w:color w:val="auto"/>
                      <w:spacing w:val="0"/>
                      <w:kern w:val="2"/>
                      <w:sz w:val="21"/>
                      <w:szCs w:val="21"/>
                      <w:highlight w:val="none"/>
                      <w:vertAlign w:val="baseline"/>
                      <w:lang w:val="en-US" w:eastAsia="zh-CN" w:bidi="ar-SA"/>
                    </w:rPr>
                    <w:t>性状</w:t>
                  </w:r>
                </w:p>
              </w:tc>
              <w:tc>
                <w:tcPr>
                  <w:tcW w:w="1403" w:type="pct"/>
                  <w:noWrap w:val="0"/>
                  <w:vAlign w:val="center"/>
                </w:tcPr>
                <w:p w14:paraId="6F64A4ED">
                  <w:pPr>
                    <w:pStyle w:val="93"/>
                    <w:keepNext w:val="0"/>
                    <w:keepLines w:val="0"/>
                    <w:pageBreakBefore w:val="0"/>
                    <w:numPr>
                      <w:ilvl w:val="0"/>
                      <w:numId w:val="0"/>
                    </w:numPr>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kern w:val="2"/>
                      <w:sz w:val="21"/>
                      <w:szCs w:val="21"/>
                      <w:highlight w:val="none"/>
                      <w:vertAlign w:val="baseline"/>
                      <w:lang w:val="en-US" w:eastAsia="zh-CN" w:bidi="ar-SA"/>
                    </w:rPr>
                  </w:pPr>
                  <w:r>
                    <w:rPr>
                      <w:rFonts w:hint="default" w:ascii="Times New Roman" w:hAnsi="Times New Roman" w:cs="Times New Roman"/>
                      <w:bCs/>
                      <w:color w:val="auto"/>
                      <w:spacing w:val="0"/>
                      <w:kern w:val="2"/>
                      <w:sz w:val="21"/>
                      <w:szCs w:val="21"/>
                      <w:highlight w:val="none"/>
                      <w:vertAlign w:val="baseline"/>
                      <w:lang w:val="en-US" w:eastAsia="zh-CN" w:bidi="ar-SA"/>
                    </w:rPr>
                    <w:t>本工程</w:t>
                  </w:r>
                  <w:r>
                    <w:rPr>
                      <w:rFonts w:hint="default" w:ascii="Times New Roman" w:hAnsi="Times New Roman" w:eastAsia="宋体" w:cs="Times New Roman"/>
                      <w:bCs/>
                      <w:color w:val="auto"/>
                      <w:spacing w:val="0"/>
                      <w:kern w:val="2"/>
                      <w:sz w:val="21"/>
                      <w:szCs w:val="21"/>
                      <w:highlight w:val="none"/>
                      <w:vertAlign w:val="baseline"/>
                      <w:lang w:val="en-US" w:eastAsia="zh-CN" w:bidi="ar-SA"/>
                    </w:rPr>
                    <w:t>消耗量</w:t>
                  </w:r>
                </w:p>
              </w:tc>
              <w:tc>
                <w:tcPr>
                  <w:tcW w:w="689" w:type="pct"/>
                  <w:noWrap w:val="0"/>
                  <w:vAlign w:val="center"/>
                </w:tcPr>
                <w:p w14:paraId="1A184EB9">
                  <w:pPr>
                    <w:pStyle w:val="93"/>
                    <w:numPr>
                      <w:ilvl w:val="0"/>
                      <w:numId w:val="0"/>
                    </w:numPr>
                    <w:spacing w:line="240" w:lineRule="auto"/>
                    <w:ind w:left="0" w:lef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来源</w:t>
                  </w:r>
                </w:p>
              </w:tc>
            </w:tr>
            <w:tr w14:paraId="5E1903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4" w:type="pct"/>
                  <w:noWrap w:val="0"/>
                  <w:vAlign w:val="center"/>
                </w:tcPr>
                <w:p w14:paraId="2BEBF8F0">
                  <w:pPr>
                    <w:pStyle w:val="93"/>
                    <w:numPr>
                      <w:ilvl w:val="0"/>
                      <w:numId w:val="0"/>
                    </w:numPr>
                    <w:spacing w:line="240" w:lineRule="auto"/>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cs="Times New Roman"/>
                      <w:color w:val="auto"/>
                      <w:spacing w:val="0"/>
                      <w:sz w:val="21"/>
                      <w:szCs w:val="21"/>
                      <w:highlight w:val="none"/>
                      <w:vertAlign w:val="baseline"/>
                      <w:lang w:val="en-US" w:eastAsia="zh-CN"/>
                    </w:rPr>
                    <w:t>1</w:t>
                  </w:r>
                </w:p>
              </w:tc>
              <w:tc>
                <w:tcPr>
                  <w:tcW w:w="1471" w:type="pct"/>
                  <w:noWrap w:val="0"/>
                  <w:vAlign w:val="center"/>
                </w:tcPr>
                <w:p w14:paraId="75843AE3">
                  <w:pPr>
                    <w:pStyle w:val="93"/>
                    <w:numPr>
                      <w:ilvl w:val="0"/>
                      <w:numId w:val="0"/>
                    </w:numPr>
                    <w:spacing w:line="240" w:lineRule="auto"/>
                    <w:ind w:left="0" w:leftChars="0" w:firstLine="0" w:firstLineChars="0"/>
                    <w:jc w:val="center"/>
                    <w:rPr>
                      <w:rFonts w:hint="default" w:ascii="Times New Roman" w:hAnsi="Times New Roman" w:eastAsia="宋体" w:cs="Times New Roman"/>
                      <w:bCs/>
                      <w:color w:val="auto"/>
                      <w:spacing w:val="0"/>
                      <w:kern w:val="2"/>
                      <w:sz w:val="21"/>
                      <w:szCs w:val="21"/>
                      <w:highlight w:val="none"/>
                      <w:vertAlign w:val="baseline"/>
                      <w:lang w:val="en-US" w:eastAsia="zh-CN" w:bidi="ar-SA"/>
                    </w:rPr>
                  </w:pPr>
                  <w:r>
                    <w:rPr>
                      <w:rFonts w:hint="default" w:ascii="Times New Roman" w:hAnsi="Times New Roman" w:cs="Times New Roman"/>
                      <w:bCs/>
                      <w:color w:val="auto"/>
                      <w:spacing w:val="0"/>
                      <w:kern w:val="2"/>
                      <w:sz w:val="21"/>
                      <w:szCs w:val="21"/>
                      <w:highlight w:val="none"/>
                      <w:vertAlign w:val="baseline"/>
                      <w:lang w:val="en-US" w:eastAsia="zh-CN" w:bidi="ar-SA"/>
                    </w:rPr>
                    <w:t>生物质燃料</w:t>
                  </w:r>
                </w:p>
              </w:tc>
              <w:tc>
                <w:tcPr>
                  <w:tcW w:w="801" w:type="pct"/>
                  <w:noWrap w:val="0"/>
                  <w:vAlign w:val="center"/>
                </w:tcPr>
                <w:p w14:paraId="6894FB2C">
                  <w:pPr>
                    <w:pStyle w:val="93"/>
                    <w:numPr>
                      <w:ilvl w:val="0"/>
                      <w:numId w:val="0"/>
                    </w:numPr>
                    <w:spacing w:line="240" w:lineRule="auto"/>
                    <w:ind w:left="0" w:leftChars="0" w:firstLine="0" w:firstLineChars="0"/>
                    <w:jc w:val="center"/>
                    <w:rPr>
                      <w:rFonts w:hint="default" w:ascii="Times New Roman" w:hAnsi="Times New Roman" w:eastAsia="宋体" w:cs="Times New Roman"/>
                      <w:bCs/>
                      <w:color w:val="auto"/>
                      <w:spacing w:val="0"/>
                      <w:kern w:val="2"/>
                      <w:sz w:val="21"/>
                      <w:szCs w:val="21"/>
                      <w:highlight w:val="none"/>
                      <w:vertAlign w:val="baseline"/>
                      <w:lang w:val="en-US" w:eastAsia="zh-CN" w:bidi="ar-SA"/>
                    </w:rPr>
                  </w:pPr>
                  <w:r>
                    <w:rPr>
                      <w:rFonts w:hint="default" w:ascii="Times New Roman" w:hAnsi="Times New Roman" w:cs="Times New Roman"/>
                      <w:bCs/>
                      <w:color w:val="auto"/>
                      <w:spacing w:val="0"/>
                      <w:kern w:val="2"/>
                      <w:sz w:val="21"/>
                      <w:szCs w:val="21"/>
                      <w:highlight w:val="none"/>
                      <w:vertAlign w:val="baseline"/>
                      <w:lang w:val="en-US" w:eastAsia="zh-CN" w:bidi="ar-SA"/>
                    </w:rPr>
                    <w:t>固态</w:t>
                  </w:r>
                </w:p>
              </w:tc>
              <w:tc>
                <w:tcPr>
                  <w:tcW w:w="1403" w:type="pct"/>
                  <w:noWrap w:val="0"/>
                  <w:vAlign w:val="center"/>
                </w:tcPr>
                <w:p w14:paraId="41372740">
                  <w:pPr>
                    <w:pStyle w:val="93"/>
                    <w:numPr>
                      <w:ilvl w:val="0"/>
                      <w:numId w:val="0"/>
                    </w:numPr>
                    <w:spacing w:line="240" w:lineRule="auto"/>
                    <w:ind w:left="0" w:leftChars="0" w:firstLine="0" w:firstLineChars="0"/>
                    <w:jc w:val="center"/>
                    <w:rPr>
                      <w:rFonts w:hint="default" w:ascii="Times New Roman" w:hAnsi="Times New Roman" w:eastAsia="宋体" w:cs="Times New Roman"/>
                      <w:bCs/>
                      <w:color w:val="auto"/>
                      <w:spacing w:val="0"/>
                      <w:kern w:val="2"/>
                      <w:sz w:val="21"/>
                      <w:szCs w:val="21"/>
                      <w:highlight w:val="none"/>
                      <w:vertAlign w:val="baseline"/>
                      <w:lang w:val="en-US" w:eastAsia="zh-CN" w:bidi="ar-SA"/>
                    </w:rPr>
                  </w:pPr>
                  <w:r>
                    <w:rPr>
                      <w:rFonts w:hint="eastAsia" w:ascii="Times New Roman" w:hAnsi="Times New Roman" w:cs="Times New Roman"/>
                      <w:bCs/>
                      <w:color w:val="auto"/>
                      <w:spacing w:val="0"/>
                      <w:kern w:val="2"/>
                      <w:sz w:val="21"/>
                      <w:szCs w:val="21"/>
                      <w:highlight w:val="none"/>
                      <w:vertAlign w:val="baseline"/>
                      <w:lang w:val="en-US" w:eastAsia="zh-CN" w:bidi="ar-SA"/>
                    </w:rPr>
                    <w:t>3020.16</w:t>
                  </w:r>
                  <w:r>
                    <w:rPr>
                      <w:rFonts w:hint="default" w:ascii="Times New Roman" w:hAnsi="Times New Roman" w:cs="Times New Roman"/>
                      <w:bCs/>
                      <w:color w:val="auto"/>
                      <w:spacing w:val="0"/>
                      <w:kern w:val="2"/>
                      <w:sz w:val="21"/>
                      <w:szCs w:val="21"/>
                      <w:highlight w:val="none"/>
                      <w:vertAlign w:val="baseline"/>
                      <w:lang w:val="en-US" w:eastAsia="zh-CN" w:bidi="ar-SA"/>
                    </w:rPr>
                    <w:t>吨/年</w:t>
                  </w:r>
                </w:p>
              </w:tc>
              <w:tc>
                <w:tcPr>
                  <w:tcW w:w="689" w:type="pct"/>
                  <w:noWrap w:val="0"/>
                  <w:vAlign w:val="center"/>
                </w:tcPr>
                <w:p w14:paraId="4D7E2D90">
                  <w:pPr>
                    <w:pStyle w:val="93"/>
                    <w:numPr>
                      <w:ilvl w:val="0"/>
                      <w:numId w:val="0"/>
                    </w:numPr>
                    <w:spacing w:line="240" w:lineRule="auto"/>
                    <w:ind w:left="0" w:leftChars="0" w:firstLine="0" w:firstLineChars="0"/>
                    <w:jc w:val="center"/>
                    <w:rPr>
                      <w:rFonts w:hint="default" w:ascii="Times New Roman" w:hAnsi="Times New Roman" w:eastAsia="宋体" w:cs="Times New Roman"/>
                      <w:bCs/>
                      <w:color w:val="auto"/>
                      <w:spacing w:val="0"/>
                      <w:kern w:val="2"/>
                      <w:sz w:val="21"/>
                      <w:szCs w:val="21"/>
                      <w:highlight w:val="none"/>
                      <w:vertAlign w:val="baseline"/>
                      <w:lang w:val="en-US" w:eastAsia="zh-CN" w:bidi="ar-SA"/>
                    </w:rPr>
                  </w:pPr>
                  <w:r>
                    <w:rPr>
                      <w:rFonts w:hint="default" w:ascii="Times New Roman" w:hAnsi="Times New Roman" w:eastAsia="宋体" w:cs="Times New Roman"/>
                      <w:bCs/>
                      <w:color w:val="auto"/>
                      <w:spacing w:val="0"/>
                      <w:kern w:val="2"/>
                      <w:sz w:val="21"/>
                      <w:szCs w:val="21"/>
                      <w:highlight w:val="none"/>
                      <w:vertAlign w:val="baseline"/>
                      <w:lang w:val="en-US" w:eastAsia="zh-CN" w:bidi="ar-SA"/>
                    </w:rPr>
                    <w:t>外购</w:t>
                  </w:r>
                </w:p>
              </w:tc>
            </w:tr>
            <w:tr w14:paraId="20248E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4" w:type="pct"/>
                  <w:noWrap w:val="0"/>
                  <w:vAlign w:val="center"/>
                </w:tcPr>
                <w:p w14:paraId="11AE73DF">
                  <w:pPr>
                    <w:pStyle w:val="93"/>
                    <w:numPr>
                      <w:ilvl w:val="0"/>
                      <w:numId w:val="0"/>
                    </w:numPr>
                    <w:spacing w:line="240" w:lineRule="auto"/>
                    <w:jc w:val="center"/>
                    <w:rPr>
                      <w:rFonts w:hint="default" w:ascii="Times New Roman" w:hAnsi="Times New Roman" w:cs="Times New Roman"/>
                      <w:color w:val="auto"/>
                      <w:spacing w:val="0"/>
                      <w:sz w:val="21"/>
                      <w:szCs w:val="21"/>
                      <w:highlight w:val="none"/>
                      <w:vertAlign w:val="baseline"/>
                      <w:lang w:val="en-US" w:eastAsia="zh-CN"/>
                    </w:rPr>
                  </w:pPr>
                  <w:r>
                    <w:rPr>
                      <w:rFonts w:hint="default" w:ascii="Times New Roman" w:hAnsi="Times New Roman" w:cs="Times New Roman"/>
                      <w:color w:val="auto"/>
                      <w:spacing w:val="0"/>
                      <w:sz w:val="21"/>
                      <w:szCs w:val="21"/>
                      <w:highlight w:val="none"/>
                      <w:vertAlign w:val="baseline"/>
                      <w:lang w:val="en-US" w:eastAsia="zh-CN"/>
                    </w:rPr>
                    <w:t>2</w:t>
                  </w:r>
                </w:p>
              </w:tc>
              <w:tc>
                <w:tcPr>
                  <w:tcW w:w="1471" w:type="pct"/>
                  <w:noWrap w:val="0"/>
                  <w:vAlign w:val="center"/>
                </w:tcPr>
                <w:p w14:paraId="6868F8BE">
                  <w:pPr>
                    <w:pStyle w:val="93"/>
                    <w:numPr>
                      <w:ilvl w:val="0"/>
                      <w:numId w:val="0"/>
                    </w:numPr>
                    <w:spacing w:line="240" w:lineRule="auto"/>
                    <w:ind w:left="0" w:leftChars="0" w:firstLine="0" w:firstLineChars="0"/>
                    <w:jc w:val="center"/>
                    <w:rPr>
                      <w:rFonts w:hint="default" w:ascii="Times New Roman" w:hAnsi="Times New Roman" w:eastAsia="宋体" w:cs="Times New Roman"/>
                      <w:bCs/>
                      <w:color w:val="auto"/>
                      <w:spacing w:val="0"/>
                      <w:kern w:val="2"/>
                      <w:sz w:val="21"/>
                      <w:szCs w:val="21"/>
                      <w:highlight w:val="none"/>
                      <w:vertAlign w:val="baseline"/>
                      <w:lang w:val="en-US" w:eastAsia="zh-CN" w:bidi="ar-SA"/>
                    </w:rPr>
                  </w:pPr>
                  <w:r>
                    <w:rPr>
                      <w:rFonts w:hint="default" w:ascii="Times New Roman" w:hAnsi="Times New Roman" w:cs="Times New Roman"/>
                      <w:bCs/>
                      <w:color w:val="auto"/>
                      <w:spacing w:val="0"/>
                      <w:kern w:val="2"/>
                      <w:sz w:val="21"/>
                      <w:szCs w:val="21"/>
                      <w:highlight w:val="none"/>
                      <w:vertAlign w:val="baseline"/>
                      <w:lang w:val="en-US" w:eastAsia="zh-CN" w:bidi="ar-SA"/>
                    </w:rPr>
                    <w:t>新鲜水</w:t>
                  </w:r>
                </w:p>
              </w:tc>
              <w:tc>
                <w:tcPr>
                  <w:tcW w:w="801" w:type="pct"/>
                  <w:noWrap w:val="0"/>
                  <w:vAlign w:val="center"/>
                </w:tcPr>
                <w:p w14:paraId="5B8E81B7">
                  <w:pPr>
                    <w:pStyle w:val="93"/>
                    <w:numPr>
                      <w:ilvl w:val="0"/>
                      <w:numId w:val="0"/>
                    </w:numPr>
                    <w:spacing w:line="240" w:lineRule="auto"/>
                    <w:ind w:left="0" w:leftChars="0" w:firstLine="0" w:firstLineChars="0"/>
                    <w:jc w:val="center"/>
                    <w:rPr>
                      <w:rFonts w:hint="default" w:ascii="Times New Roman" w:hAnsi="Times New Roman" w:cs="Times New Roman"/>
                      <w:bCs/>
                      <w:color w:val="auto"/>
                      <w:spacing w:val="0"/>
                      <w:kern w:val="2"/>
                      <w:sz w:val="21"/>
                      <w:szCs w:val="21"/>
                      <w:highlight w:val="none"/>
                      <w:vertAlign w:val="baseline"/>
                      <w:lang w:val="en-US" w:eastAsia="zh-CN" w:bidi="ar-SA"/>
                    </w:rPr>
                  </w:pPr>
                  <w:r>
                    <w:rPr>
                      <w:rFonts w:hint="default" w:ascii="Times New Roman" w:hAnsi="Times New Roman" w:cs="Times New Roman"/>
                      <w:bCs/>
                      <w:color w:val="auto"/>
                      <w:spacing w:val="0"/>
                      <w:kern w:val="2"/>
                      <w:sz w:val="21"/>
                      <w:szCs w:val="21"/>
                      <w:highlight w:val="none"/>
                      <w:vertAlign w:val="baseline"/>
                      <w:lang w:val="en-US" w:eastAsia="zh-CN" w:bidi="ar-SA"/>
                    </w:rPr>
                    <w:t>液态</w:t>
                  </w:r>
                </w:p>
              </w:tc>
              <w:tc>
                <w:tcPr>
                  <w:tcW w:w="1403" w:type="pct"/>
                  <w:noWrap w:val="0"/>
                  <w:vAlign w:val="center"/>
                </w:tcPr>
                <w:p w14:paraId="16E22D17">
                  <w:pPr>
                    <w:pStyle w:val="93"/>
                    <w:numPr>
                      <w:ilvl w:val="0"/>
                      <w:numId w:val="0"/>
                    </w:numPr>
                    <w:spacing w:line="240" w:lineRule="auto"/>
                    <w:ind w:left="0" w:leftChars="0" w:firstLine="0" w:firstLineChars="0"/>
                    <w:jc w:val="center"/>
                    <w:rPr>
                      <w:rFonts w:hint="default" w:ascii="Times New Roman" w:hAnsi="Times New Roman" w:cs="Times New Roman"/>
                      <w:bCs/>
                      <w:color w:val="auto"/>
                      <w:spacing w:val="0"/>
                      <w:kern w:val="2"/>
                      <w:sz w:val="21"/>
                      <w:szCs w:val="21"/>
                      <w:highlight w:val="none"/>
                      <w:vertAlign w:val="baseline"/>
                      <w:lang w:val="en-US" w:eastAsia="zh-CN" w:bidi="ar-SA"/>
                    </w:rPr>
                  </w:pPr>
                  <w:r>
                    <w:rPr>
                      <w:rFonts w:hint="eastAsia" w:ascii="Times New Roman" w:hAnsi="Times New Roman" w:cs="Times New Roman"/>
                      <w:bCs/>
                      <w:color w:val="auto"/>
                      <w:spacing w:val="0"/>
                      <w:kern w:val="2"/>
                      <w:sz w:val="21"/>
                      <w:szCs w:val="21"/>
                      <w:highlight w:val="none"/>
                      <w:lang w:val="en-US" w:eastAsia="zh-CN" w:bidi="ar-SA"/>
                    </w:rPr>
                    <w:t>64133.63</w:t>
                  </w:r>
                  <w:r>
                    <w:rPr>
                      <w:rFonts w:hint="default" w:ascii="Times New Roman" w:hAnsi="Times New Roman" w:cs="Times New Roman"/>
                      <w:bCs/>
                      <w:color w:val="auto"/>
                      <w:spacing w:val="0"/>
                      <w:kern w:val="2"/>
                      <w:sz w:val="21"/>
                      <w:szCs w:val="21"/>
                      <w:highlight w:val="none"/>
                      <w:vertAlign w:val="baseline"/>
                      <w:lang w:val="en-US" w:eastAsia="zh-CN" w:bidi="ar-SA"/>
                    </w:rPr>
                    <w:t>吨/年</w:t>
                  </w:r>
                </w:p>
              </w:tc>
              <w:tc>
                <w:tcPr>
                  <w:tcW w:w="689" w:type="pct"/>
                  <w:noWrap w:val="0"/>
                  <w:vAlign w:val="center"/>
                </w:tcPr>
                <w:p w14:paraId="636E362F">
                  <w:pPr>
                    <w:pStyle w:val="93"/>
                    <w:numPr>
                      <w:ilvl w:val="0"/>
                      <w:numId w:val="0"/>
                    </w:numPr>
                    <w:spacing w:line="240" w:lineRule="auto"/>
                    <w:ind w:left="0" w:leftChars="0" w:firstLine="0" w:firstLineChars="0"/>
                    <w:jc w:val="center"/>
                    <w:rPr>
                      <w:rFonts w:hint="default" w:ascii="Times New Roman" w:hAnsi="Times New Roman" w:eastAsia="宋体" w:cs="Times New Roman"/>
                      <w:bCs/>
                      <w:color w:val="auto"/>
                      <w:spacing w:val="0"/>
                      <w:kern w:val="2"/>
                      <w:sz w:val="21"/>
                      <w:szCs w:val="21"/>
                      <w:highlight w:val="none"/>
                      <w:vertAlign w:val="baseline"/>
                      <w:lang w:val="en-US" w:eastAsia="zh-CN" w:bidi="ar-SA"/>
                    </w:rPr>
                  </w:pPr>
                  <w:r>
                    <w:rPr>
                      <w:rFonts w:hint="default" w:ascii="Times New Roman" w:hAnsi="Times New Roman" w:cs="Times New Roman"/>
                      <w:bCs/>
                      <w:color w:val="auto"/>
                      <w:spacing w:val="0"/>
                      <w:kern w:val="2"/>
                      <w:sz w:val="21"/>
                      <w:szCs w:val="21"/>
                      <w:highlight w:val="none"/>
                      <w:vertAlign w:val="baseline"/>
                      <w:lang w:val="en-US" w:eastAsia="zh-CN" w:bidi="ar-SA"/>
                    </w:rPr>
                    <w:t>供水管网</w:t>
                  </w:r>
                </w:p>
              </w:tc>
            </w:tr>
            <w:tr w14:paraId="414A08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4" w:type="pct"/>
                  <w:noWrap w:val="0"/>
                  <w:vAlign w:val="center"/>
                </w:tcPr>
                <w:p w14:paraId="311153A3">
                  <w:pPr>
                    <w:pStyle w:val="93"/>
                    <w:numPr>
                      <w:ilvl w:val="0"/>
                      <w:numId w:val="0"/>
                    </w:numPr>
                    <w:spacing w:line="240" w:lineRule="auto"/>
                    <w:jc w:val="center"/>
                    <w:rPr>
                      <w:rFonts w:hint="default" w:ascii="Times New Roman" w:hAnsi="Times New Roman" w:cs="Times New Roman"/>
                      <w:color w:val="auto"/>
                      <w:spacing w:val="0"/>
                      <w:sz w:val="21"/>
                      <w:szCs w:val="21"/>
                      <w:highlight w:val="none"/>
                      <w:vertAlign w:val="baseline"/>
                      <w:lang w:val="en-US" w:eastAsia="zh-CN"/>
                    </w:rPr>
                  </w:pPr>
                  <w:r>
                    <w:rPr>
                      <w:rFonts w:hint="default" w:ascii="Times New Roman" w:hAnsi="Times New Roman" w:cs="Times New Roman"/>
                      <w:color w:val="auto"/>
                      <w:spacing w:val="0"/>
                      <w:sz w:val="21"/>
                      <w:szCs w:val="21"/>
                      <w:highlight w:val="none"/>
                      <w:vertAlign w:val="baseline"/>
                      <w:lang w:val="en-US" w:eastAsia="zh-CN"/>
                    </w:rPr>
                    <w:t>3</w:t>
                  </w:r>
                </w:p>
              </w:tc>
              <w:tc>
                <w:tcPr>
                  <w:tcW w:w="1471" w:type="pct"/>
                  <w:noWrap w:val="0"/>
                  <w:vAlign w:val="center"/>
                </w:tcPr>
                <w:p w14:paraId="70A8527B">
                  <w:pPr>
                    <w:pStyle w:val="93"/>
                    <w:numPr>
                      <w:ilvl w:val="0"/>
                      <w:numId w:val="0"/>
                    </w:numPr>
                    <w:spacing w:line="240" w:lineRule="auto"/>
                    <w:ind w:left="0" w:leftChars="0" w:firstLine="0" w:firstLineChars="0"/>
                    <w:jc w:val="center"/>
                    <w:rPr>
                      <w:rFonts w:hint="default" w:ascii="Times New Roman" w:hAnsi="Times New Roman" w:cs="Times New Roman"/>
                      <w:bCs/>
                      <w:color w:val="auto"/>
                      <w:spacing w:val="0"/>
                      <w:kern w:val="2"/>
                      <w:sz w:val="21"/>
                      <w:szCs w:val="21"/>
                      <w:highlight w:val="none"/>
                      <w:vertAlign w:val="baseline"/>
                      <w:lang w:val="en-US" w:eastAsia="zh-CN" w:bidi="ar-SA"/>
                    </w:rPr>
                  </w:pPr>
                  <w:r>
                    <w:rPr>
                      <w:rFonts w:hint="default" w:ascii="Times New Roman" w:hAnsi="Times New Roman" w:cs="Times New Roman"/>
                      <w:bCs/>
                      <w:color w:val="auto"/>
                      <w:spacing w:val="0"/>
                      <w:kern w:val="2"/>
                      <w:sz w:val="21"/>
                      <w:szCs w:val="21"/>
                      <w:highlight w:val="none"/>
                      <w:vertAlign w:val="baseline"/>
                      <w:lang w:val="en-US" w:eastAsia="zh-CN" w:bidi="ar-SA"/>
                    </w:rPr>
                    <w:t>电能</w:t>
                  </w:r>
                </w:p>
              </w:tc>
              <w:tc>
                <w:tcPr>
                  <w:tcW w:w="801" w:type="pct"/>
                  <w:noWrap w:val="0"/>
                  <w:vAlign w:val="center"/>
                </w:tcPr>
                <w:p w14:paraId="4E696844">
                  <w:pPr>
                    <w:pStyle w:val="93"/>
                    <w:numPr>
                      <w:ilvl w:val="0"/>
                      <w:numId w:val="0"/>
                    </w:numPr>
                    <w:spacing w:line="240" w:lineRule="auto"/>
                    <w:ind w:left="0" w:leftChars="0" w:firstLine="0" w:firstLineChars="0"/>
                    <w:jc w:val="center"/>
                    <w:rPr>
                      <w:rFonts w:hint="default" w:ascii="Times New Roman" w:hAnsi="Times New Roman" w:cs="Times New Roman"/>
                      <w:bCs/>
                      <w:color w:val="auto"/>
                      <w:spacing w:val="0"/>
                      <w:kern w:val="2"/>
                      <w:sz w:val="21"/>
                      <w:szCs w:val="21"/>
                      <w:highlight w:val="none"/>
                      <w:vertAlign w:val="baseline"/>
                      <w:lang w:val="en-US" w:eastAsia="zh-CN" w:bidi="ar-SA"/>
                    </w:rPr>
                  </w:pPr>
                  <w:r>
                    <w:rPr>
                      <w:rFonts w:hint="default" w:ascii="Times New Roman" w:hAnsi="Times New Roman" w:cs="Times New Roman"/>
                      <w:bCs/>
                      <w:color w:val="auto"/>
                      <w:spacing w:val="0"/>
                      <w:kern w:val="2"/>
                      <w:sz w:val="21"/>
                      <w:szCs w:val="21"/>
                      <w:highlight w:val="none"/>
                      <w:vertAlign w:val="baseline"/>
                      <w:lang w:val="en-US" w:eastAsia="zh-CN" w:bidi="ar-SA"/>
                    </w:rPr>
                    <w:t>/</w:t>
                  </w:r>
                </w:p>
              </w:tc>
              <w:tc>
                <w:tcPr>
                  <w:tcW w:w="1403" w:type="pct"/>
                  <w:noWrap w:val="0"/>
                  <w:vAlign w:val="center"/>
                </w:tcPr>
                <w:p w14:paraId="25549BED">
                  <w:pPr>
                    <w:pStyle w:val="93"/>
                    <w:numPr>
                      <w:ilvl w:val="0"/>
                      <w:numId w:val="0"/>
                    </w:numPr>
                    <w:spacing w:line="240" w:lineRule="auto"/>
                    <w:ind w:left="0" w:leftChars="0" w:firstLine="0" w:firstLineChars="0"/>
                    <w:jc w:val="center"/>
                    <w:rPr>
                      <w:rFonts w:hint="default" w:ascii="Times New Roman" w:hAnsi="Times New Roman" w:cs="Times New Roman"/>
                      <w:bCs/>
                      <w:color w:val="auto"/>
                      <w:spacing w:val="0"/>
                      <w:kern w:val="2"/>
                      <w:sz w:val="21"/>
                      <w:szCs w:val="21"/>
                      <w:highlight w:val="none"/>
                      <w:vertAlign w:val="baseline"/>
                      <w:lang w:val="en-US" w:eastAsia="zh-CN" w:bidi="ar-SA"/>
                    </w:rPr>
                  </w:pPr>
                  <w:r>
                    <w:rPr>
                      <w:rFonts w:hint="eastAsia" w:ascii="Times New Roman" w:hAnsi="Times New Roman" w:cs="Times New Roman"/>
                      <w:bCs/>
                      <w:color w:val="auto"/>
                      <w:spacing w:val="0"/>
                      <w:kern w:val="2"/>
                      <w:sz w:val="21"/>
                      <w:szCs w:val="21"/>
                      <w:highlight w:val="none"/>
                      <w:lang w:val="en-US" w:eastAsia="zh-CN" w:bidi="ar-SA"/>
                    </w:rPr>
                    <w:t>464640</w:t>
                  </w:r>
                  <w:r>
                    <w:rPr>
                      <w:rFonts w:hint="default" w:ascii="Times New Roman" w:hAnsi="Times New Roman" w:cs="Times New Roman"/>
                      <w:bCs/>
                      <w:color w:val="auto"/>
                      <w:spacing w:val="0"/>
                      <w:kern w:val="2"/>
                      <w:sz w:val="21"/>
                      <w:szCs w:val="21"/>
                      <w:highlight w:val="none"/>
                      <w:lang w:val="en-US" w:eastAsia="zh-CN" w:bidi="ar-SA"/>
                    </w:rPr>
                    <w:t>kWh</w:t>
                  </w:r>
                </w:p>
              </w:tc>
              <w:tc>
                <w:tcPr>
                  <w:tcW w:w="689" w:type="pct"/>
                  <w:noWrap w:val="0"/>
                  <w:vAlign w:val="center"/>
                </w:tcPr>
                <w:p w14:paraId="7C9F115A">
                  <w:pPr>
                    <w:pStyle w:val="93"/>
                    <w:numPr>
                      <w:ilvl w:val="0"/>
                      <w:numId w:val="0"/>
                    </w:numPr>
                    <w:spacing w:line="240" w:lineRule="auto"/>
                    <w:ind w:left="0" w:leftChars="0" w:firstLine="0" w:firstLineChars="0"/>
                    <w:jc w:val="center"/>
                    <w:rPr>
                      <w:rFonts w:hint="default" w:ascii="Times New Roman" w:hAnsi="Times New Roman" w:cs="Times New Roman"/>
                      <w:bCs/>
                      <w:color w:val="auto"/>
                      <w:spacing w:val="0"/>
                      <w:kern w:val="2"/>
                      <w:sz w:val="21"/>
                      <w:szCs w:val="21"/>
                      <w:highlight w:val="none"/>
                      <w:vertAlign w:val="baseline"/>
                      <w:lang w:val="en-US" w:eastAsia="zh-CN" w:bidi="ar-SA"/>
                    </w:rPr>
                  </w:pPr>
                  <w:r>
                    <w:rPr>
                      <w:rFonts w:hint="default" w:ascii="Times New Roman" w:hAnsi="Times New Roman" w:cs="Times New Roman"/>
                      <w:bCs/>
                      <w:color w:val="auto"/>
                      <w:spacing w:val="0"/>
                      <w:kern w:val="2"/>
                      <w:sz w:val="21"/>
                      <w:szCs w:val="21"/>
                      <w:highlight w:val="none"/>
                      <w:vertAlign w:val="baseline"/>
                      <w:lang w:val="en-US" w:eastAsia="zh-CN" w:bidi="ar-SA"/>
                    </w:rPr>
                    <w:t>供电电网</w:t>
                  </w:r>
                </w:p>
              </w:tc>
            </w:tr>
            <w:tr w14:paraId="0A94E5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4" w:type="pct"/>
                  <w:noWrap w:val="0"/>
                  <w:vAlign w:val="center"/>
                </w:tcPr>
                <w:p w14:paraId="0A20EDA1">
                  <w:pPr>
                    <w:pStyle w:val="93"/>
                    <w:numPr>
                      <w:ilvl w:val="0"/>
                      <w:numId w:val="0"/>
                    </w:numPr>
                    <w:spacing w:line="240" w:lineRule="auto"/>
                    <w:jc w:val="center"/>
                    <w:rPr>
                      <w:rFonts w:hint="default" w:ascii="Times New Roman" w:hAnsi="Times New Roman"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4</w:t>
                  </w:r>
                </w:p>
              </w:tc>
              <w:tc>
                <w:tcPr>
                  <w:tcW w:w="1471" w:type="pct"/>
                  <w:noWrap w:val="0"/>
                  <w:vAlign w:val="center"/>
                </w:tcPr>
                <w:p w14:paraId="7577BCA5">
                  <w:pPr>
                    <w:pStyle w:val="93"/>
                    <w:numPr>
                      <w:ilvl w:val="0"/>
                      <w:numId w:val="0"/>
                    </w:numPr>
                    <w:spacing w:line="240" w:lineRule="auto"/>
                    <w:ind w:left="0" w:leftChars="0" w:firstLine="0" w:firstLineChars="0"/>
                    <w:jc w:val="center"/>
                    <w:rPr>
                      <w:rFonts w:hint="default" w:ascii="Times New Roman" w:hAnsi="Times New Roman" w:cs="Times New Roman"/>
                      <w:bCs/>
                      <w:color w:val="auto"/>
                      <w:spacing w:val="0"/>
                      <w:kern w:val="2"/>
                      <w:sz w:val="21"/>
                      <w:szCs w:val="21"/>
                      <w:highlight w:val="none"/>
                      <w:vertAlign w:val="baseline"/>
                      <w:lang w:val="en-US" w:eastAsia="zh-CN" w:bidi="ar-SA"/>
                    </w:rPr>
                  </w:pPr>
                  <w:r>
                    <w:rPr>
                      <w:rFonts w:hint="eastAsia" w:ascii="Times New Roman" w:hAnsi="Times New Roman" w:cs="Times New Roman"/>
                      <w:bCs/>
                      <w:color w:val="auto"/>
                      <w:spacing w:val="0"/>
                      <w:kern w:val="2"/>
                      <w:sz w:val="21"/>
                      <w:szCs w:val="21"/>
                      <w:highlight w:val="none"/>
                      <w:vertAlign w:val="baseline"/>
                      <w:lang w:val="en-US" w:eastAsia="zh-CN" w:bidi="ar-SA"/>
                    </w:rPr>
                    <w:t>离子交换树脂</w:t>
                  </w:r>
                </w:p>
              </w:tc>
              <w:tc>
                <w:tcPr>
                  <w:tcW w:w="801" w:type="pct"/>
                  <w:noWrap w:val="0"/>
                  <w:vAlign w:val="center"/>
                </w:tcPr>
                <w:p w14:paraId="3C73758D">
                  <w:pPr>
                    <w:pStyle w:val="93"/>
                    <w:numPr>
                      <w:ilvl w:val="0"/>
                      <w:numId w:val="0"/>
                    </w:numPr>
                    <w:spacing w:line="240" w:lineRule="auto"/>
                    <w:ind w:left="0" w:leftChars="0" w:firstLine="0" w:firstLineChars="0"/>
                    <w:jc w:val="center"/>
                    <w:rPr>
                      <w:rFonts w:hint="default" w:ascii="Times New Roman" w:hAnsi="Times New Roman" w:cs="Times New Roman"/>
                      <w:bCs/>
                      <w:color w:val="auto"/>
                      <w:spacing w:val="0"/>
                      <w:kern w:val="2"/>
                      <w:sz w:val="21"/>
                      <w:szCs w:val="21"/>
                      <w:highlight w:val="none"/>
                      <w:vertAlign w:val="baseline"/>
                      <w:lang w:val="en-US" w:eastAsia="zh-CN" w:bidi="ar-SA"/>
                    </w:rPr>
                  </w:pPr>
                  <w:r>
                    <w:rPr>
                      <w:rFonts w:hint="default" w:ascii="Times New Roman" w:hAnsi="Times New Roman" w:cs="Times New Roman"/>
                      <w:bCs/>
                      <w:color w:val="auto"/>
                      <w:spacing w:val="0"/>
                      <w:kern w:val="2"/>
                      <w:sz w:val="21"/>
                      <w:szCs w:val="21"/>
                      <w:highlight w:val="none"/>
                      <w:vertAlign w:val="baseline"/>
                      <w:lang w:val="en-US" w:eastAsia="zh-CN" w:bidi="ar-SA"/>
                    </w:rPr>
                    <w:t>固态</w:t>
                  </w:r>
                </w:p>
              </w:tc>
              <w:tc>
                <w:tcPr>
                  <w:tcW w:w="1403" w:type="pct"/>
                  <w:noWrap w:val="0"/>
                  <w:vAlign w:val="center"/>
                </w:tcPr>
                <w:p w14:paraId="7E181AE5">
                  <w:pPr>
                    <w:pStyle w:val="93"/>
                    <w:numPr>
                      <w:ilvl w:val="0"/>
                      <w:numId w:val="0"/>
                    </w:numPr>
                    <w:spacing w:line="240" w:lineRule="auto"/>
                    <w:ind w:left="0" w:leftChars="0" w:firstLine="0" w:firstLineChars="0"/>
                    <w:jc w:val="center"/>
                    <w:rPr>
                      <w:rFonts w:hint="default" w:ascii="Times New Roman" w:hAnsi="Times New Roman" w:cs="Times New Roman"/>
                      <w:bCs/>
                      <w:color w:val="auto"/>
                      <w:spacing w:val="0"/>
                      <w:kern w:val="2"/>
                      <w:sz w:val="21"/>
                      <w:szCs w:val="21"/>
                      <w:highlight w:val="none"/>
                      <w:vertAlign w:val="baseline"/>
                      <w:lang w:val="en-US" w:eastAsia="zh-CN" w:bidi="ar-SA"/>
                    </w:rPr>
                  </w:pPr>
                  <w:r>
                    <w:rPr>
                      <w:rFonts w:hint="eastAsia" w:ascii="Times New Roman" w:hAnsi="Times New Roman" w:cs="Times New Roman"/>
                      <w:bCs/>
                      <w:color w:val="auto"/>
                      <w:spacing w:val="0"/>
                      <w:kern w:val="2"/>
                      <w:sz w:val="21"/>
                      <w:szCs w:val="21"/>
                      <w:highlight w:val="none"/>
                      <w:vertAlign w:val="baseline"/>
                      <w:lang w:val="en-US" w:eastAsia="zh-CN" w:bidi="ar-SA"/>
                    </w:rPr>
                    <w:t>0.5</w:t>
                  </w:r>
                  <w:r>
                    <w:rPr>
                      <w:rFonts w:hint="default" w:ascii="Times New Roman" w:hAnsi="Times New Roman" w:cs="Times New Roman"/>
                      <w:bCs/>
                      <w:color w:val="auto"/>
                      <w:spacing w:val="0"/>
                      <w:kern w:val="2"/>
                      <w:sz w:val="21"/>
                      <w:szCs w:val="21"/>
                      <w:highlight w:val="none"/>
                      <w:vertAlign w:val="baseline"/>
                      <w:lang w:val="en-US" w:eastAsia="zh-CN" w:bidi="ar-SA"/>
                    </w:rPr>
                    <w:t>吨/年</w:t>
                  </w:r>
                </w:p>
              </w:tc>
              <w:tc>
                <w:tcPr>
                  <w:tcW w:w="689" w:type="pct"/>
                  <w:noWrap w:val="0"/>
                  <w:vAlign w:val="center"/>
                </w:tcPr>
                <w:p w14:paraId="0E246AD7">
                  <w:pPr>
                    <w:pStyle w:val="93"/>
                    <w:numPr>
                      <w:ilvl w:val="0"/>
                      <w:numId w:val="0"/>
                    </w:numPr>
                    <w:spacing w:line="240" w:lineRule="auto"/>
                    <w:ind w:left="0" w:leftChars="0" w:firstLine="0" w:firstLineChars="0"/>
                    <w:jc w:val="center"/>
                    <w:rPr>
                      <w:rFonts w:hint="default" w:ascii="Times New Roman" w:hAnsi="Times New Roman" w:cs="Times New Roman"/>
                      <w:bCs/>
                      <w:color w:val="auto"/>
                      <w:spacing w:val="0"/>
                      <w:kern w:val="2"/>
                      <w:sz w:val="21"/>
                      <w:szCs w:val="21"/>
                      <w:highlight w:val="none"/>
                      <w:vertAlign w:val="baseline"/>
                      <w:lang w:val="en-US" w:eastAsia="zh-CN" w:bidi="ar-SA"/>
                    </w:rPr>
                  </w:pPr>
                  <w:r>
                    <w:rPr>
                      <w:rFonts w:hint="eastAsia" w:ascii="Times New Roman" w:hAnsi="Times New Roman" w:cs="Times New Roman"/>
                      <w:bCs/>
                      <w:color w:val="auto"/>
                      <w:spacing w:val="0"/>
                      <w:kern w:val="2"/>
                      <w:sz w:val="21"/>
                      <w:szCs w:val="21"/>
                      <w:highlight w:val="none"/>
                      <w:vertAlign w:val="baseline"/>
                      <w:lang w:val="en-US" w:eastAsia="zh-CN" w:bidi="ar-SA"/>
                    </w:rPr>
                    <w:t>外购</w:t>
                  </w:r>
                </w:p>
              </w:tc>
            </w:tr>
          </w:tbl>
          <w:p w14:paraId="44E123F8">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5.燃料</w:t>
            </w:r>
            <w:r>
              <w:rPr>
                <w:rFonts w:hint="default" w:ascii="Times New Roman" w:hAnsi="Times New Roman" w:eastAsia="宋体" w:cs="Times New Roman"/>
                <w:b/>
                <w:bCs w:val="0"/>
                <w:color w:val="auto"/>
                <w:spacing w:val="0"/>
                <w:sz w:val="24"/>
                <w:szCs w:val="24"/>
                <w:highlight w:val="none"/>
                <w:lang w:val="en-US" w:eastAsia="zh-CN"/>
              </w:rPr>
              <w:t>消耗</w:t>
            </w:r>
          </w:p>
          <w:p w14:paraId="0C5C3950">
            <w:pPr>
              <w:spacing w:line="360" w:lineRule="auto"/>
              <w:contextualSpacing/>
              <w:jc w:val="both"/>
              <w:rPr>
                <w:rFonts w:hint="default" w:ascii="Times New Roman" w:hAnsi="Times New Roman" w:cs="Times New Roman"/>
                <w:bCs/>
                <w:color w:val="auto"/>
                <w:spacing w:val="0"/>
                <w:sz w:val="24"/>
                <w:szCs w:val="24"/>
                <w:highlight w:val="none"/>
                <w:lang w:val="en-US" w:eastAsia="zh-CN"/>
              </w:rPr>
            </w:pPr>
            <w:r>
              <w:rPr>
                <w:rFonts w:hint="default" w:ascii="Times New Roman" w:hAnsi="Times New Roman" w:eastAsia="宋体" w:cs="Times New Roman"/>
                <w:bCs/>
                <w:color w:val="auto"/>
                <w:spacing w:val="0"/>
                <w:sz w:val="24"/>
                <w:szCs w:val="24"/>
                <w:highlight w:val="none"/>
                <w:lang w:val="en-US" w:eastAsia="zh-CN"/>
              </w:rPr>
              <w:t>锅炉</w:t>
            </w:r>
            <w:r>
              <w:rPr>
                <w:rFonts w:hint="default" w:ascii="Times New Roman" w:hAnsi="Times New Roman" w:cs="Times New Roman"/>
                <w:bCs/>
                <w:color w:val="auto"/>
                <w:spacing w:val="0"/>
                <w:sz w:val="24"/>
                <w:szCs w:val="24"/>
                <w:highlight w:val="none"/>
                <w:lang w:val="en-US" w:eastAsia="zh-CN"/>
              </w:rPr>
              <w:t>燃料消耗</w:t>
            </w:r>
            <w:r>
              <w:rPr>
                <w:rFonts w:hint="default" w:ascii="Times New Roman" w:hAnsi="Times New Roman" w:eastAsia="宋体" w:cs="Times New Roman"/>
                <w:bCs/>
                <w:color w:val="auto"/>
                <w:spacing w:val="0"/>
                <w:sz w:val="24"/>
                <w:szCs w:val="24"/>
                <w:highlight w:val="none"/>
                <w:lang w:val="en-US" w:eastAsia="zh-CN"/>
              </w:rPr>
              <w:t>计算方法：总热功率/热效率/燃料发热量＝燃料消耗量，</w:t>
            </w:r>
            <w:r>
              <w:rPr>
                <w:rFonts w:hint="eastAsia" w:ascii="Times New Roman" w:hAnsi="Times New Roman" w:cs="Times New Roman"/>
                <w:bCs/>
                <w:color w:val="auto"/>
                <w:spacing w:val="0"/>
                <w:sz w:val="24"/>
                <w:szCs w:val="24"/>
                <w:highlight w:val="none"/>
                <w:lang w:val="en-US" w:eastAsia="zh-CN"/>
              </w:rPr>
              <w:t>2.1MW</w:t>
            </w:r>
            <w:r>
              <w:rPr>
                <w:rFonts w:hint="default" w:ascii="Times New Roman" w:hAnsi="Times New Roman" w:eastAsia="宋体" w:cs="Times New Roman"/>
                <w:bCs/>
                <w:color w:val="auto"/>
                <w:spacing w:val="0"/>
                <w:sz w:val="24"/>
                <w:szCs w:val="24"/>
                <w:highlight w:val="none"/>
                <w:lang w:val="en-US" w:eastAsia="zh-CN"/>
              </w:rPr>
              <w:t>锅炉总热功率为</w:t>
            </w:r>
            <w:r>
              <w:rPr>
                <w:rFonts w:hint="default" w:ascii="Times New Roman" w:hAnsi="Times New Roman" w:cs="Times New Roman"/>
                <w:bCs/>
                <w:color w:val="auto"/>
                <w:spacing w:val="0"/>
                <w:sz w:val="24"/>
                <w:szCs w:val="24"/>
                <w:highlight w:val="none"/>
                <w:lang w:val="en-US" w:eastAsia="zh-CN"/>
              </w:rPr>
              <w:t>180</w:t>
            </w:r>
            <w:r>
              <w:rPr>
                <w:rFonts w:hint="default" w:ascii="Times New Roman" w:hAnsi="Times New Roman" w:eastAsia="宋体" w:cs="Times New Roman"/>
                <w:bCs/>
                <w:color w:val="auto"/>
                <w:spacing w:val="0"/>
                <w:sz w:val="24"/>
                <w:szCs w:val="24"/>
                <w:highlight w:val="none"/>
                <w:lang w:val="en-US" w:eastAsia="zh-CN"/>
              </w:rPr>
              <w:t>万大卡，根据</w:t>
            </w:r>
            <w:r>
              <w:rPr>
                <w:rFonts w:hint="default" w:ascii="Times New Roman" w:hAnsi="Times New Roman" w:cs="Times New Roman"/>
                <w:bCs/>
                <w:color w:val="auto"/>
                <w:spacing w:val="0"/>
                <w:sz w:val="24"/>
                <w:szCs w:val="24"/>
                <w:highlight w:val="none"/>
                <w:lang w:val="en-US" w:eastAsia="zh-CN"/>
              </w:rPr>
              <w:t>建设单位提供的</w:t>
            </w:r>
            <w:r>
              <w:rPr>
                <w:rFonts w:hint="eastAsia" w:ascii="Times New Roman" w:hAnsi="Times New Roman" w:cs="Times New Roman"/>
                <w:bCs/>
                <w:color w:val="auto"/>
                <w:spacing w:val="0"/>
                <w:sz w:val="24"/>
                <w:szCs w:val="24"/>
                <w:highlight w:val="none"/>
                <w:lang w:val="en-US" w:eastAsia="zh-CN"/>
              </w:rPr>
              <w:t>生物质颗粒燃料</w:t>
            </w:r>
            <w:r>
              <w:rPr>
                <w:rFonts w:hint="default" w:ascii="Times New Roman" w:hAnsi="Times New Roman" w:cs="Times New Roman"/>
                <w:bCs/>
                <w:color w:val="auto"/>
                <w:spacing w:val="0"/>
                <w:sz w:val="24"/>
                <w:szCs w:val="24"/>
                <w:highlight w:val="none"/>
                <w:lang w:val="en-US" w:eastAsia="zh-CN"/>
              </w:rPr>
              <w:t>检测分析报告</w:t>
            </w:r>
            <w:r>
              <w:rPr>
                <w:rFonts w:hint="eastAsia" w:ascii="Times New Roman" w:hAnsi="Times New Roman" w:cs="Times New Roman"/>
                <w:bCs/>
                <w:color w:val="auto"/>
                <w:spacing w:val="0"/>
                <w:sz w:val="24"/>
                <w:szCs w:val="24"/>
                <w:highlight w:val="none"/>
                <w:lang w:val="en-US" w:eastAsia="zh-CN"/>
              </w:rPr>
              <w:t>（附件3），</w:t>
            </w:r>
            <w:r>
              <w:rPr>
                <w:rFonts w:hint="default" w:ascii="Times New Roman" w:hAnsi="Times New Roman" w:eastAsia="宋体" w:cs="Times New Roman"/>
                <w:bCs/>
                <w:color w:val="auto"/>
                <w:spacing w:val="0"/>
                <w:sz w:val="24"/>
                <w:szCs w:val="24"/>
                <w:highlight w:val="none"/>
                <w:lang w:val="en-US" w:eastAsia="zh-CN"/>
              </w:rPr>
              <w:t>收到基低位发热量为</w:t>
            </w:r>
            <w:r>
              <w:rPr>
                <w:rFonts w:hint="eastAsia" w:ascii="Times New Roman" w:hAnsi="Times New Roman" w:cs="Times New Roman"/>
                <w:bCs/>
                <w:color w:val="auto"/>
                <w:spacing w:val="0"/>
                <w:sz w:val="24"/>
                <w:szCs w:val="24"/>
                <w:highlight w:val="none"/>
                <w:lang w:val="en-US" w:eastAsia="zh-CN"/>
              </w:rPr>
              <w:t>4163千</w:t>
            </w:r>
            <w:r>
              <w:rPr>
                <w:rFonts w:hint="default" w:ascii="Times New Roman" w:hAnsi="Times New Roman" w:eastAsia="宋体" w:cs="Times New Roman"/>
                <w:bCs/>
                <w:color w:val="auto"/>
                <w:spacing w:val="0"/>
                <w:sz w:val="24"/>
                <w:szCs w:val="24"/>
                <w:highlight w:val="none"/>
                <w:lang w:val="en-US" w:eastAsia="zh-CN"/>
              </w:rPr>
              <w:t>卡/</w:t>
            </w:r>
            <w:r>
              <w:rPr>
                <w:rFonts w:hint="default" w:ascii="Times New Roman" w:hAnsi="Times New Roman" w:cs="Times New Roman"/>
                <w:bCs/>
                <w:color w:val="auto"/>
                <w:sz w:val="21"/>
                <w:szCs w:val="21"/>
                <w:highlight w:val="none"/>
              </w:rPr>
              <w:t>kg</w:t>
            </w:r>
            <w:r>
              <w:rPr>
                <w:rFonts w:hint="default" w:ascii="Times New Roman" w:hAnsi="Times New Roman" w:eastAsia="宋体" w:cs="Times New Roman"/>
                <w:bCs/>
                <w:color w:val="auto"/>
                <w:spacing w:val="0"/>
                <w:sz w:val="24"/>
                <w:szCs w:val="24"/>
                <w:highlight w:val="none"/>
                <w:lang w:val="en-US" w:eastAsia="zh-CN"/>
              </w:rPr>
              <w:t>，</w:t>
            </w:r>
            <w:r>
              <w:rPr>
                <w:rFonts w:hint="default" w:ascii="Times New Roman" w:hAnsi="Times New Roman" w:cs="Times New Roman"/>
                <w:bCs/>
                <w:color w:val="auto"/>
                <w:spacing w:val="0"/>
                <w:sz w:val="24"/>
                <w:szCs w:val="24"/>
                <w:highlight w:val="none"/>
                <w:lang w:val="en-US" w:eastAsia="zh-CN"/>
              </w:rPr>
              <w:t>本项目为</w:t>
            </w:r>
            <w:r>
              <w:rPr>
                <w:rFonts w:hint="eastAsia" w:ascii="Times New Roman" w:hAnsi="Times New Roman" w:cs="Times New Roman"/>
                <w:bCs/>
                <w:color w:val="auto"/>
                <w:spacing w:val="0"/>
                <w:sz w:val="24"/>
                <w:szCs w:val="24"/>
                <w:highlight w:val="none"/>
                <w:lang w:val="en-US" w:eastAsia="zh-CN"/>
              </w:rPr>
              <w:t>2.1MW</w:t>
            </w:r>
            <w:r>
              <w:rPr>
                <w:rFonts w:hint="default" w:ascii="Times New Roman" w:hAnsi="Times New Roman" w:cs="Times New Roman"/>
                <w:bCs/>
                <w:color w:val="auto"/>
                <w:spacing w:val="0"/>
                <w:sz w:val="24"/>
                <w:szCs w:val="24"/>
                <w:highlight w:val="none"/>
                <w:lang w:val="en-US" w:eastAsia="zh-CN"/>
              </w:rPr>
              <w:t>锅炉，根据《生物质锅炉技术规范》（GB/T44906-2024）锅炉热效率为83%，本则1台</w:t>
            </w:r>
            <w:r>
              <w:rPr>
                <w:rFonts w:hint="eastAsia" w:ascii="Times New Roman" w:hAnsi="Times New Roman" w:cs="Times New Roman"/>
                <w:bCs/>
                <w:color w:val="auto"/>
                <w:spacing w:val="0"/>
                <w:sz w:val="24"/>
                <w:szCs w:val="24"/>
                <w:highlight w:val="none"/>
                <w:lang w:val="en-US" w:eastAsia="zh-CN"/>
              </w:rPr>
              <w:t>2.1MW</w:t>
            </w:r>
            <w:r>
              <w:rPr>
                <w:rFonts w:hint="default" w:ascii="Times New Roman" w:hAnsi="Times New Roman" w:eastAsia="宋体" w:cs="Times New Roman"/>
                <w:bCs/>
                <w:color w:val="auto"/>
                <w:spacing w:val="0"/>
                <w:sz w:val="24"/>
                <w:szCs w:val="24"/>
                <w:highlight w:val="none"/>
                <w:lang w:val="en-US" w:eastAsia="zh-CN"/>
              </w:rPr>
              <w:t>锅炉</w:t>
            </w:r>
            <w:r>
              <w:rPr>
                <w:rFonts w:hint="default" w:ascii="Times New Roman" w:hAnsi="Times New Roman" w:cs="Times New Roman"/>
                <w:bCs/>
                <w:color w:val="auto"/>
                <w:spacing w:val="0"/>
                <w:sz w:val="24"/>
                <w:szCs w:val="24"/>
                <w:highlight w:val="none"/>
                <w:lang w:val="en-US" w:eastAsia="zh-CN"/>
              </w:rPr>
              <w:t>生物质成型</w:t>
            </w:r>
            <w:r>
              <w:rPr>
                <w:rFonts w:hint="default" w:ascii="Times New Roman" w:hAnsi="Times New Roman" w:eastAsia="宋体" w:cs="Times New Roman"/>
                <w:bCs/>
                <w:color w:val="auto"/>
                <w:spacing w:val="0"/>
                <w:sz w:val="24"/>
                <w:szCs w:val="24"/>
                <w:highlight w:val="none"/>
                <w:lang w:val="en-US" w:eastAsia="zh-CN"/>
              </w:rPr>
              <w:t>燃料消耗量：</w:t>
            </w:r>
            <w:r>
              <w:rPr>
                <w:rFonts w:hint="default" w:ascii="Times New Roman" w:hAnsi="Times New Roman" w:cs="Times New Roman"/>
                <w:bCs/>
                <w:color w:val="auto"/>
                <w:spacing w:val="0"/>
                <w:sz w:val="24"/>
                <w:szCs w:val="24"/>
                <w:highlight w:val="none"/>
                <w:lang w:val="en-US" w:eastAsia="zh-CN"/>
              </w:rPr>
              <w:t>1800</w:t>
            </w:r>
            <w:r>
              <w:rPr>
                <w:rFonts w:hint="default" w:ascii="Times New Roman" w:hAnsi="Times New Roman" w:eastAsia="宋体" w:cs="Times New Roman"/>
                <w:bCs/>
                <w:color w:val="auto"/>
                <w:spacing w:val="0"/>
                <w:sz w:val="24"/>
                <w:szCs w:val="24"/>
                <w:highlight w:val="none"/>
                <w:lang w:val="en-US" w:eastAsia="zh-CN"/>
              </w:rPr>
              <w:t>000/</w:t>
            </w:r>
            <w:r>
              <w:rPr>
                <w:rFonts w:hint="default" w:ascii="Times New Roman" w:hAnsi="Times New Roman" w:cs="Times New Roman"/>
                <w:bCs/>
                <w:color w:val="auto"/>
                <w:spacing w:val="0"/>
                <w:sz w:val="24"/>
                <w:szCs w:val="24"/>
                <w:highlight w:val="none"/>
                <w:lang w:val="en-US" w:eastAsia="zh-CN"/>
              </w:rPr>
              <w:t>83%/</w:t>
            </w:r>
            <w:r>
              <w:rPr>
                <w:rFonts w:hint="eastAsia" w:ascii="Times New Roman" w:hAnsi="Times New Roman" w:cs="Times New Roman"/>
                <w:bCs/>
                <w:color w:val="auto"/>
                <w:spacing w:val="0"/>
                <w:sz w:val="24"/>
                <w:szCs w:val="24"/>
                <w:highlight w:val="none"/>
                <w:lang w:val="en-US" w:eastAsia="zh-CN"/>
              </w:rPr>
              <w:t>4163</w:t>
            </w:r>
            <w:r>
              <w:rPr>
                <w:rFonts w:hint="default" w:ascii="Times New Roman" w:hAnsi="Times New Roman" w:eastAsia="宋体" w:cs="Times New Roman"/>
                <w:bCs/>
                <w:color w:val="auto"/>
                <w:spacing w:val="0"/>
                <w:sz w:val="24"/>
                <w:szCs w:val="24"/>
                <w:highlight w:val="none"/>
                <w:lang w:val="en-US" w:eastAsia="zh-CN"/>
              </w:rPr>
              <w:t>/1000=</w:t>
            </w:r>
            <w:r>
              <w:rPr>
                <w:rFonts w:hint="default" w:ascii="Times New Roman" w:hAnsi="Times New Roman" w:cs="Times New Roman"/>
                <w:bCs/>
                <w:color w:val="auto"/>
                <w:spacing w:val="0"/>
                <w:sz w:val="24"/>
                <w:szCs w:val="24"/>
                <w:highlight w:val="none"/>
                <w:lang w:val="en-US" w:eastAsia="zh-CN"/>
              </w:rPr>
              <w:t>0.52t</w:t>
            </w:r>
            <w:r>
              <w:rPr>
                <w:rFonts w:hint="default" w:ascii="Times New Roman" w:hAnsi="Times New Roman" w:eastAsia="宋体" w:cs="Times New Roman"/>
                <w:bCs/>
                <w:color w:val="auto"/>
                <w:spacing w:val="0"/>
                <w:sz w:val="24"/>
                <w:szCs w:val="24"/>
                <w:highlight w:val="none"/>
                <w:lang w:val="en-US" w:eastAsia="zh-CN"/>
              </w:rPr>
              <w:t>/h</w:t>
            </w:r>
            <w:r>
              <w:rPr>
                <w:rFonts w:hint="default" w:ascii="Times New Roman" w:hAnsi="Times New Roman" w:cs="Times New Roman"/>
                <w:bCs/>
                <w:color w:val="auto"/>
                <w:spacing w:val="0"/>
                <w:sz w:val="24"/>
                <w:szCs w:val="24"/>
                <w:highlight w:val="none"/>
                <w:lang w:val="en-US" w:eastAsia="zh-CN"/>
              </w:rPr>
              <w:t>。</w:t>
            </w:r>
          </w:p>
          <w:p w14:paraId="7ADE486C">
            <w:pPr>
              <w:spacing w:line="360" w:lineRule="auto"/>
              <w:contextualSpacing/>
              <w:jc w:val="both"/>
              <w:rPr>
                <w:rFonts w:hint="default" w:ascii="Times New Roman" w:hAnsi="Times New Roman" w:eastAsia="宋体" w:cs="Times New Roman"/>
                <w:bCs/>
                <w:color w:val="auto"/>
                <w:spacing w:val="0"/>
                <w:sz w:val="24"/>
                <w:szCs w:val="24"/>
                <w:highlight w:val="none"/>
                <w:lang w:val="en-US" w:eastAsia="zh-CN"/>
              </w:rPr>
            </w:pPr>
            <w:r>
              <w:rPr>
                <w:rFonts w:hint="default" w:ascii="Times New Roman" w:hAnsi="Times New Roman" w:cs="Times New Roman"/>
                <w:bCs/>
                <w:color w:val="auto"/>
                <w:spacing w:val="0"/>
                <w:sz w:val="24"/>
                <w:szCs w:val="24"/>
                <w:highlight w:val="none"/>
                <w:lang w:val="en-US" w:eastAsia="zh-CN"/>
              </w:rPr>
              <w:t>锅炉年运行</w:t>
            </w:r>
            <w:r>
              <w:rPr>
                <w:rFonts w:hint="eastAsia" w:ascii="Times New Roman" w:hAnsi="Times New Roman" w:cs="Times New Roman"/>
                <w:bCs/>
                <w:color w:val="auto"/>
                <w:spacing w:val="0"/>
                <w:sz w:val="24"/>
                <w:szCs w:val="24"/>
                <w:highlight w:val="none"/>
                <w:lang w:val="en-US" w:eastAsia="zh-CN"/>
              </w:rPr>
              <w:t>242</w:t>
            </w:r>
            <w:r>
              <w:rPr>
                <w:rFonts w:hint="default" w:ascii="Times New Roman" w:hAnsi="Times New Roman" w:cs="Times New Roman"/>
                <w:bCs/>
                <w:color w:val="auto"/>
                <w:spacing w:val="0"/>
                <w:sz w:val="24"/>
                <w:szCs w:val="24"/>
                <w:highlight w:val="none"/>
                <w:lang w:val="en-US" w:eastAsia="zh-CN"/>
              </w:rPr>
              <w:t>d，每日运行24h，生物质年消耗量为</w:t>
            </w:r>
            <w:r>
              <w:rPr>
                <w:rFonts w:hint="eastAsia" w:ascii="Times New Roman" w:hAnsi="Times New Roman" w:cs="Times New Roman"/>
                <w:bCs/>
                <w:color w:val="auto"/>
                <w:spacing w:val="0"/>
                <w:sz w:val="24"/>
                <w:szCs w:val="24"/>
                <w:highlight w:val="none"/>
                <w:lang w:val="en-US" w:eastAsia="zh-CN"/>
              </w:rPr>
              <w:t>3020.16</w:t>
            </w:r>
            <w:r>
              <w:rPr>
                <w:rFonts w:hint="default" w:ascii="Times New Roman" w:hAnsi="Times New Roman" w:cs="Times New Roman"/>
                <w:bCs/>
                <w:color w:val="auto"/>
                <w:spacing w:val="0"/>
                <w:sz w:val="24"/>
                <w:szCs w:val="24"/>
                <w:highlight w:val="none"/>
                <w:lang w:val="en-US" w:eastAsia="zh-CN"/>
              </w:rPr>
              <w:t>t/a。</w:t>
            </w:r>
          </w:p>
          <w:p w14:paraId="1C117CAE">
            <w:pPr>
              <w:pStyle w:val="11"/>
              <w:keepNext w:val="0"/>
              <w:keepLines w:val="0"/>
              <w:pageBreakBefore w:val="0"/>
              <w:widowControl w:val="0"/>
              <w:kinsoku/>
              <w:wordWrap/>
              <w:overflowPunct/>
              <w:topLinePunct w:val="0"/>
              <w:autoSpaceDE/>
              <w:autoSpaceDN/>
              <w:bidi w:val="0"/>
              <w:adjustRightInd/>
              <w:snapToGrid/>
              <w:spacing w:before="0" w:after="0" w:line="360" w:lineRule="auto"/>
              <w:ind w:right="0"/>
              <w:jc w:val="both"/>
              <w:textAlignment w:val="auto"/>
              <w:rPr>
                <w:rFonts w:hint="default" w:ascii="Times New Roman" w:hAnsi="Times New Roman" w:eastAsia="宋体" w:cs="Times New Roman"/>
                <w:b w:val="0"/>
                <w:bCs w:val="0"/>
                <w:color w:val="auto"/>
                <w:sz w:val="24"/>
                <w:szCs w:val="20"/>
                <w:highlight w:val="none"/>
                <w:lang w:val="en-US" w:eastAsia="zh-CN"/>
              </w:rPr>
            </w:pPr>
            <w:r>
              <w:rPr>
                <w:rFonts w:hint="default" w:ascii="Times New Roman" w:hAnsi="Times New Roman" w:cs="Times New Roman"/>
                <w:b w:val="0"/>
                <w:bCs w:val="0"/>
                <w:color w:val="auto"/>
                <w:sz w:val="24"/>
                <w:szCs w:val="20"/>
                <w:highlight w:val="none"/>
                <w:lang w:val="en-US" w:eastAsia="zh-CN"/>
              </w:rPr>
              <w:t>根据企业提供的</w:t>
            </w:r>
            <w:r>
              <w:rPr>
                <w:rFonts w:hint="eastAsia" w:cs="Times New Roman"/>
                <w:b w:val="0"/>
                <w:bCs w:val="0"/>
                <w:color w:val="auto"/>
                <w:sz w:val="24"/>
                <w:szCs w:val="20"/>
                <w:highlight w:val="none"/>
                <w:lang w:val="en-US" w:eastAsia="zh-CN"/>
              </w:rPr>
              <w:t>生物质颗粒燃料</w:t>
            </w:r>
            <w:r>
              <w:rPr>
                <w:rFonts w:hint="default" w:ascii="Times New Roman" w:hAnsi="Times New Roman" w:cs="Times New Roman"/>
                <w:b w:val="0"/>
                <w:bCs w:val="0"/>
                <w:color w:val="auto"/>
                <w:sz w:val="24"/>
                <w:szCs w:val="20"/>
                <w:highlight w:val="none"/>
                <w:lang w:val="en-US" w:eastAsia="zh-CN"/>
              </w:rPr>
              <w:t>燃料分析报告，详见附件3，本项目生物质成型燃料如下：</w:t>
            </w:r>
          </w:p>
          <w:p w14:paraId="0DF15AD3">
            <w:pPr>
              <w:pStyle w:val="11"/>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auto"/>
                <w:sz w:val="21"/>
                <w:szCs w:val="16"/>
                <w:highlight w:val="none"/>
              </w:rPr>
            </w:pPr>
            <w:r>
              <w:rPr>
                <w:rFonts w:hint="default" w:ascii="Times New Roman" w:hAnsi="Times New Roman" w:eastAsia="宋体" w:cs="Times New Roman"/>
                <w:b/>
                <w:bCs/>
                <w:color w:val="auto"/>
                <w:sz w:val="21"/>
                <w:szCs w:val="16"/>
                <w:highlight w:val="none"/>
                <w:lang w:val="en-US" w:eastAsia="zh-CN"/>
              </w:rPr>
              <w:t>表2-4生物质成型颗粒</w:t>
            </w:r>
            <w:r>
              <w:rPr>
                <w:rFonts w:hint="default" w:ascii="Times New Roman" w:hAnsi="Times New Roman" w:eastAsia="宋体" w:cs="Times New Roman"/>
                <w:b/>
                <w:bCs/>
                <w:color w:val="auto"/>
                <w:sz w:val="21"/>
                <w:szCs w:val="16"/>
                <w:highlight w:val="none"/>
                <w:lang w:eastAsia="zh-CN"/>
              </w:rPr>
              <w:t>燃料</w:t>
            </w:r>
            <w:r>
              <w:rPr>
                <w:rFonts w:hint="default" w:ascii="Times New Roman" w:hAnsi="Times New Roman" w:eastAsia="宋体" w:cs="Times New Roman"/>
                <w:b/>
                <w:bCs/>
                <w:color w:val="auto"/>
                <w:sz w:val="21"/>
                <w:szCs w:val="16"/>
                <w:highlight w:val="none"/>
              </w:rPr>
              <w:t>成分一览表</w:t>
            </w:r>
          </w:p>
          <w:tbl>
            <w:tblPr>
              <w:tblStyle w:val="3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09"/>
              <w:gridCol w:w="1980"/>
              <w:gridCol w:w="1532"/>
              <w:gridCol w:w="1293"/>
              <w:gridCol w:w="1955"/>
            </w:tblGrid>
            <w:tr w14:paraId="6E600F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tcBorders>
                    <w:tl2br w:val="nil"/>
                    <w:tr2bl w:val="nil"/>
                  </w:tcBorders>
                  <w:noWrap w:val="0"/>
                  <w:vAlign w:val="center"/>
                </w:tcPr>
                <w:p w14:paraId="5D70E2D4">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项目</w:t>
                  </w:r>
                </w:p>
              </w:tc>
              <w:tc>
                <w:tcPr>
                  <w:tcW w:w="1274" w:type="pct"/>
                  <w:tcBorders>
                    <w:tl2br w:val="nil"/>
                    <w:tr2bl w:val="nil"/>
                  </w:tcBorders>
                  <w:noWrap w:val="0"/>
                  <w:vAlign w:val="center"/>
                </w:tcPr>
                <w:p w14:paraId="746C13F0">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项目</w:t>
                  </w:r>
                </w:p>
              </w:tc>
              <w:tc>
                <w:tcPr>
                  <w:tcW w:w="986" w:type="pct"/>
                  <w:tcBorders>
                    <w:tl2br w:val="nil"/>
                    <w:tr2bl w:val="nil"/>
                  </w:tcBorders>
                  <w:noWrap w:val="0"/>
                  <w:vAlign w:val="center"/>
                </w:tcPr>
                <w:p w14:paraId="7750509A">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符号</w:t>
                  </w:r>
                </w:p>
              </w:tc>
              <w:tc>
                <w:tcPr>
                  <w:tcW w:w="832" w:type="pct"/>
                  <w:tcBorders>
                    <w:tl2br w:val="nil"/>
                    <w:tr2bl w:val="nil"/>
                  </w:tcBorders>
                  <w:noWrap w:val="0"/>
                  <w:vAlign w:val="center"/>
                </w:tcPr>
                <w:p w14:paraId="44CD6F01">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单位</w:t>
                  </w:r>
                </w:p>
              </w:tc>
              <w:tc>
                <w:tcPr>
                  <w:tcW w:w="1255" w:type="pct"/>
                  <w:tcBorders>
                    <w:tl2br w:val="nil"/>
                    <w:tr2bl w:val="nil"/>
                  </w:tcBorders>
                  <w:noWrap w:val="0"/>
                  <w:vAlign w:val="center"/>
                </w:tcPr>
                <w:p w14:paraId="4209FA3D">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指标值</w:t>
                  </w:r>
                </w:p>
              </w:tc>
            </w:tr>
            <w:tr w14:paraId="59D14D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tcBorders>
                    <w:tl2br w:val="nil"/>
                    <w:tr2bl w:val="nil"/>
                  </w:tcBorders>
                  <w:noWrap w:val="0"/>
                  <w:vAlign w:val="center"/>
                </w:tcPr>
                <w:p w14:paraId="1CB0D76D">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w:t>
                  </w:r>
                </w:p>
              </w:tc>
              <w:tc>
                <w:tcPr>
                  <w:tcW w:w="1274" w:type="pct"/>
                  <w:tcBorders>
                    <w:tl2br w:val="nil"/>
                    <w:tr2bl w:val="nil"/>
                  </w:tcBorders>
                  <w:noWrap w:val="0"/>
                  <w:vAlign w:val="center"/>
                </w:tcPr>
                <w:p w14:paraId="7B42DEAD">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收到基低位发热量</w:t>
                  </w:r>
                </w:p>
              </w:tc>
              <w:tc>
                <w:tcPr>
                  <w:tcW w:w="986" w:type="pct"/>
                  <w:tcBorders>
                    <w:tl2br w:val="nil"/>
                    <w:tr2bl w:val="nil"/>
                  </w:tcBorders>
                  <w:noWrap w:val="0"/>
                  <w:vAlign w:val="center"/>
                </w:tcPr>
                <w:p w14:paraId="093DA0EB">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Qnet,ar</w:t>
                  </w:r>
                </w:p>
              </w:tc>
              <w:tc>
                <w:tcPr>
                  <w:tcW w:w="832" w:type="pct"/>
                  <w:tcBorders>
                    <w:tl2br w:val="nil"/>
                    <w:tr2bl w:val="nil"/>
                  </w:tcBorders>
                  <w:noWrap w:val="0"/>
                  <w:vAlign w:val="center"/>
                </w:tcPr>
                <w:p w14:paraId="4F92A01E">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MJ/kg</w:t>
                  </w:r>
                </w:p>
              </w:tc>
              <w:tc>
                <w:tcPr>
                  <w:tcW w:w="1255" w:type="pct"/>
                  <w:tcBorders>
                    <w:tl2br w:val="nil"/>
                    <w:tr2bl w:val="nil"/>
                  </w:tcBorders>
                  <w:noWrap w:val="0"/>
                  <w:vAlign w:val="center"/>
                </w:tcPr>
                <w:p w14:paraId="18584C27">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17.41</w:t>
                  </w:r>
                </w:p>
              </w:tc>
            </w:tr>
            <w:tr w14:paraId="1A142A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tcBorders>
                    <w:tl2br w:val="nil"/>
                    <w:tr2bl w:val="nil"/>
                  </w:tcBorders>
                  <w:noWrap w:val="0"/>
                  <w:vAlign w:val="center"/>
                </w:tcPr>
                <w:p w14:paraId="1F065186">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w:t>
                  </w:r>
                </w:p>
              </w:tc>
              <w:tc>
                <w:tcPr>
                  <w:tcW w:w="1274" w:type="pct"/>
                  <w:tcBorders>
                    <w:tl2br w:val="nil"/>
                    <w:tr2bl w:val="nil"/>
                  </w:tcBorders>
                  <w:noWrap w:val="0"/>
                  <w:vAlign w:val="center"/>
                </w:tcPr>
                <w:p w14:paraId="6D1F1395">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收到基高位发热量</w:t>
                  </w:r>
                </w:p>
              </w:tc>
              <w:tc>
                <w:tcPr>
                  <w:tcW w:w="986" w:type="pct"/>
                  <w:tcBorders>
                    <w:tl2br w:val="nil"/>
                    <w:tr2bl w:val="nil"/>
                  </w:tcBorders>
                  <w:noWrap w:val="0"/>
                  <w:vAlign w:val="center"/>
                </w:tcPr>
                <w:p w14:paraId="2D7DFA94">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Qnet,ar</w:t>
                  </w:r>
                </w:p>
              </w:tc>
              <w:tc>
                <w:tcPr>
                  <w:tcW w:w="832" w:type="pct"/>
                  <w:tcBorders>
                    <w:tl2br w:val="nil"/>
                    <w:tr2bl w:val="nil"/>
                  </w:tcBorders>
                  <w:noWrap w:val="0"/>
                  <w:vAlign w:val="center"/>
                </w:tcPr>
                <w:p w14:paraId="3AE0A4B8">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MJ/kg</w:t>
                  </w:r>
                </w:p>
              </w:tc>
              <w:tc>
                <w:tcPr>
                  <w:tcW w:w="1255" w:type="pct"/>
                  <w:tcBorders>
                    <w:tl2br w:val="nil"/>
                    <w:tr2bl w:val="nil"/>
                  </w:tcBorders>
                  <w:noWrap w:val="0"/>
                  <w:vAlign w:val="center"/>
                </w:tcPr>
                <w:p w14:paraId="01019068">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20.16</w:t>
                  </w:r>
                </w:p>
              </w:tc>
            </w:tr>
            <w:tr w14:paraId="3C7622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tcBorders>
                    <w:tl2br w:val="nil"/>
                    <w:tr2bl w:val="nil"/>
                  </w:tcBorders>
                  <w:noWrap w:val="0"/>
                  <w:vAlign w:val="center"/>
                </w:tcPr>
                <w:p w14:paraId="4CB391B1">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3</w:t>
                  </w:r>
                </w:p>
              </w:tc>
              <w:tc>
                <w:tcPr>
                  <w:tcW w:w="1274" w:type="pct"/>
                  <w:tcBorders>
                    <w:tl2br w:val="nil"/>
                    <w:tr2bl w:val="nil"/>
                  </w:tcBorders>
                  <w:noWrap w:val="0"/>
                  <w:vAlign w:val="center"/>
                </w:tcPr>
                <w:p w14:paraId="20002DC0">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收到基全水分</w:t>
                  </w:r>
                </w:p>
              </w:tc>
              <w:tc>
                <w:tcPr>
                  <w:tcW w:w="986" w:type="pct"/>
                  <w:tcBorders>
                    <w:tl2br w:val="nil"/>
                    <w:tr2bl w:val="nil"/>
                  </w:tcBorders>
                  <w:noWrap w:val="0"/>
                  <w:vAlign w:val="center"/>
                </w:tcPr>
                <w:p w14:paraId="5836BC45">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Mar</w:t>
                  </w:r>
                </w:p>
              </w:tc>
              <w:tc>
                <w:tcPr>
                  <w:tcW w:w="832" w:type="pct"/>
                  <w:tcBorders>
                    <w:tl2br w:val="nil"/>
                    <w:tr2bl w:val="nil"/>
                  </w:tcBorders>
                  <w:noWrap w:val="0"/>
                  <w:vAlign w:val="center"/>
                </w:tcPr>
                <w:p w14:paraId="071593AA">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w:t>
                  </w:r>
                </w:p>
              </w:tc>
              <w:tc>
                <w:tcPr>
                  <w:tcW w:w="1255" w:type="pct"/>
                  <w:tcBorders>
                    <w:tl2br w:val="nil"/>
                    <w:tr2bl w:val="nil"/>
                  </w:tcBorders>
                  <w:noWrap w:val="0"/>
                  <w:vAlign w:val="center"/>
                </w:tcPr>
                <w:p w14:paraId="52272F88">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7.3</w:t>
                  </w:r>
                </w:p>
              </w:tc>
            </w:tr>
            <w:tr w14:paraId="1F61B5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tcBorders>
                    <w:tl2br w:val="nil"/>
                    <w:tr2bl w:val="nil"/>
                  </w:tcBorders>
                  <w:noWrap w:val="0"/>
                  <w:vAlign w:val="center"/>
                </w:tcPr>
                <w:p w14:paraId="5617F48C">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4</w:t>
                  </w:r>
                </w:p>
              </w:tc>
              <w:tc>
                <w:tcPr>
                  <w:tcW w:w="1274" w:type="pct"/>
                  <w:tcBorders>
                    <w:tl2br w:val="nil"/>
                    <w:tr2bl w:val="nil"/>
                  </w:tcBorders>
                  <w:noWrap w:val="0"/>
                  <w:vAlign w:val="center"/>
                </w:tcPr>
                <w:p w14:paraId="4CCE3A2C">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空气干燥基水分</w:t>
                  </w:r>
                </w:p>
              </w:tc>
              <w:tc>
                <w:tcPr>
                  <w:tcW w:w="986" w:type="pct"/>
                  <w:tcBorders>
                    <w:tl2br w:val="nil"/>
                    <w:tr2bl w:val="nil"/>
                  </w:tcBorders>
                  <w:noWrap w:val="0"/>
                  <w:vAlign w:val="center"/>
                </w:tcPr>
                <w:p w14:paraId="02231071">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Mad</w:t>
                  </w:r>
                </w:p>
              </w:tc>
              <w:tc>
                <w:tcPr>
                  <w:tcW w:w="832" w:type="pct"/>
                  <w:tcBorders>
                    <w:tl2br w:val="nil"/>
                    <w:tr2bl w:val="nil"/>
                  </w:tcBorders>
                  <w:noWrap w:val="0"/>
                  <w:vAlign w:val="center"/>
                </w:tcPr>
                <w:p w14:paraId="41308220">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w:t>
                  </w:r>
                </w:p>
              </w:tc>
              <w:tc>
                <w:tcPr>
                  <w:tcW w:w="1255" w:type="pct"/>
                  <w:tcBorders>
                    <w:tl2br w:val="nil"/>
                    <w:tr2bl w:val="nil"/>
                  </w:tcBorders>
                  <w:noWrap w:val="0"/>
                  <w:vAlign w:val="center"/>
                </w:tcPr>
                <w:p w14:paraId="7D49443B">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2.20</w:t>
                  </w:r>
                </w:p>
              </w:tc>
            </w:tr>
            <w:tr w14:paraId="75EF98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tcBorders>
                    <w:tl2br w:val="nil"/>
                    <w:tr2bl w:val="nil"/>
                  </w:tcBorders>
                  <w:noWrap w:val="0"/>
                  <w:vAlign w:val="center"/>
                </w:tcPr>
                <w:p w14:paraId="0D485A7A">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5</w:t>
                  </w:r>
                </w:p>
              </w:tc>
              <w:tc>
                <w:tcPr>
                  <w:tcW w:w="1274" w:type="pct"/>
                  <w:tcBorders>
                    <w:tl2br w:val="nil"/>
                    <w:tr2bl w:val="nil"/>
                  </w:tcBorders>
                  <w:noWrap w:val="0"/>
                  <w:vAlign w:val="center"/>
                </w:tcPr>
                <w:p w14:paraId="72C0C112">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干燥基灰分</w:t>
                  </w:r>
                </w:p>
              </w:tc>
              <w:tc>
                <w:tcPr>
                  <w:tcW w:w="986" w:type="pct"/>
                  <w:tcBorders>
                    <w:tl2br w:val="nil"/>
                    <w:tr2bl w:val="nil"/>
                  </w:tcBorders>
                  <w:noWrap w:val="0"/>
                  <w:vAlign w:val="center"/>
                </w:tcPr>
                <w:p w14:paraId="342938E5">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Aad</w:t>
                  </w:r>
                </w:p>
              </w:tc>
              <w:tc>
                <w:tcPr>
                  <w:tcW w:w="832" w:type="pct"/>
                  <w:tcBorders>
                    <w:tl2br w:val="nil"/>
                    <w:tr2bl w:val="nil"/>
                  </w:tcBorders>
                  <w:noWrap w:val="0"/>
                  <w:vAlign w:val="center"/>
                </w:tcPr>
                <w:p w14:paraId="358FF8A3">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w:t>
                  </w:r>
                </w:p>
              </w:tc>
              <w:tc>
                <w:tcPr>
                  <w:tcW w:w="1255" w:type="pct"/>
                  <w:tcBorders>
                    <w:tl2br w:val="nil"/>
                    <w:tr2bl w:val="nil"/>
                  </w:tcBorders>
                  <w:noWrap w:val="0"/>
                  <w:vAlign w:val="center"/>
                </w:tcPr>
                <w:p w14:paraId="5CF968A3">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0.70</w:t>
                  </w:r>
                </w:p>
              </w:tc>
            </w:tr>
            <w:tr w14:paraId="765328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0" w:type="pct"/>
                  <w:tcBorders>
                    <w:tl2br w:val="nil"/>
                    <w:tr2bl w:val="nil"/>
                  </w:tcBorders>
                  <w:noWrap w:val="0"/>
                  <w:vAlign w:val="center"/>
                </w:tcPr>
                <w:p w14:paraId="2E0DBDBC">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6</w:t>
                  </w:r>
                </w:p>
              </w:tc>
              <w:tc>
                <w:tcPr>
                  <w:tcW w:w="1274" w:type="pct"/>
                  <w:tcBorders>
                    <w:tl2br w:val="nil"/>
                    <w:tr2bl w:val="nil"/>
                  </w:tcBorders>
                  <w:noWrap w:val="0"/>
                  <w:vAlign w:val="center"/>
                </w:tcPr>
                <w:p w14:paraId="3EC95AD8">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干燥基挥发分</w:t>
                  </w:r>
                </w:p>
              </w:tc>
              <w:tc>
                <w:tcPr>
                  <w:tcW w:w="986" w:type="pct"/>
                  <w:tcBorders>
                    <w:tl2br w:val="nil"/>
                    <w:tr2bl w:val="nil"/>
                  </w:tcBorders>
                  <w:noWrap w:val="0"/>
                  <w:vAlign w:val="center"/>
                </w:tcPr>
                <w:p w14:paraId="7E69A8D7">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Vad</w:t>
                  </w:r>
                </w:p>
              </w:tc>
              <w:tc>
                <w:tcPr>
                  <w:tcW w:w="832" w:type="pct"/>
                  <w:tcBorders>
                    <w:tl2br w:val="nil"/>
                    <w:tr2bl w:val="nil"/>
                  </w:tcBorders>
                  <w:noWrap w:val="0"/>
                  <w:vAlign w:val="center"/>
                </w:tcPr>
                <w:p w14:paraId="0FC4BDC6">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w:t>
                  </w:r>
                </w:p>
              </w:tc>
              <w:tc>
                <w:tcPr>
                  <w:tcW w:w="1255" w:type="pct"/>
                  <w:tcBorders>
                    <w:tl2br w:val="nil"/>
                    <w:tr2bl w:val="nil"/>
                  </w:tcBorders>
                  <w:noWrap w:val="0"/>
                  <w:vAlign w:val="center"/>
                </w:tcPr>
                <w:p w14:paraId="343CBAA4">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84.65</w:t>
                  </w:r>
                </w:p>
              </w:tc>
            </w:tr>
            <w:tr w14:paraId="4032C4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0" w:type="pct"/>
                  <w:tcBorders>
                    <w:tl2br w:val="nil"/>
                    <w:tr2bl w:val="nil"/>
                  </w:tcBorders>
                  <w:noWrap w:val="0"/>
                  <w:vAlign w:val="center"/>
                </w:tcPr>
                <w:p w14:paraId="16081233">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7</w:t>
                  </w:r>
                </w:p>
              </w:tc>
              <w:tc>
                <w:tcPr>
                  <w:tcW w:w="1274" w:type="pct"/>
                  <w:tcBorders>
                    <w:tl2br w:val="nil"/>
                    <w:tr2bl w:val="nil"/>
                  </w:tcBorders>
                  <w:noWrap w:val="0"/>
                  <w:vAlign w:val="center"/>
                </w:tcPr>
                <w:p w14:paraId="1CEF4FCB">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干燥基全硫</w:t>
                  </w:r>
                </w:p>
              </w:tc>
              <w:tc>
                <w:tcPr>
                  <w:tcW w:w="986" w:type="pct"/>
                  <w:tcBorders>
                    <w:tl2br w:val="nil"/>
                    <w:tr2bl w:val="nil"/>
                  </w:tcBorders>
                  <w:noWrap w:val="0"/>
                  <w:vAlign w:val="center"/>
                </w:tcPr>
                <w:p w14:paraId="06AE494E">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St,ar</w:t>
                  </w:r>
                </w:p>
              </w:tc>
              <w:tc>
                <w:tcPr>
                  <w:tcW w:w="832" w:type="pct"/>
                  <w:tcBorders>
                    <w:tl2br w:val="nil"/>
                    <w:tr2bl w:val="nil"/>
                  </w:tcBorders>
                  <w:noWrap w:val="0"/>
                  <w:vAlign w:val="center"/>
                </w:tcPr>
                <w:p w14:paraId="21862B7E">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w:t>
                  </w:r>
                </w:p>
              </w:tc>
              <w:tc>
                <w:tcPr>
                  <w:tcW w:w="1255" w:type="pct"/>
                  <w:tcBorders>
                    <w:tl2br w:val="nil"/>
                    <w:tr2bl w:val="nil"/>
                  </w:tcBorders>
                  <w:noWrap w:val="0"/>
                  <w:vAlign w:val="center"/>
                </w:tcPr>
                <w:p w14:paraId="659230B7">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0.02</w:t>
                  </w:r>
                </w:p>
              </w:tc>
            </w:tr>
            <w:tr w14:paraId="6C5FA3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0" w:type="pct"/>
                  <w:tcBorders>
                    <w:tl2br w:val="nil"/>
                    <w:tr2bl w:val="nil"/>
                  </w:tcBorders>
                  <w:noWrap w:val="0"/>
                  <w:vAlign w:val="center"/>
                </w:tcPr>
                <w:p w14:paraId="339DB978">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8</w:t>
                  </w:r>
                </w:p>
              </w:tc>
              <w:tc>
                <w:tcPr>
                  <w:tcW w:w="1274" w:type="pct"/>
                  <w:tcBorders>
                    <w:tl2br w:val="nil"/>
                    <w:tr2bl w:val="nil"/>
                  </w:tcBorders>
                  <w:noWrap w:val="0"/>
                  <w:vAlign w:val="center"/>
                </w:tcPr>
                <w:p w14:paraId="7176558D">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干燥基全氢</w:t>
                  </w:r>
                </w:p>
              </w:tc>
              <w:tc>
                <w:tcPr>
                  <w:tcW w:w="986" w:type="pct"/>
                  <w:tcBorders>
                    <w:tl2br w:val="nil"/>
                    <w:tr2bl w:val="nil"/>
                  </w:tcBorders>
                  <w:noWrap w:val="0"/>
                  <w:vAlign w:val="center"/>
                </w:tcPr>
                <w:p w14:paraId="2948B5DA">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Har</w:t>
                  </w:r>
                </w:p>
              </w:tc>
              <w:tc>
                <w:tcPr>
                  <w:tcW w:w="832" w:type="pct"/>
                  <w:tcBorders>
                    <w:tl2br w:val="nil"/>
                    <w:tr2bl w:val="nil"/>
                  </w:tcBorders>
                  <w:noWrap w:val="0"/>
                  <w:vAlign w:val="center"/>
                </w:tcPr>
                <w:p w14:paraId="26AE72E5">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w:t>
                  </w:r>
                </w:p>
              </w:tc>
              <w:tc>
                <w:tcPr>
                  <w:tcW w:w="1255" w:type="pct"/>
                  <w:tcBorders>
                    <w:tl2br w:val="nil"/>
                    <w:tr2bl w:val="nil"/>
                  </w:tcBorders>
                  <w:noWrap w:val="0"/>
                  <w:vAlign w:val="center"/>
                </w:tcPr>
                <w:p w14:paraId="5309FDD9">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5.81</w:t>
                  </w:r>
                </w:p>
              </w:tc>
            </w:tr>
            <w:tr w14:paraId="590D74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0" w:type="pct"/>
                  <w:tcBorders>
                    <w:tl2br w:val="nil"/>
                    <w:tr2bl w:val="nil"/>
                  </w:tcBorders>
                  <w:noWrap w:val="0"/>
                  <w:vAlign w:val="center"/>
                </w:tcPr>
                <w:p w14:paraId="62AE0428">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9</w:t>
                  </w:r>
                </w:p>
              </w:tc>
              <w:tc>
                <w:tcPr>
                  <w:tcW w:w="1274" w:type="pct"/>
                  <w:tcBorders>
                    <w:tl2br w:val="nil"/>
                    <w:tr2bl w:val="nil"/>
                  </w:tcBorders>
                  <w:noWrap w:val="0"/>
                  <w:vAlign w:val="center"/>
                </w:tcPr>
                <w:p w14:paraId="7A959B26">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干燥基固定碳</w:t>
                  </w:r>
                </w:p>
              </w:tc>
              <w:tc>
                <w:tcPr>
                  <w:tcW w:w="986" w:type="pct"/>
                  <w:tcBorders>
                    <w:tl2br w:val="nil"/>
                    <w:tr2bl w:val="nil"/>
                  </w:tcBorders>
                  <w:noWrap w:val="0"/>
                  <w:vAlign w:val="center"/>
                </w:tcPr>
                <w:p w14:paraId="0F0C6044">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Car</w:t>
                  </w:r>
                </w:p>
              </w:tc>
              <w:tc>
                <w:tcPr>
                  <w:tcW w:w="832" w:type="pct"/>
                  <w:tcBorders>
                    <w:tl2br w:val="nil"/>
                    <w:tr2bl w:val="nil"/>
                  </w:tcBorders>
                  <w:noWrap w:val="0"/>
                  <w:vAlign w:val="center"/>
                </w:tcPr>
                <w:p w14:paraId="499C33DC">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w:t>
                  </w:r>
                </w:p>
              </w:tc>
              <w:tc>
                <w:tcPr>
                  <w:tcW w:w="1255" w:type="pct"/>
                  <w:tcBorders>
                    <w:tl2br w:val="nil"/>
                    <w:tr2bl w:val="nil"/>
                  </w:tcBorders>
                  <w:noWrap w:val="0"/>
                  <w:vAlign w:val="center"/>
                </w:tcPr>
                <w:p w14:paraId="55DB75E3">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14.65</w:t>
                  </w:r>
                </w:p>
              </w:tc>
            </w:tr>
            <w:tr w14:paraId="3AA8F2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tcBorders>
                    <w:tl2br w:val="nil"/>
                    <w:tr2bl w:val="nil"/>
                  </w:tcBorders>
                  <w:noWrap w:val="0"/>
                  <w:vAlign w:val="center"/>
                </w:tcPr>
                <w:p w14:paraId="58DA6AF9">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注：折算收到基全硫为0.02。</w:t>
                  </w:r>
                </w:p>
              </w:tc>
            </w:tr>
          </w:tbl>
          <w:p w14:paraId="3DDCF1BC">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b w:val="0"/>
                <w:bCs/>
                <w:color w:val="auto"/>
                <w:spacing w:val="0"/>
                <w:sz w:val="24"/>
                <w:szCs w:val="24"/>
                <w:highlight w:val="none"/>
                <w:lang w:val="en-US" w:eastAsia="zh-CN"/>
              </w:rPr>
            </w:pPr>
            <w:r>
              <w:rPr>
                <w:rFonts w:hint="default" w:ascii="Times New Roman" w:hAnsi="Times New Roman" w:cs="Times New Roman"/>
                <w:b w:val="0"/>
                <w:bCs/>
                <w:color w:val="auto"/>
                <w:spacing w:val="0"/>
                <w:sz w:val="24"/>
                <w:szCs w:val="24"/>
                <w:highlight w:val="none"/>
                <w:lang w:val="en-US" w:eastAsia="zh-CN"/>
              </w:rPr>
              <w:t>根据燃料分析报告，本项目锅炉燃料符合《生物质锅炉技术规范》（GB/T44906-2024）关于生物质成型燃料的要求。</w:t>
            </w:r>
          </w:p>
          <w:p w14:paraId="4559B526">
            <w:pPr>
              <w:spacing w:line="360" w:lineRule="auto"/>
              <w:ind w:left="0" w:leftChars="0" w:firstLine="0" w:firstLineChars="0"/>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6.</w:t>
            </w:r>
            <w:r>
              <w:rPr>
                <w:rFonts w:hint="default" w:ascii="Times New Roman" w:hAnsi="Times New Roman" w:eastAsia="宋体" w:cs="Times New Roman"/>
                <w:b/>
                <w:bCs w:val="0"/>
                <w:color w:val="auto"/>
                <w:spacing w:val="0"/>
                <w:sz w:val="24"/>
                <w:szCs w:val="24"/>
                <w:highlight w:val="none"/>
                <w:lang w:val="en-US" w:eastAsia="zh-CN"/>
              </w:rPr>
              <w:t>劳动定员及工作制度</w:t>
            </w:r>
          </w:p>
          <w:p w14:paraId="5C7D4ACC">
            <w:pPr>
              <w:spacing w:line="360" w:lineRule="auto"/>
              <w:contextualSpacing/>
              <w:jc w:val="left"/>
              <w:rPr>
                <w:rFonts w:hint="default" w:ascii="Times New Roman" w:hAnsi="Times New Roman" w:eastAsia="宋体" w:cs="Times New Roman"/>
                <w:color w:val="auto"/>
                <w:spacing w:val="0"/>
                <w:kern w:val="0"/>
                <w:sz w:val="24"/>
                <w:szCs w:val="24"/>
                <w:highlight w:val="none"/>
              </w:rPr>
            </w:pPr>
            <w:r>
              <w:rPr>
                <w:rFonts w:hint="default" w:ascii="Times New Roman" w:hAnsi="Times New Roman" w:eastAsia="宋体" w:cs="Times New Roman"/>
                <w:color w:val="auto"/>
                <w:spacing w:val="0"/>
                <w:sz w:val="24"/>
                <w:szCs w:val="24"/>
                <w:highlight w:val="none"/>
              </w:rPr>
              <w:t>项目</w:t>
            </w:r>
            <w:r>
              <w:rPr>
                <w:rFonts w:hint="default" w:ascii="Times New Roman" w:hAnsi="Times New Roman" w:cs="Times New Roman"/>
                <w:color w:val="auto"/>
                <w:spacing w:val="0"/>
                <w:sz w:val="24"/>
                <w:szCs w:val="24"/>
                <w:highlight w:val="none"/>
                <w:lang w:val="en-US" w:eastAsia="zh-CN"/>
              </w:rPr>
              <w:t>不新增</w:t>
            </w:r>
            <w:r>
              <w:rPr>
                <w:rFonts w:hint="default" w:ascii="Times New Roman" w:hAnsi="Times New Roman" w:eastAsia="宋体" w:cs="Times New Roman"/>
                <w:color w:val="auto"/>
                <w:spacing w:val="0"/>
                <w:sz w:val="24"/>
                <w:szCs w:val="24"/>
                <w:highlight w:val="none"/>
              </w:rPr>
              <w:t>劳动定员，</w:t>
            </w:r>
            <w:r>
              <w:rPr>
                <w:rFonts w:hint="default" w:ascii="Times New Roman" w:hAnsi="Times New Roman" w:cs="Times New Roman"/>
                <w:color w:val="auto"/>
                <w:spacing w:val="0"/>
                <w:sz w:val="24"/>
                <w:szCs w:val="24"/>
                <w:highlight w:val="none"/>
                <w:lang w:val="en-US" w:eastAsia="zh-CN"/>
              </w:rPr>
              <w:t>锅炉</w:t>
            </w:r>
            <w:r>
              <w:rPr>
                <w:rFonts w:hint="default" w:ascii="Times New Roman" w:hAnsi="Times New Roman" w:eastAsia="宋体" w:cs="Times New Roman"/>
                <w:color w:val="auto"/>
                <w:spacing w:val="0"/>
                <w:sz w:val="24"/>
                <w:szCs w:val="24"/>
                <w:highlight w:val="none"/>
              </w:rPr>
              <w:t>年</w:t>
            </w:r>
            <w:r>
              <w:rPr>
                <w:rFonts w:hint="default" w:ascii="Times New Roman" w:hAnsi="Times New Roman" w:cs="Times New Roman"/>
                <w:color w:val="auto"/>
                <w:spacing w:val="0"/>
                <w:sz w:val="24"/>
                <w:szCs w:val="24"/>
                <w:highlight w:val="none"/>
                <w:lang w:val="en-US" w:eastAsia="zh-CN"/>
              </w:rPr>
              <w:t>运行</w:t>
            </w:r>
            <w:r>
              <w:rPr>
                <w:rFonts w:hint="eastAsia" w:ascii="Times New Roman" w:hAnsi="Times New Roman" w:cs="Times New Roman"/>
                <w:color w:val="auto"/>
                <w:spacing w:val="0"/>
                <w:sz w:val="24"/>
                <w:szCs w:val="24"/>
                <w:highlight w:val="none"/>
                <w:lang w:val="en-US" w:eastAsia="zh-CN"/>
              </w:rPr>
              <w:t>242</w:t>
            </w:r>
            <w:r>
              <w:rPr>
                <w:rFonts w:hint="default" w:ascii="Times New Roman" w:hAnsi="Times New Roman" w:eastAsia="宋体" w:cs="Times New Roman"/>
                <w:color w:val="auto"/>
                <w:spacing w:val="0"/>
                <w:sz w:val="24"/>
                <w:szCs w:val="24"/>
                <w:highlight w:val="none"/>
              </w:rPr>
              <w:t>天</w:t>
            </w:r>
            <w:r>
              <w:rPr>
                <w:rFonts w:hint="default" w:ascii="Times New Roman" w:hAnsi="Times New Roman" w:eastAsia="宋体"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rPr>
              <w:t>日工作时间</w:t>
            </w:r>
            <w:r>
              <w:rPr>
                <w:rFonts w:hint="default" w:ascii="Times New Roman" w:hAnsi="Times New Roman" w:cs="Times New Roman"/>
                <w:color w:val="auto"/>
                <w:spacing w:val="0"/>
                <w:sz w:val="24"/>
                <w:szCs w:val="24"/>
                <w:highlight w:val="none"/>
                <w:lang w:val="en-US" w:eastAsia="zh-CN"/>
              </w:rPr>
              <w:t>24</w:t>
            </w:r>
            <w:r>
              <w:rPr>
                <w:rFonts w:hint="default" w:ascii="Times New Roman" w:hAnsi="Times New Roman" w:eastAsia="宋体" w:cs="Times New Roman"/>
                <w:color w:val="auto"/>
                <w:spacing w:val="0"/>
                <w:sz w:val="24"/>
                <w:szCs w:val="24"/>
                <w:highlight w:val="none"/>
              </w:rPr>
              <w:t>h，</w:t>
            </w:r>
            <w:r>
              <w:rPr>
                <w:rFonts w:hint="default" w:ascii="Times New Roman" w:hAnsi="Times New Roman" w:eastAsia="宋体" w:cs="Times New Roman"/>
                <w:color w:val="auto"/>
                <w:spacing w:val="0"/>
                <w:sz w:val="24"/>
                <w:szCs w:val="24"/>
                <w:highlight w:val="none"/>
                <w:lang w:val="en-US" w:eastAsia="zh-CN"/>
              </w:rPr>
              <w:t>双</w:t>
            </w:r>
            <w:r>
              <w:rPr>
                <w:rFonts w:hint="default" w:ascii="Times New Roman" w:hAnsi="Times New Roman" w:eastAsia="宋体" w:cs="Times New Roman"/>
                <w:color w:val="auto"/>
                <w:spacing w:val="0"/>
                <w:sz w:val="24"/>
                <w:szCs w:val="24"/>
                <w:highlight w:val="none"/>
              </w:rPr>
              <w:t>班制</w:t>
            </w: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lang w:val="en-US" w:eastAsia="zh-CN"/>
              </w:rPr>
              <w:t>每班工作</w:t>
            </w:r>
            <w:r>
              <w:rPr>
                <w:rFonts w:hint="default" w:ascii="Times New Roman" w:hAnsi="Times New Roman" w:cs="Times New Roman"/>
                <w:color w:val="auto"/>
                <w:spacing w:val="0"/>
                <w:sz w:val="24"/>
                <w:szCs w:val="24"/>
                <w:highlight w:val="none"/>
                <w:lang w:val="en-US" w:eastAsia="zh-CN"/>
              </w:rPr>
              <w:t>12</w:t>
            </w:r>
            <w:r>
              <w:rPr>
                <w:rFonts w:hint="default" w:ascii="Times New Roman" w:hAnsi="Times New Roman" w:eastAsia="宋体" w:cs="Times New Roman"/>
                <w:color w:val="auto"/>
                <w:spacing w:val="0"/>
                <w:sz w:val="24"/>
                <w:szCs w:val="24"/>
                <w:highlight w:val="none"/>
                <w:lang w:val="en-US" w:eastAsia="zh-CN"/>
              </w:rPr>
              <w:t>小时</w:t>
            </w:r>
            <w:r>
              <w:rPr>
                <w:rFonts w:hint="default" w:ascii="Times New Roman" w:hAnsi="Times New Roman" w:eastAsia="宋体" w:cs="Times New Roman"/>
                <w:color w:val="auto"/>
                <w:spacing w:val="0"/>
                <w:sz w:val="24"/>
                <w:szCs w:val="24"/>
                <w:highlight w:val="none"/>
              </w:rPr>
              <w:t>。</w:t>
            </w:r>
          </w:p>
          <w:p w14:paraId="6B110B89">
            <w:pPr>
              <w:spacing w:line="360" w:lineRule="auto"/>
              <w:ind w:left="0" w:leftChars="0" w:firstLine="0" w:firstLineChars="0"/>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7.</w:t>
            </w:r>
            <w:r>
              <w:rPr>
                <w:rFonts w:hint="default" w:ascii="Times New Roman" w:hAnsi="Times New Roman" w:eastAsia="宋体" w:cs="Times New Roman"/>
                <w:b/>
                <w:bCs w:val="0"/>
                <w:color w:val="auto"/>
                <w:spacing w:val="0"/>
                <w:sz w:val="24"/>
                <w:szCs w:val="24"/>
                <w:highlight w:val="none"/>
                <w:lang w:val="en-US" w:eastAsia="zh-CN"/>
              </w:rPr>
              <w:t>工程进度</w:t>
            </w:r>
          </w:p>
          <w:p w14:paraId="7BCE0D64">
            <w:pPr>
              <w:pStyle w:val="124"/>
              <w:adjustRightInd/>
              <w:snapToGrid/>
              <w:spacing w:line="360" w:lineRule="auto"/>
              <w:ind w:firstLine="480"/>
              <w:rPr>
                <w:rFonts w:hint="default" w:ascii="Times New Roman" w:hAnsi="Times New Roman" w:eastAsia="宋体" w:cs="Times New Roman"/>
                <w:color w:val="auto"/>
                <w:spacing w:val="0"/>
                <w:kern w:val="2"/>
                <w:sz w:val="24"/>
                <w:szCs w:val="24"/>
                <w:highlight w:val="none"/>
                <w:lang w:val="en-US" w:eastAsia="zh-CN"/>
              </w:rPr>
            </w:pPr>
            <w:r>
              <w:rPr>
                <w:rFonts w:hint="default" w:ascii="Times New Roman" w:hAnsi="Times New Roman" w:eastAsia="宋体" w:cs="Times New Roman"/>
                <w:color w:val="auto"/>
                <w:spacing w:val="0"/>
                <w:kern w:val="2"/>
                <w:sz w:val="24"/>
                <w:szCs w:val="24"/>
                <w:highlight w:val="none"/>
              </w:rPr>
              <w:t>本项目建设期为</w:t>
            </w:r>
            <w:r>
              <w:rPr>
                <w:rFonts w:hint="default" w:ascii="Times New Roman" w:hAnsi="Times New Roman" w:cs="Times New Roman"/>
                <w:color w:val="auto"/>
                <w:spacing w:val="0"/>
                <w:kern w:val="2"/>
                <w:sz w:val="24"/>
                <w:szCs w:val="24"/>
                <w:highlight w:val="none"/>
                <w:lang w:val="en-US" w:eastAsia="zh-CN"/>
              </w:rPr>
              <w:t>1</w:t>
            </w:r>
            <w:r>
              <w:rPr>
                <w:rFonts w:hint="default" w:ascii="Times New Roman" w:hAnsi="Times New Roman" w:eastAsia="宋体" w:cs="Times New Roman"/>
                <w:color w:val="auto"/>
                <w:spacing w:val="0"/>
                <w:kern w:val="2"/>
                <w:sz w:val="24"/>
                <w:szCs w:val="24"/>
                <w:highlight w:val="none"/>
              </w:rPr>
              <w:t>个月，施工工期</w:t>
            </w:r>
            <w:r>
              <w:rPr>
                <w:rFonts w:hint="default" w:ascii="Times New Roman" w:hAnsi="Times New Roman" w:eastAsia="宋体" w:cs="Times New Roman"/>
                <w:color w:val="auto"/>
                <w:spacing w:val="0"/>
                <w:kern w:val="2"/>
                <w:sz w:val="24"/>
                <w:szCs w:val="24"/>
                <w:highlight w:val="none"/>
                <w:lang w:val="en-US" w:eastAsia="zh-CN"/>
              </w:rPr>
              <w:t>为</w:t>
            </w:r>
            <w:r>
              <w:rPr>
                <w:rFonts w:hint="default" w:ascii="Times New Roman" w:hAnsi="Times New Roman" w:eastAsia="宋体" w:cs="Times New Roman"/>
                <w:color w:val="auto"/>
                <w:spacing w:val="0"/>
                <w:kern w:val="2"/>
                <w:sz w:val="24"/>
                <w:szCs w:val="24"/>
                <w:highlight w:val="none"/>
              </w:rPr>
              <w:t>202</w:t>
            </w:r>
            <w:r>
              <w:rPr>
                <w:rFonts w:hint="default" w:ascii="Times New Roman" w:hAnsi="Times New Roman" w:cs="Times New Roman"/>
                <w:color w:val="auto"/>
                <w:spacing w:val="0"/>
                <w:kern w:val="2"/>
                <w:sz w:val="24"/>
                <w:szCs w:val="24"/>
                <w:highlight w:val="none"/>
                <w:lang w:val="en-US" w:eastAsia="zh-CN"/>
              </w:rPr>
              <w:t>6</w:t>
            </w:r>
            <w:r>
              <w:rPr>
                <w:rFonts w:hint="default" w:ascii="Times New Roman" w:hAnsi="Times New Roman" w:eastAsia="宋体" w:cs="Times New Roman"/>
                <w:color w:val="auto"/>
                <w:spacing w:val="0"/>
                <w:kern w:val="2"/>
                <w:sz w:val="24"/>
                <w:szCs w:val="24"/>
                <w:highlight w:val="none"/>
              </w:rPr>
              <w:t>年</w:t>
            </w:r>
            <w:r>
              <w:rPr>
                <w:rFonts w:hint="default" w:ascii="Times New Roman" w:hAnsi="Times New Roman" w:cs="Times New Roman"/>
                <w:color w:val="auto"/>
                <w:spacing w:val="0"/>
                <w:kern w:val="2"/>
                <w:sz w:val="24"/>
                <w:szCs w:val="24"/>
                <w:highlight w:val="none"/>
                <w:lang w:val="en-US" w:eastAsia="zh-CN"/>
              </w:rPr>
              <w:t>1</w:t>
            </w:r>
            <w:r>
              <w:rPr>
                <w:rFonts w:hint="default" w:ascii="Times New Roman" w:hAnsi="Times New Roman" w:eastAsia="宋体" w:cs="Times New Roman"/>
                <w:color w:val="auto"/>
                <w:spacing w:val="0"/>
                <w:kern w:val="2"/>
                <w:sz w:val="24"/>
                <w:szCs w:val="24"/>
                <w:highlight w:val="none"/>
              </w:rPr>
              <w:t>月</w:t>
            </w:r>
            <w:r>
              <w:rPr>
                <w:rFonts w:hint="default" w:ascii="Times New Roman" w:hAnsi="Times New Roman" w:cs="Times New Roman"/>
                <w:color w:val="auto"/>
                <w:spacing w:val="0"/>
                <w:kern w:val="2"/>
                <w:sz w:val="24"/>
                <w:szCs w:val="24"/>
                <w:highlight w:val="none"/>
                <w:lang w:eastAsia="zh-CN"/>
              </w:rPr>
              <w:t>—</w:t>
            </w:r>
            <w:r>
              <w:rPr>
                <w:rFonts w:hint="default" w:ascii="Times New Roman" w:hAnsi="Times New Roman" w:eastAsia="宋体" w:cs="Times New Roman"/>
                <w:color w:val="auto"/>
                <w:spacing w:val="0"/>
                <w:kern w:val="2"/>
                <w:sz w:val="24"/>
                <w:szCs w:val="24"/>
                <w:highlight w:val="none"/>
                <w:lang w:val="en-US" w:eastAsia="zh-CN"/>
              </w:rPr>
              <w:t>202</w:t>
            </w:r>
            <w:r>
              <w:rPr>
                <w:rFonts w:hint="default" w:ascii="Times New Roman" w:hAnsi="Times New Roman" w:cs="Times New Roman"/>
                <w:color w:val="auto"/>
                <w:spacing w:val="0"/>
                <w:kern w:val="2"/>
                <w:sz w:val="24"/>
                <w:szCs w:val="24"/>
                <w:highlight w:val="none"/>
                <w:lang w:val="en-US" w:eastAsia="zh-CN"/>
              </w:rPr>
              <w:t>6</w:t>
            </w:r>
            <w:r>
              <w:rPr>
                <w:rFonts w:hint="default" w:ascii="Times New Roman" w:hAnsi="Times New Roman" w:eastAsia="宋体" w:cs="Times New Roman"/>
                <w:color w:val="auto"/>
                <w:spacing w:val="0"/>
                <w:kern w:val="2"/>
                <w:sz w:val="24"/>
                <w:szCs w:val="24"/>
                <w:highlight w:val="none"/>
                <w:lang w:val="en-US" w:eastAsia="zh-CN"/>
              </w:rPr>
              <w:t>年</w:t>
            </w:r>
            <w:r>
              <w:rPr>
                <w:rFonts w:hint="default" w:ascii="Times New Roman" w:hAnsi="Times New Roman" w:cs="Times New Roman"/>
                <w:color w:val="auto"/>
                <w:spacing w:val="0"/>
                <w:kern w:val="2"/>
                <w:sz w:val="24"/>
                <w:szCs w:val="24"/>
                <w:highlight w:val="none"/>
                <w:lang w:val="en-US" w:eastAsia="zh-CN"/>
              </w:rPr>
              <w:t>2</w:t>
            </w:r>
            <w:r>
              <w:rPr>
                <w:rFonts w:hint="default" w:ascii="Times New Roman" w:hAnsi="Times New Roman" w:eastAsia="宋体" w:cs="Times New Roman"/>
                <w:color w:val="auto"/>
                <w:spacing w:val="0"/>
                <w:kern w:val="2"/>
                <w:sz w:val="24"/>
                <w:szCs w:val="24"/>
                <w:highlight w:val="none"/>
              </w:rPr>
              <w:t>月。</w:t>
            </w:r>
          </w:p>
          <w:p w14:paraId="4F10A095">
            <w:pPr>
              <w:spacing w:line="360" w:lineRule="auto"/>
              <w:ind w:left="0" w:leftChars="0" w:firstLine="0" w:firstLineChars="0"/>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8.</w:t>
            </w:r>
            <w:r>
              <w:rPr>
                <w:rFonts w:hint="default" w:ascii="Times New Roman" w:hAnsi="Times New Roman" w:eastAsia="宋体" w:cs="Times New Roman"/>
                <w:b/>
                <w:bCs w:val="0"/>
                <w:color w:val="auto"/>
                <w:spacing w:val="0"/>
                <w:sz w:val="24"/>
                <w:szCs w:val="24"/>
                <w:highlight w:val="none"/>
                <w:lang w:val="en-US" w:eastAsia="zh-CN"/>
              </w:rPr>
              <w:t>公用工程</w:t>
            </w:r>
          </w:p>
          <w:p w14:paraId="443D184C">
            <w:pPr>
              <w:spacing w:line="360" w:lineRule="auto"/>
              <w:jc w:val="left"/>
              <w:rPr>
                <w:rFonts w:hint="default" w:ascii="Times New Roman" w:hAnsi="Times New Roman" w:eastAsia="宋体" w:cs="Times New Roman"/>
                <w:bCs/>
                <w:color w:val="auto"/>
                <w:spacing w:val="0"/>
                <w:sz w:val="24"/>
                <w:szCs w:val="24"/>
                <w:highlight w:val="none"/>
                <w:lang w:val="en-US" w:eastAsia="zh-CN"/>
              </w:rPr>
            </w:pPr>
            <w:r>
              <w:rPr>
                <w:rFonts w:hint="default" w:ascii="Times New Roman" w:hAnsi="Times New Roman" w:eastAsia="宋体" w:cs="Times New Roman"/>
                <w:bCs/>
                <w:color w:val="auto"/>
                <w:spacing w:val="0"/>
                <w:sz w:val="24"/>
                <w:szCs w:val="24"/>
                <w:highlight w:val="none"/>
                <w:lang w:val="en-US" w:eastAsia="zh-CN"/>
              </w:rPr>
              <w:t>（1）给排水</w:t>
            </w:r>
          </w:p>
          <w:p w14:paraId="66F3A91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snapToGrid w:val="0"/>
                <w:color w:val="auto"/>
                <w:spacing w:val="0"/>
                <w:kern w:val="0"/>
                <w:sz w:val="24"/>
                <w:szCs w:val="24"/>
                <w:highlight w:val="none"/>
              </w:rPr>
              <w:t>给水</w:t>
            </w:r>
          </w:p>
          <w:p w14:paraId="32D6BBEB">
            <w:pPr>
              <w:spacing w:line="360" w:lineRule="auto"/>
              <w:ind w:left="0" w:leftChars="0" w:firstLine="480" w:firstLineChars="200"/>
              <w:rPr>
                <w:rFonts w:hint="default" w:ascii="Times New Roman" w:hAnsi="Times New Roman" w:eastAsia="宋体" w:cs="Times New Roman"/>
                <w:bCs/>
                <w:color w:val="auto"/>
                <w:spacing w:val="0"/>
                <w:sz w:val="24"/>
                <w:szCs w:val="24"/>
                <w:highlight w:val="none"/>
                <w:lang w:val="en-US" w:eastAsia="zh-CN"/>
              </w:rPr>
            </w:pPr>
            <w:r>
              <w:rPr>
                <w:rFonts w:hint="default" w:ascii="Times New Roman" w:hAnsi="Times New Roman" w:eastAsia="宋体" w:cs="Times New Roman"/>
                <w:bCs/>
                <w:color w:val="auto"/>
                <w:spacing w:val="0"/>
                <w:kern w:val="2"/>
                <w:sz w:val="24"/>
                <w:szCs w:val="24"/>
                <w:highlight w:val="none"/>
                <w:lang w:val="en-US" w:eastAsia="zh-CN" w:bidi="ar-SA"/>
              </w:rPr>
              <w:t>本项目用水依托</w:t>
            </w:r>
            <w:r>
              <w:rPr>
                <w:rFonts w:hint="default" w:ascii="Times New Roman" w:hAnsi="Times New Roman" w:cs="Times New Roman"/>
                <w:bCs/>
                <w:color w:val="auto"/>
                <w:spacing w:val="0"/>
                <w:kern w:val="2"/>
                <w:sz w:val="24"/>
                <w:szCs w:val="24"/>
                <w:highlight w:val="none"/>
                <w:lang w:val="en-US" w:eastAsia="zh-CN" w:bidi="ar-SA"/>
              </w:rPr>
              <w:t>市政</w:t>
            </w:r>
            <w:r>
              <w:rPr>
                <w:rFonts w:hint="default" w:ascii="Times New Roman" w:hAnsi="Times New Roman" w:eastAsia="宋体" w:cs="Times New Roman"/>
                <w:bCs/>
                <w:color w:val="auto"/>
                <w:spacing w:val="0"/>
                <w:kern w:val="2"/>
                <w:sz w:val="24"/>
                <w:szCs w:val="24"/>
                <w:highlight w:val="none"/>
                <w:lang w:val="en-US" w:eastAsia="zh-CN" w:bidi="ar-SA"/>
              </w:rPr>
              <w:t>供水管网。</w:t>
            </w:r>
            <w:r>
              <w:rPr>
                <w:rFonts w:hint="default" w:ascii="Times New Roman" w:hAnsi="Times New Roman" w:eastAsia="宋体" w:cs="Times New Roman"/>
                <w:bCs/>
                <w:color w:val="auto"/>
                <w:spacing w:val="0"/>
                <w:sz w:val="24"/>
                <w:szCs w:val="24"/>
                <w:highlight w:val="none"/>
              </w:rPr>
              <w:t>本项目</w:t>
            </w:r>
            <w:r>
              <w:rPr>
                <w:rFonts w:hint="default" w:ascii="Times New Roman" w:hAnsi="Times New Roman" w:eastAsia="宋体" w:cs="Times New Roman"/>
                <w:bCs/>
                <w:color w:val="auto"/>
                <w:spacing w:val="0"/>
                <w:sz w:val="24"/>
                <w:szCs w:val="24"/>
                <w:highlight w:val="none"/>
                <w:lang w:val="en-US" w:eastAsia="zh-CN"/>
              </w:rPr>
              <w:t>用水主要为</w:t>
            </w:r>
            <w:r>
              <w:rPr>
                <w:rFonts w:hint="eastAsia" w:ascii="Times New Roman" w:hAnsi="Times New Roman" w:cs="Times New Roman"/>
                <w:bCs/>
                <w:color w:val="auto"/>
                <w:spacing w:val="0"/>
                <w:sz w:val="24"/>
                <w:szCs w:val="24"/>
                <w:highlight w:val="none"/>
                <w:lang w:val="en-US" w:eastAsia="zh-CN"/>
              </w:rPr>
              <w:t>软化水装置用水、</w:t>
            </w:r>
            <w:r>
              <w:rPr>
                <w:rFonts w:hint="default" w:ascii="Times New Roman" w:hAnsi="Times New Roman" w:eastAsia="宋体" w:cs="Times New Roman"/>
                <w:bCs/>
                <w:color w:val="auto"/>
                <w:spacing w:val="0"/>
                <w:sz w:val="24"/>
                <w:szCs w:val="24"/>
                <w:highlight w:val="none"/>
                <w:lang w:val="en-US" w:eastAsia="zh-CN"/>
              </w:rPr>
              <w:t>锅炉补水</w:t>
            </w:r>
            <w:r>
              <w:rPr>
                <w:rFonts w:hint="eastAsia" w:ascii="Times New Roman" w:hAnsi="Times New Roman" w:cs="Times New Roman"/>
                <w:bCs/>
                <w:color w:val="auto"/>
                <w:spacing w:val="0"/>
                <w:sz w:val="24"/>
                <w:szCs w:val="24"/>
                <w:highlight w:val="none"/>
                <w:lang w:val="en-US" w:eastAsia="zh-CN"/>
              </w:rPr>
              <w:t>、锅炉循环水</w:t>
            </w:r>
            <w:r>
              <w:rPr>
                <w:rFonts w:hint="default" w:ascii="Times New Roman" w:hAnsi="Times New Roman" w:eastAsia="宋体" w:cs="Times New Roman"/>
                <w:bCs/>
                <w:color w:val="auto"/>
                <w:spacing w:val="0"/>
                <w:sz w:val="24"/>
                <w:szCs w:val="24"/>
                <w:highlight w:val="none"/>
              </w:rPr>
              <w:t>。</w:t>
            </w:r>
          </w:p>
          <w:p w14:paraId="2C58AD85">
            <w:pPr>
              <w:pStyle w:val="43"/>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pacing w:val="0"/>
                <w:highlight w:val="none"/>
                <w:lang w:val="en-US" w:eastAsia="zh-CN"/>
              </w:rPr>
              <w:t>锅炉补水：本项目设有</w:t>
            </w:r>
            <w:r>
              <w:rPr>
                <w:rFonts w:hint="eastAsia" w:ascii="Times New Roman" w:hAnsi="Times New Roman" w:cs="Times New Roman"/>
                <w:color w:val="auto"/>
                <w:spacing w:val="0"/>
                <w:highlight w:val="none"/>
                <w:lang w:val="en-US" w:eastAsia="zh-CN"/>
              </w:rPr>
              <w:t>2.1MW</w:t>
            </w:r>
            <w:r>
              <w:rPr>
                <w:rFonts w:hint="default" w:ascii="Times New Roman" w:hAnsi="Times New Roman" w:cs="Times New Roman"/>
                <w:color w:val="auto"/>
                <w:spacing w:val="0"/>
                <w:highlight w:val="none"/>
                <w:lang w:val="en-US" w:eastAsia="zh-CN"/>
              </w:rPr>
              <w:t>热水</w:t>
            </w:r>
            <w:r>
              <w:rPr>
                <w:rFonts w:hint="default" w:ascii="Times New Roman" w:hAnsi="Times New Roman" w:eastAsia="宋体" w:cs="Times New Roman"/>
                <w:color w:val="auto"/>
                <w:spacing w:val="0"/>
                <w:highlight w:val="none"/>
                <w:lang w:val="en-US" w:eastAsia="zh-CN"/>
              </w:rPr>
              <w:t>锅炉。</w:t>
            </w:r>
            <w:r>
              <w:rPr>
                <w:rFonts w:hint="default" w:ascii="Times New Roman" w:hAnsi="Times New Roman" w:cs="Times New Roman"/>
                <w:color w:val="auto"/>
                <w:spacing w:val="0"/>
                <w:highlight w:val="none"/>
                <w:lang w:val="en-US" w:eastAsia="zh-CN"/>
              </w:rPr>
              <w:t>热水</w:t>
            </w:r>
            <w:r>
              <w:rPr>
                <w:rFonts w:hint="default" w:ascii="Times New Roman" w:hAnsi="Times New Roman" w:eastAsia="宋体" w:cs="Times New Roman"/>
                <w:color w:val="auto"/>
                <w:spacing w:val="0"/>
                <w:highlight w:val="none"/>
                <w:lang w:val="en-US" w:eastAsia="zh-CN"/>
              </w:rPr>
              <w:t>锅炉产生的</w:t>
            </w:r>
            <w:r>
              <w:rPr>
                <w:rFonts w:hint="default" w:ascii="Times New Roman" w:hAnsi="Times New Roman" w:cs="Times New Roman"/>
                <w:color w:val="auto"/>
                <w:spacing w:val="0"/>
                <w:highlight w:val="none"/>
                <w:lang w:val="en-US" w:eastAsia="zh-CN"/>
              </w:rPr>
              <w:t>热水</w:t>
            </w:r>
            <w:r>
              <w:rPr>
                <w:rFonts w:hint="default" w:ascii="Times New Roman" w:hAnsi="Times New Roman" w:eastAsia="宋体" w:cs="Times New Roman"/>
                <w:color w:val="auto"/>
                <w:spacing w:val="0"/>
                <w:highlight w:val="none"/>
                <w:lang w:val="en-US" w:eastAsia="zh-CN"/>
              </w:rPr>
              <w:t>全部用于</w:t>
            </w:r>
            <w:r>
              <w:rPr>
                <w:rFonts w:hint="default" w:ascii="Times New Roman" w:hAnsi="Times New Roman" w:cs="Times New Roman"/>
                <w:color w:val="auto"/>
                <w:spacing w:val="0"/>
                <w:highlight w:val="none"/>
                <w:lang w:val="en-US" w:eastAsia="zh-CN"/>
              </w:rPr>
              <w:t>医院供热</w:t>
            </w:r>
            <w:r>
              <w:rPr>
                <w:rFonts w:hint="default" w:ascii="Times New Roman" w:hAnsi="Times New Roman" w:eastAsia="宋体" w:cs="Times New Roman"/>
                <w:color w:val="auto"/>
                <w:spacing w:val="0"/>
                <w:highlight w:val="none"/>
                <w:lang w:val="en-US" w:eastAsia="zh-CN"/>
              </w:rPr>
              <w:t>。锅炉排污水：根据《污染源源强核算技术指南 锅炉》中废水污染源源强核算方法，本项目采用产污系数法。由《排放源统计调查产排污核算方法和系数手册》（公告2021年第24号）中“4430工业锅炉（热力生产和供应行业）产排污系数表”的内容，</w:t>
            </w:r>
            <w:r>
              <w:rPr>
                <w:rFonts w:hint="default" w:ascii="Times New Roman" w:hAnsi="Times New Roman" w:cs="Times New Roman"/>
                <w:color w:val="auto"/>
                <w:sz w:val="24"/>
                <w:highlight w:val="none"/>
                <w:lang w:val="en-US" w:eastAsia="zh-CN"/>
              </w:rPr>
              <w:t>生物质燃料</w:t>
            </w:r>
            <w:r>
              <w:rPr>
                <w:rFonts w:hint="default" w:ascii="Times New Roman" w:hAnsi="Times New Roman" w:cs="Times New Roman"/>
                <w:color w:val="auto"/>
                <w:sz w:val="24"/>
                <w:highlight w:val="none"/>
              </w:rPr>
              <w:t>（锅外水处理）废水产生系数为</w:t>
            </w:r>
            <w:r>
              <w:rPr>
                <w:rFonts w:hint="eastAsia" w:ascii="Times New Roman" w:hAnsi="Times New Roman" w:cs="Times New Roman"/>
                <w:color w:val="auto"/>
                <w:sz w:val="24"/>
                <w:highlight w:val="none"/>
                <w:lang w:val="en-US" w:eastAsia="zh-CN"/>
              </w:rPr>
              <w:t>0.356</w:t>
            </w:r>
            <w:r>
              <w:rPr>
                <w:rFonts w:hint="default" w:ascii="Times New Roman" w:hAnsi="Times New Roman" w:cs="Times New Roman"/>
                <w:color w:val="auto"/>
                <w:sz w:val="24"/>
                <w:highlight w:val="none"/>
              </w:rPr>
              <w:t>吨/吨</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原料</w:t>
            </w:r>
            <w:r>
              <w:rPr>
                <w:rFonts w:hint="default" w:ascii="Times New Roman" w:hAnsi="Times New Roman" w:eastAsia="宋体" w:cs="Times New Roman"/>
                <w:color w:val="auto"/>
                <w:spacing w:val="0"/>
                <w:highlight w:val="none"/>
                <w:lang w:val="en-US" w:eastAsia="zh-CN"/>
              </w:rPr>
              <w:t>，本项目</w:t>
            </w:r>
            <w:r>
              <w:rPr>
                <w:rFonts w:hint="default" w:ascii="Times New Roman" w:hAnsi="Times New Roman" w:cs="Times New Roman"/>
                <w:color w:val="auto"/>
                <w:sz w:val="24"/>
                <w:highlight w:val="none"/>
              </w:rPr>
              <w:t>生</w:t>
            </w:r>
            <w:r>
              <w:rPr>
                <w:rFonts w:hint="default" w:ascii="Times New Roman" w:hAnsi="Times New Roman" w:eastAsia="宋体" w:cs="Times New Roman"/>
                <w:color w:val="auto"/>
                <w:sz w:val="24"/>
                <w:highlight w:val="none"/>
              </w:rPr>
              <w:t>物质锅炉</w:t>
            </w:r>
            <w:r>
              <w:rPr>
                <w:rFonts w:hint="default" w:ascii="Times New Roman" w:hAnsi="Times New Roman" w:eastAsia="宋体" w:cs="Times New Roman"/>
                <w:color w:val="auto"/>
                <w:sz w:val="24"/>
                <w:highlight w:val="none"/>
                <w:lang w:val="en-US" w:eastAsia="zh-CN"/>
              </w:rPr>
              <w:t>年燃烧</w:t>
            </w:r>
            <w:r>
              <w:rPr>
                <w:rFonts w:hint="default" w:ascii="Times New Roman" w:hAnsi="Times New Roman" w:eastAsia="宋体" w:cs="Times New Roman"/>
                <w:color w:val="auto"/>
                <w:sz w:val="24"/>
                <w:highlight w:val="none"/>
              </w:rPr>
              <w:t>生物质</w:t>
            </w:r>
            <w:r>
              <w:rPr>
                <w:rFonts w:hint="default" w:ascii="Times New Roman" w:hAnsi="Times New Roman" w:eastAsia="宋体" w:cs="Times New Roman"/>
                <w:color w:val="auto"/>
                <w:sz w:val="24"/>
                <w:highlight w:val="none"/>
                <w:lang w:val="en-US" w:eastAsia="zh-CN"/>
              </w:rPr>
              <w:t>消耗量</w:t>
            </w:r>
            <w:r>
              <w:rPr>
                <w:rFonts w:hint="eastAsia" w:ascii="Times New Roman" w:hAnsi="Times New Roman" w:cs="Times New Roman"/>
                <w:color w:val="auto"/>
                <w:sz w:val="24"/>
                <w:highlight w:val="none"/>
                <w:lang w:val="en-US" w:eastAsia="zh-CN"/>
              </w:rPr>
              <w:t>3020.16</w:t>
            </w:r>
            <w:r>
              <w:rPr>
                <w:rFonts w:hint="default" w:ascii="Times New Roman" w:hAnsi="Times New Roman" w:eastAsia="宋体" w:cs="Times New Roman"/>
                <w:color w:val="auto"/>
                <w:sz w:val="24"/>
                <w:highlight w:val="none"/>
                <w:lang w:val="en-US" w:eastAsia="zh-CN"/>
              </w:rPr>
              <w:t>t/a，故锅炉排污水为</w:t>
            </w:r>
            <w:r>
              <w:rPr>
                <w:rFonts w:hint="eastAsia" w:ascii="Times New Roman" w:hAnsi="Times New Roman" w:cs="Times New Roman"/>
                <w:color w:val="auto"/>
                <w:sz w:val="24"/>
                <w:highlight w:val="none"/>
                <w:lang w:val="en-US" w:eastAsia="zh-CN"/>
              </w:rPr>
              <w:t>4.44t/d</w:t>
            </w:r>
            <w:r>
              <w:rPr>
                <w:rFonts w:hint="default" w:ascii="Times New Roman" w:hAnsi="Times New Roman" w:eastAsia="宋体"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1075.18</w:t>
            </w:r>
            <w:r>
              <w:rPr>
                <w:rFonts w:hint="default" w:ascii="Times New Roman" w:hAnsi="Times New Roman" w:eastAsia="宋体" w:cs="Times New Roman"/>
                <w:color w:val="auto"/>
                <w:sz w:val="24"/>
                <w:highlight w:val="none"/>
                <w:lang w:val="en-US" w:eastAsia="zh-CN"/>
              </w:rPr>
              <w:t>t/a。锅炉每日进行一次补水，补水量与排水量按照1:0.95计算，补水量为</w:t>
            </w:r>
            <w:r>
              <w:rPr>
                <w:rFonts w:hint="eastAsia" w:ascii="Times New Roman" w:hAnsi="Times New Roman" w:cs="Times New Roman"/>
                <w:color w:val="auto"/>
                <w:sz w:val="24"/>
                <w:highlight w:val="none"/>
                <w:lang w:val="en-US" w:eastAsia="zh-CN"/>
              </w:rPr>
              <w:t>1131.77t</w:t>
            </w:r>
            <w:r>
              <w:rPr>
                <w:rFonts w:hint="default" w:ascii="Times New Roman" w:hAnsi="Times New Roman" w:eastAsia="宋体" w:cs="Times New Roman"/>
                <w:color w:val="auto"/>
                <w:sz w:val="24"/>
                <w:highlight w:val="none"/>
                <w:lang w:val="en-US" w:eastAsia="zh-CN"/>
              </w:rPr>
              <w:t>/a，</w:t>
            </w:r>
            <w:r>
              <w:rPr>
                <w:rFonts w:hint="eastAsia" w:ascii="Times New Roman" w:hAnsi="Times New Roman" w:cs="Times New Roman"/>
                <w:color w:val="auto"/>
                <w:sz w:val="24"/>
                <w:highlight w:val="none"/>
                <w:lang w:val="en-US" w:eastAsia="zh-CN"/>
              </w:rPr>
              <w:t>4.68t</w:t>
            </w:r>
            <w:r>
              <w:rPr>
                <w:rFonts w:hint="default" w:ascii="Times New Roman" w:hAnsi="Times New Roman" w:eastAsia="宋体" w:cs="Times New Roman"/>
                <w:color w:val="auto"/>
                <w:sz w:val="24"/>
                <w:highlight w:val="none"/>
                <w:lang w:val="en-US" w:eastAsia="zh-CN"/>
              </w:rPr>
              <w:t>/d。</w:t>
            </w:r>
            <w:r>
              <w:rPr>
                <w:rFonts w:hint="eastAsia" w:ascii="Times New Roman" w:hAnsi="Times New Roman" w:cs="Times New Roman"/>
                <w:color w:val="auto"/>
                <w:sz w:val="24"/>
                <w:highlight w:val="none"/>
                <w:lang w:val="en-US" w:eastAsia="zh-CN"/>
              </w:rPr>
              <w:t>依据《供热工程》技术手册</w:t>
            </w:r>
            <w:r>
              <w:rPr>
                <w:rFonts w:hint="eastAsia" w:ascii="Times New Roman" w:hAnsi="Times New Roman" w:eastAsia="宋体" w:cs="Times New Roman"/>
                <w:color w:val="auto"/>
                <w:sz w:val="24"/>
                <w:highlight w:val="none"/>
                <w:lang w:val="en-US" w:eastAsia="zh-CN"/>
              </w:rPr>
              <w:t>中提到</w:t>
            </w:r>
            <w:r>
              <w:rPr>
                <w:rFonts w:hint="default" w:ascii="Times New Roman" w:hAnsi="Times New Roman" w:eastAsia="宋体" w:cs="Times New Roman"/>
                <w:color w:val="auto"/>
                <w:sz w:val="24"/>
                <w:highlight w:val="none"/>
                <w:lang w:val="en-US" w:eastAsia="zh-CN"/>
              </w:rPr>
              <w:t>热水供热系统的正常补水量，宜为系统循环水量的1%～2%。</w:t>
            </w:r>
            <w:r>
              <w:rPr>
                <w:rFonts w:hint="eastAsia" w:ascii="Times New Roman" w:hAnsi="Times New Roman" w:eastAsia="宋体" w:cs="Times New Roman"/>
                <w:color w:val="auto"/>
                <w:sz w:val="24"/>
                <w:highlight w:val="none"/>
                <w:lang w:val="en-US" w:eastAsia="zh-CN"/>
              </w:rPr>
              <w:t>本项目取2%，则循环水量为</w:t>
            </w:r>
            <w:r>
              <w:rPr>
                <w:rFonts w:hint="eastAsia" w:ascii="Times New Roman" w:hAnsi="Times New Roman" w:cs="Times New Roman"/>
                <w:color w:val="auto"/>
                <w:sz w:val="24"/>
                <w:highlight w:val="none"/>
                <w:lang w:val="en-US" w:eastAsia="zh-CN"/>
              </w:rPr>
              <w:t>56588.5</w:t>
            </w:r>
            <w:r>
              <w:rPr>
                <w:rFonts w:hint="eastAsia" w:ascii="Times New Roman" w:hAnsi="Times New Roman" w:eastAsia="宋体" w:cs="Times New Roman"/>
                <w:color w:val="auto"/>
                <w:sz w:val="24"/>
                <w:highlight w:val="none"/>
                <w:lang w:val="en-US" w:eastAsia="zh-CN"/>
              </w:rPr>
              <w:t>t/</w:t>
            </w:r>
            <w:r>
              <w:rPr>
                <w:rFonts w:hint="eastAsia" w:ascii="Times New Roman" w:hAnsi="Times New Roman" w:cs="Times New Roman"/>
                <w:color w:val="auto"/>
                <w:sz w:val="24"/>
                <w:highlight w:val="none"/>
                <w:lang w:val="en-US" w:eastAsia="zh-CN"/>
              </w:rPr>
              <w:t>a</w:t>
            </w:r>
            <w:r>
              <w:rPr>
                <w:rFonts w:hint="eastAsia" w:ascii="Times New Roman" w:hAnsi="Times New Roman" w:eastAsia="宋体"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则本项目补水量及循环水量共计57720.27</w:t>
            </w:r>
            <w:r>
              <w:rPr>
                <w:rFonts w:hint="eastAsia" w:ascii="Times New Roman" w:hAnsi="Times New Roman" w:eastAsia="宋体" w:cs="Times New Roman"/>
                <w:color w:val="auto"/>
                <w:sz w:val="24"/>
                <w:highlight w:val="none"/>
                <w:lang w:val="en-US" w:eastAsia="zh-CN"/>
              </w:rPr>
              <w:t>t/</w:t>
            </w:r>
            <w:r>
              <w:rPr>
                <w:rFonts w:hint="eastAsia" w:ascii="Times New Roman" w:hAnsi="Times New Roman" w:cs="Times New Roman"/>
                <w:color w:val="auto"/>
                <w:sz w:val="24"/>
                <w:highlight w:val="none"/>
                <w:lang w:val="en-US" w:eastAsia="zh-CN"/>
              </w:rPr>
              <w:t>a</w:t>
            </w:r>
            <w:r>
              <w:rPr>
                <w:rFonts w:hint="eastAsia" w:ascii="Times New Roman" w:hAnsi="Times New Roman" w:eastAsia="宋体" w:cs="Times New Roman"/>
                <w:color w:val="auto"/>
                <w:sz w:val="24"/>
                <w:highlight w:val="none"/>
                <w:lang w:val="en-US" w:eastAsia="zh-CN"/>
              </w:rPr>
              <w:t>。</w:t>
            </w:r>
          </w:p>
          <w:p w14:paraId="16CAC268">
            <w:pPr>
              <w:rPr>
                <w:rFonts w:hint="default"/>
                <w:color w:val="auto"/>
                <w:highlight w:val="none"/>
                <w:lang w:val="en-US" w:eastAsia="zh-CN"/>
              </w:rPr>
            </w:pPr>
            <w:r>
              <w:rPr>
                <w:rFonts w:hint="eastAsia"/>
                <w:color w:val="auto"/>
                <w:highlight w:val="none"/>
                <w:lang w:val="en-US" w:eastAsia="zh-CN"/>
              </w:rPr>
              <w:t>软水制备用水：锅炉补水使用软化水，</w:t>
            </w:r>
            <w:r>
              <w:rPr>
                <w:rFonts w:hint="eastAsia" w:ascii="宋体" w:hAnsi="宋体" w:eastAsia="宋体" w:cs="宋体"/>
                <w:bCs/>
                <w:color w:val="auto"/>
                <w:kern w:val="0"/>
                <w:sz w:val="24"/>
                <w:szCs w:val="24"/>
                <w:highlight w:val="none"/>
                <w:lang w:val="en-US" w:eastAsia="zh-CN" w:bidi="ar"/>
              </w:rPr>
              <w:t>软化水制取装置采用离子交换树脂法，离子交换树脂制水率为</w:t>
            </w:r>
            <w:r>
              <w:rPr>
                <w:rFonts w:hint="default" w:ascii="Times New Roman" w:hAnsi="Times New Roman" w:eastAsia="宋体" w:cs="Times New Roman"/>
                <w:bCs/>
                <w:color w:val="auto"/>
                <w:kern w:val="0"/>
                <w:sz w:val="24"/>
                <w:szCs w:val="24"/>
                <w:highlight w:val="none"/>
                <w:lang w:val="en-US" w:eastAsia="zh-CN" w:bidi="ar"/>
              </w:rPr>
              <w:t>90%</w:t>
            </w:r>
            <w:r>
              <w:rPr>
                <w:rFonts w:hint="eastAsia" w:ascii="宋体" w:hAnsi="宋体" w:eastAsia="宋体" w:cs="宋体"/>
                <w:bCs/>
                <w:color w:val="auto"/>
                <w:kern w:val="0"/>
                <w:sz w:val="24"/>
                <w:szCs w:val="24"/>
                <w:highlight w:val="none"/>
                <w:lang w:val="en-US" w:eastAsia="zh-CN" w:bidi="ar"/>
              </w:rPr>
              <w:t>，则软化水新鲜水用水量为</w:t>
            </w:r>
            <w:r>
              <w:rPr>
                <w:rFonts w:hint="eastAsia" w:ascii="Times New Roman" w:hAnsi="Times New Roman" w:cs="Times New Roman"/>
                <w:bCs/>
                <w:color w:val="auto"/>
                <w:kern w:val="0"/>
                <w:sz w:val="24"/>
                <w:szCs w:val="24"/>
                <w:highlight w:val="none"/>
                <w:lang w:val="en-US" w:eastAsia="zh-CN" w:bidi="ar"/>
              </w:rPr>
              <w:t>265</w:t>
            </w:r>
            <w:r>
              <w:rPr>
                <w:rFonts w:hint="default" w:ascii="Times New Roman" w:hAnsi="Times New Roman" w:eastAsia="宋体" w:cs="Times New Roman"/>
                <w:bCs/>
                <w:color w:val="auto"/>
                <w:kern w:val="0"/>
                <w:sz w:val="24"/>
                <w:szCs w:val="24"/>
                <w:highlight w:val="none"/>
                <w:lang w:val="en-US" w:eastAsia="zh-CN" w:bidi="ar"/>
              </w:rPr>
              <w:t>t/d</w:t>
            </w:r>
            <w:r>
              <w:rPr>
                <w:rFonts w:hint="eastAsia" w:ascii="宋体" w:hAnsi="宋体" w:eastAsia="宋体" w:cs="宋体"/>
                <w:bCs/>
                <w:color w:val="auto"/>
                <w:kern w:val="0"/>
                <w:sz w:val="24"/>
                <w:szCs w:val="24"/>
                <w:highlight w:val="none"/>
                <w:lang w:val="en-US" w:eastAsia="zh-CN" w:bidi="ar"/>
              </w:rPr>
              <w:t>，</w:t>
            </w:r>
            <w:r>
              <w:rPr>
                <w:rFonts w:hint="eastAsia" w:ascii="Times New Roman" w:hAnsi="Times New Roman" w:cs="Times New Roman"/>
                <w:bCs/>
                <w:color w:val="auto"/>
                <w:kern w:val="0"/>
                <w:sz w:val="24"/>
                <w:szCs w:val="24"/>
                <w:highlight w:val="none"/>
                <w:lang w:val="en-US" w:eastAsia="zh-CN" w:bidi="ar"/>
              </w:rPr>
              <w:t>64133.63</w:t>
            </w:r>
            <w:r>
              <w:rPr>
                <w:rFonts w:hint="default" w:ascii="Times New Roman" w:hAnsi="Times New Roman" w:eastAsia="宋体" w:cs="Times New Roman"/>
                <w:bCs/>
                <w:color w:val="auto"/>
                <w:kern w:val="0"/>
                <w:sz w:val="24"/>
                <w:szCs w:val="24"/>
                <w:highlight w:val="none"/>
                <w:lang w:val="en-US" w:eastAsia="zh-CN" w:bidi="ar"/>
              </w:rPr>
              <w:t>t/a</w:t>
            </w:r>
            <w:r>
              <w:rPr>
                <w:rFonts w:hint="eastAsia" w:ascii="宋体" w:hAnsi="宋体" w:eastAsia="宋体" w:cs="宋体"/>
                <w:bCs/>
                <w:color w:val="auto"/>
                <w:kern w:val="0"/>
                <w:sz w:val="24"/>
                <w:szCs w:val="24"/>
                <w:highlight w:val="none"/>
                <w:lang w:val="en-US" w:eastAsia="zh-CN" w:bidi="ar"/>
              </w:rPr>
              <w:t>。</w:t>
            </w:r>
          </w:p>
          <w:p w14:paraId="655FF0C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napToGrid w:val="0"/>
                <w:color w:val="auto"/>
                <w:spacing w:val="0"/>
                <w:kern w:val="0"/>
                <w:sz w:val="24"/>
                <w:szCs w:val="24"/>
                <w:highlight w:val="none"/>
              </w:rPr>
            </w:pPr>
            <w:r>
              <w:rPr>
                <w:rFonts w:hint="default" w:ascii="Times New Roman" w:hAnsi="Times New Roman" w:eastAsia="宋体" w:cs="Times New Roman"/>
                <w:snapToGrid w:val="0"/>
                <w:color w:val="auto"/>
                <w:spacing w:val="0"/>
                <w:kern w:val="0"/>
                <w:sz w:val="24"/>
                <w:szCs w:val="24"/>
                <w:highlight w:val="none"/>
              </w:rPr>
              <w:t>排水</w:t>
            </w:r>
          </w:p>
          <w:p w14:paraId="2B26A0B8">
            <w:pPr>
              <w:pStyle w:val="42"/>
              <w:rPr>
                <w:rFonts w:hint="default" w:ascii="Times New Roman" w:hAnsi="Times New Roman" w:cs="Times New Roman"/>
                <w:color w:val="auto"/>
                <w:spacing w:val="0"/>
                <w:highlight w:val="none"/>
                <w:lang w:val="en-US" w:eastAsia="zh-CN"/>
              </w:rPr>
            </w:pPr>
            <w:r>
              <w:rPr>
                <w:rFonts w:hint="default" w:ascii="Times New Roman" w:hAnsi="Times New Roman" w:eastAsia="宋体" w:cs="Times New Roman"/>
                <w:color w:val="auto"/>
                <w:spacing w:val="0"/>
                <w:highlight w:val="none"/>
                <w:lang w:val="en-US" w:eastAsia="zh-CN"/>
              </w:rPr>
              <w:t>锅炉排污水：根据《污染源源强核算技术指南 锅炉》中废水污染源源强核算方法，本项目采用产污系数法。由《排放源统计调查产排污核算方法和系数手册》（公告2021年第24号）中“4430工业锅炉（热力生产和供应行业）产排污系数表”的内容，</w:t>
            </w:r>
            <w:r>
              <w:rPr>
                <w:rFonts w:hint="default" w:ascii="Times New Roman" w:hAnsi="Times New Roman" w:eastAsia="宋体" w:cs="Times New Roman"/>
                <w:color w:val="auto"/>
                <w:sz w:val="24"/>
                <w:highlight w:val="none"/>
                <w:lang w:val="en-US" w:eastAsia="zh-CN"/>
              </w:rPr>
              <w:t>生物质燃料</w:t>
            </w:r>
            <w:r>
              <w:rPr>
                <w:rFonts w:hint="default" w:ascii="Times New Roman" w:hAnsi="Times New Roman" w:cs="Times New Roman"/>
                <w:color w:val="auto"/>
                <w:sz w:val="24"/>
                <w:highlight w:val="none"/>
              </w:rPr>
              <w:t>（锅外水处理）废水产生系数为0.</w:t>
            </w:r>
            <w:r>
              <w:rPr>
                <w:rFonts w:hint="eastAsia" w:ascii="Times New Roman" w:hAnsi="Times New Roman" w:cs="Times New Roman"/>
                <w:color w:val="auto"/>
                <w:sz w:val="24"/>
                <w:highlight w:val="none"/>
                <w:lang w:val="en-US" w:eastAsia="zh-CN"/>
              </w:rPr>
              <w:t>356</w:t>
            </w:r>
            <w:r>
              <w:rPr>
                <w:rFonts w:hint="default" w:ascii="Times New Roman" w:hAnsi="Times New Roman" w:cs="Times New Roman"/>
                <w:color w:val="auto"/>
                <w:sz w:val="24"/>
                <w:highlight w:val="none"/>
              </w:rPr>
              <w:t>吨/吨</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原料</w:t>
            </w:r>
            <w:r>
              <w:rPr>
                <w:rFonts w:hint="default" w:ascii="Times New Roman" w:hAnsi="Times New Roman" w:eastAsia="宋体" w:cs="Times New Roman"/>
                <w:color w:val="auto"/>
                <w:spacing w:val="0"/>
                <w:highlight w:val="none"/>
                <w:lang w:val="en-US" w:eastAsia="zh-CN"/>
              </w:rPr>
              <w:t>，本项目</w:t>
            </w:r>
            <w:r>
              <w:rPr>
                <w:rFonts w:hint="default" w:ascii="Times New Roman" w:hAnsi="Times New Roman" w:cs="Times New Roman"/>
                <w:color w:val="auto"/>
                <w:sz w:val="24"/>
                <w:highlight w:val="none"/>
              </w:rPr>
              <w:t>生物质锅炉</w:t>
            </w:r>
            <w:r>
              <w:rPr>
                <w:rFonts w:hint="default" w:ascii="Times New Roman" w:hAnsi="Times New Roman" w:eastAsia="宋体" w:cs="Times New Roman"/>
                <w:color w:val="auto"/>
                <w:spacing w:val="0"/>
                <w:highlight w:val="none"/>
                <w:lang w:val="en-US" w:eastAsia="zh-CN"/>
              </w:rPr>
              <w:t>年燃烧</w:t>
            </w:r>
            <w:r>
              <w:rPr>
                <w:rFonts w:hint="default" w:ascii="Times New Roman" w:hAnsi="Times New Roman" w:cs="Times New Roman"/>
                <w:color w:val="auto"/>
                <w:sz w:val="24"/>
                <w:highlight w:val="none"/>
              </w:rPr>
              <w:t>生物质</w:t>
            </w:r>
            <w:r>
              <w:rPr>
                <w:rFonts w:hint="default" w:ascii="Times New Roman" w:hAnsi="Times New Roman" w:eastAsia="宋体" w:cs="Times New Roman"/>
                <w:color w:val="auto"/>
                <w:spacing w:val="0"/>
                <w:highlight w:val="none"/>
                <w:lang w:val="en-US" w:eastAsia="zh-CN"/>
              </w:rPr>
              <w:t>消耗量</w:t>
            </w:r>
            <w:r>
              <w:rPr>
                <w:rFonts w:hint="eastAsia" w:ascii="Times New Roman" w:hAnsi="Times New Roman" w:cs="Times New Roman"/>
                <w:bCs/>
                <w:color w:val="auto"/>
                <w:spacing w:val="0"/>
                <w:sz w:val="24"/>
                <w:szCs w:val="24"/>
                <w:highlight w:val="none"/>
                <w:lang w:val="en-US" w:eastAsia="zh-CN"/>
              </w:rPr>
              <w:t>3020.16</w:t>
            </w:r>
            <w:r>
              <w:rPr>
                <w:rFonts w:hint="default" w:ascii="Times New Roman" w:hAnsi="Times New Roman" w:cs="Times New Roman"/>
                <w:bCs/>
                <w:color w:val="auto"/>
                <w:spacing w:val="0"/>
                <w:sz w:val="24"/>
                <w:szCs w:val="24"/>
                <w:highlight w:val="none"/>
                <w:lang w:val="en-US" w:eastAsia="zh-CN"/>
              </w:rPr>
              <w:t>t/a</w:t>
            </w:r>
            <w:r>
              <w:rPr>
                <w:rFonts w:hint="default" w:ascii="Times New Roman" w:hAnsi="Times New Roman" w:eastAsia="宋体" w:cs="Times New Roman"/>
                <w:color w:val="auto"/>
                <w:spacing w:val="0"/>
                <w:highlight w:val="none"/>
                <w:lang w:val="en-US" w:eastAsia="zh-CN"/>
              </w:rPr>
              <w:t>，故锅炉排污水为</w:t>
            </w:r>
            <w:r>
              <w:rPr>
                <w:rFonts w:hint="eastAsia" w:ascii="Times New Roman" w:hAnsi="Times New Roman" w:cs="Times New Roman"/>
                <w:color w:val="auto"/>
                <w:spacing w:val="0"/>
                <w:highlight w:val="none"/>
                <w:lang w:val="en-US" w:eastAsia="zh-CN"/>
              </w:rPr>
              <w:t>4.4</w:t>
            </w:r>
            <w:r>
              <w:rPr>
                <w:rFonts w:hint="default" w:ascii="Times New Roman" w:hAnsi="Times New Roman" w:cs="Times New Roman"/>
                <w:color w:val="auto"/>
                <w:spacing w:val="0"/>
                <w:highlight w:val="none"/>
                <w:lang w:val="en-US" w:eastAsia="zh-CN"/>
              </w:rPr>
              <w:t>4</w:t>
            </w:r>
            <w:r>
              <w:rPr>
                <w:rFonts w:hint="default" w:ascii="Times New Roman" w:hAnsi="Times New Roman" w:eastAsia="宋体" w:cs="Times New Roman"/>
                <w:color w:val="auto"/>
                <w:spacing w:val="0"/>
                <w:highlight w:val="none"/>
                <w:lang w:val="en-US" w:eastAsia="zh-CN"/>
              </w:rPr>
              <w:t>t/d，</w:t>
            </w:r>
            <w:r>
              <w:rPr>
                <w:rFonts w:hint="eastAsia" w:ascii="Times New Roman" w:hAnsi="Times New Roman" w:cs="Times New Roman"/>
                <w:color w:val="auto"/>
                <w:sz w:val="24"/>
                <w:highlight w:val="none"/>
                <w:lang w:val="en-US" w:eastAsia="zh-CN"/>
              </w:rPr>
              <w:t>1075.18</w:t>
            </w:r>
            <w:r>
              <w:rPr>
                <w:rFonts w:hint="default" w:ascii="Times New Roman" w:hAnsi="Times New Roman" w:eastAsia="宋体" w:cs="Times New Roman"/>
                <w:color w:val="auto"/>
                <w:highlight w:val="none"/>
                <w:lang w:val="en-US" w:eastAsia="zh-CN"/>
              </w:rPr>
              <w:t>t</w:t>
            </w:r>
            <w:r>
              <w:rPr>
                <w:rFonts w:hint="default" w:ascii="Times New Roman" w:hAnsi="Times New Roman" w:eastAsia="宋体" w:cs="Times New Roman"/>
                <w:color w:val="auto"/>
                <w:spacing w:val="0"/>
                <w:highlight w:val="none"/>
                <w:lang w:val="en-US" w:eastAsia="zh-CN"/>
              </w:rPr>
              <w:t>/a</w:t>
            </w:r>
            <w:r>
              <w:rPr>
                <w:rFonts w:hint="default" w:ascii="Times New Roman" w:hAnsi="Times New Roman" w:cs="Times New Roman"/>
                <w:color w:val="auto"/>
                <w:spacing w:val="0"/>
                <w:highlight w:val="none"/>
                <w:lang w:val="en-US" w:eastAsia="zh-CN"/>
              </w:rPr>
              <w:t>。</w:t>
            </w:r>
          </w:p>
          <w:p w14:paraId="6DEEC4C4">
            <w:pPr>
              <w:pStyle w:val="43"/>
              <w:ind w:left="0" w:leftChars="0" w:firstLine="480" w:firstLineChars="200"/>
              <w:rPr>
                <w:rFonts w:hint="default"/>
                <w:color w:val="auto"/>
                <w:highlight w:val="none"/>
                <w:lang w:val="en-US" w:eastAsia="zh-CN"/>
              </w:rPr>
            </w:pPr>
            <w:r>
              <w:rPr>
                <w:rFonts w:hint="eastAsia"/>
                <w:color w:val="auto"/>
                <w:highlight w:val="none"/>
                <w:lang w:val="en-US" w:eastAsia="zh-CN"/>
              </w:rPr>
              <w:t>软水制备废水：软水制备系统所用新鲜水为</w:t>
            </w:r>
            <w:r>
              <w:rPr>
                <w:rFonts w:hint="eastAsia" w:ascii="Times New Roman" w:hAnsi="Times New Roman" w:cs="Times New Roman"/>
                <w:bCs/>
                <w:color w:val="auto"/>
                <w:kern w:val="0"/>
                <w:sz w:val="24"/>
                <w:szCs w:val="24"/>
                <w:highlight w:val="none"/>
                <w:lang w:val="en-US" w:eastAsia="zh-CN" w:bidi="ar"/>
              </w:rPr>
              <w:t>265</w:t>
            </w:r>
            <w:r>
              <w:rPr>
                <w:rFonts w:hint="default" w:ascii="Times New Roman" w:hAnsi="Times New Roman" w:eastAsia="宋体" w:cs="Times New Roman"/>
                <w:bCs/>
                <w:color w:val="auto"/>
                <w:kern w:val="0"/>
                <w:sz w:val="24"/>
                <w:szCs w:val="24"/>
                <w:highlight w:val="none"/>
                <w:lang w:val="en-US" w:eastAsia="zh-CN" w:bidi="ar"/>
              </w:rPr>
              <w:t>t/d</w:t>
            </w:r>
            <w:r>
              <w:rPr>
                <w:rFonts w:hint="eastAsia" w:ascii="宋体" w:hAnsi="宋体" w:eastAsia="宋体" w:cs="宋体"/>
                <w:bCs/>
                <w:color w:val="auto"/>
                <w:kern w:val="0"/>
                <w:sz w:val="24"/>
                <w:szCs w:val="24"/>
                <w:highlight w:val="none"/>
                <w:lang w:val="en-US" w:eastAsia="zh-CN" w:bidi="ar"/>
              </w:rPr>
              <w:t>，</w:t>
            </w:r>
            <w:r>
              <w:rPr>
                <w:rFonts w:hint="eastAsia" w:ascii="Times New Roman" w:hAnsi="Times New Roman" w:cs="Times New Roman"/>
                <w:bCs/>
                <w:color w:val="auto"/>
                <w:kern w:val="0"/>
                <w:sz w:val="24"/>
                <w:szCs w:val="24"/>
                <w:highlight w:val="none"/>
                <w:lang w:val="en-US" w:eastAsia="zh-CN" w:bidi="ar"/>
              </w:rPr>
              <w:t>64133.63</w:t>
            </w:r>
            <w:r>
              <w:rPr>
                <w:rFonts w:hint="default" w:ascii="Times New Roman" w:hAnsi="Times New Roman" w:eastAsia="宋体" w:cs="Times New Roman"/>
                <w:bCs/>
                <w:color w:val="auto"/>
                <w:kern w:val="0"/>
                <w:sz w:val="24"/>
                <w:szCs w:val="24"/>
                <w:highlight w:val="none"/>
                <w:lang w:val="en-US" w:eastAsia="zh-CN" w:bidi="ar"/>
              </w:rPr>
              <w:t>t/a</w:t>
            </w:r>
            <w:r>
              <w:rPr>
                <w:rFonts w:hint="eastAsia" w:ascii="宋体" w:hAnsi="宋体" w:eastAsia="宋体" w:cs="宋体"/>
                <w:bCs/>
                <w:color w:val="auto"/>
                <w:kern w:val="0"/>
                <w:sz w:val="24"/>
                <w:szCs w:val="24"/>
                <w:highlight w:val="none"/>
                <w:lang w:val="en-US" w:eastAsia="zh-CN" w:bidi="ar"/>
              </w:rPr>
              <w:t>。</w:t>
            </w:r>
            <w:r>
              <w:rPr>
                <w:rFonts w:hint="eastAsia"/>
                <w:color w:val="auto"/>
                <w:highlight w:val="none"/>
                <w:lang w:val="en-US" w:eastAsia="zh-CN"/>
              </w:rPr>
              <w:t>制水效率</w:t>
            </w:r>
            <w:r>
              <w:rPr>
                <w:rFonts w:hint="default" w:ascii="Times New Roman" w:hAnsi="Times New Roman" w:cs="Times New Roman"/>
                <w:color w:val="auto"/>
                <w:highlight w:val="none"/>
                <w:lang w:val="en-US" w:eastAsia="zh-CN"/>
              </w:rPr>
              <w:t>90%</w:t>
            </w:r>
            <w:r>
              <w:rPr>
                <w:rFonts w:hint="eastAsia"/>
                <w:color w:val="auto"/>
                <w:highlight w:val="none"/>
                <w:lang w:val="en-US" w:eastAsia="zh-CN"/>
              </w:rPr>
              <w:t>，则新增软水制备系统排污水</w:t>
            </w:r>
            <w:r>
              <w:rPr>
                <w:rFonts w:hint="eastAsia" w:ascii="Times New Roman" w:hAnsi="Times New Roman" w:cs="Times New Roman"/>
                <w:color w:val="auto"/>
                <w:highlight w:val="none"/>
                <w:lang w:val="en-US" w:eastAsia="zh-CN"/>
              </w:rPr>
              <w:t>26.5</w:t>
            </w:r>
            <w:r>
              <w:rPr>
                <w:rFonts w:hint="default" w:ascii="Times New Roman" w:hAnsi="Times New Roman" w:cs="Times New Roman"/>
                <w:color w:val="auto"/>
                <w:highlight w:val="none"/>
                <w:lang w:val="en-US" w:eastAsia="zh-CN"/>
              </w:rPr>
              <w:t>t/d</w:t>
            </w:r>
            <w:r>
              <w:rPr>
                <w:rFonts w:hint="eastAsia"/>
                <w:color w:val="auto"/>
                <w:highlight w:val="none"/>
                <w:lang w:val="en-US" w:eastAsia="zh-CN"/>
              </w:rPr>
              <w:t>（</w:t>
            </w:r>
            <w:r>
              <w:rPr>
                <w:rFonts w:hint="eastAsia" w:ascii="Times New Roman" w:hAnsi="Times New Roman" w:cs="Times New Roman"/>
                <w:color w:val="auto"/>
                <w:highlight w:val="none"/>
                <w:lang w:val="en-US" w:eastAsia="zh-CN"/>
              </w:rPr>
              <w:t>6413.363</w:t>
            </w:r>
            <w:r>
              <w:rPr>
                <w:rFonts w:hint="default" w:ascii="Times New Roman" w:hAnsi="Times New Roman" w:cs="Times New Roman"/>
                <w:color w:val="auto"/>
                <w:highlight w:val="none"/>
                <w:lang w:val="en-US" w:eastAsia="zh-CN"/>
              </w:rPr>
              <w:t>t/a</w:t>
            </w:r>
            <w:r>
              <w:rPr>
                <w:rFonts w:hint="eastAsia"/>
                <w:color w:val="auto"/>
                <w:highlight w:val="none"/>
                <w:lang w:val="en-US" w:eastAsia="zh-CN"/>
              </w:rPr>
              <w:t>）。本项目产生废离子交换树脂交由厂家回收再生处理，不在厂区再生，不产生离子交换树脂再生废水。</w:t>
            </w:r>
          </w:p>
          <w:p w14:paraId="39147D64">
            <w:pPr>
              <w:pStyle w:val="43"/>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color w:val="auto"/>
                <w:spacing w:val="0"/>
                <w:highlight w:val="none"/>
                <w:lang w:val="en-US" w:eastAsia="zh-CN"/>
              </w:rPr>
            </w:pPr>
            <w:r>
              <w:rPr>
                <w:rFonts w:hint="default" w:ascii="Times New Roman" w:hAnsi="Times New Roman" w:cs="Times New Roman"/>
                <w:color w:val="auto"/>
                <w:highlight w:val="none"/>
                <w:lang w:val="en-US" w:eastAsia="zh-CN"/>
              </w:rPr>
              <w:t>综上，</w:t>
            </w:r>
            <w:r>
              <w:rPr>
                <w:rFonts w:hint="default" w:ascii="Times New Roman" w:hAnsi="Times New Roman" w:eastAsia="宋体" w:cs="Times New Roman"/>
                <w:color w:val="auto"/>
                <w:spacing w:val="0"/>
                <w:highlight w:val="none"/>
                <w:lang w:val="en-US" w:eastAsia="zh-CN"/>
              </w:rPr>
              <w:t>本项目废水排放量为</w:t>
            </w:r>
            <w:r>
              <w:rPr>
                <w:rFonts w:hint="eastAsia" w:ascii="Times New Roman" w:hAnsi="Times New Roman" w:cs="Times New Roman"/>
                <w:color w:val="auto"/>
                <w:spacing w:val="0"/>
                <w:highlight w:val="none"/>
                <w:lang w:val="en-US" w:eastAsia="zh-CN"/>
              </w:rPr>
              <w:t>30.94</w:t>
            </w:r>
            <w:r>
              <w:rPr>
                <w:rFonts w:hint="default" w:ascii="Times New Roman" w:hAnsi="Times New Roman" w:eastAsia="宋体" w:cs="Times New Roman"/>
                <w:color w:val="auto"/>
                <w:spacing w:val="0"/>
                <w:highlight w:val="none"/>
                <w:lang w:val="en-US" w:eastAsia="zh-CN"/>
              </w:rPr>
              <w:t>t/d，</w:t>
            </w:r>
            <w:r>
              <w:rPr>
                <w:rFonts w:hint="eastAsia" w:ascii="Times New Roman" w:hAnsi="Times New Roman" w:cs="Times New Roman"/>
                <w:color w:val="auto"/>
                <w:spacing w:val="0"/>
                <w:highlight w:val="none"/>
                <w:lang w:val="en-US" w:eastAsia="zh-CN"/>
              </w:rPr>
              <w:t>7488.54</w:t>
            </w:r>
            <w:r>
              <w:rPr>
                <w:rFonts w:hint="default" w:ascii="Times New Roman" w:hAnsi="Times New Roman" w:eastAsia="宋体" w:cs="Times New Roman"/>
                <w:color w:val="auto"/>
                <w:spacing w:val="0"/>
                <w:highlight w:val="none"/>
                <w:lang w:val="en-US" w:eastAsia="zh-CN"/>
              </w:rPr>
              <w:t>t/a。</w:t>
            </w:r>
            <w:r>
              <w:rPr>
                <w:rFonts w:hint="default" w:ascii="Times New Roman" w:hAnsi="Times New Roman" w:cs="Times New Roman"/>
                <w:b w:val="0"/>
                <w:bCs/>
                <w:color w:val="auto"/>
                <w:spacing w:val="0"/>
                <w:sz w:val="24"/>
                <w:szCs w:val="24"/>
                <w:highlight w:val="none"/>
                <w:lang w:val="en-US" w:eastAsia="zh-CN"/>
              </w:rPr>
              <w:t>锅炉排污水和软水制备废水</w:t>
            </w:r>
            <w:r>
              <w:rPr>
                <w:rFonts w:hint="eastAsia" w:ascii="Times New Roman" w:hAnsi="Times New Roman" w:cs="Times New Roman"/>
                <w:b w:val="0"/>
                <w:bCs/>
                <w:color w:val="auto"/>
                <w:spacing w:val="0"/>
                <w:sz w:val="24"/>
                <w:szCs w:val="24"/>
                <w:highlight w:val="none"/>
                <w:lang w:val="en-US" w:eastAsia="zh-CN"/>
              </w:rPr>
              <w:t>，少量</w:t>
            </w:r>
            <w:r>
              <w:rPr>
                <w:rFonts w:hint="default" w:ascii="Times New Roman" w:hAnsi="Times New Roman" w:cs="Times New Roman"/>
                <w:b w:val="0"/>
                <w:bCs/>
                <w:color w:val="auto"/>
                <w:spacing w:val="0"/>
                <w:sz w:val="24"/>
                <w:szCs w:val="24"/>
                <w:highlight w:val="none"/>
                <w:lang w:val="en-US" w:eastAsia="zh-CN"/>
              </w:rPr>
              <w:t>收集后用于灰渣</w:t>
            </w:r>
            <w:r>
              <w:rPr>
                <w:rFonts w:hint="eastAsia" w:ascii="Times New Roman" w:hAnsi="Times New Roman" w:cs="Times New Roman"/>
                <w:b w:val="0"/>
                <w:bCs/>
                <w:color w:val="auto"/>
                <w:spacing w:val="0"/>
                <w:sz w:val="24"/>
                <w:szCs w:val="24"/>
                <w:highlight w:val="none"/>
                <w:lang w:val="en-US" w:eastAsia="zh-CN"/>
              </w:rPr>
              <w:t>加湿其余锅炉污水通过院区污水总排口进入市政管网，排入城子河区污水处理厂进行处理</w:t>
            </w:r>
            <w:r>
              <w:rPr>
                <w:rFonts w:hint="default" w:ascii="Times New Roman" w:hAnsi="Times New Roman" w:eastAsia="宋体" w:cs="Times New Roman"/>
                <w:color w:val="auto"/>
                <w:spacing w:val="0"/>
                <w:highlight w:val="none"/>
                <w:lang w:val="en-US" w:eastAsia="zh-CN"/>
              </w:rPr>
              <w:t>。</w:t>
            </w:r>
          </w:p>
          <w:p w14:paraId="0CBAC87A">
            <w:pPr>
              <w:pStyle w:val="95"/>
              <w:spacing w:line="240" w:lineRule="auto"/>
              <w:ind w:firstLine="0" w:firstLineChars="0"/>
              <w:jc w:val="center"/>
              <w:rPr>
                <w:rFonts w:hint="default" w:ascii="Times New Roman" w:hAnsi="Times New Roman" w:eastAsia="宋体" w:cs="Times New Roman"/>
                <w:b/>
                <w:bCs w:val="0"/>
                <w:color w:val="auto"/>
                <w:spacing w:val="0"/>
                <w:kern w:val="2"/>
                <w:sz w:val="21"/>
                <w:szCs w:val="21"/>
                <w:highlight w:val="none"/>
                <w:lang w:val="en-US" w:eastAsia="zh-CN" w:bidi="ar-SA"/>
              </w:rPr>
            </w:pPr>
            <w:r>
              <w:rPr>
                <w:rFonts w:hint="default" w:ascii="Times New Roman" w:hAnsi="Times New Roman" w:eastAsia="宋体" w:cs="Times New Roman"/>
                <w:b/>
                <w:bCs w:val="0"/>
                <w:color w:val="auto"/>
                <w:spacing w:val="0"/>
                <w:kern w:val="2"/>
                <w:sz w:val="21"/>
                <w:szCs w:val="21"/>
                <w:highlight w:val="none"/>
                <w:lang w:val="en-US" w:eastAsia="zh-CN" w:bidi="ar-SA"/>
              </w:rPr>
              <w:t>表2-</w:t>
            </w:r>
            <w:r>
              <w:rPr>
                <w:rFonts w:hint="default" w:ascii="Times New Roman" w:hAnsi="Times New Roman" w:cs="Times New Roman"/>
                <w:b/>
                <w:bCs w:val="0"/>
                <w:color w:val="auto"/>
                <w:spacing w:val="0"/>
                <w:kern w:val="2"/>
                <w:sz w:val="21"/>
                <w:szCs w:val="21"/>
                <w:highlight w:val="none"/>
                <w:lang w:val="en-US" w:eastAsia="zh-CN" w:bidi="ar-SA"/>
              </w:rPr>
              <w:t>5</w:t>
            </w:r>
            <w:r>
              <w:rPr>
                <w:rFonts w:hint="default" w:ascii="Times New Roman" w:hAnsi="Times New Roman" w:eastAsia="宋体" w:cs="Times New Roman"/>
                <w:b/>
                <w:bCs w:val="0"/>
                <w:color w:val="auto"/>
                <w:spacing w:val="0"/>
                <w:kern w:val="2"/>
                <w:sz w:val="21"/>
                <w:szCs w:val="21"/>
                <w:highlight w:val="none"/>
                <w:lang w:val="en-US" w:eastAsia="zh-CN" w:bidi="ar-SA"/>
              </w:rPr>
              <w:t xml:space="preserve"> 供排水情况分析表</w:t>
            </w:r>
          </w:p>
          <w:tbl>
            <w:tblPr>
              <w:tblStyle w:val="35"/>
              <w:tblW w:w="4819" w:type="pct"/>
              <w:jc w:val="center"/>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Layout w:type="fixed"/>
              <w:tblCellMar>
                <w:top w:w="0" w:type="dxa"/>
                <w:left w:w="0" w:type="dxa"/>
                <w:bottom w:w="0" w:type="dxa"/>
                <w:right w:w="0" w:type="dxa"/>
              </w:tblCellMar>
            </w:tblPr>
            <w:tblGrid>
              <w:gridCol w:w="1241"/>
              <w:gridCol w:w="696"/>
              <w:gridCol w:w="590"/>
              <w:gridCol w:w="600"/>
              <w:gridCol w:w="847"/>
              <w:gridCol w:w="924"/>
              <w:gridCol w:w="945"/>
              <w:gridCol w:w="773"/>
              <w:gridCol w:w="866"/>
            </w:tblGrid>
            <w:tr w14:paraId="027015BC">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939" w:type="dxa"/>
                  <w:gridSpan w:val="2"/>
                  <w:vMerge w:val="restart"/>
                  <w:tcBorders>
                    <w:top w:val="single" w:color="000000" w:sz="12" w:space="0"/>
                    <w:left w:val="nil"/>
                    <w:bottom w:val="single" w:color="000000" w:sz="8" w:space="0"/>
                    <w:right w:val="single" w:color="000000" w:sz="8" w:space="0"/>
                  </w:tcBorders>
                  <w:noWrap w:val="0"/>
                  <w:vAlign w:val="center"/>
                </w:tcPr>
                <w:p w14:paraId="746A05FF">
                  <w:pPr>
                    <w:spacing w:line="240" w:lineRule="auto"/>
                    <w:ind w:firstLine="0" w:firstLineChars="0"/>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项目</w:t>
                  </w:r>
                </w:p>
              </w:tc>
              <w:tc>
                <w:tcPr>
                  <w:tcW w:w="591" w:type="dxa"/>
                  <w:vMerge w:val="restart"/>
                  <w:tcBorders>
                    <w:top w:val="single" w:color="000000" w:sz="12" w:space="0"/>
                    <w:left w:val="single" w:color="000000" w:sz="8" w:space="0"/>
                    <w:bottom w:val="single" w:color="000000" w:sz="8" w:space="0"/>
                    <w:right w:val="single" w:color="000000" w:sz="8" w:space="0"/>
                  </w:tcBorders>
                  <w:noWrap w:val="0"/>
                  <w:vAlign w:val="center"/>
                </w:tcPr>
                <w:p w14:paraId="6275BA71">
                  <w:pPr>
                    <w:spacing w:line="240" w:lineRule="auto"/>
                    <w:ind w:firstLine="0" w:firstLineChars="0"/>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数量</w:t>
                  </w:r>
                </w:p>
              </w:tc>
              <w:tc>
                <w:tcPr>
                  <w:tcW w:w="601" w:type="dxa"/>
                  <w:vMerge w:val="restart"/>
                  <w:tcBorders>
                    <w:top w:val="single" w:color="000000" w:sz="12" w:space="0"/>
                    <w:left w:val="single" w:color="000000" w:sz="8" w:space="0"/>
                    <w:bottom w:val="single" w:color="000000" w:sz="8" w:space="0"/>
                    <w:right w:val="single" w:color="000000" w:sz="8" w:space="0"/>
                  </w:tcBorders>
                  <w:noWrap w:val="0"/>
                  <w:vAlign w:val="center"/>
                </w:tcPr>
                <w:p w14:paraId="5EBF11D0">
                  <w:pPr>
                    <w:spacing w:line="240" w:lineRule="auto"/>
                    <w:ind w:firstLine="0" w:firstLineChars="0"/>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用水标准</w:t>
                  </w:r>
                </w:p>
              </w:tc>
              <w:tc>
                <w:tcPr>
                  <w:tcW w:w="1773" w:type="dxa"/>
                  <w:gridSpan w:val="2"/>
                  <w:tcBorders>
                    <w:top w:val="single" w:color="000000" w:sz="12" w:space="0"/>
                    <w:left w:val="single" w:color="000000" w:sz="8" w:space="0"/>
                    <w:bottom w:val="single" w:color="000000" w:sz="8" w:space="0"/>
                    <w:right w:val="single" w:color="000000" w:sz="8" w:space="0"/>
                  </w:tcBorders>
                  <w:noWrap w:val="0"/>
                  <w:vAlign w:val="center"/>
                </w:tcPr>
                <w:p w14:paraId="355B2BEA">
                  <w:pPr>
                    <w:spacing w:line="240" w:lineRule="auto"/>
                    <w:ind w:firstLine="0" w:firstLineChars="0"/>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用水量</w:t>
                  </w:r>
                </w:p>
              </w:tc>
              <w:tc>
                <w:tcPr>
                  <w:tcW w:w="946" w:type="dxa"/>
                  <w:vMerge w:val="restart"/>
                  <w:tcBorders>
                    <w:top w:val="single" w:color="000000" w:sz="12" w:space="0"/>
                    <w:left w:val="single" w:color="000000" w:sz="8" w:space="0"/>
                    <w:bottom w:val="single" w:color="000000" w:sz="8" w:space="0"/>
                    <w:right w:val="single" w:color="000000" w:sz="8" w:space="0"/>
                  </w:tcBorders>
                  <w:noWrap w:val="0"/>
                  <w:vAlign w:val="center"/>
                </w:tcPr>
                <w:p w14:paraId="77380634">
                  <w:pPr>
                    <w:spacing w:line="240" w:lineRule="auto"/>
                    <w:ind w:firstLine="0" w:firstLineChars="0"/>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排水</w:t>
                  </w:r>
                </w:p>
                <w:p w14:paraId="77FB80AA">
                  <w:pPr>
                    <w:spacing w:line="240" w:lineRule="auto"/>
                    <w:ind w:firstLine="0" w:firstLineChars="0"/>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系数</w:t>
                  </w:r>
                </w:p>
              </w:tc>
              <w:tc>
                <w:tcPr>
                  <w:tcW w:w="1641" w:type="dxa"/>
                  <w:gridSpan w:val="2"/>
                  <w:tcBorders>
                    <w:top w:val="single" w:color="000000" w:sz="12" w:space="0"/>
                    <w:left w:val="single" w:color="000000" w:sz="8" w:space="0"/>
                    <w:bottom w:val="single" w:color="000000" w:sz="8" w:space="0"/>
                    <w:right w:val="nil"/>
                  </w:tcBorders>
                  <w:noWrap w:val="0"/>
                  <w:vAlign w:val="center"/>
                </w:tcPr>
                <w:p w14:paraId="2E017285">
                  <w:pPr>
                    <w:spacing w:line="240" w:lineRule="auto"/>
                    <w:ind w:firstLine="0" w:firstLineChars="0"/>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排水量</w:t>
                  </w:r>
                </w:p>
              </w:tc>
            </w:tr>
            <w:tr w14:paraId="1AFE1DD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939" w:type="dxa"/>
                  <w:gridSpan w:val="2"/>
                  <w:vMerge w:val="continue"/>
                  <w:tcBorders>
                    <w:top w:val="single" w:color="000000" w:sz="8" w:space="0"/>
                    <w:left w:val="nil"/>
                    <w:bottom w:val="single" w:color="000000" w:sz="8" w:space="0"/>
                    <w:right w:val="single" w:color="000000" w:sz="8" w:space="0"/>
                  </w:tcBorders>
                  <w:noWrap w:val="0"/>
                  <w:vAlign w:val="center"/>
                </w:tcPr>
                <w:p w14:paraId="681AAC23">
                  <w:pPr>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591" w:type="dxa"/>
                  <w:vMerge w:val="continue"/>
                  <w:tcBorders>
                    <w:top w:val="single" w:color="000000" w:sz="8" w:space="0"/>
                    <w:left w:val="single" w:color="000000" w:sz="8" w:space="0"/>
                    <w:bottom w:val="single" w:color="000000" w:sz="8" w:space="0"/>
                    <w:right w:val="single" w:color="000000" w:sz="8" w:space="0"/>
                  </w:tcBorders>
                  <w:noWrap w:val="0"/>
                  <w:vAlign w:val="center"/>
                </w:tcPr>
                <w:p w14:paraId="51B9EB2B">
                  <w:pPr>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601" w:type="dxa"/>
                  <w:vMerge w:val="continue"/>
                  <w:tcBorders>
                    <w:top w:val="single" w:color="000000" w:sz="8" w:space="0"/>
                    <w:left w:val="single" w:color="000000" w:sz="8" w:space="0"/>
                    <w:bottom w:val="single" w:color="000000" w:sz="8" w:space="0"/>
                    <w:right w:val="single" w:color="000000" w:sz="8" w:space="0"/>
                  </w:tcBorders>
                  <w:noWrap w:val="0"/>
                  <w:vAlign w:val="center"/>
                </w:tcPr>
                <w:p w14:paraId="4B4825BB">
                  <w:pPr>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848" w:type="dxa"/>
                  <w:tcBorders>
                    <w:top w:val="single" w:color="000000" w:sz="8" w:space="0"/>
                    <w:left w:val="single" w:color="000000" w:sz="8" w:space="0"/>
                    <w:bottom w:val="single" w:color="000000" w:sz="8" w:space="0"/>
                    <w:right w:val="single" w:color="000000" w:sz="8" w:space="0"/>
                  </w:tcBorders>
                  <w:noWrap w:val="0"/>
                  <w:vAlign w:val="center"/>
                </w:tcPr>
                <w:p w14:paraId="1EFCEFC6">
                  <w:pPr>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t/d</w:t>
                  </w:r>
                </w:p>
              </w:tc>
              <w:tc>
                <w:tcPr>
                  <w:tcW w:w="925" w:type="dxa"/>
                  <w:tcBorders>
                    <w:top w:val="single" w:color="000000" w:sz="8" w:space="0"/>
                    <w:left w:val="single" w:color="000000" w:sz="8" w:space="0"/>
                    <w:bottom w:val="single" w:color="000000" w:sz="8" w:space="0"/>
                    <w:right w:val="single" w:color="000000" w:sz="8" w:space="0"/>
                  </w:tcBorders>
                  <w:noWrap w:val="0"/>
                  <w:vAlign w:val="center"/>
                </w:tcPr>
                <w:p w14:paraId="4323DA16">
                  <w:pPr>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t/a</w:t>
                  </w:r>
                </w:p>
              </w:tc>
              <w:tc>
                <w:tcPr>
                  <w:tcW w:w="946" w:type="dxa"/>
                  <w:vMerge w:val="continue"/>
                  <w:tcBorders>
                    <w:top w:val="single" w:color="000000" w:sz="8" w:space="0"/>
                    <w:left w:val="single" w:color="000000" w:sz="8" w:space="0"/>
                    <w:bottom w:val="single" w:color="000000" w:sz="8" w:space="0"/>
                    <w:right w:val="single" w:color="000000" w:sz="8" w:space="0"/>
                  </w:tcBorders>
                  <w:noWrap w:val="0"/>
                  <w:vAlign w:val="center"/>
                </w:tcPr>
                <w:p w14:paraId="751DF96F">
                  <w:pPr>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774" w:type="dxa"/>
                  <w:tcBorders>
                    <w:top w:val="single" w:color="000000" w:sz="8" w:space="0"/>
                    <w:left w:val="single" w:color="000000" w:sz="8" w:space="0"/>
                    <w:bottom w:val="single" w:color="000000" w:sz="8" w:space="0"/>
                    <w:right w:val="single" w:color="000000" w:sz="8" w:space="0"/>
                  </w:tcBorders>
                  <w:noWrap w:val="0"/>
                  <w:vAlign w:val="center"/>
                </w:tcPr>
                <w:p w14:paraId="37AA9D2D">
                  <w:pPr>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t/d</w:t>
                  </w:r>
                </w:p>
              </w:tc>
              <w:tc>
                <w:tcPr>
                  <w:tcW w:w="867" w:type="dxa"/>
                  <w:tcBorders>
                    <w:top w:val="single" w:color="000000" w:sz="8" w:space="0"/>
                    <w:left w:val="single" w:color="000000" w:sz="8" w:space="0"/>
                    <w:bottom w:val="single" w:color="000000" w:sz="8" w:space="0"/>
                    <w:right w:val="nil"/>
                  </w:tcBorders>
                  <w:noWrap w:val="0"/>
                  <w:vAlign w:val="center"/>
                </w:tcPr>
                <w:p w14:paraId="06106BAB">
                  <w:pPr>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t/a</w:t>
                  </w:r>
                </w:p>
              </w:tc>
            </w:tr>
            <w:tr w14:paraId="6A91DB8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242" w:type="dxa"/>
                  <w:tcBorders>
                    <w:top w:val="single" w:color="000000" w:sz="8" w:space="0"/>
                    <w:left w:val="nil"/>
                    <w:bottom w:val="single" w:color="000000" w:sz="8" w:space="0"/>
                    <w:right w:val="single" w:color="000000" w:sz="8" w:space="0"/>
                  </w:tcBorders>
                  <w:noWrap w:val="0"/>
                  <w:vAlign w:val="center"/>
                </w:tcPr>
                <w:p w14:paraId="07B5D9A3">
                  <w:pPr>
                    <w:spacing w:line="240" w:lineRule="auto"/>
                    <w:ind w:firstLine="0" w:firstLineChars="0"/>
                    <w:jc w:val="center"/>
                    <w:rPr>
                      <w:rFonts w:hint="default" w:ascii="Times New Roman" w:hAnsi="Times New Roman" w:cs="Times New Roman"/>
                      <w:bCs/>
                      <w:color w:val="auto"/>
                      <w:spacing w:val="0"/>
                      <w:sz w:val="21"/>
                      <w:szCs w:val="21"/>
                      <w:highlight w:val="none"/>
                      <w:lang w:val="en-US" w:eastAsia="zh-CN"/>
                    </w:rPr>
                  </w:pPr>
                  <w:r>
                    <w:rPr>
                      <w:rFonts w:hint="eastAsia" w:ascii="Times New Roman" w:hAnsi="Times New Roman" w:cs="Times New Roman"/>
                      <w:bCs/>
                      <w:color w:val="auto"/>
                      <w:spacing w:val="0"/>
                      <w:sz w:val="21"/>
                      <w:szCs w:val="21"/>
                      <w:highlight w:val="none"/>
                      <w:lang w:val="en-US" w:eastAsia="zh-CN"/>
                    </w:rPr>
                    <w:t>软化水装置</w:t>
                  </w:r>
                </w:p>
              </w:tc>
              <w:tc>
                <w:tcPr>
                  <w:tcW w:w="697" w:type="dxa"/>
                  <w:tcBorders>
                    <w:top w:val="single" w:color="000000" w:sz="8" w:space="0"/>
                    <w:left w:val="single" w:color="000000" w:sz="8" w:space="0"/>
                    <w:bottom w:val="single" w:color="000000" w:sz="8" w:space="0"/>
                    <w:right w:val="single" w:color="000000" w:sz="8" w:space="0"/>
                  </w:tcBorders>
                  <w:noWrap w:val="0"/>
                  <w:vAlign w:val="center"/>
                </w:tcPr>
                <w:p w14:paraId="6CC76E4E">
                  <w:pPr>
                    <w:spacing w:line="240" w:lineRule="auto"/>
                    <w:ind w:firstLine="0" w:firstLineChars="0"/>
                    <w:jc w:val="center"/>
                    <w:rPr>
                      <w:rFonts w:hint="default" w:ascii="Times New Roman" w:hAnsi="Times New Roman" w:cs="Times New Roman"/>
                      <w:bCs/>
                      <w:color w:val="auto"/>
                      <w:spacing w:val="0"/>
                      <w:sz w:val="21"/>
                      <w:szCs w:val="21"/>
                      <w:highlight w:val="none"/>
                      <w:lang w:val="en-US" w:eastAsia="zh-CN"/>
                    </w:rPr>
                  </w:pPr>
                  <w:r>
                    <w:rPr>
                      <w:rFonts w:hint="eastAsia" w:ascii="Times New Roman" w:hAnsi="Times New Roman" w:cs="Times New Roman"/>
                      <w:bCs/>
                      <w:color w:val="auto"/>
                      <w:spacing w:val="0"/>
                      <w:sz w:val="21"/>
                      <w:szCs w:val="21"/>
                      <w:highlight w:val="none"/>
                      <w:lang w:val="en-US" w:eastAsia="zh-CN"/>
                    </w:rPr>
                    <w:t>新鲜水</w:t>
                  </w:r>
                </w:p>
              </w:tc>
              <w:tc>
                <w:tcPr>
                  <w:tcW w:w="591" w:type="dxa"/>
                  <w:tcBorders>
                    <w:top w:val="single" w:color="000000" w:sz="8" w:space="0"/>
                    <w:left w:val="single" w:color="000000" w:sz="8" w:space="0"/>
                    <w:bottom w:val="single" w:color="000000" w:sz="8" w:space="0"/>
                    <w:right w:val="single" w:color="000000" w:sz="8" w:space="0"/>
                  </w:tcBorders>
                  <w:shd w:val="clear" w:color="auto" w:fill="auto"/>
                  <w:noWrap w:val="0"/>
                  <w:vAlign w:val="center"/>
                </w:tcPr>
                <w:p w14:paraId="24B60C71">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w:t>
                  </w:r>
                </w:p>
              </w:tc>
              <w:tc>
                <w:tcPr>
                  <w:tcW w:w="601" w:type="dxa"/>
                  <w:tcBorders>
                    <w:top w:val="single" w:color="000000" w:sz="8" w:space="0"/>
                    <w:left w:val="single" w:color="000000" w:sz="8" w:space="0"/>
                    <w:bottom w:val="single" w:color="000000" w:sz="8" w:space="0"/>
                    <w:right w:val="single" w:color="000000" w:sz="8" w:space="0"/>
                  </w:tcBorders>
                  <w:shd w:val="clear" w:color="auto" w:fill="auto"/>
                  <w:noWrap w:val="0"/>
                  <w:vAlign w:val="center"/>
                </w:tcPr>
                <w:p w14:paraId="2FD2865E">
                  <w:pPr>
                    <w:spacing w:line="240" w:lineRule="auto"/>
                    <w:ind w:firstLine="0" w:firstLineChars="0"/>
                    <w:jc w:val="center"/>
                    <w:rPr>
                      <w:rFonts w:hint="default" w:ascii="Times New Roman" w:hAnsi="Times New Roman" w:cs="Times New Roman"/>
                      <w:color w:val="auto"/>
                      <w:spacing w:val="0"/>
                      <w:kern w:val="0"/>
                      <w:sz w:val="21"/>
                      <w:szCs w:val="21"/>
                      <w:highlight w:val="none"/>
                      <w:lang w:val="en-US" w:eastAsia="zh-CN" w:bidi="ar"/>
                    </w:rPr>
                  </w:pPr>
                  <w:r>
                    <w:rPr>
                      <w:rFonts w:hint="eastAsia" w:ascii="Times New Roman" w:hAnsi="Times New Roman" w:cs="Times New Roman"/>
                      <w:color w:val="auto"/>
                      <w:spacing w:val="0"/>
                      <w:kern w:val="0"/>
                      <w:sz w:val="21"/>
                      <w:szCs w:val="21"/>
                      <w:highlight w:val="none"/>
                      <w:lang w:val="en-US" w:eastAsia="zh-CN" w:bidi="ar"/>
                    </w:rPr>
                    <w:t>/</w:t>
                  </w:r>
                </w:p>
              </w:tc>
              <w:tc>
                <w:tcPr>
                  <w:tcW w:w="848" w:type="dxa"/>
                  <w:tcBorders>
                    <w:top w:val="single" w:color="000000" w:sz="8" w:space="0"/>
                    <w:left w:val="single" w:color="000000" w:sz="8" w:space="0"/>
                    <w:bottom w:val="single" w:color="000000" w:sz="8" w:space="0"/>
                    <w:right w:val="single" w:color="000000" w:sz="8" w:space="0"/>
                  </w:tcBorders>
                  <w:noWrap w:val="0"/>
                  <w:vAlign w:val="center"/>
                </w:tcPr>
                <w:p w14:paraId="45D5CE52">
                  <w:pPr>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265（238.5进入锅炉补水及循环水）</w:t>
                  </w:r>
                </w:p>
              </w:tc>
              <w:tc>
                <w:tcPr>
                  <w:tcW w:w="925" w:type="dxa"/>
                  <w:tcBorders>
                    <w:top w:val="single" w:color="000000" w:sz="8" w:space="0"/>
                    <w:left w:val="single" w:color="000000" w:sz="8" w:space="0"/>
                    <w:bottom w:val="single" w:color="000000" w:sz="8" w:space="0"/>
                    <w:right w:val="single" w:color="000000" w:sz="8" w:space="0"/>
                  </w:tcBorders>
                  <w:noWrap w:val="0"/>
                  <w:vAlign w:val="center"/>
                </w:tcPr>
                <w:p w14:paraId="78BD86FE">
                  <w:pPr>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64133.63（57720.27进入锅炉补水及循环水）</w:t>
                  </w:r>
                </w:p>
              </w:tc>
              <w:tc>
                <w:tcPr>
                  <w:tcW w:w="946" w:type="dxa"/>
                  <w:tcBorders>
                    <w:top w:val="single" w:color="000000" w:sz="8" w:space="0"/>
                    <w:left w:val="single" w:color="000000" w:sz="8" w:space="0"/>
                    <w:bottom w:val="single" w:color="000000" w:sz="8" w:space="0"/>
                    <w:right w:val="single" w:color="000000" w:sz="8" w:space="0"/>
                  </w:tcBorders>
                  <w:noWrap w:val="0"/>
                  <w:vAlign w:val="center"/>
                </w:tcPr>
                <w:p w14:paraId="07543645">
                  <w:pPr>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0.1</w:t>
                  </w:r>
                </w:p>
              </w:tc>
              <w:tc>
                <w:tcPr>
                  <w:tcW w:w="774" w:type="dxa"/>
                  <w:tcBorders>
                    <w:top w:val="single" w:color="000000" w:sz="8" w:space="0"/>
                    <w:left w:val="single" w:color="000000" w:sz="8" w:space="0"/>
                    <w:bottom w:val="single" w:color="000000" w:sz="8" w:space="0"/>
                    <w:right w:val="single" w:color="000000" w:sz="8" w:space="0"/>
                  </w:tcBorders>
                  <w:noWrap w:val="0"/>
                  <w:vAlign w:val="center"/>
                </w:tcPr>
                <w:p w14:paraId="3025566C">
                  <w:pPr>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26.5</w:t>
                  </w:r>
                </w:p>
              </w:tc>
              <w:tc>
                <w:tcPr>
                  <w:tcW w:w="867" w:type="dxa"/>
                  <w:tcBorders>
                    <w:top w:val="single" w:color="000000" w:sz="8" w:space="0"/>
                    <w:left w:val="single" w:color="000000" w:sz="8" w:space="0"/>
                    <w:bottom w:val="single" w:color="000000" w:sz="8" w:space="0"/>
                    <w:right w:val="nil"/>
                  </w:tcBorders>
                  <w:noWrap w:val="0"/>
                  <w:vAlign w:val="center"/>
                </w:tcPr>
                <w:p w14:paraId="05731C86">
                  <w:pPr>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6413.363</w:t>
                  </w:r>
                </w:p>
              </w:tc>
            </w:tr>
            <w:tr w14:paraId="3EC33658">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242" w:type="dxa"/>
                  <w:tcBorders>
                    <w:top w:val="single" w:color="000000" w:sz="8" w:space="0"/>
                    <w:left w:val="nil"/>
                    <w:bottom w:val="single" w:color="000000" w:sz="8" w:space="0"/>
                    <w:right w:val="single" w:color="000000" w:sz="8" w:space="0"/>
                  </w:tcBorders>
                  <w:noWrap w:val="0"/>
                  <w:vAlign w:val="center"/>
                </w:tcPr>
                <w:p w14:paraId="16973CCB">
                  <w:pPr>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eastAsia="zh-CN"/>
                    </w:rPr>
                  </w:pPr>
                  <w:r>
                    <w:rPr>
                      <w:rFonts w:hint="eastAsia" w:ascii="Times New Roman" w:hAnsi="Times New Roman" w:cs="Times New Roman"/>
                      <w:bCs/>
                      <w:color w:val="auto"/>
                      <w:spacing w:val="0"/>
                      <w:sz w:val="21"/>
                      <w:szCs w:val="21"/>
                      <w:highlight w:val="none"/>
                      <w:lang w:val="en-US" w:eastAsia="zh-CN"/>
                    </w:rPr>
                    <w:t>锅炉循环水</w:t>
                  </w:r>
                </w:p>
              </w:tc>
              <w:tc>
                <w:tcPr>
                  <w:tcW w:w="697" w:type="dxa"/>
                  <w:tcBorders>
                    <w:top w:val="single" w:color="000000" w:sz="8" w:space="0"/>
                    <w:left w:val="single" w:color="000000" w:sz="8" w:space="0"/>
                    <w:bottom w:val="single" w:color="000000" w:sz="8" w:space="0"/>
                    <w:right w:val="single" w:color="000000" w:sz="8" w:space="0"/>
                  </w:tcBorders>
                  <w:noWrap w:val="0"/>
                  <w:vAlign w:val="center"/>
                </w:tcPr>
                <w:p w14:paraId="44186022">
                  <w:pPr>
                    <w:spacing w:line="240" w:lineRule="auto"/>
                    <w:ind w:firstLine="0" w:firstLineChars="0"/>
                    <w:jc w:val="center"/>
                    <w:rPr>
                      <w:rFonts w:hint="default" w:ascii="Times New Roman" w:hAnsi="Times New Roman" w:cs="Times New Roman"/>
                      <w:bCs/>
                      <w:color w:val="auto"/>
                      <w:spacing w:val="0"/>
                      <w:sz w:val="21"/>
                      <w:szCs w:val="21"/>
                      <w:highlight w:val="none"/>
                      <w:lang w:val="en-US" w:eastAsia="zh-CN"/>
                    </w:rPr>
                  </w:pPr>
                  <w:r>
                    <w:rPr>
                      <w:rFonts w:hint="eastAsia" w:ascii="Times New Roman" w:hAnsi="Times New Roman" w:cs="Times New Roman"/>
                      <w:bCs/>
                      <w:color w:val="auto"/>
                      <w:spacing w:val="0"/>
                      <w:sz w:val="21"/>
                      <w:szCs w:val="21"/>
                      <w:highlight w:val="none"/>
                      <w:lang w:val="en-US" w:eastAsia="zh-CN"/>
                    </w:rPr>
                    <w:t>软水</w:t>
                  </w:r>
                </w:p>
              </w:tc>
              <w:tc>
                <w:tcPr>
                  <w:tcW w:w="591" w:type="dxa"/>
                  <w:tcBorders>
                    <w:top w:val="single" w:color="000000" w:sz="8" w:space="0"/>
                    <w:left w:val="single" w:color="000000" w:sz="8" w:space="0"/>
                    <w:bottom w:val="single" w:color="000000" w:sz="8" w:space="0"/>
                    <w:right w:val="single" w:color="000000" w:sz="8" w:space="0"/>
                  </w:tcBorders>
                  <w:shd w:val="clear" w:color="auto" w:fill="auto"/>
                  <w:noWrap w:val="0"/>
                  <w:vAlign w:val="center"/>
                </w:tcPr>
                <w:p w14:paraId="0DAB397F">
                  <w:pPr>
                    <w:spacing w:line="240" w:lineRule="auto"/>
                    <w:ind w:firstLine="0" w:firstLineChars="0"/>
                    <w:jc w:val="center"/>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color w:val="auto"/>
                      <w:spacing w:val="0"/>
                      <w:sz w:val="21"/>
                      <w:szCs w:val="21"/>
                      <w:highlight w:val="none"/>
                      <w:lang w:val="en-US" w:eastAsia="zh-CN"/>
                    </w:rPr>
                    <w:t>/</w:t>
                  </w:r>
                </w:p>
              </w:tc>
              <w:tc>
                <w:tcPr>
                  <w:tcW w:w="601" w:type="dxa"/>
                  <w:tcBorders>
                    <w:top w:val="single" w:color="000000" w:sz="8" w:space="0"/>
                    <w:left w:val="single" w:color="000000" w:sz="8" w:space="0"/>
                    <w:bottom w:val="single" w:color="000000" w:sz="8" w:space="0"/>
                    <w:right w:val="single" w:color="000000" w:sz="8" w:space="0"/>
                  </w:tcBorders>
                  <w:shd w:val="clear" w:color="auto" w:fill="auto"/>
                  <w:noWrap w:val="0"/>
                  <w:vAlign w:val="center"/>
                </w:tcPr>
                <w:p w14:paraId="794A9E9C">
                  <w:pPr>
                    <w:spacing w:line="240" w:lineRule="auto"/>
                    <w:ind w:firstLine="0" w:firstLineChars="0"/>
                    <w:jc w:val="center"/>
                    <w:rPr>
                      <w:rFonts w:hint="default" w:ascii="Times New Roman" w:hAnsi="Times New Roman" w:eastAsia="宋体" w:cs="Times New Roman"/>
                      <w:bCs/>
                      <w:color w:val="auto"/>
                      <w:spacing w:val="0"/>
                      <w:kern w:val="0"/>
                      <w:sz w:val="21"/>
                      <w:szCs w:val="21"/>
                      <w:highlight w:val="none"/>
                      <w:lang w:val="en-US" w:eastAsia="zh-CN" w:bidi="ar"/>
                    </w:rPr>
                  </w:pPr>
                  <w:r>
                    <w:rPr>
                      <w:rFonts w:hint="default" w:ascii="Times New Roman" w:hAnsi="Times New Roman" w:cs="Times New Roman"/>
                      <w:color w:val="auto"/>
                      <w:spacing w:val="0"/>
                      <w:kern w:val="0"/>
                      <w:sz w:val="21"/>
                      <w:szCs w:val="21"/>
                      <w:highlight w:val="none"/>
                      <w:lang w:val="en-US" w:eastAsia="zh-CN" w:bidi="ar"/>
                    </w:rPr>
                    <w:t>/</w:t>
                  </w:r>
                </w:p>
              </w:tc>
              <w:tc>
                <w:tcPr>
                  <w:tcW w:w="848" w:type="dxa"/>
                  <w:tcBorders>
                    <w:top w:val="single" w:color="000000" w:sz="8" w:space="0"/>
                    <w:left w:val="single" w:color="000000" w:sz="8" w:space="0"/>
                    <w:bottom w:val="single" w:color="000000" w:sz="8" w:space="0"/>
                    <w:right w:val="single" w:color="000000" w:sz="8" w:space="0"/>
                  </w:tcBorders>
                  <w:noWrap w:val="0"/>
                  <w:vAlign w:val="center"/>
                </w:tcPr>
                <w:p w14:paraId="5ED2F2B7">
                  <w:pPr>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w:t>
                  </w:r>
                </w:p>
              </w:tc>
              <w:tc>
                <w:tcPr>
                  <w:tcW w:w="925" w:type="dxa"/>
                  <w:tcBorders>
                    <w:top w:val="single" w:color="000000" w:sz="8" w:space="0"/>
                    <w:left w:val="single" w:color="000000" w:sz="8" w:space="0"/>
                    <w:bottom w:val="single" w:color="000000" w:sz="8" w:space="0"/>
                    <w:right w:val="single" w:color="000000" w:sz="8" w:space="0"/>
                  </w:tcBorders>
                  <w:noWrap w:val="0"/>
                  <w:vAlign w:val="center"/>
                </w:tcPr>
                <w:p w14:paraId="66A1A5C4">
                  <w:pPr>
                    <w:spacing w:line="240" w:lineRule="auto"/>
                    <w:ind w:firstLine="0" w:firstLineChars="0"/>
                    <w:jc w:val="center"/>
                    <w:rPr>
                      <w:rFonts w:hint="default" w:ascii="Times New Roman" w:hAnsi="Times New Roman" w:cs="Times New Roman"/>
                      <w:bCs/>
                      <w:color w:val="auto"/>
                      <w:spacing w:val="0"/>
                      <w:kern w:val="2"/>
                      <w:sz w:val="21"/>
                      <w:szCs w:val="21"/>
                      <w:highlight w:val="none"/>
                      <w:lang w:val="en-US" w:eastAsia="zh-CN" w:bidi="ar-SA"/>
                    </w:rPr>
                  </w:pPr>
                  <w:r>
                    <w:rPr>
                      <w:rFonts w:hint="eastAsia" w:ascii="Times New Roman" w:hAnsi="Times New Roman" w:cs="Times New Roman"/>
                      <w:bCs/>
                      <w:color w:val="auto"/>
                      <w:spacing w:val="0"/>
                      <w:kern w:val="2"/>
                      <w:sz w:val="21"/>
                      <w:szCs w:val="21"/>
                      <w:highlight w:val="none"/>
                      <w:lang w:val="en-US" w:eastAsia="zh-CN" w:bidi="ar-SA"/>
                    </w:rPr>
                    <w:t>56588.5</w:t>
                  </w:r>
                </w:p>
              </w:tc>
              <w:tc>
                <w:tcPr>
                  <w:tcW w:w="946" w:type="dxa"/>
                  <w:tcBorders>
                    <w:top w:val="single" w:color="000000" w:sz="8" w:space="0"/>
                    <w:left w:val="single" w:color="000000" w:sz="8" w:space="0"/>
                    <w:bottom w:val="single" w:color="000000" w:sz="8" w:space="0"/>
                    <w:right w:val="single" w:color="000000" w:sz="8" w:space="0"/>
                  </w:tcBorders>
                  <w:noWrap w:val="0"/>
                  <w:vAlign w:val="center"/>
                </w:tcPr>
                <w:p w14:paraId="662539E9">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w:t>
                  </w:r>
                </w:p>
              </w:tc>
              <w:tc>
                <w:tcPr>
                  <w:tcW w:w="774" w:type="dxa"/>
                  <w:tcBorders>
                    <w:top w:val="single" w:color="000000" w:sz="8" w:space="0"/>
                    <w:left w:val="single" w:color="000000" w:sz="8" w:space="0"/>
                    <w:bottom w:val="single" w:color="000000" w:sz="8" w:space="0"/>
                    <w:right w:val="single" w:color="000000" w:sz="8" w:space="0"/>
                  </w:tcBorders>
                  <w:noWrap w:val="0"/>
                  <w:vAlign w:val="center"/>
                </w:tcPr>
                <w:p w14:paraId="507BAB24">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w:t>
                  </w:r>
                </w:p>
              </w:tc>
              <w:tc>
                <w:tcPr>
                  <w:tcW w:w="867" w:type="dxa"/>
                  <w:tcBorders>
                    <w:top w:val="single" w:color="000000" w:sz="8" w:space="0"/>
                    <w:left w:val="single" w:color="000000" w:sz="8" w:space="0"/>
                    <w:bottom w:val="single" w:color="000000" w:sz="8" w:space="0"/>
                    <w:right w:val="nil"/>
                  </w:tcBorders>
                  <w:noWrap w:val="0"/>
                  <w:vAlign w:val="center"/>
                </w:tcPr>
                <w:p w14:paraId="08A2C8F0">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w:t>
                  </w:r>
                </w:p>
              </w:tc>
            </w:tr>
            <w:tr w14:paraId="02FF17E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242" w:type="dxa"/>
                  <w:tcBorders>
                    <w:top w:val="single" w:color="000000" w:sz="8" w:space="0"/>
                    <w:left w:val="nil"/>
                    <w:bottom w:val="single" w:color="000000" w:sz="8" w:space="0"/>
                    <w:right w:val="single" w:color="000000" w:sz="8" w:space="0"/>
                  </w:tcBorders>
                  <w:noWrap w:val="0"/>
                  <w:vAlign w:val="center"/>
                </w:tcPr>
                <w:p w14:paraId="0C0C449A">
                  <w:pPr>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锅炉补水</w:t>
                  </w:r>
                </w:p>
              </w:tc>
              <w:tc>
                <w:tcPr>
                  <w:tcW w:w="697" w:type="dxa"/>
                  <w:tcBorders>
                    <w:top w:val="single" w:color="000000" w:sz="8" w:space="0"/>
                    <w:left w:val="single" w:color="000000" w:sz="8" w:space="0"/>
                    <w:bottom w:val="single" w:color="000000" w:sz="8" w:space="0"/>
                    <w:right w:val="single" w:color="000000" w:sz="8" w:space="0"/>
                  </w:tcBorders>
                  <w:noWrap w:val="0"/>
                  <w:vAlign w:val="center"/>
                </w:tcPr>
                <w:p w14:paraId="248AB0D0">
                  <w:pPr>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eastAsia="zh-CN"/>
                    </w:rPr>
                  </w:pPr>
                  <w:r>
                    <w:rPr>
                      <w:rFonts w:hint="eastAsia" w:ascii="Times New Roman" w:hAnsi="Times New Roman" w:cs="Times New Roman"/>
                      <w:bCs/>
                      <w:color w:val="auto"/>
                      <w:spacing w:val="0"/>
                      <w:sz w:val="21"/>
                      <w:szCs w:val="21"/>
                      <w:highlight w:val="none"/>
                      <w:lang w:val="en-US" w:eastAsia="zh-CN"/>
                    </w:rPr>
                    <w:t>软</w:t>
                  </w:r>
                  <w:r>
                    <w:rPr>
                      <w:rFonts w:hint="default" w:ascii="Times New Roman" w:hAnsi="Times New Roman" w:cs="Times New Roman"/>
                      <w:bCs/>
                      <w:color w:val="auto"/>
                      <w:spacing w:val="0"/>
                      <w:sz w:val="21"/>
                      <w:szCs w:val="21"/>
                      <w:highlight w:val="none"/>
                      <w:lang w:val="en-US" w:eastAsia="zh-CN"/>
                    </w:rPr>
                    <w:t>水</w:t>
                  </w:r>
                </w:p>
              </w:tc>
              <w:tc>
                <w:tcPr>
                  <w:tcW w:w="591" w:type="dxa"/>
                  <w:tcBorders>
                    <w:top w:val="single" w:color="000000" w:sz="8" w:space="0"/>
                    <w:left w:val="single" w:color="000000" w:sz="8" w:space="0"/>
                    <w:bottom w:val="single" w:color="000000" w:sz="8" w:space="0"/>
                    <w:right w:val="single" w:color="000000" w:sz="8" w:space="0"/>
                  </w:tcBorders>
                  <w:noWrap w:val="0"/>
                  <w:vAlign w:val="center"/>
                </w:tcPr>
                <w:p w14:paraId="4699B886">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c>
                <w:tcPr>
                  <w:tcW w:w="601" w:type="dxa"/>
                  <w:tcBorders>
                    <w:top w:val="single" w:color="000000" w:sz="8" w:space="0"/>
                    <w:left w:val="single" w:color="000000" w:sz="8" w:space="0"/>
                    <w:bottom w:val="single" w:color="000000" w:sz="8" w:space="0"/>
                    <w:right w:val="single" w:color="000000" w:sz="8" w:space="0"/>
                  </w:tcBorders>
                  <w:noWrap w:val="0"/>
                  <w:vAlign w:val="center"/>
                </w:tcPr>
                <w:p w14:paraId="1DD4205F">
                  <w:pPr>
                    <w:spacing w:line="240" w:lineRule="auto"/>
                    <w:ind w:firstLine="0" w:firstLineChars="0"/>
                    <w:jc w:val="center"/>
                    <w:rPr>
                      <w:rFonts w:hint="default" w:ascii="Times New Roman" w:hAnsi="Times New Roman" w:eastAsia="宋体" w:cs="Times New Roman"/>
                      <w:color w:val="auto"/>
                      <w:spacing w:val="0"/>
                      <w:kern w:val="0"/>
                      <w:sz w:val="21"/>
                      <w:szCs w:val="21"/>
                      <w:highlight w:val="none"/>
                      <w:lang w:val="en-US" w:eastAsia="zh-CN" w:bidi="ar"/>
                    </w:rPr>
                  </w:pPr>
                  <w:r>
                    <w:rPr>
                      <w:rFonts w:hint="default" w:ascii="Times New Roman" w:hAnsi="Times New Roman" w:cs="Times New Roman"/>
                      <w:color w:val="auto"/>
                      <w:spacing w:val="0"/>
                      <w:kern w:val="0"/>
                      <w:sz w:val="21"/>
                      <w:szCs w:val="21"/>
                      <w:highlight w:val="none"/>
                      <w:lang w:val="en-US" w:eastAsia="zh-CN" w:bidi="ar"/>
                    </w:rPr>
                    <w:t>/</w:t>
                  </w:r>
                </w:p>
              </w:tc>
              <w:tc>
                <w:tcPr>
                  <w:tcW w:w="848" w:type="dxa"/>
                  <w:tcBorders>
                    <w:top w:val="single" w:color="000000" w:sz="8" w:space="0"/>
                    <w:left w:val="single" w:color="000000" w:sz="8" w:space="0"/>
                    <w:bottom w:val="single" w:color="000000" w:sz="8" w:space="0"/>
                    <w:right w:val="single" w:color="000000" w:sz="8" w:space="0"/>
                  </w:tcBorders>
                  <w:noWrap w:val="0"/>
                  <w:vAlign w:val="center"/>
                </w:tcPr>
                <w:p w14:paraId="3A5C560D">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4.68</w:t>
                  </w:r>
                </w:p>
              </w:tc>
              <w:tc>
                <w:tcPr>
                  <w:tcW w:w="925" w:type="dxa"/>
                  <w:tcBorders>
                    <w:top w:val="single" w:color="000000" w:sz="8" w:space="0"/>
                    <w:left w:val="single" w:color="000000" w:sz="8" w:space="0"/>
                    <w:bottom w:val="single" w:color="000000" w:sz="8" w:space="0"/>
                    <w:right w:val="single" w:color="000000" w:sz="8" w:space="0"/>
                  </w:tcBorders>
                  <w:noWrap w:val="0"/>
                  <w:vAlign w:val="center"/>
                </w:tcPr>
                <w:p w14:paraId="620365E4">
                  <w:pPr>
                    <w:spacing w:line="240" w:lineRule="auto"/>
                    <w:ind w:firstLine="0" w:firstLineChars="0"/>
                    <w:jc w:val="center"/>
                    <w:rPr>
                      <w:rFonts w:hint="default" w:ascii="Times New Roman" w:hAnsi="Times New Roman" w:cs="Times New Roman"/>
                      <w:bCs/>
                      <w:color w:val="auto"/>
                      <w:spacing w:val="0"/>
                      <w:kern w:val="2"/>
                      <w:sz w:val="21"/>
                      <w:szCs w:val="21"/>
                      <w:highlight w:val="none"/>
                      <w:lang w:val="en-US" w:eastAsia="zh-CN" w:bidi="ar-SA"/>
                    </w:rPr>
                  </w:pPr>
                  <w:r>
                    <w:rPr>
                      <w:rFonts w:hint="eastAsia" w:ascii="Times New Roman" w:hAnsi="Times New Roman" w:cs="Times New Roman"/>
                      <w:bCs/>
                      <w:color w:val="auto"/>
                      <w:spacing w:val="0"/>
                      <w:kern w:val="2"/>
                      <w:sz w:val="21"/>
                      <w:szCs w:val="21"/>
                      <w:highlight w:val="none"/>
                      <w:lang w:val="en-US" w:eastAsia="zh-CN" w:bidi="ar-SA"/>
                    </w:rPr>
                    <w:t>1131.77</w:t>
                  </w:r>
                </w:p>
              </w:tc>
              <w:tc>
                <w:tcPr>
                  <w:tcW w:w="946" w:type="dxa"/>
                  <w:tcBorders>
                    <w:top w:val="single" w:color="000000" w:sz="8" w:space="0"/>
                    <w:left w:val="single" w:color="000000" w:sz="8" w:space="0"/>
                    <w:bottom w:val="single" w:color="000000" w:sz="8" w:space="0"/>
                    <w:right w:val="single" w:color="000000" w:sz="8" w:space="0"/>
                  </w:tcBorders>
                  <w:noWrap w:val="0"/>
                  <w:vAlign w:val="center"/>
                </w:tcPr>
                <w:p w14:paraId="61C82BC9">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c>
                <w:tcPr>
                  <w:tcW w:w="774" w:type="dxa"/>
                  <w:tcBorders>
                    <w:top w:val="single" w:color="000000" w:sz="8" w:space="0"/>
                    <w:left w:val="single" w:color="000000" w:sz="8" w:space="0"/>
                    <w:bottom w:val="single" w:color="000000" w:sz="8" w:space="0"/>
                    <w:right w:val="single" w:color="000000" w:sz="8" w:space="0"/>
                  </w:tcBorders>
                  <w:noWrap w:val="0"/>
                  <w:vAlign w:val="center"/>
                </w:tcPr>
                <w:p w14:paraId="1CBF9100">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c>
                <w:tcPr>
                  <w:tcW w:w="867" w:type="dxa"/>
                  <w:tcBorders>
                    <w:top w:val="single" w:color="000000" w:sz="8" w:space="0"/>
                    <w:left w:val="single" w:color="000000" w:sz="8" w:space="0"/>
                    <w:bottom w:val="single" w:color="000000" w:sz="8" w:space="0"/>
                    <w:right w:val="nil"/>
                  </w:tcBorders>
                  <w:noWrap w:val="0"/>
                  <w:vAlign w:val="center"/>
                </w:tcPr>
                <w:p w14:paraId="68AC4F9B">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r>
            <w:tr w14:paraId="2A97AC74">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242" w:type="dxa"/>
                  <w:tcBorders>
                    <w:top w:val="single" w:color="000000" w:sz="8" w:space="0"/>
                    <w:left w:val="nil"/>
                    <w:bottom w:val="single" w:color="000000" w:sz="8" w:space="0"/>
                    <w:right w:val="single" w:color="000000" w:sz="8" w:space="0"/>
                  </w:tcBorders>
                  <w:noWrap w:val="0"/>
                  <w:vAlign w:val="center"/>
                </w:tcPr>
                <w:p w14:paraId="76209A42">
                  <w:pPr>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锅炉排污水</w:t>
                  </w:r>
                </w:p>
              </w:tc>
              <w:tc>
                <w:tcPr>
                  <w:tcW w:w="697" w:type="dxa"/>
                  <w:tcBorders>
                    <w:top w:val="single" w:color="000000" w:sz="8" w:space="0"/>
                    <w:left w:val="single" w:color="000000" w:sz="8" w:space="0"/>
                    <w:bottom w:val="single" w:color="000000" w:sz="8" w:space="0"/>
                    <w:right w:val="single" w:color="000000" w:sz="8" w:space="0"/>
                  </w:tcBorders>
                  <w:noWrap w:val="0"/>
                  <w:vAlign w:val="center"/>
                </w:tcPr>
                <w:p w14:paraId="691C96BB">
                  <w:pPr>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w:t>
                  </w:r>
                </w:p>
              </w:tc>
              <w:tc>
                <w:tcPr>
                  <w:tcW w:w="591" w:type="dxa"/>
                  <w:tcBorders>
                    <w:top w:val="single" w:color="000000" w:sz="8" w:space="0"/>
                    <w:left w:val="single" w:color="000000" w:sz="8" w:space="0"/>
                    <w:bottom w:val="single" w:color="000000" w:sz="8" w:space="0"/>
                    <w:right w:val="single" w:color="000000" w:sz="8" w:space="0"/>
                  </w:tcBorders>
                  <w:noWrap w:val="0"/>
                  <w:vAlign w:val="center"/>
                </w:tcPr>
                <w:p w14:paraId="14A796EA">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c>
                <w:tcPr>
                  <w:tcW w:w="601" w:type="dxa"/>
                  <w:tcBorders>
                    <w:top w:val="single" w:color="000000" w:sz="8" w:space="0"/>
                    <w:left w:val="single" w:color="000000" w:sz="8" w:space="0"/>
                    <w:bottom w:val="single" w:color="000000" w:sz="8" w:space="0"/>
                    <w:right w:val="single" w:color="000000" w:sz="8" w:space="0"/>
                  </w:tcBorders>
                  <w:noWrap w:val="0"/>
                  <w:vAlign w:val="center"/>
                </w:tcPr>
                <w:p w14:paraId="7333BF1D">
                  <w:pPr>
                    <w:spacing w:line="240" w:lineRule="auto"/>
                    <w:ind w:firstLine="0" w:firstLineChars="0"/>
                    <w:jc w:val="center"/>
                    <w:rPr>
                      <w:rFonts w:hint="default" w:ascii="Times New Roman" w:hAnsi="Times New Roman" w:eastAsia="宋体" w:cs="Times New Roman"/>
                      <w:color w:val="auto"/>
                      <w:spacing w:val="0"/>
                      <w:kern w:val="0"/>
                      <w:sz w:val="21"/>
                      <w:szCs w:val="21"/>
                      <w:highlight w:val="none"/>
                      <w:lang w:val="en-US" w:eastAsia="zh-CN" w:bidi="ar"/>
                    </w:rPr>
                  </w:pPr>
                  <w:r>
                    <w:rPr>
                      <w:rFonts w:hint="default" w:ascii="Times New Roman" w:hAnsi="Times New Roman" w:eastAsia="宋体" w:cs="Times New Roman"/>
                      <w:color w:val="auto"/>
                      <w:spacing w:val="0"/>
                      <w:kern w:val="0"/>
                      <w:sz w:val="21"/>
                      <w:szCs w:val="21"/>
                      <w:highlight w:val="none"/>
                      <w:lang w:val="en-US" w:eastAsia="zh-CN" w:bidi="ar"/>
                    </w:rPr>
                    <w:t>/</w:t>
                  </w:r>
                </w:p>
              </w:tc>
              <w:tc>
                <w:tcPr>
                  <w:tcW w:w="848" w:type="dxa"/>
                  <w:tcBorders>
                    <w:top w:val="single" w:color="000000" w:sz="8" w:space="0"/>
                    <w:left w:val="single" w:color="000000" w:sz="8" w:space="0"/>
                    <w:bottom w:val="single" w:color="000000" w:sz="8" w:space="0"/>
                    <w:right w:val="single" w:color="000000" w:sz="8" w:space="0"/>
                  </w:tcBorders>
                  <w:noWrap w:val="0"/>
                  <w:vAlign w:val="center"/>
                </w:tcPr>
                <w:p w14:paraId="5C1CE081">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w:t>
                  </w:r>
                </w:p>
              </w:tc>
              <w:tc>
                <w:tcPr>
                  <w:tcW w:w="925" w:type="dxa"/>
                  <w:tcBorders>
                    <w:top w:val="single" w:color="000000" w:sz="8" w:space="0"/>
                    <w:left w:val="single" w:color="000000" w:sz="8" w:space="0"/>
                    <w:bottom w:val="single" w:color="000000" w:sz="8" w:space="0"/>
                    <w:right w:val="single" w:color="000000" w:sz="8" w:space="0"/>
                  </w:tcBorders>
                  <w:noWrap w:val="0"/>
                  <w:vAlign w:val="center"/>
                </w:tcPr>
                <w:p w14:paraId="3C32775B">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c>
                <w:tcPr>
                  <w:tcW w:w="946" w:type="dxa"/>
                  <w:tcBorders>
                    <w:top w:val="single" w:color="000000" w:sz="8" w:space="0"/>
                    <w:left w:val="single" w:color="000000" w:sz="8" w:space="0"/>
                    <w:bottom w:val="single" w:color="000000" w:sz="8" w:space="0"/>
                    <w:right w:val="single" w:color="000000" w:sz="8" w:space="0"/>
                  </w:tcBorders>
                  <w:noWrap w:val="0"/>
                  <w:vAlign w:val="center"/>
                </w:tcPr>
                <w:p w14:paraId="1153E630">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0</w:t>
                  </w:r>
                  <w:r>
                    <w:rPr>
                      <w:rFonts w:hint="eastAsia" w:ascii="Times New Roman" w:hAnsi="Times New Roman" w:cs="Times New Roman"/>
                      <w:color w:val="auto"/>
                      <w:spacing w:val="0"/>
                      <w:sz w:val="21"/>
                      <w:szCs w:val="21"/>
                      <w:highlight w:val="none"/>
                      <w:lang w:val="en-US" w:eastAsia="zh-CN"/>
                    </w:rPr>
                    <w:t>.356</w:t>
                  </w:r>
                  <w:r>
                    <w:rPr>
                      <w:rFonts w:hint="default" w:ascii="Times New Roman" w:hAnsi="Times New Roman" w:eastAsia="宋体" w:cs="Times New Roman"/>
                      <w:color w:val="auto"/>
                      <w:spacing w:val="0"/>
                      <w:sz w:val="21"/>
                      <w:szCs w:val="21"/>
                      <w:highlight w:val="none"/>
                      <w:lang w:val="en-US" w:eastAsia="zh-CN"/>
                    </w:rPr>
                    <w:t>吨/吨</w:t>
                  </w:r>
                  <w:r>
                    <w:rPr>
                      <w:rFonts w:hint="default" w:ascii="Times New Roman" w:hAnsi="Times New Roman" w:cs="Times New Roman"/>
                      <w:color w:val="auto"/>
                      <w:spacing w:val="0"/>
                      <w:sz w:val="21"/>
                      <w:szCs w:val="21"/>
                      <w:highlight w:val="none"/>
                      <w:lang w:val="en-US" w:eastAsia="zh-CN"/>
                    </w:rPr>
                    <w:t>－</w:t>
                  </w:r>
                  <w:r>
                    <w:rPr>
                      <w:rFonts w:hint="default" w:ascii="Times New Roman" w:hAnsi="Times New Roman" w:eastAsia="宋体" w:cs="Times New Roman"/>
                      <w:color w:val="auto"/>
                      <w:spacing w:val="0"/>
                      <w:sz w:val="21"/>
                      <w:szCs w:val="21"/>
                      <w:highlight w:val="none"/>
                      <w:lang w:val="en-US" w:eastAsia="zh-CN"/>
                    </w:rPr>
                    <w:t>原料</w:t>
                  </w:r>
                </w:p>
              </w:tc>
              <w:tc>
                <w:tcPr>
                  <w:tcW w:w="774" w:type="dxa"/>
                  <w:tcBorders>
                    <w:top w:val="single" w:color="000000" w:sz="8" w:space="0"/>
                    <w:left w:val="single" w:color="000000" w:sz="8" w:space="0"/>
                    <w:bottom w:val="single" w:color="000000" w:sz="8" w:space="0"/>
                    <w:right w:val="single" w:color="000000" w:sz="8" w:space="0"/>
                  </w:tcBorders>
                  <w:noWrap w:val="0"/>
                  <w:vAlign w:val="center"/>
                </w:tcPr>
                <w:p w14:paraId="7AEBD4FE">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4.44</w:t>
                  </w:r>
                </w:p>
              </w:tc>
              <w:tc>
                <w:tcPr>
                  <w:tcW w:w="867" w:type="dxa"/>
                  <w:tcBorders>
                    <w:top w:val="single" w:color="000000" w:sz="8" w:space="0"/>
                    <w:left w:val="single" w:color="000000" w:sz="8" w:space="0"/>
                    <w:bottom w:val="single" w:color="000000" w:sz="8" w:space="0"/>
                    <w:right w:val="nil"/>
                  </w:tcBorders>
                  <w:noWrap w:val="0"/>
                  <w:vAlign w:val="center"/>
                </w:tcPr>
                <w:p w14:paraId="04DB0F61">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1075.18</w:t>
                  </w:r>
                </w:p>
              </w:tc>
            </w:tr>
            <w:tr w14:paraId="4627ED20">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131" w:type="dxa"/>
                  <w:gridSpan w:val="4"/>
                  <w:tcBorders>
                    <w:top w:val="single" w:color="000000" w:sz="8" w:space="0"/>
                    <w:left w:val="nil"/>
                    <w:bottom w:val="single" w:color="000000" w:sz="12" w:space="0"/>
                    <w:right w:val="single" w:color="000000" w:sz="8" w:space="0"/>
                  </w:tcBorders>
                  <w:noWrap w:val="0"/>
                  <w:vAlign w:val="center"/>
                </w:tcPr>
                <w:p w14:paraId="57563F3C">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rPr>
                  </w:pPr>
                  <w:r>
                    <w:rPr>
                      <w:rFonts w:hint="default" w:ascii="Times New Roman" w:hAnsi="Times New Roman" w:eastAsia="宋体" w:cs="Times New Roman"/>
                      <w:color w:val="auto"/>
                      <w:spacing w:val="0"/>
                      <w:sz w:val="21"/>
                      <w:szCs w:val="21"/>
                      <w:highlight w:val="none"/>
                    </w:rPr>
                    <w:t>合计</w:t>
                  </w:r>
                  <w:r>
                    <w:rPr>
                      <w:rFonts w:hint="default" w:ascii="Times New Roman" w:hAnsi="Times New Roman" w:eastAsia="宋体" w:cs="Times New Roman"/>
                      <w:color w:val="auto"/>
                      <w:spacing w:val="0"/>
                      <w:sz w:val="21"/>
                      <w:szCs w:val="21"/>
                      <w:highlight w:val="none"/>
                      <w:lang w:val="en-US" w:eastAsia="zh-CN"/>
                    </w:rPr>
                    <w:t>新鲜水</w:t>
                  </w:r>
                </w:p>
              </w:tc>
              <w:tc>
                <w:tcPr>
                  <w:tcW w:w="848" w:type="dxa"/>
                  <w:tcBorders>
                    <w:top w:val="single" w:color="000000" w:sz="8" w:space="0"/>
                    <w:left w:val="single" w:color="000000" w:sz="8" w:space="0"/>
                    <w:bottom w:val="single" w:color="000000" w:sz="12" w:space="0"/>
                    <w:right w:val="single" w:color="000000" w:sz="8" w:space="0"/>
                  </w:tcBorders>
                  <w:shd w:val="clear" w:color="auto" w:fill="auto"/>
                  <w:noWrap w:val="0"/>
                  <w:vAlign w:val="center"/>
                </w:tcPr>
                <w:p w14:paraId="611831BD">
                  <w:pPr>
                    <w:spacing w:line="240" w:lineRule="auto"/>
                    <w:ind w:firstLine="0" w:firstLineChars="0"/>
                    <w:jc w:val="center"/>
                    <w:rPr>
                      <w:rFonts w:hint="default" w:ascii="Times New Roman" w:hAnsi="Times New Roman" w:eastAsia="宋体" w:cs="Times New Roman"/>
                      <w:bCs/>
                      <w:color w:val="auto"/>
                      <w:spacing w:val="0"/>
                      <w:kern w:val="2"/>
                      <w:sz w:val="21"/>
                      <w:szCs w:val="21"/>
                      <w:highlight w:val="none"/>
                      <w:lang w:val="en-US" w:eastAsia="zh-CN" w:bidi="ar-SA"/>
                    </w:rPr>
                  </w:pPr>
                  <w:r>
                    <w:rPr>
                      <w:rFonts w:hint="eastAsia" w:ascii="Times New Roman" w:hAnsi="Times New Roman" w:cs="Times New Roman"/>
                      <w:bCs/>
                      <w:color w:val="auto"/>
                      <w:spacing w:val="0"/>
                      <w:kern w:val="2"/>
                      <w:sz w:val="21"/>
                      <w:szCs w:val="21"/>
                      <w:highlight w:val="none"/>
                      <w:lang w:val="en-US" w:eastAsia="zh-CN" w:bidi="ar-SA"/>
                    </w:rPr>
                    <w:t>269.68</w:t>
                  </w:r>
                </w:p>
              </w:tc>
              <w:tc>
                <w:tcPr>
                  <w:tcW w:w="925" w:type="dxa"/>
                  <w:tcBorders>
                    <w:top w:val="single" w:color="000000" w:sz="8" w:space="0"/>
                    <w:left w:val="single" w:color="000000" w:sz="8" w:space="0"/>
                    <w:bottom w:val="single" w:color="000000" w:sz="12" w:space="0"/>
                    <w:right w:val="single" w:color="000000" w:sz="8" w:space="0"/>
                  </w:tcBorders>
                  <w:shd w:val="clear" w:color="auto" w:fill="auto"/>
                  <w:noWrap w:val="0"/>
                  <w:vAlign w:val="center"/>
                </w:tcPr>
                <w:p w14:paraId="35389F62">
                  <w:pPr>
                    <w:spacing w:line="240" w:lineRule="auto"/>
                    <w:ind w:firstLine="0" w:firstLineChars="0"/>
                    <w:jc w:val="center"/>
                    <w:rPr>
                      <w:rFonts w:hint="default" w:ascii="Times New Roman" w:hAnsi="Times New Roman" w:eastAsia="宋体" w:cs="Times New Roman"/>
                      <w:bCs/>
                      <w:color w:val="auto"/>
                      <w:spacing w:val="0"/>
                      <w:kern w:val="2"/>
                      <w:sz w:val="21"/>
                      <w:szCs w:val="21"/>
                      <w:highlight w:val="none"/>
                      <w:lang w:val="en-US" w:eastAsia="zh-CN" w:bidi="ar-SA"/>
                    </w:rPr>
                  </w:pPr>
                  <w:r>
                    <w:rPr>
                      <w:rFonts w:hint="eastAsia" w:ascii="Times New Roman" w:hAnsi="Times New Roman" w:cs="Times New Roman"/>
                      <w:bCs/>
                      <w:color w:val="auto"/>
                      <w:spacing w:val="0"/>
                      <w:kern w:val="2"/>
                      <w:sz w:val="21"/>
                      <w:szCs w:val="21"/>
                      <w:highlight w:val="none"/>
                      <w:lang w:val="en-US" w:eastAsia="zh-CN" w:bidi="ar-SA"/>
                    </w:rPr>
                    <w:t>64133.63</w:t>
                  </w:r>
                </w:p>
              </w:tc>
              <w:tc>
                <w:tcPr>
                  <w:tcW w:w="946" w:type="dxa"/>
                  <w:tcBorders>
                    <w:top w:val="single" w:color="000000" w:sz="8" w:space="0"/>
                    <w:left w:val="single" w:color="000000" w:sz="8" w:space="0"/>
                    <w:bottom w:val="single" w:color="000000" w:sz="12" w:space="0"/>
                    <w:right w:val="single" w:color="000000" w:sz="8" w:space="0"/>
                  </w:tcBorders>
                  <w:noWrap w:val="0"/>
                  <w:vAlign w:val="center"/>
                </w:tcPr>
                <w:p w14:paraId="241DB936">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c>
                <w:tcPr>
                  <w:tcW w:w="774" w:type="dxa"/>
                  <w:tcBorders>
                    <w:top w:val="single" w:color="000000" w:sz="8" w:space="0"/>
                    <w:left w:val="single" w:color="000000" w:sz="8" w:space="0"/>
                    <w:bottom w:val="single" w:color="000000" w:sz="12" w:space="0"/>
                    <w:right w:val="single" w:color="000000" w:sz="8" w:space="0"/>
                  </w:tcBorders>
                  <w:shd w:val="clear" w:color="auto" w:fill="auto"/>
                  <w:noWrap w:val="0"/>
                  <w:vAlign w:val="center"/>
                </w:tcPr>
                <w:p w14:paraId="0DAB1F3B">
                  <w:pPr>
                    <w:spacing w:line="240" w:lineRule="auto"/>
                    <w:ind w:firstLine="0" w:firstLineChars="0"/>
                    <w:jc w:val="center"/>
                    <w:rPr>
                      <w:rFonts w:hint="default" w:ascii="Times New Roman" w:hAnsi="Times New Roman" w:eastAsia="宋体" w:cs="Times New Roman"/>
                      <w:bCs/>
                      <w:color w:val="auto"/>
                      <w:spacing w:val="0"/>
                      <w:kern w:val="2"/>
                      <w:sz w:val="21"/>
                      <w:szCs w:val="21"/>
                      <w:highlight w:val="none"/>
                      <w:lang w:val="en-US" w:eastAsia="zh-CN" w:bidi="ar-SA"/>
                    </w:rPr>
                  </w:pPr>
                  <w:r>
                    <w:rPr>
                      <w:rFonts w:hint="eastAsia" w:ascii="Times New Roman" w:hAnsi="Times New Roman" w:cs="Times New Roman"/>
                      <w:bCs/>
                      <w:color w:val="auto"/>
                      <w:spacing w:val="0"/>
                      <w:kern w:val="2"/>
                      <w:sz w:val="21"/>
                      <w:szCs w:val="21"/>
                      <w:highlight w:val="none"/>
                      <w:lang w:val="en-US" w:eastAsia="zh-CN" w:bidi="ar-SA"/>
                    </w:rPr>
                    <w:t>30.94</w:t>
                  </w:r>
                </w:p>
              </w:tc>
              <w:tc>
                <w:tcPr>
                  <w:tcW w:w="867" w:type="dxa"/>
                  <w:tcBorders>
                    <w:top w:val="single" w:color="000000" w:sz="8" w:space="0"/>
                    <w:left w:val="single" w:color="000000" w:sz="8" w:space="0"/>
                    <w:bottom w:val="single" w:color="000000" w:sz="12" w:space="0"/>
                    <w:right w:val="nil"/>
                  </w:tcBorders>
                  <w:shd w:val="clear" w:color="auto" w:fill="auto"/>
                  <w:noWrap w:val="0"/>
                  <w:vAlign w:val="center"/>
                </w:tcPr>
                <w:p w14:paraId="35CDB642">
                  <w:pPr>
                    <w:spacing w:line="240" w:lineRule="auto"/>
                    <w:ind w:firstLine="0" w:firstLineChars="0"/>
                    <w:jc w:val="center"/>
                    <w:rPr>
                      <w:rFonts w:hint="default" w:ascii="Times New Roman" w:hAnsi="Times New Roman" w:eastAsia="宋体" w:cs="Times New Roman"/>
                      <w:bCs/>
                      <w:color w:val="auto"/>
                      <w:spacing w:val="0"/>
                      <w:kern w:val="2"/>
                      <w:sz w:val="21"/>
                      <w:szCs w:val="21"/>
                      <w:highlight w:val="none"/>
                      <w:lang w:val="en-US" w:eastAsia="zh-CN" w:bidi="ar-SA"/>
                    </w:rPr>
                  </w:pPr>
                  <w:r>
                    <w:rPr>
                      <w:rFonts w:hint="eastAsia" w:ascii="Times New Roman" w:hAnsi="Times New Roman" w:cs="Times New Roman"/>
                      <w:bCs/>
                      <w:color w:val="auto"/>
                      <w:spacing w:val="0"/>
                      <w:kern w:val="2"/>
                      <w:sz w:val="21"/>
                      <w:szCs w:val="21"/>
                      <w:highlight w:val="none"/>
                      <w:lang w:val="en-US" w:eastAsia="zh-CN" w:bidi="ar-SA"/>
                    </w:rPr>
                    <w:t>7488.54</w:t>
                  </w:r>
                </w:p>
              </w:tc>
            </w:tr>
          </w:tbl>
          <w:p w14:paraId="2534AD89">
            <w:pPr>
              <w:tabs>
                <w:tab w:val="left" w:pos="3687"/>
              </w:tabs>
              <w:spacing w:line="240" w:lineRule="auto"/>
              <w:ind w:firstLine="0" w:firstLineChars="0"/>
              <w:jc w:val="center"/>
              <w:rPr>
                <w:rFonts w:hint="default" w:ascii="Times New Roman" w:hAnsi="Times New Roman" w:cs="Times New Roman"/>
                <w:color w:val="auto"/>
                <w:highlight w:val="none"/>
              </w:rPr>
            </w:pPr>
          </w:p>
          <w:p w14:paraId="6B0A70C7">
            <w:pPr>
              <w:tabs>
                <w:tab w:val="left" w:pos="3687"/>
              </w:tabs>
              <w:spacing w:line="240" w:lineRule="auto"/>
              <w:ind w:firstLine="0" w:firstLineChars="0"/>
              <w:jc w:val="center"/>
              <w:rPr>
                <w:rFonts w:hint="default" w:ascii="Times New Roman" w:hAnsi="Times New Roman" w:cs="Times New Roman"/>
                <w:color w:val="auto"/>
                <w:highlight w:val="none"/>
              </w:rPr>
            </w:pPr>
            <w:r>
              <w:rPr>
                <w:color w:val="auto"/>
                <w:highlight w:val="none"/>
              </w:rPr>
              <w:drawing>
                <wp:inline distT="0" distB="0" distL="114300" distR="114300">
                  <wp:extent cx="4933315" cy="2233295"/>
                  <wp:effectExtent l="0" t="0" r="635" b="14605"/>
                  <wp:docPr id="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
                          <pic:cNvPicPr>
                            <a:picLocks noChangeAspect="1"/>
                          </pic:cNvPicPr>
                        </pic:nvPicPr>
                        <pic:blipFill>
                          <a:blip r:embed="rId19"/>
                          <a:stretch>
                            <a:fillRect/>
                          </a:stretch>
                        </pic:blipFill>
                        <pic:spPr>
                          <a:xfrm>
                            <a:off x="0" y="0"/>
                            <a:ext cx="4933315" cy="2233295"/>
                          </a:xfrm>
                          <a:prstGeom prst="rect">
                            <a:avLst/>
                          </a:prstGeom>
                          <a:noFill/>
                          <a:ln>
                            <a:noFill/>
                          </a:ln>
                        </pic:spPr>
                      </pic:pic>
                    </a:graphicData>
                  </a:graphic>
                </wp:inline>
              </w:drawing>
            </w:r>
          </w:p>
          <w:p w14:paraId="52831077">
            <w:pPr>
              <w:keepNext w:val="0"/>
              <w:keepLines w:val="0"/>
              <w:pageBreakBefore w:val="0"/>
              <w:widowControl w:val="0"/>
              <w:tabs>
                <w:tab w:val="left" w:pos="3687"/>
              </w:tabs>
              <w:kinsoku/>
              <w:wordWrap/>
              <w:overflowPunct/>
              <w:topLinePunct w:val="0"/>
              <w:autoSpaceDE/>
              <w:autoSpaceDN/>
              <w:bidi w:val="0"/>
              <w:adjustRightInd w:val="0"/>
              <w:snapToGrid w:val="0"/>
              <w:spacing w:line="520" w:lineRule="exact"/>
              <w:ind w:firstLine="0" w:firstLineChars="0"/>
              <w:jc w:val="center"/>
              <w:textAlignment w:val="auto"/>
              <w:rPr>
                <w:rFonts w:hint="default" w:ascii="Times New Roman" w:hAnsi="Times New Roman" w:eastAsia="宋体" w:cs="Times New Roman"/>
                <w:b w:val="0"/>
                <w:bCs w:val="0"/>
                <w:color w:val="auto"/>
                <w:spacing w:val="0"/>
                <w:sz w:val="24"/>
                <w:szCs w:val="24"/>
                <w:highlight w:val="none"/>
              </w:rPr>
            </w:pPr>
            <w:r>
              <w:rPr>
                <w:rFonts w:hint="default" w:ascii="Times New Roman" w:hAnsi="Times New Roman" w:eastAsia="宋体" w:cs="Times New Roman"/>
                <w:b/>
                <w:bCs w:val="0"/>
                <w:color w:val="auto"/>
                <w:spacing w:val="0"/>
                <w:kern w:val="2"/>
                <w:sz w:val="21"/>
                <w:szCs w:val="21"/>
                <w:highlight w:val="none"/>
                <w:lang w:val="en-US" w:eastAsia="zh-CN" w:bidi="ar-SA"/>
              </w:rPr>
              <w:t>图2-1 水平衡图（t/</w:t>
            </w:r>
            <w:r>
              <w:rPr>
                <w:rFonts w:hint="eastAsia" w:ascii="Times New Roman" w:hAnsi="Times New Roman" w:cs="Times New Roman"/>
                <w:b/>
                <w:bCs w:val="0"/>
                <w:color w:val="auto"/>
                <w:spacing w:val="0"/>
                <w:kern w:val="2"/>
                <w:sz w:val="21"/>
                <w:szCs w:val="21"/>
                <w:highlight w:val="none"/>
                <w:lang w:val="en-US" w:eastAsia="zh-CN" w:bidi="ar-SA"/>
              </w:rPr>
              <w:t>a</w:t>
            </w:r>
            <w:r>
              <w:rPr>
                <w:rFonts w:hint="default" w:ascii="Times New Roman" w:hAnsi="Times New Roman" w:eastAsia="宋体" w:cs="Times New Roman"/>
                <w:b/>
                <w:bCs w:val="0"/>
                <w:color w:val="auto"/>
                <w:spacing w:val="0"/>
                <w:kern w:val="2"/>
                <w:sz w:val="21"/>
                <w:szCs w:val="21"/>
                <w:highlight w:val="none"/>
                <w:lang w:val="en-US" w:eastAsia="zh-CN" w:bidi="ar-SA"/>
              </w:rPr>
              <w:t>）</w:t>
            </w:r>
          </w:p>
          <w:p w14:paraId="53D8EAFD">
            <w:pPr>
              <w:jc w:val="left"/>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lang w:val="en-US" w:eastAsia="zh-CN"/>
              </w:rPr>
              <w:t>（2）</w:t>
            </w:r>
            <w:r>
              <w:rPr>
                <w:rFonts w:hint="default" w:ascii="Times New Roman" w:hAnsi="Times New Roman" w:eastAsia="宋体" w:cs="Times New Roman"/>
                <w:color w:val="auto"/>
                <w:spacing w:val="0"/>
                <w:sz w:val="24"/>
                <w:szCs w:val="24"/>
                <w:highlight w:val="none"/>
              </w:rPr>
              <w:t>供电</w:t>
            </w:r>
          </w:p>
          <w:p w14:paraId="357614B5">
            <w:pPr>
              <w:jc w:val="left"/>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本项目用电由</w:t>
            </w:r>
            <w:r>
              <w:rPr>
                <w:rFonts w:hint="default" w:ascii="Times New Roman" w:hAnsi="Times New Roman" w:eastAsia="宋体" w:cs="Times New Roman"/>
                <w:snapToGrid w:val="0"/>
                <w:color w:val="auto"/>
                <w:spacing w:val="0"/>
                <w:sz w:val="24"/>
                <w:szCs w:val="24"/>
                <w:highlight w:val="none"/>
              </w:rPr>
              <w:t>市政供电管网</w:t>
            </w:r>
            <w:r>
              <w:rPr>
                <w:rFonts w:hint="default" w:ascii="Times New Roman" w:hAnsi="Times New Roman" w:eastAsia="宋体" w:cs="Times New Roman"/>
                <w:color w:val="auto"/>
                <w:spacing w:val="0"/>
                <w:sz w:val="24"/>
                <w:szCs w:val="24"/>
                <w:highlight w:val="none"/>
              </w:rPr>
              <w:t>统一提供。</w:t>
            </w:r>
          </w:p>
          <w:p w14:paraId="04311F61">
            <w:pPr>
              <w:jc w:val="both"/>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参考同类型项目，本项目主要用电装备为风机、水泵、</w:t>
            </w:r>
            <w:r>
              <w:rPr>
                <w:rFonts w:hint="eastAsia" w:ascii="Times New Roman" w:hAnsi="Times New Roman" w:cs="Times New Roman"/>
                <w:color w:val="auto"/>
                <w:spacing w:val="0"/>
                <w:sz w:val="24"/>
                <w:szCs w:val="24"/>
                <w:highlight w:val="none"/>
                <w:lang w:val="en-US" w:eastAsia="zh-CN"/>
              </w:rPr>
              <w:t>旋风除尘器、</w:t>
            </w:r>
            <w:r>
              <w:rPr>
                <w:rFonts w:hint="default" w:ascii="Times New Roman" w:hAnsi="Times New Roman" w:cs="Times New Roman"/>
                <w:color w:val="auto"/>
                <w:spacing w:val="0"/>
                <w:sz w:val="24"/>
                <w:szCs w:val="24"/>
                <w:highlight w:val="none"/>
                <w:lang w:val="en-US" w:eastAsia="zh-CN"/>
              </w:rPr>
              <w:t>布袋除尘器。其中风机功率约25kW；水泵功率约15</w:t>
            </w:r>
            <w:r>
              <w:rPr>
                <w:rFonts w:hint="eastAsia" w:ascii="Times New Roman" w:hAnsi="Times New Roman" w:cs="Times New Roman"/>
                <w:color w:val="auto"/>
                <w:spacing w:val="0"/>
                <w:sz w:val="24"/>
                <w:szCs w:val="24"/>
                <w:highlight w:val="none"/>
                <w:lang w:val="en-US" w:eastAsia="zh-CN"/>
              </w:rPr>
              <w:t>kW</w:t>
            </w:r>
            <w:r>
              <w:rPr>
                <w:rFonts w:hint="default" w:ascii="Times New Roman" w:hAnsi="Times New Roman" w:cs="Times New Roman"/>
                <w:color w:val="auto"/>
                <w:spacing w:val="0"/>
                <w:sz w:val="24"/>
                <w:szCs w:val="24"/>
                <w:highlight w:val="none"/>
                <w:lang w:val="en-US" w:eastAsia="zh-CN"/>
              </w:rPr>
              <w:t>；</w:t>
            </w:r>
            <w:r>
              <w:rPr>
                <w:rFonts w:hint="eastAsia" w:ascii="Times New Roman" w:hAnsi="Times New Roman" w:cs="Times New Roman"/>
                <w:color w:val="auto"/>
                <w:spacing w:val="0"/>
                <w:sz w:val="24"/>
                <w:szCs w:val="24"/>
                <w:highlight w:val="none"/>
                <w:lang w:val="en-US" w:eastAsia="zh-CN"/>
              </w:rPr>
              <w:t>软化水制备装置约15kW；旋风除尘器功率约15kW；</w:t>
            </w:r>
            <w:r>
              <w:rPr>
                <w:rFonts w:hint="default" w:ascii="Times New Roman" w:hAnsi="Times New Roman" w:cs="Times New Roman"/>
                <w:color w:val="auto"/>
                <w:spacing w:val="0"/>
                <w:sz w:val="24"/>
                <w:szCs w:val="24"/>
                <w:highlight w:val="none"/>
                <w:lang w:val="en-US" w:eastAsia="zh-CN"/>
              </w:rPr>
              <w:t>布袋除尘器功率约10kW。总计</w:t>
            </w:r>
            <w:r>
              <w:rPr>
                <w:rFonts w:hint="eastAsia" w:ascii="Times New Roman" w:hAnsi="Times New Roman" w:cs="Times New Roman"/>
                <w:color w:val="auto"/>
                <w:spacing w:val="0"/>
                <w:sz w:val="24"/>
                <w:szCs w:val="24"/>
                <w:highlight w:val="none"/>
                <w:lang w:val="en-US" w:eastAsia="zh-CN"/>
              </w:rPr>
              <w:t>8</w:t>
            </w:r>
            <w:r>
              <w:rPr>
                <w:rFonts w:hint="default" w:ascii="Times New Roman" w:hAnsi="Times New Roman" w:cs="Times New Roman"/>
                <w:color w:val="auto"/>
                <w:spacing w:val="0"/>
                <w:sz w:val="24"/>
                <w:szCs w:val="24"/>
                <w:highlight w:val="none"/>
                <w:lang w:val="en-US" w:eastAsia="zh-CN"/>
              </w:rPr>
              <w:t>0kW，本项目年运行</w:t>
            </w:r>
            <w:r>
              <w:rPr>
                <w:rFonts w:hint="eastAsia" w:ascii="Times New Roman" w:hAnsi="Times New Roman" w:cs="Times New Roman"/>
                <w:color w:val="auto"/>
                <w:spacing w:val="0"/>
                <w:sz w:val="24"/>
                <w:szCs w:val="24"/>
                <w:highlight w:val="none"/>
                <w:lang w:val="en-US" w:eastAsia="zh-CN"/>
              </w:rPr>
              <w:t>5808</w:t>
            </w:r>
            <w:r>
              <w:rPr>
                <w:rFonts w:hint="default" w:ascii="Times New Roman" w:hAnsi="Times New Roman" w:cs="Times New Roman"/>
                <w:color w:val="auto"/>
                <w:spacing w:val="0"/>
                <w:sz w:val="24"/>
                <w:szCs w:val="24"/>
                <w:highlight w:val="none"/>
                <w:lang w:val="en-US" w:eastAsia="zh-CN"/>
              </w:rPr>
              <w:t>h，则年耗电量为</w:t>
            </w:r>
            <w:r>
              <w:rPr>
                <w:rFonts w:hint="eastAsia" w:ascii="Times New Roman" w:hAnsi="Times New Roman" w:cs="Times New Roman"/>
                <w:color w:val="auto"/>
                <w:spacing w:val="0"/>
                <w:sz w:val="24"/>
                <w:szCs w:val="24"/>
                <w:highlight w:val="none"/>
                <w:lang w:val="en-US" w:eastAsia="zh-CN"/>
              </w:rPr>
              <w:t>464640</w:t>
            </w:r>
            <w:r>
              <w:rPr>
                <w:rFonts w:hint="default" w:ascii="Times New Roman" w:hAnsi="Times New Roman" w:cs="Times New Roman"/>
                <w:color w:val="auto"/>
                <w:spacing w:val="0"/>
                <w:sz w:val="24"/>
                <w:szCs w:val="24"/>
                <w:highlight w:val="none"/>
                <w:lang w:val="en-US" w:eastAsia="zh-CN"/>
              </w:rPr>
              <w:t>Kwh。</w:t>
            </w:r>
          </w:p>
          <w:p w14:paraId="4B30C2E7">
            <w:pPr>
              <w:ind w:left="0" w:leftChars="0" w:firstLine="0" w:firstLineChars="0"/>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9.</w:t>
            </w:r>
            <w:r>
              <w:rPr>
                <w:rFonts w:hint="default" w:ascii="Times New Roman" w:hAnsi="Times New Roman" w:eastAsia="宋体" w:cs="Times New Roman"/>
                <w:b/>
                <w:bCs w:val="0"/>
                <w:color w:val="auto"/>
                <w:spacing w:val="0"/>
                <w:sz w:val="24"/>
                <w:szCs w:val="24"/>
                <w:highlight w:val="none"/>
                <w:lang w:val="en-US" w:eastAsia="zh-CN"/>
              </w:rPr>
              <w:t>厂区平面布置</w:t>
            </w:r>
          </w:p>
          <w:p w14:paraId="695482B1">
            <w:pPr>
              <w:shd w:val="clear" w:color="auto" w:fill="auto"/>
              <w:rPr>
                <w:rFonts w:hint="default" w:ascii="Times New Roman" w:hAnsi="Times New Roman" w:eastAsia="宋体" w:cs="Times New Roman"/>
                <w:color w:val="auto"/>
                <w:spacing w:val="0"/>
                <w:highlight w:val="none"/>
              </w:rPr>
            </w:pPr>
            <w:r>
              <w:rPr>
                <w:rFonts w:hint="default" w:ascii="Times New Roman" w:hAnsi="Times New Roman" w:eastAsia="宋体" w:cs="Times New Roman"/>
                <w:bCs/>
                <w:color w:val="auto"/>
                <w:spacing w:val="0"/>
                <w:kern w:val="0"/>
                <w:sz w:val="24"/>
                <w:szCs w:val="24"/>
                <w:highlight w:val="none"/>
                <w:lang w:val="en-US" w:eastAsia="zh-CN" w:bidi="ar-SA"/>
              </w:rPr>
              <w:t>本项目</w:t>
            </w:r>
            <w:r>
              <w:rPr>
                <w:rFonts w:hint="eastAsia" w:ascii="Times New Roman" w:hAnsi="Times New Roman" w:cs="Times New Roman"/>
                <w:bCs/>
                <w:color w:val="auto"/>
                <w:spacing w:val="0"/>
                <w:kern w:val="0"/>
                <w:sz w:val="24"/>
                <w:szCs w:val="24"/>
                <w:highlight w:val="none"/>
                <w:lang w:val="en-US" w:eastAsia="zh-CN" w:bidi="ar-SA"/>
              </w:rPr>
              <w:t>建设</w:t>
            </w:r>
            <w:r>
              <w:rPr>
                <w:rFonts w:hint="default" w:ascii="Times New Roman" w:hAnsi="Times New Roman" w:cs="Times New Roman"/>
                <w:bCs/>
                <w:color w:val="auto"/>
                <w:spacing w:val="0"/>
                <w:kern w:val="0"/>
                <w:sz w:val="24"/>
                <w:szCs w:val="24"/>
                <w:highlight w:val="none"/>
                <w:lang w:val="en-US" w:eastAsia="zh-CN" w:bidi="ar-SA"/>
              </w:rPr>
              <w:t>一座锅炉房</w:t>
            </w:r>
            <w:r>
              <w:rPr>
                <w:rFonts w:hint="default" w:ascii="Times New Roman" w:hAnsi="Times New Roman" w:cs="Times New Roman"/>
                <w:bCs/>
                <w:color w:val="auto"/>
                <w:spacing w:val="0"/>
                <w:sz w:val="24"/>
                <w:szCs w:val="24"/>
                <w:highlight w:val="none"/>
                <w:shd w:val="clear"/>
                <w:lang w:val="en-US" w:eastAsia="zh-CN"/>
              </w:rPr>
              <w:t>，位于急诊综合楼西南侧，</w:t>
            </w:r>
            <w:r>
              <w:rPr>
                <w:rFonts w:hint="default" w:ascii="Times New Roman" w:hAnsi="Times New Roman" w:cs="Times New Roman"/>
                <w:bCs/>
                <w:color w:val="auto"/>
                <w:spacing w:val="0"/>
                <w:kern w:val="0"/>
                <w:sz w:val="24"/>
                <w:szCs w:val="24"/>
                <w:highlight w:val="none"/>
                <w:lang w:val="en-US" w:eastAsia="zh-CN" w:bidi="ar-SA"/>
              </w:rPr>
              <w:t>为城子河医院范围内用地，锅炉建筑</w:t>
            </w:r>
            <w:r>
              <w:rPr>
                <w:rFonts w:hint="default" w:ascii="Times New Roman" w:hAnsi="Times New Roman" w:eastAsia="宋体" w:cs="Times New Roman"/>
                <w:bCs/>
                <w:color w:val="auto"/>
                <w:spacing w:val="0"/>
                <w:kern w:val="0"/>
                <w:sz w:val="24"/>
                <w:szCs w:val="24"/>
                <w:highlight w:val="none"/>
                <w:lang w:val="en-US" w:eastAsia="zh-CN" w:bidi="ar-SA"/>
              </w:rPr>
              <w:t>面积</w:t>
            </w:r>
            <w:r>
              <w:rPr>
                <w:rFonts w:hint="default" w:ascii="Times New Roman" w:hAnsi="Times New Roman" w:cs="Times New Roman"/>
                <w:color w:val="auto"/>
                <w:spacing w:val="0"/>
                <w:sz w:val="24"/>
                <w:szCs w:val="24"/>
                <w:highlight w:val="none"/>
                <w:lang w:val="en-US" w:eastAsia="zh-CN"/>
              </w:rPr>
              <w:t>147.77m</w:t>
            </w:r>
            <w:r>
              <w:rPr>
                <w:rFonts w:hint="default" w:ascii="Times New Roman" w:hAnsi="Times New Roman" w:cs="Times New Roman"/>
                <w:color w:val="auto"/>
                <w:spacing w:val="0"/>
                <w:sz w:val="24"/>
                <w:szCs w:val="24"/>
                <w:highlight w:val="none"/>
                <w:vertAlign w:val="superscript"/>
                <w:lang w:val="en-US" w:eastAsia="zh-CN"/>
              </w:rPr>
              <w:t>2</w:t>
            </w:r>
            <w:r>
              <w:rPr>
                <w:rFonts w:hint="default" w:ascii="Times New Roman" w:hAnsi="Times New Roman" w:eastAsia="宋体" w:cs="Times New Roman"/>
                <w:color w:val="auto"/>
                <w:spacing w:val="0"/>
                <w:sz w:val="24"/>
                <w:szCs w:val="24"/>
                <w:highlight w:val="none"/>
                <w:lang w:val="en-US" w:eastAsia="zh-CN"/>
              </w:rPr>
              <w:t>。主要建设内容为</w:t>
            </w:r>
            <w:r>
              <w:rPr>
                <w:rFonts w:hint="default" w:ascii="Times New Roman" w:hAnsi="Times New Roman" w:cs="Times New Roman"/>
                <w:color w:val="auto"/>
                <w:spacing w:val="0"/>
                <w:sz w:val="24"/>
                <w:szCs w:val="24"/>
                <w:highlight w:val="none"/>
                <w:lang w:val="en-US" w:eastAsia="zh-CN"/>
              </w:rPr>
              <w:t>1台</w:t>
            </w:r>
            <w:r>
              <w:rPr>
                <w:rFonts w:hint="eastAsia" w:ascii="Times New Roman" w:hAnsi="Times New Roman" w:cs="Times New Roman"/>
                <w:color w:val="auto"/>
                <w:spacing w:val="0"/>
                <w:sz w:val="24"/>
                <w:szCs w:val="24"/>
                <w:highlight w:val="none"/>
                <w:lang w:val="en-US" w:eastAsia="zh-CN"/>
              </w:rPr>
              <w:t>2.1MW</w:t>
            </w:r>
            <w:r>
              <w:rPr>
                <w:rFonts w:hint="default" w:ascii="Times New Roman" w:hAnsi="Times New Roman" w:cs="Times New Roman"/>
                <w:color w:val="auto"/>
                <w:spacing w:val="0"/>
                <w:sz w:val="24"/>
                <w:szCs w:val="24"/>
                <w:highlight w:val="none"/>
                <w:lang w:val="en-US" w:eastAsia="zh-CN"/>
              </w:rPr>
              <w:t>生物质锅炉及锅炉烟气处理装置</w:t>
            </w:r>
            <w:r>
              <w:rPr>
                <w:rFonts w:hint="default" w:ascii="Times New Roman" w:hAnsi="Times New Roman" w:eastAsia="宋体" w:cs="Times New Roman"/>
                <w:color w:val="auto"/>
                <w:spacing w:val="0"/>
                <w:sz w:val="24"/>
                <w:szCs w:val="24"/>
                <w:highlight w:val="none"/>
                <w:lang w:val="en-US" w:eastAsia="zh-CN"/>
              </w:rPr>
              <w:t>。</w:t>
            </w:r>
            <w:r>
              <w:rPr>
                <w:rFonts w:hint="default" w:ascii="Times New Roman" w:hAnsi="Times New Roman" w:eastAsia="宋体" w:cs="Times New Roman"/>
                <w:snapToGrid w:val="0"/>
                <w:color w:val="auto"/>
                <w:spacing w:val="0"/>
                <w:sz w:val="24"/>
                <w:szCs w:val="24"/>
                <w:highlight w:val="none"/>
                <w:lang w:val="en-US" w:eastAsia="zh-CN"/>
              </w:rPr>
              <w:t>本项目工作时长为</w:t>
            </w:r>
            <w:r>
              <w:rPr>
                <w:rFonts w:hint="default" w:ascii="Times New Roman" w:hAnsi="Times New Roman" w:cs="Times New Roman"/>
                <w:snapToGrid w:val="0"/>
                <w:color w:val="auto"/>
                <w:spacing w:val="0"/>
                <w:sz w:val="24"/>
                <w:szCs w:val="24"/>
                <w:highlight w:val="none"/>
                <w:lang w:val="en-US" w:eastAsia="zh-CN"/>
              </w:rPr>
              <w:t>24</w:t>
            </w:r>
            <w:r>
              <w:rPr>
                <w:rFonts w:hint="default" w:ascii="Times New Roman" w:hAnsi="Times New Roman" w:eastAsia="宋体" w:cs="Times New Roman"/>
                <w:snapToGrid w:val="0"/>
                <w:color w:val="auto"/>
                <w:spacing w:val="0"/>
                <w:sz w:val="24"/>
                <w:szCs w:val="24"/>
                <w:highlight w:val="none"/>
                <w:lang w:val="en-US" w:eastAsia="zh-CN"/>
              </w:rPr>
              <w:t>h，采用双班制，</w:t>
            </w:r>
            <w:r>
              <w:rPr>
                <w:rFonts w:hint="default" w:ascii="Times New Roman" w:hAnsi="Times New Roman" w:cs="Times New Roman"/>
                <w:snapToGrid w:val="0"/>
                <w:color w:val="auto"/>
                <w:spacing w:val="0"/>
                <w:sz w:val="24"/>
                <w:szCs w:val="24"/>
                <w:highlight w:val="none"/>
                <w:lang w:val="en-US" w:eastAsia="zh-CN"/>
              </w:rPr>
              <w:t>年运行</w:t>
            </w:r>
            <w:r>
              <w:rPr>
                <w:rFonts w:hint="eastAsia" w:ascii="Times New Roman" w:hAnsi="Times New Roman" w:cs="Times New Roman"/>
                <w:snapToGrid w:val="0"/>
                <w:color w:val="auto"/>
                <w:spacing w:val="0"/>
                <w:sz w:val="24"/>
                <w:szCs w:val="24"/>
                <w:highlight w:val="none"/>
                <w:lang w:val="en-US" w:eastAsia="zh-CN"/>
              </w:rPr>
              <w:t>242</w:t>
            </w:r>
            <w:r>
              <w:rPr>
                <w:rFonts w:hint="default" w:ascii="Times New Roman" w:hAnsi="Times New Roman" w:cs="Times New Roman"/>
                <w:snapToGrid w:val="0"/>
                <w:color w:val="auto"/>
                <w:spacing w:val="0"/>
                <w:sz w:val="24"/>
                <w:szCs w:val="24"/>
                <w:highlight w:val="none"/>
                <w:lang w:val="en-US" w:eastAsia="zh-CN"/>
              </w:rPr>
              <w:t>天。</w:t>
            </w:r>
            <w:r>
              <w:rPr>
                <w:rFonts w:hint="eastAsia" w:ascii="Times New Roman" w:hAnsi="Times New Roman" w:cs="Times New Roman"/>
                <w:snapToGrid w:val="0"/>
                <w:color w:val="auto"/>
                <w:spacing w:val="0"/>
                <w:sz w:val="24"/>
                <w:szCs w:val="24"/>
                <w:highlight w:val="none"/>
                <w:lang w:val="en-US" w:eastAsia="zh-CN"/>
              </w:rPr>
              <w:t>锅炉排气筒位于锅炉房西南侧，供热泵房位于</w:t>
            </w:r>
            <w:r>
              <w:rPr>
                <w:rFonts w:hint="eastAsia" w:ascii="Times New Roman" w:hAnsi="Times New Roman" w:eastAsia="宋体" w:cs="Times New Roman"/>
                <w:color w:val="auto"/>
                <w:spacing w:val="0"/>
                <w:sz w:val="24"/>
                <w:szCs w:val="24"/>
                <w:highlight w:val="none"/>
                <w:lang w:val="en-US" w:eastAsia="zh-CN"/>
              </w:rPr>
              <w:t>锅炉房内部东侧，距离其最近的敏感目标为位于锅炉房西侧的部分居民、</w:t>
            </w:r>
            <w:r>
              <w:rPr>
                <w:rFonts w:hint="default" w:ascii="Times New Roman" w:hAnsi="Times New Roman" w:eastAsia="宋体" w:cs="Times New Roman"/>
                <w:color w:val="auto"/>
                <w:spacing w:val="0"/>
                <w:sz w:val="24"/>
                <w:szCs w:val="24"/>
                <w:highlight w:val="none"/>
                <w:lang w:val="en-US" w:eastAsia="zh-CN"/>
              </w:rPr>
              <w:t>城子河区公安局</w:t>
            </w:r>
            <w:r>
              <w:rPr>
                <w:rFonts w:hint="eastAsia" w:ascii="Times New Roman" w:hAnsi="Times New Roman" w:eastAsia="宋体" w:cs="Times New Roman"/>
                <w:color w:val="auto"/>
                <w:spacing w:val="0"/>
                <w:sz w:val="24"/>
                <w:szCs w:val="24"/>
                <w:highlight w:val="none"/>
                <w:lang w:val="en-US" w:eastAsia="zh-CN"/>
              </w:rPr>
              <w:t>及</w:t>
            </w:r>
            <w:r>
              <w:rPr>
                <w:rFonts w:hint="default" w:ascii="Times New Roman" w:hAnsi="Times New Roman" w:eastAsia="宋体" w:cs="Times New Roman"/>
                <w:color w:val="auto"/>
                <w:spacing w:val="0"/>
                <w:sz w:val="24"/>
                <w:szCs w:val="24"/>
                <w:highlight w:val="none"/>
                <w:lang w:val="en-US" w:eastAsia="zh-CN"/>
              </w:rPr>
              <w:t>城子河区纪检委</w:t>
            </w:r>
            <w:r>
              <w:rPr>
                <w:rFonts w:hint="eastAsia" w:ascii="Times New Roman" w:hAnsi="Times New Roman" w:eastAsia="宋体" w:cs="Times New Roman"/>
                <w:color w:val="auto"/>
                <w:spacing w:val="0"/>
                <w:sz w:val="24"/>
                <w:szCs w:val="24"/>
                <w:highlight w:val="none"/>
                <w:lang w:val="en-US" w:eastAsia="zh-CN"/>
              </w:rPr>
              <w:t>，当地常年主导风向为西风，距离产噪、产尘设施最近的敏感点均位于其上风向，下风向东侧为空地。</w:t>
            </w:r>
            <w:r>
              <w:rPr>
                <w:rFonts w:hint="default" w:ascii="Times New Roman" w:hAnsi="Times New Roman" w:eastAsia="宋体" w:cs="Times New Roman"/>
                <w:color w:val="auto"/>
                <w:spacing w:val="0"/>
                <w:sz w:val="24"/>
                <w:szCs w:val="24"/>
                <w:highlight w:val="none"/>
              </w:rPr>
              <w:t>从总平面布置上来看，该项目功能区划分比较明确，布置合理</w:t>
            </w:r>
            <w:r>
              <w:rPr>
                <w:rFonts w:hint="default" w:ascii="Times New Roman" w:hAnsi="Times New Roman" w:eastAsia="宋体" w:cs="Times New Roman"/>
                <w:color w:val="auto"/>
                <w:spacing w:val="0"/>
                <w:sz w:val="24"/>
                <w:szCs w:val="24"/>
                <w:highlight w:val="none"/>
                <w:lang w:val="en-US" w:eastAsia="zh-CN"/>
              </w:rPr>
              <w:t>。平面布置见附图2。</w:t>
            </w:r>
          </w:p>
        </w:tc>
      </w:tr>
      <w:tr w14:paraId="3F1904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5" w:type="dxa"/>
            <w:noWrap w:val="0"/>
            <w:vAlign w:val="center"/>
          </w:tcPr>
          <w:p w14:paraId="22BFB266">
            <w:pPr>
              <w:pStyle w:val="31"/>
              <w:spacing w:before="0" w:beforeAutospacing="0" w:after="0" w:afterAutospacing="0" w:line="240" w:lineRule="auto"/>
              <w:ind w:firstLine="0" w:firstLineChars="0"/>
              <w:jc w:val="center"/>
              <w:rPr>
                <w:rFonts w:hint="default" w:ascii="Times New Roman" w:hAnsi="Times New Roman" w:eastAsia="宋体" w:cs="Times New Roman"/>
                <w:bCs/>
                <w:color w:val="auto"/>
                <w:spacing w:val="0"/>
                <w:highlight w:val="none"/>
              </w:rPr>
            </w:pPr>
            <w:r>
              <w:rPr>
                <w:rFonts w:hint="default" w:ascii="Times New Roman" w:hAnsi="Times New Roman" w:eastAsia="宋体" w:cs="Times New Roman"/>
                <w:bCs/>
                <w:color w:val="auto"/>
                <w:spacing w:val="0"/>
                <w:highlight w:val="none"/>
              </w:rPr>
              <w:t>工艺流程和产排污环节</w:t>
            </w:r>
          </w:p>
        </w:tc>
        <w:tc>
          <w:tcPr>
            <w:tcW w:w="7987" w:type="dxa"/>
            <w:noWrap w:val="0"/>
            <w:vAlign w:val="top"/>
          </w:tcPr>
          <w:p w14:paraId="77BF3553">
            <w:pPr>
              <w:tabs>
                <w:tab w:val="left" w:pos="870"/>
              </w:tabs>
              <w:spacing w:line="360" w:lineRule="auto"/>
              <w:ind w:firstLine="0" w:firstLineChars="0"/>
              <w:rPr>
                <w:rFonts w:hint="default" w:ascii="Times New Roman" w:hAnsi="Times New Roman" w:eastAsia="宋体" w:cs="Times New Roman"/>
                <w:b/>
                <w:bCs w:val="0"/>
                <w:color w:val="auto"/>
                <w:spacing w:val="0"/>
                <w:sz w:val="24"/>
                <w:highlight w:val="none"/>
              </w:rPr>
            </w:pPr>
            <w:r>
              <w:rPr>
                <w:rFonts w:hint="default" w:ascii="Times New Roman" w:hAnsi="Times New Roman" w:eastAsia="宋体" w:cs="Times New Roman"/>
                <w:b/>
                <w:bCs w:val="0"/>
                <w:color w:val="auto"/>
                <w:spacing w:val="0"/>
                <w:sz w:val="24"/>
                <w:highlight w:val="none"/>
              </w:rPr>
              <w:t>一、施工期工程分析</w:t>
            </w:r>
          </w:p>
          <w:p w14:paraId="4A50AB51">
            <w:pPr>
              <w:spacing w:line="360" w:lineRule="auto"/>
              <w:ind w:firstLine="480" w:firstLineChars="200"/>
              <w:rPr>
                <w:rFonts w:hint="default" w:ascii="Times New Roman" w:hAnsi="Times New Roman" w:eastAsia="宋体" w:cs="Times New Roman"/>
                <w:color w:val="auto"/>
                <w:spacing w:val="0"/>
                <w:sz w:val="24"/>
                <w:highlight w:val="none"/>
                <w:lang w:val="en-US" w:eastAsia="zh-CN"/>
              </w:rPr>
            </w:pPr>
            <w:r>
              <w:rPr>
                <w:rFonts w:hint="default" w:ascii="Times New Roman" w:hAnsi="Times New Roman" w:eastAsia="宋体" w:cs="Times New Roman"/>
                <w:color w:val="auto"/>
                <w:spacing w:val="0"/>
                <w:sz w:val="24"/>
                <w:highlight w:val="none"/>
              </w:rPr>
              <w:t>本项目</w:t>
            </w:r>
            <w:r>
              <w:rPr>
                <w:rFonts w:hint="default" w:ascii="Times New Roman" w:hAnsi="Times New Roman" w:eastAsia="宋体" w:cs="Times New Roman"/>
                <w:color w:val="auto"/>
                <w:spacing w:val="0"/>
                <w:sz w:val="24"/>
                <w:highlight w:val="none"/>
                <w:lang w:val="en-US" w:eastAsia="zh-CN"/>
              </w:rPr>
              <w:t>利用原有</w:t>
            </w:r>
            <w:r>
              <w:rPr>
                <w:rFonts w:hint="eastAsia" w:ascii="Times New Roman" w:hAnsi="Times New Roman" w:eastAsia="宋体" w:cs="Times New Roman"/>
                <w:color w:val="auto"/>
                <w:spacing w:val="0"/>
                <w:sz w:val="24"/>
                <w:highlight w:val="none"/>
                <w:lang w:val="en-US" w:eastAsia="zh-CN"/>
              </w:rPr>
              <w:t>锅炉房建筑翻新</w:t>
            </w:r>
            <w:r>
              <w:rPr>
                <w:rFonts w:hint="default" w:ascii="Times New Roman" w:hAnsi="Times New Roman" w:eastAsia="宋体" w:cs="Times New Roman"/>
                <w:color w:val="auto"/>
                <w:spacing w:val="0"/>
                <w:sz w:val="24"/>
                <w:highlight w:val="none"/>
                <w:lang w:val="en-US" w:eastAsia="zh-CN"/>
              </w:rPr>
              <w:t>建设一座锅炉房</w:t>
            </w:r>
            <w:r>
              <w:rPr>
                <w:rFonts w:hint="default" w:ascii="Times New Roman" w:hAnsi="Times New Roman" w:eastAsia="宋体" w:cs="Times New Roman"/>
                <w:color w:val="auto"/>
                <w:spacing w:val="0"/>
                <w:sz w:val="24"/>
                <w:highlight w:val="none"/>
              </w:rPr>
              <w:t>，</w:t>
            </w:r>
            <w:r>
              <w:rPr>
                <w:rFonts w:hint="default" w:ascii="Times New Roman" w:hAnsi="Times New Roman" w:eastAsia="宋体" w:cs="Times New Roman"/>
                <w:color w:val="auto"/>
                <w:spacing w:val="0"/>
                <w:sz w:val="24"/>
                <w:highlight w:val="none"/>
                <w:lang w:val="en-US" w:eastAsia="zh-CN"/>
              </w:rPr>
              <w:t>本项目施工涉及旧厂房</w:t>
            </w:r>
            <w:r>
              <w:rPr>
                <w:rFonts w:hint="eastAsia" w:ascii="Times New Roman" w:hAnsi="Times New Roman" w:eastAsia="宋体" w:cs="Times New Roman"/>
                <w:color w:val="auto"/>
                <w:spacing w:val="0"/>
                <w:sz w:val="24"/>
                <w:highlight w:val="none"/>
                <w:lang w:val="en-US" w:eastAsia="zh-CN"/>
              </w:rPr>
              <w:t>部分结构</w:t>
            </w:r>
            <w:r>
              <w:rPr>
                <w:rFonts w:hint="default" w:ascii="Times New Roman" w:hAnsi="Times New Roman" w:eastAsia="宋体" w:cs="Times New Roman"/>
                <w:color w:val="auto"/>
                <w:spacing w:val="0"/>
                <w:sz w:val="24"/>
                <w:highlight w:val="none"/>
                <w:lang w:val="en-US" w:eastAsia="zh-CN"/>
              </w:rPr>
              <w:t>的拆除</w:t>
            </w:r>
            <w:r>
              <w:rPr>
                <w:rFonts w:hint="eastAsia" w:ascii="Times New Roman" w:hAnsi="Times New Roman" w:eastAsia="宋体" w:cs="Times New Roman"/>
                <w:color w:val="auto"/>
                <w:spacing w:val="0"/>
                <w:sz w:val="24"/>
                <w:highlight w:val="none"/>
                <w:lang w:val="en-US" w:eastAsia="zh-CN"/>
              </w:rPr>
              <w:t>，不拆除主体结构，仅分隔出部分库房、安装</w:t>
            </w:r>
            <w:r>
              <w:rPr>
                <w:rFonts w:hint="default" w:ascii="Times New Roman" w:hAnsi="Times New Roman" w:eastAsia="宋体" w:cs="Times New Roman"/>
                <w:color w:val="auto"/>
                <w:spacing w:val="0"/>
                <w:sz w:val="24"/>
                <w:highlight w:val="none"/>
                <w:lang w:val="en-US" w:eastAsia="zh-CN"/>
              </w:rPr>
              <w:t>锅炉、除尘设施及水泵</w:t>
            </w:r>
            <w:r>
              <w:rPr>
                <w:rFonts w:hint="eastAsia" w:ascii="Times New Roman" w:hAnsi="Times New Roman" w:eastAsia="宋体" w:cs="Times New Roman"/>
                <w:color w:val="auto"/>
                <w:spacing w:val="0"/>
                <w:sz w:val="24"/>
                <w:highlight w:val="none"/>
                <w:lang w:val="en-US" w:eastAsia="zh-CN"/>
              </w:rPr>
              <w:t>等</w:t>
            </w:r>
            <w:r>
              <w:rPr>
                <w:rFonts w:hint="default" w:ascii="Times New Roman" w:hAnsi="Times New Roman" w:eastAsia="宋体" w:cs="Times New Roman"/>
                <w:color w:val="auto"/>
                <w:spacing w:val="0"/>
                <w:sz w:val="24"/>
                <w:highlight w:val="none"/>
                <w:lang w:val="en-US" w:eastAsia="zh-CN"/>
              </w:rPr>
              <w:t>。</w:t>
            </w:r>
            <w:r>
              <w:rPr>
                <w:rFonts w:hint="default" w:ascii="Times New Roman" w:hAnsi="Times New Roman" w:eastAsia="宋体" w:cs="Times New Roman"/>
                <w:color w:val="auto"/>
                <w:spacing w:val="0"/>
                <w:sz w:val="24"/>
                <w:highlight w:val="none"/>
              </w:rPr>
              <w:t>施工全过程可分为以下几个阶段：施工准备与旧结构拆除，主体与基础改造；设备安装与管道连接，系统调试与试运行</w:t>
            </w:r>
            <w:r>
              <w:rPr>
                <w:rFonts w:hint="eastAsia" w:ascii="Times New Roman" w:hAnsi="Times New Roman" w:cs="Times New Roman"/>
                <w:color w:val="auto"/>
                <w:spacing w:val="0"/>
                <w:sz w:val="24"/>
                <w:highlight w:val="none"/>
                <w:lang w:eastAsia="zh-CN"/>
              </w:rPr>
              <w:t>。</w:t>
            </w:r>
            <w:r>
              <w:rPr>
                <w:rFonts w:hint="eastAsia" w:ascii="Times New Roman" w:hAnsi="Times New Roman" w:cs="Times New Roman"/>
                <w:color w:val="auto"/>
                <w:spacing w:val="0"/>
                <w:sz w:val="24"/>
                <w:highlight w:val="none"/>
                <w:lang w:val="en-US" w:eastAsia="zh-CN"/>
              </w:rPr>
              <w:t>施工工艺流程如下图。</w:t>
            </w:r>
          </w:p>
          <w:p w14:paraId="19D1F7C0">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0" w:firstLineChars="0"/>
              <w:jc w:val="center"/>
              <w:textAlignment w:val="auto"/>
              <w:rPr>
                <w:rFonts w:hint="default" w:ascii="宋体" w:hAnsi="宋体" w:eastAsia="宋体" w:cs="宋体"/>
                <w:b w:val="0"/>
                <w:bCs/>
                <w:color w:val="auto"/>
                <w:spacing w:val="0"/>
                <w:sz w:val="24"/>
                <w:highlight w:val="none"/>
                <w:lang w:val="en-US" w:eastAsia="zh-CN"/>
              </w:rPr>
            </w:pPr>
            <w:r>
              <w:rPr>
                <w:color w:val="auto"/>
                <w:highlight w:val="none"/>
              </w:rPr>
              <w:drawing>
                <wp:inline distT="0" distB="0" distL="114300" distR="114300">
                  <wp:extent cx="4933950" cy="1182370"/>
                  <wp:effectExtent l="0" t="0" r="0" b="17780"/>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pic:cNvPicPr>
                        </pic:nvPicPr>
                        <pic:blipFill>
                          <a:blip r:embed="rId20"/>
                          <a:stretch>
                            <a:fillRect/>
                          </a:stretch>
                        </pic:blipFill>
                        <pic:spPr>
                          <a:xfrm>
                            <a:off x="0" y="0"/>
                            <a:ext cx="4933950" cy="1182370"/>
                          </a:xfrm>
                          <a:prstGeom prst="rect">
                            <a:avLst/>
                          </a:prstGeom>
                          <a:noFill/>
                          <a:ln>
                            <a:noFill/>
                          </a:ln>
                        </pic:spPr>
                      </pic:pic>
                    </a:graphicData>
                  </a:graphic>
                </wp:inline>
              </w:drawing>
            </w:r>
            <w:r>
              <w:rPr>
                <w:rFonts w:hint="default" w:ascii="Times New Roman" w:hAnsi="Times New Roman" w:eastAsia="宋体" w:cs="Times New Roman"/>
                <w:b/>
                <w:bCs w:val="0"/>
                <w:color w:val="auto"/>
                <w:spacing w:val="0"/>
                <w:kern w:val="2"/>
                <w:sz w:val="21"/>
                <w:szCs w:val="21"/>
                <w:highlight w:val="none"/>
                <w:lang w:val="en-US" w:eastAsia="zh-CN" w:bidi="ar-SA"/>
              </w:rPr>
              <w:t>图2-2施工工艺流程图</w:t>
            </w:r>
          </w:p>
          <w:p w14:paraId="3F53A45E">
            <w:pPr>
              <w:tabs>
                <w:tab w:val="left" w:pos="870"/>
              </w:tabs>
              <w:spacing w:line="360" w:lineRule="auto"/>
              <w:ind w:firstLine="0" w:firstLineChars="0"/>
              <w:rPr>
                <w:rFonts w:hint="default" w:ascii="Times New Roman" w:hAnsi="Times New Roman" w:eastAsia="宋体" w:cs="Times New Roman"/>
                <w:b/>
                <w:bCs w:val="0"/>
                <w:color w:val="auto"/>
                <w:spacing w:val="0"/>
                <w:sz w:val="24"/>
                <w:highlight w:val="none"/>
                <w:lang w:val="en-US" w:eastAsia="zh-CN"/>
              </w:rPr>
            </w:pPr>
            <w:r>
              <w:rPr>
                <w:rFonts w:hint="default" w:ascii="Times New Roman" w:hAnsi="Times New Roman" w:eastAsia="宋体" w:cs="Times New Roman"/>
                <w:b/>
                <w:bCs w:val="0"/>
                <w:color w:val="auto"/>
                <w:spacing w:val="0"/>
                <w:sz w:val="24"/>
                <w:highlight w:val="none"/>
                <w:lang w:val="en-US" w:eastAsia="zh-CN"/>
              </w:rPr>
              <w:t>二、运营期工艺流程</w:t>
            </w:r>
          </w:p>
          <w:p w14:paraId="696F859E">
            <w:pPr>
              <w:ind w:left="0" w:leftChars="0" w:firstLine="0" w:firstLineChars="0"/>
              <w:jc w:val="center"/>
              <w:rPr>
                <w:rFonts w:hint="default" w:ascii="Times New Roman" w:hAnsi="Times New Roman" w:eastAsia="宋体" w:cs="Times New Roman"/>
                <w:b/>
                <w:bCs w:val="0"/>
                <w:color w:val="auto"/>
                <w:spacing w:val="0"/>
                <w:sz w:val="24"/>
                <w:szCs w:val="24"/>
                <w:highlight w:val="none"/>
                <w:lang w:val="en-US" w:eastAsia="zh-CN"/>
              </w:rPr>
            </w:pPr>
            <w:r>
              <w:rPr>
                <w:color w:val="auto"/>
                <w:highlight w:val="none"/>
              </w:rPr>
              <w:drawing>
                <wp:inline distT="0" distB="0" distL="114300" distR="114300">
                  <wp:extent cx="4932680" cy="3386455"/>
                  <wp:effectExtent l="0" t="0" r="1270" b="4445"/>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21"/>
                          <a:stretch>
                            <a:fillRect/>
                          </a:stretch>
                        </pic:blipFill>
                        <pic:spPr>
                          <a:xfrm>
                            <a:off x="0" y="0"/>
                            <a:ext cx="4932680" cy="3386455"/>
                          </a:xfrm>
                          <a:prstGeom prst="rect">
                            <a:avLst/>
                          </a:prstGeom>
                          <a:noFill/>
                          <a:ln>
                            <a:noFill/>
                          </a:ln>
                        </pic:spPr>
                      </pic:pic>
                    </a:graphicData>
                  </a:graphic>
                </wp:inline>
              </w:drawing>
            </w:r>
            <w:r>
              <w:rPr>
                <w:rFonts w:hint="default" w:ascii="Times New Roman" w:hAnsi="Times New Roman" w:cs="Times New Roman"/>
                <w:b/>
                <w:bCs w:val="0"/>
                <w:color w:val="auto"/>
                <w:spacing w:val="0"/>
                <w:sz w:val="21"/>
                <w:szCs w:val="21"/>
                <w:highlight w:val="none"/>
                <w:lang w:val="en-US" w:eastAsia="zh-CN"/>
              </w:rPr>
              <w:t>图2-3 锅炉供热工艺流程图</w:t>
            </w:r>
          </w:p>
          <w:p w14:paraId="23DF763F">
            <w:pPr>
              <w:ind w:left="0" w:leftChars="0" w:firstLine="0" w:firstLineChars="0"/>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eastAsia="宋体" w:cs="Times New Roman"/>
                <w:b/>
                <w:bCs w:val="0"/>
                <w:color w:val="auto"/>
                <w:spacing w:val="0"/>
                <w:sz w:val="24"/>
                <w:szCs w:val="24"/>
                <w:highlight w:val="none"/>
                <w:lang w:val="en-US" w:eastAsia="zh-CN"/>
              </w:rPr>
              <w:t>三、营运期的主要污染源</w:t>
            </w:r>
          </w:p>
          <w:p w14:paraId="19F9ABDE">
            <w:pPr>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spacing w:val="0"/>
                <w:kern w:val="0"/>
                <w:sz w:val="24"/>
                <w:szCs w:val="24"/>
                <w:highlight w:val="none"/>
                <w:lang w:bidi="ar"/>
              </w:rPr>
            </w:pPr>
            <w:r>
              <w:rPr>
                <w:rFonts w:hint="default" w:ascii="Times New Roman" w:hAnsi="Times New Roman" w:eastAsia="宋体" w:cs="Times New Roman"/>
                <w:color w:val="auto"/>
                <w:spacing w:val="0"/>
                <w:kern w:val="0"/>
                <w:sz w:val="24"/>
                <w:szCs w:val="24"/>
                <w:highlight w:val="none"/>
                <w:lang w:bidi="ar"/>
              </w:rPr>
              <w:t>主要产污环节如下</w:t>
            </w:r>
          </w:p>
          <w:p w14:paraId="6EEC7C1F">
            <w:pPr>
              <w:pStyle w:val="11"/>
              <w:keepNext w:val="0"/>
              <w:keepLines w:val="0"/>
              <w:pageBreakBefore w:val="0"/>
              <w:widowControl/>
              <w:kinsoku/>
              <w:wordWrap/>
              <w:overflowPunct/>
              <w:topLinePunct w:val="0"/>
              <w:autoSpaceDE/>
              <w:autoSpaceDN/>
              <w:bidi w:val="0"/>
              <w:adjustRightInd w:val="0"/>
              <w:snapToGrid w:val="0"/>
              <w:spacing w:before="0" w:after="0" w:line="360" w:lineRule="auto"/>
              <w:ind w:right="0"/>
              <w:textAlignment w:val="auto"/>
              <w:rPr>
                <w:rFonts w:hint="default" w:ascii="Times New Roman" w:hAnsi="Times New Roman" w:eastAsia="宋体" w:cs="Times New Roman"/>
                <w:color w:val="auto"/>
                <w:spacing w:val="0"/>
                <w:kern w:val="0"/>
                <w:highlight w:val="none"/>
                <w:lang w:val="en-US" w:eastAsia="zh-CN" w:bidi="ar"/>
              </w:rPr>
            </w:pPr>
            <w:r>
              <w:rPr>
                <w:rFonts w:hint="default" w:ascii="Times New Roman" w:hAnsi="Times New Roman" w:eastAsia="宋体" w:cs="Times New Roman"/>
                <w:color w:val="auto"/>
                <w:spacing w:val="0"/>
                <w:kern w:val="0"/>
                <w:sz w:val="24"/>
                <w:szCs w:val="24"/>
                <w:highlight w:val="none"/>
                <w:lang w:val="en-US" w:eastAsia="zh-CN" w:bidi="ar"/>
              </w:rPr>
              <w:t>废气：本项目在</w:t>
            </w:r>
            <w:r>
              <w:rPr>
                <w:rFonts w:hint="default" w:ascii="Times New Roman" w:hAnsi="Times New Roman" w:cs="Times New Roman"/>
                <w:color w:val="auto"/>
                <w:spacing w:val="0"/>
                <w:kern w:val="0"/>
                <w:sz w:val="24"/>
                <w:szCs w:val="24"/>
                <w:highlight w:val="none"/>
                <w:lang w:val="en-US" w:eastAsia="zh-CN" w:bidi="ar"/>
              </w:rPr>
              <w:t>锅炉运转产生的废气主要为颗粒物、二氧化硫、氮氧化物、烟气黑度，</w:t>
            </w:r>
            <w:r>
              <w:rPr>
                <w:rFonts w:hint="eastAsia" w:cs="Times New Roman"/>
                <w:color w:val="auto"/>
                <w:spacing w:val="0"/>
                <w:kern w:val="0"/>
                <w:sz w:val="24"/>
                <w:szCs w:val="24"/>
                <w:highlight w:val="none"/>
                <w:lang w:val="en-US" w:eastAsia="zh-CN" w:bidi="ar"/>
              </w:rPr>
              <w:t>生物质颗粒燃料</w:t>
            </w:r>
            <w:r>
              <w:rPr>
                <w:rFonts w:hint="default" w:ascii="Times New Roman" w:hAnsi="Times New Roman" w:cs="Times New Roman"/>
                <w:color w:val="auto"/>
                <w:spacing w:val="0"/>
                <w:kern w:val="0"/>
                <w:sz w:val="24"/>
                <w:szCs w:val="24"/>
                <w:highlight w:val="none"/>
                <w:lang w:val="en-US" w:eastAsia="zh-CN" w:bidi="ar"/>
              </w:rPr>
              <w:t>贮存产生的无组织废气TSP和锅炉灰渣贮存产生的无组织废气TSP；</w:t>
            </w:r>
          </w:p>
          <w:p w14:paraId="1167FC7D">
            <w:pPr>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spacing w:val="0"/>
                <w:kern w:val="0"/>
                <w:highlight w:val="none"/>
                <w:lang w:bidi="ar"/>
              </w:rPr>
            </w:pPr>
            <w:r>
              <w:rPr>
                <w:rFonts w:hint="default" w:ascii="Times New Roman" w:hAnsi="Times New Roman" w:eastAsia="宋体" w:cs="Times New Roman"/>
                <w:color w:val="auto"/>
                <w:spacing w:val="0"/>
                <w:kern w:val="0"/>
                <w:highlight w:val="none"/>
                <w:lang w:bidi="ar"/>
              </w:rPr>
              <w:t>噪声：</w:t>
            </w:r>
            <w:r>
              <w:rPr>
                <w:rFonts w:hint="eastAsia" w:ascii="Times New Roman" w:hAnsi="Times New Roman" w:cs="Times New Roman"/>
                <w:color w:val="auto"/>
                <w:spacing w:val="0"/>
                <w:kern w:val="0"/>
                <w:highlight w:val="none"/>
                <w:lang w:val="en-US" w:eastAsia="zh-CN" w:bidi="ar"/>
              </w:rPr>
              <w:t>水泵、风机</w:t>
            </w:r>
            <w:r>
              <w:rPr>
                <w:rFonts w:hint="default" w:ascii="Times New Roman" w:hAnsi="Times New Roman" w:eastAsia="宋体" w:cs="Times New Roman"/>
                <w:color w:val="auto"/>
                <w:spacing w:val="0"/>
                <w:kern w:val="0"/>
                <w:highlight w:val="none"/>
                <w:lang w:bidi="ar"/>
              </w:rPr>
              <w:t>噪声；</w:t>
            </w:r>
          </w:p>
          <w:p w14:paraId="5B27FC32">
            <w:pPr>
              <w:keepNext w:val="0"/>
              <w:keepLines w:val="0"/>
              <w:pageBreakBefore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spacing w:val="0"/>
                <w:kern w:val="0"/>
                <w:highlight w:val="none"/>
                <w:lang w:val="en-US" w:eastAsia="zh-CN" w:bidi="ar"/>
              </w:rPr>
            </w:pPr>
            <w:r>
              <w:rPr>
                <w:rFonts w:hint="default" w:ascii="Times New Roman" w:hAnsi="Times New Roman" w:eastAsia="宋体" w:cs="Times New Roman"/>
                <w:color w:val="auto"/>
                <w:spacing w:val="0"/>
                <w:kern w:val="0"/>
                <w:highlight w:val="none"/>
                <w:lang w:val="en-US" w:eastAsia="zh-CN" w:bidi="ar"/>
              </w:rPr>
              <w:t>废水：锅炉排污水</w:t>
            </w:r>
            <w:r>
              <w:rPr>
                <w:rFonts w:hint="eastAsia" w:ascii="Times New Roman" w:hAnsi="Times New Roman" w:cs="Times New Roman"/>
                <w:color w:val="auto"/>
                <w:spacing w:val="0"/>
                <w:kern w:val="0"/>
                <w:highlight w:val="none"/>
                <w:lang w:val="en-US" w:eastAsia="zh-CN" w:bidi="ar"/>
              </w:rPr>
              <w:t>、软化水制备装置废水</w:t>
            </w:r>
            <w:r>
              <w:rPr>
                <w:rFonts w:hint="default" w:ascii="Times New Roman" w:hAnsi="Times New Roman" w:cs="Times New Roman"/>
                <w:color w:val="auto"/>
                <w:spacing w:val="0"/>
                <w:kern w:val="0"/>
                <w:highlight w:val="none"/>
                <w:lang w:val="en-US" w:eastAsia="zh-CN" w:bidi="ar"/>
              </w:rPr>
              <w:t>；</w:t>
            </w:r>
          </w:p>
          <w:p w14:paraId="4A1218D2">
            <w:pPr>
              <w:keepNext w:val="0"/>
              <w:keepLines w:val="0"/>
              <w:pageBreakBefore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spacing w:val="0"/>
                <w:highlight w:val="none"/>
                <w:lang w:val="en-US" w:eastAsia="zh-CN"/>
              </w:rPr>
            </w:pPr>
            <w:r>
              <w:rPr>
                <w:rFonts w:hint="default" w:ascii="Times New Roman" w:hAnsi="Times New Roman" w:eastAsia="宋体" w:cs="Times New Roman"/>
                <w:color w:val="auto"/>
                <w:spacing w:val="0"/>
                <w:kern w:val="0"/>
                <w:highlight w:val="none"/>
                <w:lang w:bidi="ar"/>
              </w:rPr>
              <w:t>固废：</w:t>
            </w:r>
            <w:r>
              <w:rPr>
                <w:rFonts w:hint="default" w:ascii="Times New Roman" w:hAnsi="Times New Roman" w:cs="Times New Roman"/>
                <w:color w:val="auto"/>
                <w:spacing w:val="0"/>
                <w:kern w:val="0"/>
                <w:highlight w:val="none"/>
                <w:lang w:val="en-US" w:eastAsia="zh-CN" w:bidi="ar"/>
              </w:rPr>
              <w:t>锅炉灰渣、除尘器集尘、废布袋、废机油、废油桶、含油抹布</w:t>
            </w:r>
            <w:r>
              <w:rPr>
                <w:rFonts w:hint="eastAsia" w:ascii="Times New Roman" w:hAnsi="Times New Roman" w:cs="Times New Roman"/>
                <w:color w:val="auto"/>
                <w:spacing w:val="0"/>
                <w:kern w:val="0"/>
                <w:highlight w:val="none"/>
                <w:lang w:val="en-US" w:eastAsia="zh-CN" w:bidi="ar"/>
              </w:rPr>
              <w:t>，</w:t>
            </w:r>
            <w:r>
              <w:rPr>
                <w:rFonts w:hint="eastAsia" w:cs="宋体"/>
                <w:color w:val="auto"/>
                <w:spacing w:val="0"/>
                <w:kern w:val="0"/>
                <w:highlight w:val="none"/>
                <w:lang w:val="en-US" w:eastAsia="zh-CN" w:bidi="ar"/>
              </w:rPr>
              <w:t>软水制备过程产生的废离子交换树脂</w:t>
            </w:r>
            <w:r>
              <w:rPr>
                <w:rFonts w:hint="default" w:ascii="Times New Roman" w:hAnsi="Times New Roman" w:eastAsia="宋体" w:cs="Times New Roman"/>
                <w:color w:val="auto"/>
                <w:spacing w:val="0"/>
                <w:kern w:val="0"/>
                <w:highlight w:val="none"/>
                <w:lang w:val="en-US" w:eastAsia="zh-CN" w:bidi="ar"/>
              </w:rPr>
              <w:t>。</w:t>
            </w:r>
          </w:p>
        </w:tc>
      </w:tr>
      <w:tr w14:paraId="551450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69" w:hRule="atLeast"/>
          <w:jc w:val="center"/>
        </w:trPr>
        <w:tc>
          <w:tcPr>
            <w:tcW w:w="535" w:type="dxa"/>
            <w:noWrap w:val="0"/>
            <w:vAlign w:val="center"/>
          </w:tcPr>
          <w:p w14:paraId="7152E113">
            <w:pPr>
              <w:pStyle w:val="31"/>
              <w:spacing w:before="0" w:beforeAutospacing="0" w:after="0" w:afterAutospacing="0" w:line="240" w:lineRule="auto"/>
              <w:ind w:firstLine="0" w:firstLineChars="0"/>
              <w:jc w:val="center"/>
              <w:rPr>
                <w:rFonts w:hint="default" w:ascii="Times New Roman" w:hAnsi="Times New Roman" w:eastAsia="宋体" w:cs="Times New Roman"/>
                <w:bCs/>
                <w:color w:val="auto"/>
                <w:spacing w:val="0"/>
                <w:highlight w:val="none"/>
              </w:rPr>
            </w:pPr>
            <w:r>
              <w:rPr>
                <w:rFonts w:hint="default" w:ascii="Times New Roman" w:hAnsi="Times New Roman" w:eastAsia="宋体" w:cs="Times New Roman"/>
                <w:bCs/>
                <w:color w:val="auto"/>
                <w:spacing w:val="0"/>
                <w:kern w:val="2"/>
                <w:sz w:val="22"/>
                <w:szCs w:val="18"/>
                <w:highlight w:val="none"/>
              </w:rPr>
              <w:t>与项目有关的原有环境污染问题</w:t>
            </w:r>
          </w:p>
        </w:tc>
        <w:tc>
          <w:tcPr>
            <w:tcW w:w="7987" w:type="dxa"/>
            <w:noWrap w:val="0"/>
            <w:vAlign w:val="center"/>
          </w:tcPr>
          <w:p w14:paraId="74BDE4EF">
            <w:pPr>
              <w:spacing w:line="360" w:lineRule="auto"/>
              <w:ind w:left="0" w:leftChars="0" w:firstLine="0" w:firstLineChars="0"/>
              <w:jc w:val="left"/>
              <w:rPr>
                <w:rFonts w:hint="default" w:ascii="Times New Roman" w:hAnsi="Times New Roman" w:eastAsia="宋体" w:cs="Times New Roman"/>
                <w:b/>
                <w:bCs w:val="0"/>
                <w:color w:val="auto"/>
                <w:highlight w:val="none"/>
                <w:lang w:val="en-US" w:eastAsia="zh-CN"/>
              </w:rPr>
            </w:pPr>
            <w:r>
              <w:rPr>
                <w:rFonts w:hint="default" w:ascii="Times New Roman" w:hAnsi="Times New Roman" w:eastAsia="宋体" w:cs="Times New Roman"/>
                <w:b/>
                <w:bCs w:val="0"/>
                <w:color w:val="auto"/>
                <w:highlight w:val="none"/>
                <w:lang w:val="en-US" w:eastAsia="zh-CN"/>
              </w:rPr>
              <w:t>1.原项目环保手续</w:t>
            </w:r>
          </w:p>
          <w:p w14:paraId="782FF1A8">
            <w:pPr>
              <w:spacing w:line="36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bCs/>
                <w:color w:val="auto"/>
                <w:spacing w:val="0"/>
                <w:sz w:val="24"/>
                <w:szCs w:val="24"/>
                <w:highlight w:val="none"/>
                <w:shd w:val="clear"/>
                <w:lang w:val="en-US" w:eastAsia="zh-CN"/>
              </w:rPr>
              <w:t>建设单位委托黑龙江亿普环保服务有限公司于2016年11月编制了《鸡西鸡矿医院有限公司城子河医院现状环境影响评估报告》，并提交环保主管部门备案。详见附件</w:t>
            </w:r>
            <w:r>
              <w:rPr>
                <w:rFonts w:hint="eastAsia" w:ascii="Times New Roman" w:hAnsi="Times New Roman" w:cs="Times New Roman"/>
                <w:bCs/>
                <w:color w:val="auto"/>
                <w:spacing w:val="0"/>
                <w:sz w:val="24"/>
                <w:szCs w:val="24"/>
                <w:highlight w:val="none"/>
                <w:shd w:val="clear"/>
                <w:lang w:val="en-US" w:eastAsia="zh-CN"/>
              </w:rPr>
              <w:t>7</w:t>
            </w:r>
            <w:r>
              <w:rPr>
                <w:rFonts w:hint="default" w:ascii="Times New Roman" w:hAnsi="Times New Roman" w:cs="Times New Roman"/>
                <w:bCs/>
                <w:color w:val="auto"/>
                <w:spacing w:val="0"/>
                <w:sz w:val="24"/>
                <w:szCs w:val="24"/>
                <w:highlight w:val="none"/>
                <w:shd w:val="clear"/>
                <w:lang w:val="en-US" w:eastAsia="zh-CN"/>
              </w:rPr>
              <w:t>。2017</w:t>
            </w:r>
            <w:r>
              <w:rPr>
                <w:rFonts w:hint="default" w:ascii="Times New Roman" w:hAnsi="Times New Roman" w:eastAsia="宋体" w:cs="Times New Roman"/>
                <w:bCs/>
                <w:color w:val="auto"/>
                <w:spacing w:val="0"/>
                <w:sz w:val="24"/>
                <w:szCs w:val="24"/>
                <w:highlight w:val="none"/>
                <w:shd w:val="clear"/>
                <w:lang w:val="en-US" w:eastAsia="zh-CN"/>
              </w:rPr>
              <w:t>年</w:t>
            </w:r>
            <w:r>
              <w:rPr>
                <w:rFonts w:hint="default" w:ascii="Times New Roman" w:hAnsi="Times New Roman" w:cs="Times New Roman"/>
                <w:bCs/>
                <w:color w:val="auto"/>
                <w:spacing w:val="0"/>
                <w:sz w:val="24"/>
                <w:szCs w:val="24"/>
                <w:highlight w:val="none"/>
                <w:shd w:val="clear"/>
                <w:lang w:val="en-US" w:eastAsia="zh-CN"/>
              </w:rPr>
              <w:t>4月城子河医院</w:t>
            </w:r>
            <w:r>
              <w:rPr>
                <w:rFonts w:hint="default" w:ascii="Times New Roman" w:hAnsi="Times New Roman" w:cs="Times New Roman"/>
                <w:color w:val="auto"/>
                <w:sz w:val="24"/>
                <w:szCs w:val="18"/>
                <w:highlight w:val="none"/>
                <w:lang w:val="en-US" w:eastAsia="zh-CN"/>
              </w:rPr>
              <w:t>委托中冶节能环保有限责任公司</w:t>
            </w:r>
            <w:r>
              <w:rPr>
                <w:rFonts w:hint="default" w:ascii="Times New Roman" w:hAnsi="Times New Roman" w:cs="Times New Roman"/>
                <w:bCs/>
                <w:color w:val="auto"/>
                <w:spacing w:val="0"/>
                <w:sz w:val="24"/>
                <w:szCs w:val="24"/>
                <w:highlight w:val="none"/>
                <w:shd w:val="clear"/>
                <w:lang w:val="en-US" w:eastAsia="zh-CN"/>
              </w:rPr>
              <w:t>开展了《鸡西矿业集团鸡矿医院有限公司城子河中心医院门诊综合楼项目》的编制工作。于2017年5月10日取得了由鸡西市环境保护局出具的批复，</w:t>
            </w:r>
            <w:r>
              <w:rPr>
                <w:rFonts w:hint="default" w:ascii="Times New Roman" w:hAnsi="Times New Roman" w:eastAsia="宋体" w:cs="Times New Roman"/>
                <w:bCs/>
                <w:color w:val="auto"/>
                <w:spacing w:val="0"/>
                <w:sz w:val="24"/>
                <w:szCs w:val="24"/>
                <w:highlight w:val="none"/>
                <w:shd w:val="clear"/>
                <w:lang w:val="en-US" w:eastAsia="zh-CN"/>
              </w:rPr>
              <w:t>批复文号为“鸡环审〔20</w:t>
            </w:r>
            <w:r>
              <w:rPr>
                <w:rFonts w:hint="default" w:ascii="Times New Roman" w:hAnsi="Times New Roman" w:cs="Times New Roman"/>
                <w:bCs/>
                <w:color w:val="auto"/>
                <w:spacing w:val="0"/>
                <w:sz w:val="24"/>
                <w:szCs w:val="24"/>
                <w:highlight w:val="none"/>
                <w:shd w:val="clear"/>
                <w:lang w:val="en-US" w:eastAsia="zh-CN"/>
              </w:rPr>
              <w:t>17</w:t>
            </w:r>
            <w:r>
              <w:rPr>
                <w:rFonts w:hint="default" w:ascii="Times New Roman" w:hAnsi="Times New Roman" w:eastAsia="宋体" w:cs="Times New Roman"/>
                <w:bCs/>
                <w:color w:val="auto"/>
                <w:spacing w:val="0"/>
                <w:sz w:val="24"/>
                <w:szCs w:val="24"/>
                <w:highlight w:val="none"/>
                <w:shd w:val="clear"/>
                <w:lang w:val="en-US" w:eastAsia="zh-CN"/>
              </w:rPr>
              <w:t>〕</w:t>
            </w:r>
            <w:r>
              <w:rPr>
                <w:rFonts w:hint="default" w:ascii="Times New Roman" w:hAnsi="Times New Roman" w:cs="Times New Roman"/>
                <w:bCs/>
                <w:color w:val="auto"/>
                <w:spacing w:val="0"/>
                <w:sz w:val="24"/>
                <w:szCs w:val="24"/>
                <w:highlight w:val="none"/>
                <w:shd w:val="clear"/>
                <w:lang w:val="en-US" w:eastAsia="zh-CN"/>
              </w:rPr>
              <w:t>5</w:t>
            </w:r>
            <w:r>
              <w:rPr>
                <w:rFonts w:hint="default" w:ascii="Times New Roman" w:hAnsi="Times New Roman" w:eastAsia="宋体" w:cs="Times New Roman"/>
                <w:bCs/>
                <w:color w:val="auto"/>
                <w:spacing w:val="0"/>
                <w:sz w:val="24"/>
                <w:szCs w:val="24"/>
                <w:highlight w:val="none"/>
                <w:shd w:val="clear"/>
                <w:lang w:val="en-US" w:eastAsia="zh-CN"/>
              </w:rPr>
              <w:t>号”，</w:t>
            </w:r>
            <w:r>
              <w:rPr>
                <w:rFonts w:hint="default" w:ascii="Times New Roman" w:hAnsi="Times New Roman" w:cs="Times New Roman"/>
                <w:bCs/>
                <w:color w:val="auto"/>
                <w:spacing w:val="0"/>
                <w:sz w:val="24"/>
                <w:szCs w:val="24"/>
                <w:highlight w:val="none"/>
                <w:shd w:val="clear"/>
                <w:lang w:val="en-US" w:eastAsia="zh-CN"/>
              </w:rPr>
              <w:t>详见附件</w:t>
            </w:r>
            <w:r>
              <w:rPr>
                <w:rFonts w:hint="eastAsia" w:ascii="Times New Roman" w:hAnsi="Times New Roman" w:cs="Times New Roman"/>
                <w:bCs/>
                <w:color w:val="auto"/>
                <w:spacing w:val="0"/>
                <w:sz w:val="24"/>
                <w:szCs w:val="24"/>
                <w:highlight w:val="none"/>
                <w:shd w:val="clear"/>
                <w:lang w:val="en-US" w:eastAsia="zh-CN"/>
              </w:rPr>
              <w:t>8</w:t>
            </w:r>
            <w:r>
              <w:rPr>
                <w:rFonts w:hint="default" w:ascii="Times New Roman" w:hAnsi="Times New Roman" w:cs="Times New Roman"/>
                <w:bCs/>
                <w:color w:val="auto"/>
                <w:spacing w:val="0"/>
                <w:sz w:val="24"/>
                <w:szCs w:val="24"/>
                <w:highlight w:val="none"/>
                <w:shd w:val="clear"/>
                <w:lang w:val="en-US" w:eastAsia="zh-CN"/>
              </w:rPr>
              <w:t>。</w:t>
            </w:r>
          </w:p>
          <w:p w14:paraId="2DCB813A">
            <w:pPr>
              <w:pStyle w:val="48"/>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本项目以取得排污许可证，证书编号：91230300MA199UH069001Q。见附件2。已开展突发环境事件应急预案编制及备案工作，应急预案备案号：2303062025224L。见附件</w:t>
            </w:r>
            <w:r>
              <w:rPr>
                <w:rFonts w:hint="eastAsia" w:ascii="Times New Roman" w:hAnsi="Times New Roman" w:cs="Times New Roman"/>
                <w:color w:val="auto"/>
                <w:highlight w:val="none"/>
                <w:lang w:val="en-US" w:eastAsia="zh-CN"/>
              </w:rPr>
              <w:t>9</w:t>
            </w:r>
            <w:r>
              <w:rPr>
                <w:rFonts w:hint="default" w:ascii="Times New Roman" w:hAnsi="Times New Roman" w:cs="Times New Roman"/>
                <w:color w:val="auto"/>
                <w:highlight w:val="none"/>
                <w:lang w:val="en-US" w:eastAsia="zh-CN"/>
              </w:rPr>
              <w:t>。主体工程已与2020年9月进行环保验收，专家意见见附件</w:t>
            </w:r>
            <w:r>
              <w:rPr>
                <w:rFonts w:hint="eastAsia" w:ascii="Times New Roman" w:hAnsi="Times New Roman" w:cs="Times New Roman"/>
                <w:color w:val="auto"/>
                <w:highlight w:val="none"/>
                <w:lang w:val="en-US" w:eastAsia="zh-CN"/>
              </w:rPr>
              <w:t>10</w:t>
            </w:r>
            <w:r>
              <w:rPr>
                <w:rFonts w:hint="default" w:ascii="Times New Roman" w:hAnsi="Times New Roman" w:cs="Times New Roman"/>
                <w:color w:val="auto"/>
                <w:highlight w:val="none"/>
                <w:lang w:val="en-US" w:eastAsia="zh-CN"/>
              </w:rPr>
              <w:t>。</w:t>
            </w:r>
          </w:p>
          <w:p w14:paraId="0B86ED3D">
            <w:pPr>
              <w:spacing w:line="360" w:lineRule="auto"/>
              <w:ind w:left="0" w:leftChars="0" w:firstLine="0" w:firstLineChars="0"/>
              <w:jc w:val="left"/>
              <w:rPr>
                <w:rFonts w:hint="default" w:ascii="Times New Roman" w:hAnsi="Times New Roman" w:eastAsia="宋体" w:cs="Times New Roman"/>
                <w:b/>
                <w:bCs w:val="0"/>
                <w:color w:val="auto"/>
                <w:highlight w:val="none"/>
                <w:lang w:val="en-US" w:eastAsia="zh-CN"/>
              </w:rPr>
            </w:pPr>
            <w:r>
              <w:rPr>
                <w:rFonts w:hint="default" w:ascii="Times New Roman" w:hAnsi="Times New Roman" w:eastAsia="宋体" w:cs="Times New Roman"/>
                <w:b/>
                <w:bCs w:val="0"/>
                <w:color w:val="auto"/>
                <w:highlight w:val="none"/>
                <w:lang w:val="en-US" w:eastAsia="zh-CN"/>
              </w:rPr>
              <w:t>2.原项目建设内容</w:t>
            </w:r>
          </w:p>
          <w:p w14:paraId="0AC10A3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cs="Times New Roman"/>
                <w:b w:val="0"/>
                <w:bCs/>
                <w:color w:val="auto"/>
                <w:sz w:val="24"/>
                <w:szCs w:val="24"/>
                <w:highlight w:val="none"/>
                <w:lang w:val="en-US" w:eastAsia="zh-CN"/>
              </w:rPr>
              <w:t>本项目主体工程实际建设情况。具体实际建设情况如下：</w:t>
            </w:r>
          </w:p>
          <w:p w14:paraId="406315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表 2-</w:t>
            </w:r>
            <w:r>
              <w:rPr>
                <w:rFonts w:hint="default" w:ascii="Times New Roman" w:hAnsi="Times New Roman" w:cs="Times New Roman"/>
                <w:b/>
                <w:bCs w:val="0"/>
                <w:color w:val="auto"/>
                <w:sz w:val="21"/>
                <w:szCs w:val="21"/>
                <w:highlight w:val="none"/>
                <w:lang w:val="en-US" w:eastAsia="zh-CN"/>
              </w:rPr>
              <w:t>6</w:t>
            </w:r>
            <w:r>
              <w:rPr>
                <w:rFonts w:hint="default" w:ascii="Times New Roman" w:hAnsi="Times New Roman" w:eastAsia="宋体" w:cs="Times New Roman"/>
                <w:b/>
                <w:bCs w:val="0"/>
                <w:color w:val="auto"/>
                <w:sz w:val="21"/>
                <w:szCs w:val="21"/>
                <w:highlight w:val="none"/>
                <w:lang w:val="en-US" w:eastAsia="zh-CN"/>
              </w:rPr>
              <w:t xml:space="preserve"> 原有项目建设内容一览表</w:t>
            </w:r>
          </w:p>
          <w:tbl>
            <w:tblPr>
              <w:tblStyle w:val="35"/>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4" w:space="0"/>
              </w:tblBorders>
              <w:tblLayout w:type="fixed"/>
              <w:tblCellMar>
                <w:top w:w="0" w:type="dxa"/>
                <w:left w:w="108" w:type="dxa"/>
                <w:bottom w:w="0" w:type="dxa"/>
                <w:right w:w="108" w:type="dxa"/>
              </w:tblCellMar>
            </w:tblPr>
            <w:tblGrid>
              <w:gridCol w:w="867"/>
              <w:gridCol w:w="867"/>
              <w:gridCol w:w="1124"/>
              <w:gridCol w:w="4018"/>
              <w:gridCol w:w="895"/>
            </w:tblGrid>
            <w:tr w14:paraId="3BBB8820">
              <w:tblPrEx>
                <w:tblBorders>
                  <w:top w:val="single" w:color="000000" w:sz="12" w:space="0"/>
                  <w:left w:val="none" w:color="auto" w:sz="0" w:space="0"/>
                  <w:bottom w:val="single" w:color="000000" w:sz="12" w:space="0"/>
                  <w:right w:val="none" w:color="auto" w:sz="0" w:space="0"/>
                  <w:insideH w:val="single" w:color="000000" w:sz="6" w:space="0"/>
                  <w:insideV w:val="single" w:color="000000" w:sz="4" w:space="0"/>
                </w:tblBorders>
                <w:tblCellMar>
                  <w:top w:w="0" w:type="dxa"/>
                  <w:left w:w="108" w:type="dxa"/>
                  <w:bottom w:w="0" w:type="dxa"/>
                  <w:right w:w="108" w:type="dxa"/>
                </w:tblCellMar>
              </w:tblPrEx>
              <w:trPr>
                <w:trHeight w:val="284" w:hRule="atLeast"/>
                <w:jc w:val="center"/>
              </w:trPr>
              <w:tc>
                <w:tcPr>
                  <w:tcW w:w="1838" w:type="pct"/>
                  <w:gridSpan w:val="3"/>
                  <w:tcBorders>
                    <w:tl2br w:val="nil"/>
                    <w:tr2bl w:val="nil"/>
                  </w:tcBorders>
                  <w:noWrap w:val="0"/>
                  <w:vAlign w:val="center"/>
                </w:tcPr>
                <w:p w14:paraId="4CD4E3C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工程类型</w:t>
                  </w:r>
                </w:p>
              </w:tc>
              <w:tc>
                <w:tcPr>
                  <w:tcW w:w="2585" w:type="pct"/>
                  <w:tcBorders>
                    <w:tl2br w:val="nil"/>
                    <w:tr2bl w:val="nil"/>
                  </w:tcBorders>
                  <w:noWrap w:val="0"/>
                  <w:vAlign w:val="center"/>
                </w:tcPr>
                <w:p w14:paraId="7C71912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建设内容</w:t>
                  </w:r>
                </w:p>
              </w:tc>
              <w:tc>
                <w:tcPr>
                  <w:tcW w:w="575" w:type="pct"/>
                  <w:tcBorders>
                    <w:tl2br w:val="nil"/>
                    <w:tr2bl w:val="nil"/>
                  </w:tcBorders>
                  <w:noWrap w:val="0"/>
                  <w:vAlign w:val="center"/>
                </w:tcPr>
                <w:p w14:paraId="2496DEE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实际建设情况</w:t>
                  </w:r>
                </w:p>
              </w:tc>
            </w:tr>
            <w:tr w14:paraId="4C9C7AF5">
              <w:tblPrEx>
                <w:tblBorders>
                  <w:top w:val="single" w:color="000000" w:sz="12" w:space="0"/>
                  <w:left w:val="none" w:color="auto" w:sz="0" w:space="0"/>
                  <w:bottom w:val="single" w:color="000000" w:sz="12" w:space="0"/>
                  <w:right w:val="none" w:color="auto" w:sz="0" w:space="0"/>
                  <w:insideH w:val="single" w:color="000000" w:sz="6" w:space="0"/>
                  <w:insideV w:val="single" w:color="000000" w:sz="4" w:space="0"/>
                </w:tblBorders>
                <w:tblCellMar>
                  <w:top w:w="0" w:type="dxa"/>
                  <w:left w:w="108" w:type="dxa"/>
                  <w:bottom w:w="0" w:type="dxa"/>
                  <w:right w:w="108" w:type="dxa"/>
                </w:tblCellMar>
              </w:tblPrEx>
              <w:trPr>
                <w:trHeight w:val="284" w:hRule="atLeast"/>
                <w:jc w:val="center"/>
              </w:trPr>
              <w:tc>
                <w:tcPr>
                  <w:tcW w:w="557" w:type="pct"/>
                  <w:vMerge w:val="restart"/>
                  <w:tcBorders>
                    <w:tl2br w:val="nil"/>
                    <w:tr2bl w:val="nil"/>
                  </w:tcBorders>
                  <w:noWrap w:val="0"/>
                  <w:vAlign w:val="center"/>
                </w:tcPr>
                <w:p w14:paraId="6B3841D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主体工程</w:t>
                  </w:r>
                </w:p>
              </w:tc>
              <w:tc>
                <w:tcPr>
                  <w:tcW w:w="557" w:type="pct"/>
                  <w:vMerge w:val="restart"/>
                  <w:tcBorders>
                    <w:tl2br w:val="nil"/>
                    <w:tr2bl w:val="nil"/>
                  </w:tcBorders>
                  <w:noWrap w:val="0"/>
                  <w:vAlign w:val="center"/>
                </w:tcPr>
                <w:p w14:paraId="5AFFC5F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门诊综合楼</w:t>
                  </w:r>
                </w:p>
              </w:tc>
              <w:tc>
                <w:tcPr>
                  <w:tcW w:w="723" w:type="pct"/>
                  <w:tcBorders>
                    <w:tl2br w:val="nil"/>
                    <w:tr2bl w:val="nil"/>
                  </w:tcBorders>
                  <w:noWrap w:val="0"/>
                  <w:vAlign w:val="center"/>
                </w:tcPr>
                <w:p w14:paraId="24F0DC7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医院用房</w:t>
                  </w:r>
                </w:p>
              </w:tc>
              <w:tc>
                <w:tcPr>
                  <w:tcW w:w="2585" w:type="pct"/>
                  <w:tcBorders>
                    <w:tl2br w:val="nil"/>
                    <w:tr2bl w:val="nil"/>
                  </w:tcBorders>
                  <w:noWrap w:val="0"/>
                  <w:vAlign w:val="center"/>
                </w:tcPr>
                <w:p w14:paraId="7FFDFD5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设有内一科、内二科、外一科、外二科、妇科、五官科、重症病房、门急诊等临床科室8个</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病床总数达160张</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每日门诊量</w:t>
                  </w:r>
                  <w:r>
                    <w:rPr>
                      <w:rFonts w:hint="default" w:ascii="Times New Roman" w:hAnsi="Times New Roman"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lang w:val="en-US" w:eastAsia="zh-CN"/>
                    </w:rPr>
                    <w:t>人次</w:t>
                  </w:r>
                </w:p>
              </w:tc>
              <w:tc>
                <w:tcPr>
                  <w:tcW w:w="575" w:type="pct"/>
                  <w:tcBorders>
                    <w:tl2br w:val="nil"/>
                    <w:tr2bl w:val="nil"/>
                  </w:tcBorders>
                  <w:noWrap w:val="0"/>
                  <w:vAlign w:val="center"/>
                </w:tcPr>
                <w:p w14:paraId="628E4A2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已建</w:t>
                  </w:r>
                </w:p>
              </w:tc>
            </w:tr>
            <w:tr w14:paraId="10FA9828">
              <w:tblPrEx>
                <w:tblBorders>
                  <w:top w:val="single" w:color="000000" w:sz="12" w:space="0"/>
                  <w:left w:val="none" w:color="auto" w:sz="0" w:space="0"/>
                  <w:bottom w:val="single" w:color="000000" w:sz="12" w:space="0"/>
                  <w:right w:val="none" w:color="auto" w:sz="0" w:space="0"/>
                  <w:insideH w:val="single" w:color="000000" w:sz="6" w:space="0"/>
                  <w:insideV w:val="single" w:color="000000" w:sz="4" w:space="0"/>
                </w:tblBorders>
                <w:tblCellMar>
                  <w:top w:w="0" w:type="dxa"/>
                  <w:left w:w="108" w:type="dxa"/>
                  <w:bottom w:w="0" w:type="dxa"/>
                  <w:right w:w="108" w:type="dxa"/>
                </w:tblCellMar>
              </w:tblPrEx>
              <w:trPr>
                <w:trHeight w:val="284" w:hRule="atLeast"/>
                <w:jc w:val="center"/>
              </w:trPr>
              <w:tc>
                <w:tcPr>
                  <w:tcW w:w="557" w:type="pct"/>
                  <w:vMerge w:val="continue"/>
                  <w:tcBorders>
                    <w:tl2br w:val="nil"/>
                    <w:tr2bl w:val="nil"/>
                  </w:tcBorders>
                  <w:noWrap w:val="0"/>
                  <w:vAlign w:val="center"/>
                </w:tcPr>
                <w:p w14:paraId="7DCE7A3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57" w:type="pct"/>
                  <w:vMerge w:val="continue"/>
                  <w:tcBorders>
                    <w:tl2br w:val="nil"/>
                    <w:tr2bl w:val="nil"/>
                  </w:tcBorders>
                  <w:noWrap w:val="0"/>
                  <w:vAlign w:val="center"/>
                </w:tcPr>
                <w:p w14:paraId="12CFBAA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723" w:type="pct"/>
                  <w:tcBorders>
                    <w:tl2br w:val="nil"/>
                    <w:tr2bl w:val="nil"/>
                  </w:tcBorders>
                  <w:noWrap w:val="0"/>
                  <w:vAlign w:val="center"/>
                </w:tcPr>
                <w:p w14:paraId="2890CC9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辅助科室</w:t>
                  </w:r>
                </w:p>
              </w:tc>
              <w:tc>
                <w:tcPr>
                  <w:tcW w:w="2585" w:type="pct"/>
                  <w:tcBorders>
                    <w:tl2br w:val="nil"/>
                    <w:tr2bl w:val="nil"/>
                  </w:tcBorders>
                  <w:noWrap w:val="0"/>
                  <w:vAlign w:val="center"/>
                </w:tcPr>
                <w:p w14:paraId="47FB17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超声科、放射科、心电室、检验科、药剂等医技辅助科室5个</w:t>
                  </w:r>
                </w:p>
              </w:tc>
              <w:tc>
                <w:tcPr>
                  <w:tcW w:w="575" w:type="pct"/>
                  <w:tcBorders>
                    <w:tl2br w:val="nil"/>
                    <w:tr2bl w:val="nil"/>
                  </w:tcBorders>
                  <w:noWrap w:val="0"/>
                  <w:vAlign w:val="center"/>
                </w:tcPr>
                <w:p w14:paraId="4714D98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已建</w:t>
                  </w:r>
                </w:p>
              </w:tc>
            </w:tr>
            <w:tr w14:paraId="3B5EA7D9">
              <w:tblPrEx>
                <w:tblBorders>
                  <w:top w:val="single" w:color="000000" w:sz="12" w:space="0"/>
                  <w:left w:val="none" w:color="auto" w:sz="0" w:space="0"/>
                  <w:bottom w:val="single" w:color="000000" w:sz="12" w:space="0"/>
                  <w:right w:val="none" w:color="auto" w:sz="0" w:space="0"/>
                  <w:insideH w:val="single" w:color="000000" w:sz="6" w:space="0"/>
                  <w:insideV w:val="single" w:color="000000" w:sz="4" w:space="0"/>
                </w:tblBorders>
                <w:tblCellMar>
                  <w:top w:w="0" w:type="dxa"/>
                  <w:left w:w="108" w:type="dxa"/>
                  <w:bottom w:w="0" w:type="dxa"/>
                  <w:right w:w="108" w:type="dxa"/>
                </w:tblCellMar>
              </w:tblPrEx>
              <w:trPr>
                <w:trHeight w:val="284" w:hRule="atLeast"/>
                <w:jc w:val="center"/>
              </w:trPr>
              <w:tc>
                <w:tcPr>
                  <w:tcW w:w="557" w:type="pct"/>
                  <w:vMerge w:val="continue"/>
                  <w:tcBorders>
                    <w:tl2br w:val="nil"/>
                    <w:tr2bl w:val="nil"/>
                  </w:tcBorders>
                  <w:noWrap w:val="0"/>
                  <w:vAlign w:val="center"/>
                </w:tcPr>
                <w:p w14:paraId="7549769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7" w:type="pct"/>
                  <w:vMerge w:val="restart"/>
                  <w:tcBorders>
                    <w:tl2br w:val="nil"/>
                    <w:tr2bl w:val="nil"/>
                  </w:tcBorders>
                  <w:noWrap w:val="0"/>
                  <w:vAlign w:val="center"/>
                </w:tcPr>
                <w:p w14:paraId="01B1C7A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急诊综合楼</w:t>
                  </w:r>
                </w:p>
              </w:tc>
              <w:tc>
                <w:tcPr>
                  <w:tcW w:w="723" w:type="pct"/>
                  <w:tcBorders>
                    <w:tl2br w:val="nil"/>
                    <w:tr2bl w:val="nil"/>
                  </w:tcBorders>
                  <w:noWrap w:val="0"/>
                  <w:vAlign w:val="center"/>
                </w:tcPr>
                <w:p w14:paraId="751BB29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一层</w:t>
                  </w:r>
                </w:p>
              </w:tc>
              <w:tc>
                <w:tcPr>
                  <w:tcW w:w="2585" w:type="pct"/>
                  <w:tcBorders>
                    <w:tl2br w:val="nil"/>
                    <w:tr2bl w:val="nil"/>
                  </w:tcBorders>
                  <w:noWrap w:val="0"/>
                  <w:vAlign w:val="center"/>
                </w:tcPr>
                <w:p w14:paraId="7F2B5C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建筑面积1940.27</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，主要功能布置</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主体建筑西侧为急诊</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内科、外科、抢救室、治疗室、观察室、医护用房</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区</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东侧北面为口腔科门诊，南面为医技</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彩超、幽门杆菌检测室、胃肠镜室、采血室、清洗消毒室</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用房</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阳光大厅布置在主体建筑北侧，布置有收费、药局和休息大厅。主体建筑配套有大厅、电梯间、楼梯间和卫生间。</w:t>
                  </w:r>
                </w:p>
              </w:tc>
              <w:tc>
                <w:tcPr>
                  <w:tcW w:w="575" w:type="pct"/>
                  <w:tcBorders>
                    <w:tl2br w:val="nil"/>
                    <w:tr2bl w:val="nil"/>
                  </w:tcBorders>
                  <w:noWrap w:val="0"/>
                  <w:vAlign w:val="center"/>
                </w:tcPr>
                <w:p w14:paraId="3750E91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已建</w:t>
                  </w:r>
                </w:p>
              </w:tc>
            </w:tr>
            <w:tr w14:paraId="517D12FE">
              <w:tblPrEx>
                <w:tblBorders>
                  <w:top w:val="single" w:color="000000" w:sz="12" w:space="0"/>
                  <w:left w:val="none" w:color="auto" w:sz="0" w:space="0"/>
                  <w:bottom w:val="single" w:color="000000" w:sz="12" w:space="0"/>
                  <w:right w:val="none" w:color="auto" w:sz="0" w:space="0"/>
                  <w:insideH w:val="single" w:color="000000" w:sz="6" w:space="0"/>
                  <w:insideV w:val="single" w:color="000000" w:sz="4" w:space="0"/>
                </w:tblBorders>
                <w:tblCellMar>
                  <w:top w:w="0" w:type="dxa"/>
                  <w:left w:w="108" w:type="dxa"/>
                  <w:bottom w:w="0" w:type="dxa"/>
                  <w:right w:w="108" w:type="dxa"/>
                </w:tblCellMar>
              </w:tblPrEx>
              <w:trPr>
                <w:trHeight w:val="284" w:hRule="atLeast"/>
                <w:jc w:val="center"/>
              </w:trPr>
              <w:tc>
                <w:tcPr>
                  <w:tcW w:w="557" w:type="pct"/>
                  <w:vMerge w:val="continue"/>
                  <w:tcBorders>
                    <w:tl2br w:val="nil"/>
                    <w:tr2bl w:val="nil"/>
                  </w:tcBorders>
                  <w:noWrap w:val="0"/>
                  <w:vAlign w:val="center"/>
                </w:tcPr>
                <w:p w14:paraId="7C64E27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7" w:type="pct"/>
                  <w:vMerge w:val="continue"/>
                  <w:tcBorders>
                    <w:tl2br w:val="nil"/>
                    <w:tr2bl w:val="nil"/>
                  </w:tcBorders>
                  <w:noWrap w:val="0"/>
                  <w:vAlign w:val="center"/>
                </w:tcPr>
                <w:p w14:paraId="73D5BB1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723" w:type="pct"/>
                  <w:tcBorders>
                    <w:tl2br w:val="nil"/>
                    <w:tr2bl w:val="nil"/>
                  </w:tcBorders>
                  <w:noWrap w:val="0"/>
                  <w:vAlign w:val="center"/>
                </w:tcPr>
                <w:p w14:paraId="7F973AA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二层</w:t>
                  </w:r>
                </w:p>
              </w:tc>
              <w:tc>
                <w:tcPr>
                  <w:tcW w:w="2585" w:type="pct"/>
                  <w:tcBorders>
                    <w:tl2br w:val="nil"/>
                    <w:tr2bl w:val="nil"/>
                  </w:tcBorders>
                  <w:noWrap w:val="0"/>
                  <w:vAlign w:val="center"/>
                </w:tcPr>
                <w:p w14:paraId="1A7A7F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建筑面积1125.28m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，主要功能布置为产科用房，包括分娩室、待产室、处置室、抢</w:t>
                  </w:r>
                </w:p>
                <w:p w14:paraId="1CDDFA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救室、病房、医护用房，并布置了卫生间、楼梯间、电梯间等用房，设17张床位。</w:t>
                  </w:r>
                </w:p>
              </w:tc>
              <w:tc>
                <w:tcPr>
                  <w:tcW w:w="575" w:type="pct"/>
                  <w:tcBorders>
                    <w:tl2br w:val="nil"/>
                    <w:tr2bl w:val="nil"/>
                  </w:tcBorders>
                  <w:noWrap w:val="0"/>
                  <w:vAlign w:val="center"/>
                </w:tcPr>
                <w:p w14:paraId="62A3707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已建</w:t>
                  </w:r>
                </w:p>
              </w:tc>
            </w:tr>
            <w:tr w14:paraId="7525B71A">
              <w:tblPrEx>
                <w:tblBorders>
                  <w:top w:val="single" w:color="000000" w:sz="12" w:space="0"/>
                  <w:left w:val="none" w:color="auto" w:sz="0" w:space="0"/>
                  <w:bottom w:val="single" w:color="000000" w:sz="12" w:space="0"/>
                  <w:right w:val="none" w:color="auto" w:sz="0" w:space="0"/>
                  <w:insideH w:val="single" w:color="000000" w:sz="6" w:space="0"/>
                  <w:insideV w:val="single" w:color="000000" w:sz="4" w:space="0"/>
                </w:tblBorders>
                <w:tblCellMar>
                  <w:top w:w="0" w:type="dxa"/>
                  <w:left w:w="108" w:type="dxa"/>
                  <w:bottom w:w="0" w:type="dxa"/>
                  <w:right w:w="108" w:type="dxa"/>
                </w:tblCellMar>
              </w:tblPrEx>
              <w:trPr>
                <w:trHeight w:val="284" w:hRule="atLeast"/>
                <w:jc w:val="center"/>
              </w:trPr>
              <w:tc>
                <w:tcPr>
                  <w:tcW w:w="557" w:type="pct"/>
                  <w:vMerge w:val="continue"/>
                  <w:tcBorders>
                    <w:tl2br w:val="nil"/>
                    <w:tr2bl w:val="nil"/>
                  </w:tcBorders>
                  <w:noWrap w:val="0"/>
                  <w:vAlign w:val="center"/>
                </w:tcPr>
                <w:p w14:paraId="364C21D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7" w:type="pct"/>
                  <w:vMerge w:val="continue"/>
                  <w:tcBorders>
                    <w:tl2br w:val="nil"/>
                    <w:tr2bl w:val="nil"/>
                  </w:tcBorders>
                  <w:noWrap w:val="0"/>
                  <w:vAlign w:val="center"/>
                </w:tcPr>
                <w:p w14:paraId="276BB3B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723" w:type="pct"/>
                  <w:tcBorders>
                    <w:tl2br w:val="nil"/>
                    <w:tr2bl w:val="nil"/>
                  </w:tcBorders>
                  <w:noWrap w:val="0"/>
                  <w:vAlign w:val="center"/>
                </w:tcPr>
                <w:p w14:paraId="551892F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三层</w:t>
                  </w:r>
                </w:p>
              </w:tc>
              <w:tc>
                <w:tcPr>
                  <w:tcW w:w="2585" w:type="pct"/>
                  <w:tcBorders>
                    <w:tl2br w:val="nil"/>
                    <w:tr2bl w:val="nil"/>
                  </w:tcBorders>
                  <w:noWrap w:val="0"/>
                  <w:vAlign w:val="center"/>
                </w:tcPr>
                <w:p w14:paraId="17D7B1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建筑面积1115.63m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，主要功能布置为透析用房、ICU重症监护病房、治疗室、抢救室、检查换药室，以及普通病房、医护用房和卫生间、楼梯间电梯间等，设11张床位。</w:t>
                  </w:r>
                </w:p>
              </w:tc>
              <w:tc>
                <w:tcPr>
                  <w:tcW w:w="575" w:type="pct"/>
                  <w:tcBorders>
                    <w:tl2br w:val="nil"/>
                    <w:tr2bl w:val="nil"/>
                  </w:tcBorders>
                  <w:noWrap w:val="0"/>
                  <w:vAlign w:val="center"/>
                </w:tcPr>
                <w:p w14:paraId="0CBF6F2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已建</w:t>
                  </w:r>
                </w:p>
              </w:tc>
            </w:tr>
            <w:tr w14:paraId="0B79D54A">
              <w:tblPrEx>
                <w:tblBorders>
                  <w:top w:val="single" w:color="000000" w:sz="12" w:space="0"/>
                  <w:left w:val="none" w:color="auto" w:sz="0" w:space="0"/>
                  <w:bottom w:val="single" w:color="000000" w:sz="12" w:space="0"/>
                  <w:right w:val="none" w:color="auto" w:sz="0" w:space="0"/>
                  <w:insideH w:val="single" w:color="000000" w:sz="6" w:space="0"/>
                  <w:insideV w:val="single" w:color="000000" w:sz="4" w:space="0"/>
                </w:tblBorders>
                <w:tblCellMar>
                  <w:top w:w="0" w:type="dxa"/>
                  <w:left w:w="108" w:type="dxa"/>
                  <w:bottom w:w="0" w:type="dxa"/>
                  <w:right w:w="108" w:type="dxa"/>
                </w:tblCellMar>
              </w:tblPrEx>
              <w:trPr>
                <w:trHeight w:val="90" w:hRule="atLeast"/>
                <w:jc w:val="center"/>
              </w:trPr>
              <w:tc>
                <w:tcPr>
                  <w:tcW w:w="557" w:type="pct"/>
                  <w:vMerge w:val="continue"/>
                  <w:tcBorders>
                    <w:tl2br w:val="nil"/>
                    <w:tr2bl w:val="nil"/>
                  </w:tcBorders>
                  <w:noWrap w:val="0"/>
                  <w:vAlign w:val="center"/>
                </w:tcPr>
                <w:p w14:paraId="492FB63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7" w:type="pct"/>
                  <w:vMerge w:val="continue"/>
                  <w:tcBorders>
                    <w:tl2br w:val="nil"/>
                    <w:tr2bl w:val="nil"/>
                  </w:tcBorders>
                  <w:noWrap w:val="0"/>
                  <w:vAlign w:val="center"/>
                </w:tcPr>
                <w:p w14:paraId="1982E9F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723" w:type="pct"/>
                  <w:tcBorders>
                    <w:tl2br w:val="nil"/>
                    <w:tr2bl w:val="nil"/>
                  </w:tcBorders>
                  <w:noWrap w:val="0"/>
                  <w:vAlign w:val="center"/>
                </w:tcPr>
                <w:p w14:paraId="268EE76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四层-六层</w:t>
                  </w:r>
                </w:p>
              </w:tc>
              <w:tc>
                <w:tcPr>
                  <w:tcW w:w="2585" w:type="pct"/>
                  <w:tcBorders>
                    <w:tl2br w:val="nil"/>
                    <w:tr2bl w:val="nil"/>
                  </w:tcBorders>
                  <w:noWrap w:val="0"/>
                  <w:vAlign w:val="center"/>
                </w:tcPr>
                <w:p w14:paraId="77E117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每层建筑面积1057.75m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，主要功能布置为普通病房、特约病房、抢救室、治疗室、医护办公室、护士站、其他医护用房和卫生间、楼梯间、电梯间等</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四层设38张床位五层设38张床位、六层设34张床位。</w:t>
                  </w:r>
                </w:p>
              </w:tc>
              <w:tc>
                <w:tcPr>
                  <w:tcW w:w="575" w:type="pct"/>
                  <w:tcBorders>
                    <w:tl2br w:val="nil"/>
                    <w:tr2bl w:val="nil"/>
                  </w:tcBorders>
                  <w:noWrap w:val="0"/>
                  <w:vAlign w:val="center"/>
                </w:tcPr>
                <w:p w14:paraId="476B314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已建</w:t>
                  </w:r>
                </w:p>
              </w:tc>
            </w:tr>
            <w:tr w14:paraId="690E2FC7">
              <w:tblPrEx>
                <w:tblBorders>
                  <w:top w:val="single" w:color="000000" w:sz="12" w:space="0"/>
                  <w:left w:val="none" w:color="auto" w:sz="0" w:space="0"/>
                  <w:bottom w:val="single" w:color="000000" w:sz="12" w:space="0"/>
                  <w:right w:val="none" w:color="auto" w:sz="0" w:space="0"/>
                  <w:insideH w:val="single" w:color="000000" w:sz="6" w:space="0"/>
                  <w:insideV w:val="single" w:color="000000" w:sz="4" w:space="0"/>
                </w:tblBorders>
                <w:tblCellMar>
                  <w:top w:w="0" w:type="dxa"/>
                  <w:left w:w="108" w:type="dxa"/>
                  <w:bottom w:w="0" w:type="dxa"/>
                  <w:right w:w="108" w:type="dxa"/>
                </w:tblCellMar>
              </w:tblPrEx>
              <w:trPr>
                <w:trHeight w:val="284" w:hRule="atLeast"/>
                <w:jc w:val="center"/>
              </w:trPr>
              <w:tc>
                <w:tcPr>
                  <w:tcW w:w="557" w:type="pct"/>
                  <w:vMerge w:val="continue"/>
                  <w:tcBorders>
                    <w:tl2br w:val="nil"/>
                    <w:tr2bl w:val="nil"/>
                  </w:tcBorders>
                  <w:noWrap w:val="0"/>
                  <w:vAlign w:val="center"/>
                </w:tcPr>
                <w:p w14:paraId="0218E73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7" w:type="pct"/>
                  <w:vMerge w:val="continue"/>
                  <w:tcBorders>
                    <w:tl2br w:val="nil"/>
                    <w:tr2bl w:val="nil"/>
                  </w:tcBorders>
                  <w:noWrap w:val="0"/>
                  <w:vAlign w:val="center"/>
                </w:tcPr>
                <w:p w14:paraId="21362F4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723" w:type="pct"/>
                  <w:tcBorders>
                    <w:tl2br w:val="nil"/>
                    <w:tr2bl w:val="nil"/>
                  </w:tcBorders>
                  <w:noWrap w:val="0"/>
                  <w:vAlign w:val="center"/>
                </w:tcPr>
                <w:p w14:paraId="27D40D9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七层</w:t>
                  </w:r>
                </w:p>
              </w:tc>
              <w:tc>
                <w:tcPr>
                  <w:tcW w:w="2585" w:type="pct"/>
                  <w:tcBorders>
                    <w:tl2br w:val="nil"/>
                    <w:tr2bl w:val="nil"/>
                  </w:tcBorders>
                  <w:noWrap w:val="0"/>
                  <w:vAlign w:val="center"/>
                </w:tcPr>
                <w:p w14:paraId="47562F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建筑面积115.27㎡，为电梯机房。</w:t>
                  </w:r>
                </w:p>
              </w:tc>
              <w:tc>
                <w:tcPr>
                  <w:tcW w:w="575" w:type="pct"/>
                  <w:tcBorders>
                    <w:tl2br w:val="nil"/>
                    <w:tr2bl w:val="nil"/>
                  </w:tcBorders>
                  <w:noWrap w:val="0"/>
                  <w:vAlign w:val="center"/>
                </w:tcPr>
                <w:p w14:paraId="130F8C4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已建</w:t>
                  </w:r>
                </w:p>
              </w:tc>
            </w:tr>
            <w:tr w14:paraId="3BECB451">
              <w:tblPrEx>
                <w:tblBorders>
                  <w:top w:val="single" w:color="000000" w:sz="12" w:space="0"/>
                  <w:left w:val="none" w:color="auto" w:sz="0" w:space="0"/>
                  <w:bottom w:val="single" w:color="000000" w:sz="12" w:space="0"/>
                  <w:right w:val="none" w:color="auto" w:sz="0" w:space="0"/>
                  <w:insideH w:val="single" w:color="000000" w:sz="6" w:space="0"/>
                  <w:insideV w:val="single" w:color="000000" w:sz="4" w:space="0"/>
                </w:tblBorders>
                <w:tblCellMar>
                  <w:top w:w="0" w:type="dxa"/>
                  <w:left w:w="108" w:type="dxa"/>
                  <w:bottom w:w="0" w:type="dxa"/>
                  <w:right w:w="108" w:type="dxa"/>
                </w:tblCellMar>
              </w:tblPrEx>
              <w:trPr>
                <w:trHeight w:val="90" w:hRule="atLeast"/>
                <w:jc w:val="center"/>
              </w:trPr>
              <w:tc>
                <w:tcPr>
                  <w:tcW w:w="557" w:type="pct"/>
                  <w:tcBorders>
                    <w:tl2br w:val="nil"/>
                    <w:tr2bl w:val="nil"/>
                  </w:tcBorders>
                  <w:noWrap w:val="0"/>
                  <w:vAlign w:val="center"/>
                </w:tcPr>
                <w:p w14:paraId="143E31ED">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储运工程</w:t>
                  </w:r>
                </w:p>
              </w:tc>
              <w:tc>
                <w:tcPr>
                  <w:tcW w:w="557" w:type="pct"/>
                  <w:tcBorders>
                    <w:tl2br w:val="nil"/>
                    <w:tr2bl w:val="nil"/>
                  </w:tcBorders>
                  <w:noWrap w:val="0"/>
                  <w:vAlign w:val="center"/>
                </w:tcPr>
                <w:p w14:paraId="58F8551C">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医疗垃圾暂存间</w:t>
                  </w:r>
                </w:p>
              </w:tc>
              <w:tc>
                <w:tcPr>
                  <w:tcW w:w="3308" w:type="pct"/>
                  <w:gridSpan w:val="2"/>
                  <w:tcBorders>
                    <w:tl2br w:val="nil"/>
                    <w:tr2bl w:val="nil"/>
                  </w:tcBorders>
                  <w:noWrap w:val="0"/>
                  <w:vAlign w:val="center"/>
                </w:tcPr>
                <w:p w14:paraId="19892D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按照“防渗、防水淋浸、防扬散、防溢流夹带、防人备接触储运工程存间选用单独房间设置为专用医疗废物暂存间</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设立明显警示标志</w:t>
                  </w:r>
                </w:p>
              </w:tc>
              <w:tc>
                <w:tcPr>
                  <w:tcW w:w="575" w:type="pct"/>
                  <w:tcBorders>
                    <w:tl2br w:val="nil"/>
                    <w:tr2bl w:val="nil"/>
                  </w:tcBorders>
                  <w:noWrap w:val="0"/>
                  <w:vAlign w:val="center"/>
                </w:tcPr>
                <w:p w14:paraId="6BB9B6B1">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已建</w:t>
                  </w:r>
                </w:p>
              </w:tc>
            </w:tr>
            <w:tr w14:paraId="1F57545B">
              <w:tblPrEx>
                <w:tblBorders>
                  <w:top w:val="single" w:color="000000" w:sz="12" w:space="0"/>
                  <w:left w:val="none" w:color="auto" w:sz="0" w:space="0"/>
                  <w:bottom w:val="single" w:color="000000" w:sz="12" w:space="0"/>
                  <w:right w:val="none" w:color="auto" w:sz="0" w:space="0"/>
                  <w:insideH w:val="single" w:color="000000" w:sz="6" w:space="0"/>
                  <w:insideV w:val="single" w:color="000000" w:sz="4" w:space="0"/>
                </w:tblBorders>
                <w:tblCellMar>
                  <w:top w:w="0" w:type="dxa"/>
                  <w:left w:w="108" w:type="dxa"/>
                  <w:bottom w:w="0" w:type="dxa"/>
                  <w:right w:w="108" w:type="dxa"/>
                </w:tblCellMar>
              </w:tblPrEx>
              <w:trPr>
                <w:trHeight w:val="463" w:hRule="atLeast"/>
                <w:jc w:val="center"/>
              </w:trPr>
              <w:tc>
                <w:tcPr>
                  <w:tcW w:w="557" w:type="pct"/>
                  <w:vMerge w:val="restart"/>
                  <w:tcBorders>
                    <w:tl2br w:val="nil"/>
                    <w:tr2bl w:val="nil"/>
                  </w:tcBorders>
                  <w:noWrap w:val="0"/>
                  <w:vAlign w:val="center"/>
                </w:tcPr>
                <w:p w14:paraId="15FDEC22">
                  <w:pPr>
                    <w:keepNext w:val="0"/>
                    <w:keepLines w:val="0"/>
                    <w:pageBreakBefore w:val="0"/>
                    <w:widowControl w:val="0"/>
                    <w:wordWrap/>
                    <w:topLinePunct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公用工程</w:t>
                  </w:r>
                </w:p>
              </w:tc>
              <w:tc>
                <w:tcPr>
                  <w:tcW w:w="557" w:type="pct"/>
                  <w:tcBorders>
                    <w:tl2br w:val="nil"/>
                    <w:tr2bl w:val="nil"/>
                  </w:tcBorders>
                  <w:noWrap w:val="0"/>
                  <w:vAlign w:val="center"/>
                </w:tcPr>
                <w:p w14:paraId="6B69B972">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给水</w:t>
                  </w:r>
                </w:p>
              </w:tc>
              <w:tc>
                <w:tcPr>
                  <w:tcW w:w="3308" w:type="pct"/>
                  <w:gridSpan w:val="2"/>
                  <w:tcBorders>
                    <w:tl2br w:val="nil"/>
                    <w:tr2bl w:val="nil"/>
                  </w:tcBorders>
                  <w:noWrap w:val="0"/>
                  <w:vAlign w:val="center"/>
                </w:tcPr>
                <w:p w14:paraId="7D4686F0">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用水由市政给水管网供给。</w:t>
                  </w:r>
                </w:p>
              </w:tc>
              <w:tc>
                <w:tcPr>
                  <w:tcW w:w="575" w:type="pct"/>
                  <w:tcBorders>
                    <w:tl2br w:val="nil"/>
                    <w:tr2bl w:val="nil"/>
                  </w:tcBorders>
                  <w:noWrap w:val="0"/>
                  <w:vAlign w:val="center"/>
                </w:tcPr>
                <w:p w14:paraId="448EF5B1">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已建</w:t>
                  </w:r>
                </w:p>
              </w:tc>
            </w:tr>
            <w:tr w14:paraId="00BC1D93">
              <w:tblPrEx>
                <w:tblBorders>
                  <w:top w:val="single" w:color="000000" w:sz="12" w:space="0"/>
                  <w:left w:val="none" w:color="auto" w:sz="0" w:space="0"/>
                  <w:bottom w:val="single" w:color="000000" w:sz="12" w:space="0"/>
                  <w:right w:val="none" w:color="auto" w:sz="0" w:space="0"/>
                  <w:insideH w:val="single" w:color="000000" w:sz="6" w:space="0"/>
                  <w:insideV w:val="single" w:color="000000" w:sz="4" w:space="0"/>
                </w:tblBorders>
                <w:tblCellMar>
                  <w:top w:w="0" w:type="dxa"/>
                  <w:left w:w="108" w:type="dxa"/>
                  <w:bottom w:w="0" w:type="dxa"/>
                  <w:right w:w="108" w:type="dxa"/>
                </w:tblCellMar>
              </w:tblPrEx>
              <w:trPr>
                <w:trHeight w:val="505" w:hRule="atLeast"/>
                <w:jc w:val="center"/>
              </w:trPr>
              <w:tc>
                <w:tcPr>
                  <w:tcW w:w="557" w:type="pct"/>
                  <w:vMerge w:val="continue"/>
                  <w:tcBorders>
                    <w:tl2br w:val="nil"/>
                    <w:tr2bl w:val="nil"/>
                  </w:tcBorders>
                  <w:noWrap w:val="0"/>
                  <w:vAlign w:val="center"/>
                </w:tcPr>
                <w:p w14:paraId="0773243C">
                  <w:pPr>
                    <w:keepNext w:val="0"/>
                    <w:keepLines w:val="0"/>
                    <w:pageBreakBefore w:val="0"/>
                    <w:widowControl w:val="0"/>
                    <w:wordWrap/>
                    <w:topLinePunct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7" w:type="pct"/>
                  <w:tcBorders>
                    <w:right w:val="single" w:color="auto" w:sz="4" w:space="0"/>
                    <w:tl2br w:val="nil"/>
                    <w:tr2bl w:val="nil"/>
                  </w:tcBorders>
                  <w:noWrap w:val="0"/>
                  <w:vAlign w:val="center"/>
                </w:tcPr>
                <w:p w14:paraId="411CF41B">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排水</w:t>
                  </w:r>
                </w:p>
              </w:tc>
              <w:tc>
                <w:tcPr>
                  <w:tcW w:w="3308" w:type="pct"/>
                  <w:gridSpan w:val="2"/>
                  <w:tcBorders>
                    <w:left w:val="single" w:color="auto" w:sz="4" w:space="0"/>
                    <w:tl2br w:val="nil"/>
                    <w:tr2bl w:val="nil"/>
                  </w:tcBorders>
                  <w:noWrap w:val="0"/>
                  <w:vAlign w:val="center"/>
                </w:tcPr>
                <w:p w14:paraId="50CD2539">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sz w:val="21"/>
                      <w:szCs w:val="21"/>
                      <w:highlight w:val="none"/>
                    </w:rPr>
                    <w:t>项目废水经院内现有污水处理站处理达标后排入市政管网</w:t>
                  </w:r>
                  <w:r>
                    <w:rPr>
                      <w:rFonts w:hint="default" w:ascii="Times New Roman" w:hAnsi="Times New Roman" w:cs="Times New Roman"/>
                      <w:color w:val="auto"/>
                      <w:sz w:val="21"/>
                      <w:szCs w:val="21"/>
                      <w:highlight w:val="none"/>
                      <w:lang w:eastAsia="zh-CN"/>
                    </w:rPr>
                    <w:t>。</w:t>
                  </w:r>
                </w:p>
              </w:tc>
              <w:tc>
                <w:tcPr>
                  <w:tcW w:w="575" w:type="pct"/>
                  <w:tcBorders>
                    <w:tl2br w:val="nil"/>
                    <w:tr2bl w:val="nil"/>
                  </w:tcBorders>
                  <w:noWrap w:val="0"/>
                  <w:vAlign w:val="center"/>
                </w:tcPr>
                <w:p w14:paraId="23CA731C">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已建</w:t>
                  </w:r>
                </w:p>
              </w:tc>
            </w:tr>
            <w:tr w14:paraId="5E75F7E0">
              <w:tblPrEx>
                <w:tblBorders>
                  <w:top w:val="single" w:color="000000" w:sz="12" w:space="0"/>
                  <w:left w:val="none" w:color="auto" w:sz="0" w:space="0"/>
                  <w:bottom w:val="single" w:color="000000" w:sz="12" w:space="0"/>
                  <w:right w:val="none" w:color="auto" w:sz="0" w:space="0"/>
                  <w:insideH w:val="single" w:color="000000" w:sz="6" w:space="0"/>
                  <w:insideV w:val="single" w:color="000000" w:sz="4" w:space="0"/>
                </w:tblBorders>
                <w:tblCellMar>
                  <w:top w:w="0" w:type="dxa"/>
                  <w:left w:w="108" w:type="dxa"/>
                  <w:bottom w:w="0" w:type="dxa"/>
                  <w:right w:w="108" w:type="dxa"/>
                </w:tblCellMar>
              </w:tblPrEx>
              <w:trPr>
                <w:trHeight w:val="751" w:hRule="atLeast"/>
                <w:jc w:val="center"/>
              </w:trPr>
              <w:tc>
                <w:tcPr>
                  <w:tcW w:w="557" w:type="pct"/>
                  <w:vMerge w:val="restart"/>
                  <w:tcBorders>
                    <w:tl2br w:val="nil"/>
                    <w:tr2bl w:val="nil"/>
                  </w:tcBorders>
                  <w:noWrap w:val="0"/>
                  <w:vAlign w:val="center"/>
                </w:tcPr>
                <w:p w14:paraId="2ACDF739">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公用工程</w:t>
                  </w:r>
                </w:p>
              </w:tc>
              <w:tc>
                <w:tcPr>
                  <w:tcW w:w="557" w:type="pct"/>
                  <w:tcBorders>
                    <w:right w:val="single" w:color="auto" w:sz="4" w:space="0"/>
                    <w:tl2br w:val="nil"/>
                    <w:tr2bl w:val="nil"/>
                  </w:tcBorders>
                  <w:noWrap w:val="0"/>
                  <w:vAlign w:val="center"/>
                </w:tcPr>
                <w:p w14:paraId="45D0C7F6">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供热</w:t>
                  </w:r>
                </w:p>
              </w:tc>
              <w:tc>
                <w:tcPr>
                  <w:tcW w:w="3308" w:type="pct"/>
                  <w:gridSpan w:val="2"/>
                  <w:tcBorders>
                    <w:left w:val="single" w:color="auto" w:sz="4" w:space="0"/>
                    <w:tl2br w:val="nil"/>
                    <w:tr2bl w:val="nil"/>
                  </w:tcBorders>
                  <w:noWrap w:val="0"/>
                  <w:vAlign w:val="center"/>
                </w:tcPr>
                <w:p w14:paraId="0DF2B0A6">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由鸡西市天润热力有限公司</w:t>
                  </w:r>
                </w:p>
                <w:p w14:paraId="10976157">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负责提供热源。</w:t>
                  </w:r>
                </w:p>
              </w:tc>
              <w:tc>
                <w:tcPr>
                  <w:tcW w:w="575" w:type="pct"/>
                  <w:tcBorders>
                    <w:tl2br w:val="nil"/>
                    <w:tr2bl w:val="nil"/>
                  </w:tcBorders>
                  <w:noWrap w:val="0"/>
                  <w:vAlign w:val="center"/>
                </w:tcPr>
                <w:p w14:paraId="13C59489">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已建</w:t>
                  </w:r>
                </w:p>
              </w:tc>
            </w:tr>
            <w:tr w14:paraId="70E08D35">
              <w:tblPrEx>
                <w:tblBorders>
                  <w:top w:val="single" w:color="000000" w:sz="12" w:space="0"/>
                  <w:left w:val="none" w:color="auto" w:sz="0" w:space="0"/>
                  <w:bottom w:val="single" w:color="000000" w:sz="12" w:space="0"/>
                  <w:right w:val="none" w:color="auto" w:sz="0" w:space="0"/>
                  <w:insideH w:val="single" w:color="000000" w:sz="6" w:space="0"/>
                  <w:insideV w:val="single" w:color="000000" w:sz="4" w:space="0"/>
                </w:tblBorders>
                <w:tblCellMar>
                  <w:top w:w="0" w:type="dxa"/>
                  <w:left w:w="108" w:type="dxa"/>
                  <w:bottom w:w="0" w:type="dxa"/>
                  <w:right w:w="108" w:type="dxa"/>
                </w:tblCellMar>
              </w:tblPrEx>
              <w:trPr>
                <w:trHeight w:val="90" w:hRule="atLeast"/>
                <w:jc w:val="center"/>
              </w:trPr>
              <w:tc>
                <w:tcPr>
                  <w:tcW w:w="557" w:type="pct"/>
                  <w:vMerge w:val="continue"/>
                  <w:tcBorders>
                    <w:tl2br w:val="nil"/>
                    <w:tr2bl w:val="nil"/>
                  </w:tcBorders>
                  <w:noWrap w:val="0"/>
                  <w:vAlign w:val="center"/>
                </w:tcPr>
                <w:p w14:paraId="59F1376F">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7" w:type="pct"/>
                  <w:tcBorders>
                    <w:tl2br w:val="nil"/>
                    <w:tr2bl w:val="nil"/>
                  </w:tcBorders>
                  <w:noWrap w:val="0"/>
                  <w:vAlign w:val="center"/>
                </w:tcPr>
                <w:p w14:paraId="1B324761">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供电</w:t>
                  </w:r>
                </w:p>
              </w:tc>
              <w:tc>
                <w:tcPr>
                  <w:tcW w:w="3308" w:type="pct"/>
                  <w:gridSpan w:val="2"/>
                  <w:tcBorders>
                    <w:tl2br w:val="nil"/>
                    <w:tr2bl w:val="nil"/>
                  </w:tcBorders>
                  <w:noWrap w:val="0"/>
                  <w:vAlign w:val="center"/>
                </w:tcPr>
                <w:p w14:paraId="00D7B31E">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接入市政电网</w:t>
                  </w:r>
                </w:p>
              </w:tc>
              <w:tc>
                <w:tcPr>
                  <w:tcW w:w="575" w:type="pct"/>
                  <w:tcBorders>
                    <w:tl2br w:val="nil"/>
                    <w:tr2bl w:val="nil"/>
                  </w:tcBorders>
                  <w:noWrap w:val="0"/>
                  <w:vAlign w:val="center"/>
                </w:tcPr>
                <w:p w14:paraId="5F0CF2C2">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已建</w:t>
                  </w:r>
                </w:p>
              </w:tc>
            </w:tr>
            <w:tr w14:paraId="74AA0C64">
              <w:tblPrEx>
                <w:tblBorders>
                  <w:top w:val="single" w:color="000000" w:sz="12" w:space="0"/>
                  <w:left w:val="none" w:color="auto" w:sz="0" w:space="0"/>
                  <w:bottom w:val="single" w:color="000000" w:sz="12" w:space="0"/>
                  <w:right w:val="none" w:color="auto" w:sz="0" w:space="0"/>
                  <w:insideH w:val="single" w:color="000000" w:sz="6" w:space="0"/>
                  <w:insideV w:val="single" w:color="000000" w:sz="4" w:space="0"/>
                </w:tblBorders>
                <w:tblCellMar>
                  <w:top w:w="0" w:type="dxa"/>
                  <w:left w:w="108" w:type="dxa"/>
                  <w:bottom w:w="0" w:type="dxa"/>
                  <w:right w:w="108" w:type="dxa"/>
                </w:tblCellMar>
              </w:tblPrEx>
              <w:trPr>
                <w:trHeight w:val="1013" w:hRule="atLeast"/>
                <w:jc w:val="center"/>
              </w:trPr>
              <w:tc>
                <w:tcPr>
                  <w:tcW w:w="557" w:type="pct"/>
                  <w:vMerge w:val="restart"/>
                  <w:tcBorders>
                    <w:tl2br w:val="nil"/>
                    <w:tr2bl w:val="nil"/>
                  </w:tcBorders>
                  <w:noWrap w:val="0"/>
                  <w:vAlign w:val="center"/>
                </w:tcPr>
                <w:p w14:paraId="6420C407">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环保工程</w:t>
                  </w:r>
                </w:p>
              </w:tc>
              <w:tc>
                <w:tcPr>
                  <w:tcW w:w="557" w:type="pct"/>
                  <w:tcBorders>
                    <w:bottom w:val="single" w:color="auto" w:sz="4" w:space="0"/>
                    <w:tl2br w:val="nil"/>
                    <w:tr2bl w:val="nil"/>
                  </w:tcBorders>
                  <w:shd w:val="clear" w:color="auto" w:fill="auto"/>
                  <w:noWrap w:val="0"/>
                  <w:vAlign w:val="center"/>
                </w:tcPr>
                <w:p w14:paraId="710F7967">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bCs/>
                      <w:color w:val="auto"/>
                      <w:spacing w:val="-1"/>
                      <w:kern w:val="0"/>
                      <w:sz w:val="21"/>
                      <w:szCs w:val="21"/>
                      <w:highlight w:val="none"/>
                      <w:lang w:val="en-US" w:eastAsia="zh-CN" w:bidi="ar-SA"/>
                    </w:rPr>
                  </w:pPr>
                  <w:r>
                    <w:rPr>
                      <w:rFonts w:hint="default" w:ascii="Times New Roman" w:hAnsi="Times New Roman" w:cs="Times New Roman"/>
                      <w:color w:val="auto"/>
                      <w:spacing w:val="-1"/>
                      <w:kern w:val="0"/>
                      <w:sz w:val="21"/>
                      <w:szCs w:val="21"/>
                      <w:highlight w:val="none"/>
                      <w:lang w:val="en-US" w:eastAsia="zh-CN"/>
                    </w:rPr>
                    <w:t>废气治理措施</w:t>
                  </w:r>
                </w:p>
              </w:tc>
              <w:tc>
                <w:tcPr>
                  <w:tcW w:w="3308" w:type="pct"/>
                  <w:gridSpan w:val="2"/>
                  <w:tcBorders>
                    <w:bottom w:val="single" w:color="auto" w:sz="4" w:space="0"/>
                    <w:tl2br w:val="nil"/>
                    <w:tr2bl w:val="nil"/>
                  </w:tcBorders>
                  <w:noWrap w:val="0"/>
                  <w:vAlign w:val="center"/>
                </w:tcPr>
                <w:p w14:paraId="3A99589F">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门急诊综合楼内无有毒有害废气产生；医院现有的污水处理站各污水设施均位于地下；食堂油烟经经油烟净化装置处理后排放。</w:t>
                  </w:r>
                </w:p>
              </w:tc>
              <w:tc>
                <w:tcPr>
                  <w:tcW w:w="575" w:type="pct"/>
                  <w:tcBorders>
                    <w:tl2br w:val="nil"/>
                    <w:tr2bl w:val="nil"/>
                  </w:tcBorders>
                  <w:noWrap w:val="0"/>
                  <w:vAlign w:val="center"/>
                </w:tcPr>
                <w:p w14:paraId="65FD96D6">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已建</w:t>
                  </w:r>
                </w:p>
              </w:tc>
            </w:tr>
            <w:tr w14:paraId="51E07A1B">
              <w:tblPrEx>
                <w:tblBorders>
                  <w:top w:val="single" w:color="000000" w:sz="12" w:space="0"/>
                  <w:left w:val="none" w:color="auto" w:sz="0" w:space="0"/>
                  <w:bottom w:val="single" w:color="000000" w:sz="12" w:space="0"/>
                  <w:right w:val="none" w:color="auto" w:sz="0" w:space="0"/>
                  <w:insideH w:val="single" w:color="000000" w:sz="6" w:space="0"/>
                  <w:insideV w:val="single" w:color="000000" w:sz="4" w:space="0"/>
                </w:tblBorders>
                <w:tblCellMar>
                  <w:top w:w="0" w:type="dxa"/>
                  <w:left w:w="108" w:type="dxa"/>
                  <w:bottom w:w="0" w:type="dxa"/>
                  <w:right w:w="108" w:type="dxa"/>
                </w:tblCellMar>
              </w:tblPrEx>
              <w:trPr>
                <w:trHeight w:val="90" w:hRule="atLeast"/>
                <w:jc w:val="center"/>
              </w:trPr>
              <w:tc>
                <w:tcPr>
                  <w:tcW w:w="557" w:type="pct"/>
                  <w:vMerge w:val="continue"/>
                  <w:tcBorders>
                    <w:tl2br w:val="nil"/>
                    <w:tr2bl w:val="nil"/>
                  </w:tcBorders>
                  <w:noWrap w:val="0"/>
                  <w:vAlign w:val="center"/>
                </w:tcPr>
                <w:p w14:paraId="2808BCA5">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7" w:type="pct"/>
                  <w:tcBorders>
                    <w:top w:val="single" w:color="auto" w:sz="4" w:space="0"/>
                    <w:bottom w:val="single" w:color="auto" w:sz="4" w:space="0"/>
                    <w:tl2br w:val="nil"/>
                    <w:tr2bl w:val="nil"/>
                  </w:tcBorders>
                  <w:shd w:val="clear" w:color="auto" w:fill="auto"/>
                  <w:noWrap w:val="0"/>
                  <w:vAlign w:val="center"/>
                </w:tcPr>
                <w:p w14:paraId="02ECF81D">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bCs/>
                      <w:color w:val="auto"/>
                      <w:spacing w:val="-1"/>
                      <w:kern w:val="0"/>
                      <w:sz w:val="21"/>
                      <w:szCs w:val="21"/>
                      <w:highlight w:val="none"/>
                      <w:lang w:val="en-US" w:eastAsia="zh-CN" w:bidi="ar-SA"/>
                    </w:rPr>
                  </w:pPr>
                  <w:r>
                    <w:rPr>
                      <w:rFonts w:hint="default" w:ascii="Times New Roman" w:hAnsi="Times New Roman" w:cs="Times New Roman"/>
                      <w:color w:val="auto"/>
                      <w:spacing w:val="-1"/>
                      <w:kern w:val="0"/>
                      <w:sz w:val="21"/>
                      <w:szCs w:val="21"/>
                      <w:highlight w:val="none"/>
                      <w:lang w:val="en-US" w:eastAsia="zh-CN"/>
                    </w:rPr>
                    <w:t>废水治理措施</w:t>
                  </w:r>
                </w:p>
              </w:tc>
              <w:tc>
                <w:tcPr>
                  <w:tcW w:w="3308" w:type="pct"/>
                  <w:gridSpan w:val="2"/>
                  <w:tcBorders>
                    <w:top w:val="single" w:color="auto" w:sz="4" w:space="0"/>
                    <w:bottom w:val="single" w:color="auto" w:sz="4" w:space="0"/>
                    <w:tl2br w:val="nil"/>
                    <w:tr2bl w:val="nil"/>
                  </w:tcBorders>
                  <w:noWrap w:val="0"/>
                  <w:vAlign w:val="center"/>
                </w:tcPr>
                <w:p w14:paraId="7951AA6B">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废水排入院内现有1座处理能力300m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/d的地埋式污水处理站，污水处理站采用沉淀+二氧化氯消毒处理工艺处理后排入市政管网。</w:t>
                  </w:r>
                </w:p>
              </w:tc>
              <w:tc>
                <w:tcPr>
                  <w:tcW w:w="575" w:type="pct"/>
                  <w:tcBorders>
                    <w:tl2br w:val="nil"/>
                    <w:tr2bl w:val="nil"/>
                  </w:tcBorders>
                  <w:noWrap w:val="0"/>
                  <w:vAlign w:val="center"/>
                </w:tcPr>
                <w:p w14:paraId="3E31695F">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已建</w:t>
                  </w:r>
                </w:p>
              </w:tc>
            </w:tr>
            <w:tr w14:paraId="01B65A61">
              <w:tblPrEx>
                <w:tblBorders>
                  <w:top w:val="single" w:color="000000" w:sz="12" w:space="0"/>
                  <w:left w:val="none" w:color="auto" w:sz="0" w:space="0"/>
                  <w:bottom w:val="single" w:color="000000" w:sz="12" w:space="0"/>
                  <w:right w:val="none" w:color="auto" w:sz="0" w:space="0"/>
                  <w:insideH w:val="single" w:color="000000" w:sz="6" w:space="0"/>
                  <w:insideV w:val="single" w:color="000000" w:sz="4" w:space="0"/>
                </w:tblBorders>
                <w:tblCellMar>
                  <w:top w:w="0" w:type="dxa"/>
                  <w:left w:w="108" w:type="dxa"/>
                  <w:bottom w:w="0" w:type="dxa"/>
                  <w:right w:w="108" w:type="dxa"/>
                </w:tblCellMar>
              </w:tblPrEx>
              <w:trPr>
                <w:trHeight w:val="90" w:hRule="atLeast"/>
                <w:jc w:val="center"/>
              </w:trPr>
              <w:tc>
                <w:tcPr>
                  <w:tcW w:w="557" w:type="pct"/>
                  <w:vMerge w:val="continue"/>
                  <w:tcBorders>
                    <w:tl2br w:val="nil"/>
                    <w:tr2bl w:val="nil"/>
                  </w:tcBorders>
                  <w:noWrap w:val="0"/>
                  <w:vAlign w:val="center"/>
                </w:tcPr>
                <w:p w14:paraId="771A4CF3">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7" w:type="pct"/>
                  <w:tcBorders>
                    <w:top w:val="single" w:color="auto" w:sz="4" w:space="0"/>
                    <w:bottom w:val="single" w:color="auto" w:sz="4" w:space="0"/>
                    <w:tl2br w:val="nil"/>
                    <w:tr2bl w:val="nil"/>
                  </w:tcBorders>
                  <w:shd w:val="clear" w:color="auto" w:fill="auto"/>
                  <w:noWrap w:val="0"/>
                  <w:vAlign w:val="center"/>
                </w:tcPr>
                <w:p w14:paraId="26031EEE">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bCs/>
                      <w:color w:val="auto"/>
                      <w:spacing w:val="-1"/>
                      <w:kern w:val="0"/>
                      <w:sz w:val="21"/>
                      <w:szCs w:val="21"/>
                      <w:highlight w:val="none"/>
                      <w:lang w:val="en-US" w:eastAsia="zh-CN" w:bidi="ar-SA"/>
                    </w:rPr>
                  </w:pPr>
                  <w:r>
                    <w:rPr>
                      <w:rFonts w:hint="default" w:ascii="Times New Roman" w:hAnsi="Times New Roman" w:cs="Times New Roman"/>
                      <w:bCs/>
                      <w:iCs/>
                      <w:color w:val="auto"/>
                      <w:sz w:val="21"/>
                      <w:szCs w:val="21"/>
                      <w:highlight w:val="none"/>
                      <w:lang w:val="en-US" w:eastAsia="zh-CN"/>
                    </w:rPr>
                    <w:t>固体废物防治措施</w:t>
                  </w:r>
                </w:p>
              </w:tc>
              <w:tc>
                <w:tcPr>
                  <w:tcW w:w="3308" w:type="pct"/>
                  <w:gridSpan w:val="2"/>
                  <w:tcBorders>
                    <w:top w:val="single" w:color="auto" w:sz="4" w:space="0"/>
                    <w:bottom w:val="single" w:color="auto" w:sz="4" w:space="0"/>
                    <w:tl2br w:val="nil"/>
                    <w:tr2bl w:val="nil"/>
                  </w:tcBorders>
                  <w:noWrap w:val="0"/>
                  <w:vAlign w:val="center"/>
                </w:tcPr>
                <w:p w14:paraId="1A5201BB">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b w:val="0"/>
                      <w:bCs w:val="0"/>
                      <w:snapToGrid w:val="0"/>
                      <w:color w:val="auto"/>
                      <w:kern w:val="0"/>
                      <w:sz w:val="21"/>
                      <w:szCs w:val="21"/>
                      <w:highlight w:val="none"/>
                      <w:lang w:val="en-US" w:eastAsia="zh-CN"/>
                    </w:rPr>
                  </w:pPr>
                  <w:r>
                    <w:rPr>
                      <w:rFonts w:hint="default" w:ascii="Times New Roman" w:hAnsi="Times New Roman" w:eastAsia="宋体" w:cs="Times New Roman"/>
                      <w:b w:val="0"/>
                      <w:bCs w:val="0"/>
                      <w:snapToGrid w:val="0"/>
                      <w:color w:val="auto"/>
                      <w:kern w:val="0"/>
                      <w:sz w:val="21"/>
                      <w:szCs w:val="21"/>
                      <w:highlight w:val="none"/>
                      <w:lang w:val="en-US" w:eastAsia="zh-CN"/>
                    </w:rPr>
                    <w:t>医疗废物均暂存在医院现有的医疗废物暂存间内，医疗废物由鸡西环发医疗废物处理中心处置</w:t>
                  </w:r>
                  <w:r>
                    <w:rPr>
                      <w:rFonts w:hint="default" w:ascii="Times New Roman" w:hAnsi="Times New Roman" w:cs="Times New Roman"/>
                      <w:b w:val="0"/>
                      <w:bCs w:val="0"/>
                      <w:snapToGrid w:val="0"/>
                      <w:color w:val="auto"/>
                      <w:kern w:val="0"/>
                      <w:sz w:val="21"/>
                      <w:szCs w:val="21"/>
                      <w:highlight w:val="none"/>
                      <w:lang w:val="en-US" w:eastAsia="zh-CN"/>
                    </w:rPr>
                    <w:t>；</w:t>
                  </w:r>
                  <w:r>
                    <w:rPr>
                      <w:rFonts w:hint="default" w:ascii="Times New Roman" w:hAnsi="Times New Roman" w:eastAsia="宋体" w:cs="Times New Roman"/>
                      <w:b w:val="0"/>
                      <w:bCs w:val="0"/>
                      <w:snapToGrid w:val="0"/>
                      <w:color w:val="auto"/>
                      <w:kern w:val="0"/>
                      <w:sz w:val="21"/>
                      <w:szCs w:val="21"/>
                      <w:highlight w:val="none"/>
                      <w:lang w:val="en-US" w:eastAsia="zh-CN"/>
                    </w:rPr>
                    <w:t>污泥交黑龙江京盛华环保科技有限公司处置</w:t>
                  </w:r>
                  <w:r>
                    <w:rPr>
                      <w:rFonts w:hint="default" w:ascii="Times New Roman" w:hAnsi="Times New Roman" w:cs="Times New Roman"/>
                      <w:b w:val="0"/>
                      <w:bCs w:val="0"/>
                      <w:snapToGrid w:val="0"/>
                      <w:color w:val="auto"/>
                      <w:kern w:val="0"/>
                      <w:sz w:val="21"/>
                      <w:szCs w:val="21"/>
                      <w:highlight w:val="none"/>
                      <w:lang w:val="en-US" w:eastAsia="zh-CN"/>
                    </w:rPr>
                    <w:t>；</w:t>
                  </w:r>
                  <w:r>
                    <w:rPr>
                      <w:rFonts w:hint="default" w:ascii="Times New Roman" w:hAnsi="Times New Roman" w:eastAsia="宋体" w:cs="Times New Roman"/>
                      <w:b w:val="0"/>
                      <w:bCs w:val="0"/>
                      <w:snapToGrid w:val="0"/>
                      <w:color w:val="auto"/>
                      <w:kern w:val="0"/>
                      <w:sz w:val="21"/>
                      <w:szCs w:val="21"/>
                      <w:highlight w:val="none"/>
                      <w:lang w:val="en-US" w:eastAsia="zh-CN"/>
                    </w:rPr>
                    <w:t>生活垃圾由市政环卫部</w:t>
                  </w:r>
                </w:p>
                <w:p w14:paraId="4FD28E0A">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snapToGrid w:val="0"/>
                      <w:color w:val="auto"/>
                      <w:kern w:val="0"/>
                      <w:sz w:val="21"/>
                      <w:szCs w:val="21"/>
                      <w:highlight w:val="none"/>
                      <w:lang w:val="en-US" w:eastAsia="zh-CN"/>
                    </w:rPr>
                    <w:t>门统一处理。</w:t>
                  </w:r>
                </w:p>
              </w:tc>
              <w:tc>
                <w:tcPr>
                  <w:tcW w:w="575" w:type="pct"/>
                  <w:tcBorders>
                    <w:tl2br w:val="nil"/>
                    <w:tr2bl w:val="nil"/>
                  </w:tcBorders>
                  <w:noWrap w:val="0"/>
                  <w:vAlign w:val="center"/>
                </w:tcPr>
                <w:p w14:paraId="25B63E48">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已建</w:t>
                  </w:r>
                </w:p>
              </w:tc>
            </w:tr>
            <w:tr w14:paraId="5B6F1AF7">
              <w:tblPrEx>
                <w:tblBorders>
                  <w:top w:val="single" w:color="000000" w:sz="12" w:space="0"/>
                  <w:left w:val="none" w:color="auto" w:sz="0" w:space="0"/>
                  <w:bottom w:val="single" w:color="000000" w:sz="12" w:space="0"/>
                  <w:right w:val="none" w:color="auto" w:sz="0" w:space="0"/>
                  <w:insideH w:val="single" w:color="000000" w:sz="6" w:space="0"/>
                  <w:insideV w:val="single" w:color="000000" w:sz="4" w:space="0"/>
                </w:tblBorders>
                <w:tblCellMar>
                  <w:top w:w="0" w:type="dxa"/>
                  <w:left w:w="108" w:type="dxa"/>
                  <w:bottom w:w="0" w:type="dxa"/>
                  <w:right w:w="108" w:type="dxa"/>
                </w:tblCellMar>
              </w:tblPrEx>
              <w:trPr>
                <w:trHeight w:val="627" w:hRule="atLeast"/>
                <w:jc w:val="center"/>
              </w:trPr>
              <w:tc>
                <w:tcPr>
                  <w:tcW w:w="557" w:type="pct"/>
                  <w:vMerge w:val="continue"/>
                  <w:tcBorders>
                    <w:tl2br w:val="nil"/>
                    <w:tr2bl w:val="nil"/>
                  </w:tcBorders>
                  <w:noWrap w:val="0"/>
                  <w:vAlign w:val="center"/>
                </w:tcPr>
                <w:p w14:paraId="44FE1620">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7" w:type="pct"/>
                  <w:tcBorders>
                    <w:top w:val="single" w:color="auto" w:sz="4" w:space="0"/>
                    <w:tl2br w:val="nil"/>
                    <w:tr2bl w:val="nil"/>
                  </w:tcBorders>
                  <w:shd w:val="clear" w:color="auto" w:fill="auto"/>
                  <w:noWrap w:val="0"/>
                  <w:vAlign w:val="center"/>
                </w:tcPr>
                <w:p w14:paraId="4C4A6F22">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bCs/>
                      <w:iCs/>
                      <w:color w:val="auto"/>
                      <w:kern w:val="2"/>
                      <w:sz w:val="21"/>
                      <w:szCs w:val="21"/>
                      <w:highlight w:val="none"/>
                      <w:lang w:val="en-US" w:eastAsia="zh-CN" w:bidi="ar-SA"/>
                    </w:rPr>
                  </w:pPr>
                  <w:r>
                    <w:rPr>
                      <w:rFonts w:hint="default" w:ascii="Times New Roman" w:hAnsi="Times New Roman" w:cs="Times New Roman"/>
                      <w:bCs/>
                      <w:iCs/>
                      <w:color w:val="auto"/>
                      <w:sz w:val="21"/>
                      <w:szCs w:val="21"/>
                      <w:highlight w:val="none"/>
                      <w:lang w:val="en-US" w:eastAsia="zh-CN"/>
                    </w:rPr>
                    <w:t>噪声防治措施</w:t>
                  </w:r>
                </w:p>
              </w:tc>
              <w:tc>
                <w:tcPr>
                  <w:tcW w:w="3308" w:type="pct"/>
                  <w:gridSpan w:val="2"/>
                  <w:tcBorders>
                    <w:top w:val="single" w:color="auto" w:sz="4" w:space="0"/>
                    <w:tl2br w:val="nil"/>
                    <w:tr2bl w:val="nil"/>
                  </w:tcBorders>
                  <w:noWrap w:val="0"/>
                  <w:vAlign w:val="center"/>
                </w:tcPr>
                <w:p w14:paraId="3870EB2E">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水泵、风机等设备均位于独立设备间,安装基础加减震垫</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机房和泵房设隔声门窗</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卫生间排风机位于楼顶，采取减振措施。</w:t>
                  </w:r>
                </w:p>
              </w:tc>
              <w:tc>
                <w:tcPr>
                  <w:tcW w:w="575" w:type="pct"/>
                  <w:tcBorders>
                    <w:tl2br w:val="nil"/>
                    <w:tr2bl w:val="nil"/>
                  </w:tcBorders>
                  <w:noWrap w:val="0"/>
                  <w:vAlign w:val="center"/>
                </w:tcPr>
                <w:p w14:paraId="69B6AD91">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已建</w:t>
                  </w:r>
                </w:p>
              </w:tc>
            </w:tr>
            <w:tr w14:paraId="0189B769">
              <w:tblPrEx>
                <w:tblBorders>
                  <w:top w:val="single" w:color="000000" w:sz="12" w:space="0"/>
                  <w:left w:val="none" w:color="auto" w:sz="0" w:space="0"/>
                  <w:bottom w:val="single" w:color="000000" w:sz="12" w:space="0"/>
                  <w:right w:val="none" w:color="auto" w:sz="0" w:space="0"/>
                  <w:insideH w:val="single" w:color="000000" w:sz="6" w:space="0"/>
                  <w:insideV w:val="single" w:color="000000" w:sz="4" w:space="0"/>
                </w:tblBorders>
                <w:tblCellMar>
                  <w:top w:w="0" w:type="dxa"/>
                  <w:left w:w="108" w:type="dxa"/>
                  <w:bottom w:w="0" w:type="dxa"/>
                  <w:right w:w="108" w:type="dxa"/>
                </w:tblCellMar>
              </w:tblPrEx>
              <w:trPr>
                <w:trHeight w:val="90" w:hRule="atLeast"/>
                <w:jc w:val="center"/>
              </w:trPr>
              <w:tc>
                <w:tcPr>
                  <w:tcW w:w="557" w:type="pct"/>
                  <w:vMerge w:val="continue"/>
                  <w:tcBorders>
                    <w:tl2br w:val="nil"/>
                    <w:tr2bl w:val="nil"/>
                  </w:tcBorders>
                  <w:noWrap w:val="0"/>
                  <w:vAlign w:val="center"/>
                </w:tcPr>
                <w:p w14:paraId="2B6840C3">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7" w:type="pct"/>
                  <w:tcBorders>
                    <w:tl2br w:val="nil"/>
                    <w:tr2bl w:val="nil"/>
                  </w:tcBorders>
                  <w:shd w:val="clear" w:color="auto" w:fill="auto"/>
                  <w:noWrap w:val="0"/>
                  <w:vAlign w:val="center"/>
                </w:tcPr>
                <w:p w14:paraId="761CFDFE">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bCs/>
                      <w:iCs/>
                      <w:color w:val="auto"/>
                      <w:kern w:val="2"/>
                      <w:sz w:val="21"/>
                      <w:szCs w:val="21"/>
                      <w:highlight w:val="none"/>
                      <w:lang w:val="en-US" w:eastAsia="zh-CN" w:bidi="ar-SA"/>
                    </w:rPr>
                  </w:pPr>
                  <w:r>
                    <w:rPr>
                      <w:rFonts w:hint="default" w:ascii="Times New Roman" w:hAnsi="Times New Roman" w:cs="Times New Roman"/>
                      <w:bCs/>
                      <w:iCs/>
                      <w:color w:val="auto"/>
                      <w:sz w:val="21"/>
                      <w:szCs w:val="21"/>
                      <w:highlight w:val="none"/>
                      <w:lang w:val="en-US" w:eastAsia="zh-CN"/>
                    </w:rPr>
                    <w:t>风险防范措施</w:t>
                  </w:r>
                </w:p>
              </w:tc>
              <w:tc>
                <w:tcPr>
                  <w:tcW w:w="3308" w:type="pct"/>
                  <w:gridSpan w:val="2"/>
                  <w:tcBorders>
                    <w:tl2br w:val="nil"/>
                    <w:tr2bl w:val="nil"/>
                  </w:tcBorders>
                  <w:noWrap w:val="0"/>
                  <w:vAlign w:val="center"/>
                </w:tcPr>
                <w:p w14:paraId="32648D72">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新建事故废水应急池一座，容积为90m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rPr>
                    <w:t>。</w:t>
                  </w:r>
                </w:p>
              </w:tc>
              <w:tc>
                <w:tcPr>
                  <w:tcW w:w="575" w:type="pct"/>
                  <w:tcBorders>
                    <w:tl2br w:val="nil"/>
                    <w:tr2bl w:val="nil"/>
                  </w:tcBorders>
                  <w:noWrap w:val="0"/>
                  <w:vAlign w:val="center"/>
                </w:tcPr>
                <w:p w14:paraId="54D253C2">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已建</w:t>
                  </w:r>
                </w:p>
              </w:tc>
            </w:tr>
          </w:tbl>
          <w:p w14:paraId="3F83EB75">
            <w:pPr>
              <w:adjustRightInd w:val="0"/>
              <w:snapToGrid w:val="0"/>
              <w:spacing w:before="120" w:beforeLines="50" w:line="360" w:lineRule="auto"/>
              <w:ind w:left="0" w:leftChars="0" w:firstLine="0" w:firstLineChars="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val="en-US" w:eastAsia="zh-CN"/>
              </w:rPr>
              <w:t>3.</w:t>
            </w:r>
            <w:r>
              <w:rPr>
                <w:rFonts w:hint="default" w:ascii="Times New Roman" w:hAnsi="Times New Roman" w:eastAsia="宋体" w:cs="Times New Roman"/>
                <w:b/>
                <w:bCs/>
                <w:color w:val="auto"/>
                <w:highlight w:val="none"/>
              </w:rPr>
              <w:t>现有工程</w:t>
            </w:r>
            <w:r>
              <w:rPr>
                <w:rFonts w:hint="default" w:ascii="Times New Roman" w:hAnsi="Times New Roman" w:eastAsia="宋体" w:cs="Times New Roman"/>
                <w:b/>
                <w:bCs/>
                <w:color w:val="auto"/>
                <w:highlight w:val="none"/>
                <w:lang w:val="en-US" w:eastAsia="zh-CN"/>
              </w:rPr>
              <w:t>污染物排放情况</w:t>
            </w:r>
          </w:p>
          <w:p w14:paraId="2B1530F3">
            <w:pPr>
              <w:pStyle w:val="1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cs="Times New Roman"/>
                <w:bCs/>
                <w:color w:val="auto"/>
                <w:spacing w:val="0"/>
                <w:sz w:val="24"/>
                <w:szCs w:val="24"/>
                <w:highlight w:val="none"/>
                <w:shd w:val="clear"/>
                <w:lang w:val="en-US" w:eastAsia="zh-CN"/>
              </w:rPr>
            </w:pPr>
            <w:r>
              <w:rPr>
                <w:rFonts w:hint="default" w:ascii="Times New Roman" w:hAnsi="Times New Roman" w:cs="Times New Roman"/>
                <w:bCs/>
                <w:color w:val="auto"/>
                <w:spacing w:val="0"/>
                <w:sz w:val="24"/>
                <w:szCs w:val="24"/>
                <w:highlight w:val="none"/>
                <w:shd w:val="clear"/>
                <w:lang w:val="en-US" w:eastAsia="zh-CN"/>
              </w:rPr>
              <w:t>对于现有工程污染物排放情况，主要为门诊综合楼及急诊综合楼运营期产生的污染物排放情况，本次评价依据医院现有工程的环境影响评价、竣工环境保护验收等进行核算，现有工程污染物实际排放量见下表。</w:t>
            </w:r>
          </w:p>
          <w:p w14:paraId="5507E4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表2-</w:t>
            </w:r>
            <w:r>
              <w:rPr>
                <w:rFonts w:hint="default" w:ascii="Times New Roman" w:hAnsi="Times New Roman" w:cs="Times New Roman"/>
                <w:b/>
                <w:bCs w:val="0"/>
                <w:color w:val="auto"/>
                <w:sz w:val="21"/>
                <w:szCs w:val="21"/>
                <w:highlight w:val="none"/>
                <w:lang w:val="en-US" w:eastAsia="zh-CN"/>
              </w:rPr>
              <w:t>7</w:t>
            </w:r>
            <w:r>
              <w:rPr>
                <w:rFonts w:hint="default" w:ascii="Times New Roman" w:hAnsi="Times New Roman" w:eastAsia="宋体" w:cs="Times New Roman"/>
                <w:b/>
                <w:bCs w:val="0"/>
                <w:color w:val="auto"/>
                <w:sz w:val="21"/>
                <w:szCs w:val="21"/>
                <w:highlight w:val="none"/>
                <w:lang w:val="en-US" w:eastAsia="zh-CN"/>
              </w:rPr>
              <w:t xml:space="preserve">  现有工程污染物实际排放情况</w:t>
            </w:r>
          </w:p>
          <w:tbl>
            <w:tblPr>
              <w:tblStyle w:val="36"/>
              <w:tblW w:w="78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4"/>
              <w:gridCol w:w="1275"/>
              <w:gridCol w:w="1305"/>
              <w:gridCol w:w="1215"/>
              <w:gridCol w:w="1395"/>
              <w:gridCol w:w="2133"/>
            </w:tblGrid>
            <w:tr w14:paraId="59F41D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dxa"/>
                  <w:tcBorders>
                    <w:tl2br w:val="nil"/>
                    <w:tr2bl w:val="nil"/>
                  </w:tcBorders>
                  <w:noWrap w:val="0"/>
                  <w:vAlign w:val="center"/>
                </w:tcPr>
                <w:p w14:paraId="5897AAB6">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w:t>
                  </w:r>
                </w:p>
              </w:tc>
              <w:tc>
                <w:tcPr>
                  <w:tcW w:w="1275" w:type="dxa"/>
                  <w:tcBorders>
                    <w:tl2br w:val="nil"/>
                    <w:tr2bl w:val="nil"/>
                  </w:tcBorders>
                  <w:noWrap w:val="0"/>
                  <w:vAlign w:val="center"/>
                </w:tcPr>
                <w:p w14:paraId="6193C621">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污染物</w:t>
                  </w:r>
                </w:p>
              </w:tc>
              <w:tc>
                <w:tcPr>
                  <w:tcW w:w="1305" w:type="dxa"/>
                  <w:tcBorders>
                    <w:tl2br w:val="nil"/>
                    <w:tr2bl w:val="nil"/>
                  </w:tcBorders>
                  <w:noWrap w:val="0"/>
                  <w:vAlign w:val="center"/>
                </w:tcPr>
                <w:p w14:paraId="58AF9A81">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实际排放浓度</w:t>
                  </w:r>
                </w:p>
              </w:tc>
              <w:tc>
                <w:tcPr>
                  <w:tcW w:w="1215" w:type="dxa"/>
                  <w:tcBorders>
                    <w:tl2br w:val="nil"/>
                    <w:tr2bl w:val="nil"/>
                  </w:tcBorders>
                  <w:noWrap w:val="0"/>
                  <w:vAlign w:val="center"/>
                </w:tcPr>
                <w:p w14:paraId="61AB6320">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许可排放</w:t>
                  </w:r>
                  <w:r>
                    <w:rPr>
                      <w:rFonts w:hint="default" w:ascii="Times New Roman" w:hAnsi="Times New Roman" w:cs="Times New Roman"/>
                      <w:color w:val="auto"/>
                      <w:sz w:val="21"/>
                      <w:szCs w:val="21"/>
                      <w:highlight w:val="none"/>
                      <w:lang w:val="en-US" w:eastAsia="zh-CN"/>
                    </w:rPr>
                    <w:t>浓度</w:t>
                  </w:r>
                </w:p>
              </w:tc>
              <w:tc>
                <w:tcPr>
                  <w:tcW w:w="1395" w:type="dxa"/>
                  <w:tcBorders>
                    <w:tl2br w:val="nil"/>
                    <w:tr2bl w:val="nil"/>
                  </w:tcBorders>
                  <w:noWrap w:val="0"/>
                  <w:vAlign w:val="center"/>
                </w:tcPr>
                <w:p w14:paraId="3C24EEB1">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现在工程防治措施</w:t>
                  </w:r>
                </w:p>
              </w:tc>
              <w:tc>
                <w:tcPr>
                  <w:tcW w:w="2133" w:type="dxa"/>
                  <w:tcBorders>
                    <w:tl2br w:val="nil"/>
                    <w:tr2bl w:val="nil"/>
                  </w:tcBorders>
                  <w:noWrap w:val="0"/>
                  <w:vAlign w:val="center"/>
                </w:tcPr>
                <w:p w14:paraId="149A836A">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达标情况</w:t>
                  </w:r>
                </w:p>
              </w:tc>
            </w:tr>
            <w:tr w14:paraId="4C8222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dxa"/>
                  <w:vMerge w:val="restart"/>
                  <w:tcBorders>
                    <w:tl2br w:val="nil"/>
                    <w:tr2bl w:val="nil"/>
                  </w:tcBorders>
                  <w:noWrap w:val="0"/>
                  <w:vAlign w:val="center"/>
                </w:tcPr>
                <w:p w14:paraId="360FE0F7">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废气</w:t>
                  </w:r>
                </w:p>
              </w:tc>
              <w:tc>
                <w:tcPr>
                  <w:tcW w:w="1275" w:type="dxa"/>
                  <w:tcBorders>
                    <w:tl2br w:val="nil"/>
                    <w:tr2bl w:val="nil"/>
                  </w:tcBorders>
                  <w:noWrap w:val="0"/>
                  <w:vAlign w:val="center"/>
                </w:tcPr>
                <w:p w14:paraId="36A7810F">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氨</w:t>
                  </w:r>
                </w:p>
              </w:tc>
              <w:tc>
                <w:tcPr>
                  <w:tcW w:w="1305" w:type="dxa"/>
                  <w:tcBorders>
                    <w:tl2br w:val="nil"/>
                    <w:tr2bl w:val="nil"/>
                  </w:tcBorders>
                  <w:noWrap w:val="0"/>
                  <w:vAlign w:val="center"/>
                </w:tcPr>
                <w:p w14:paraId="7E1A6D73">
                  <w:pPr>
                    <w:keepNext w:val="0"/>
                    <w:keepLines w:val="0"/>
                    <w:pageBreakBefore w:val="0"/>
                    <w:kinsoku/>
                    <w:wordWrap/>
                    <w:overflowPunct/>
                    <w:topLinePunct w:val="0"/>
                    <w:autoSpaceDE/>
                    <w:autoSpaceDN/>
                    <w:bidi w:val="0"/>
                    <w:spacing w:line="360" w:lineRule="exact"/>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0.28mg/m</w:t>
                  </w:r>
                  <w:r>
                    <w:rPr>
                      <w:rFonts w:hint="default" w:ascii="Times New Roman" w:hAnsi="Times New Roman" w:cs="Times New Roman"/>
                      <w:color w:val="auto"/>
                      <w:sz w:val="21"/>
                      <w:szCs w:val="21"/>
                      <w:highlight w:val="none"/>
                      <w:vertAlign w:val="superscript"/>
                      <w:lang w:val="en-US" w:eastAsia="zh-CN"/>
                    </w:rPr>
                    <w:t>3</w:t>
                  </w:r>
                </w:p>
              </w:tc>
              <w:tc>
                <w:tcPr>
                  <w:tcW w:w="1215" w:type="dxa"/>
                  <w:tcBorders>
                    <w:tl2br w:val="nil"/>
                    <w:tr2bl w:val="nil"/>
                  </w:tcBorders>
                  <w:noWrap w:val="0"/>
                  <w:vAlign w:val="center"/>
                </w:tcPr>
                <w:p w14:paraId="1EC02D55">
                  <w:pPr>
                    <w:keepNext w:val="0"/>
                    <w:keepLines w:val="0"/>
                    <w:pageBreakBefore w:val="0"/>
                    <w:kinsoku/>
                    <w:wordWrap/>
                    <w:overflowPunct/>
                    <w:topLinePunct w:val="0"/>
                    <w:autoSpaceDE/>
                    <w:autoSpaceDN/>
                    <w:bidi w:val="0"/>
                    <w:spacing w:line="360" w:lineRule="exact"/>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1mg/m</w:t>
                  </w:r>
                  <w:r>
                    <w:rPr>
                      <w:rFonts w:hint="default" w:ascii="Times New Roman" w:hAnsi="Times New Roman" w:cs="Times New Roman"/>
                      <w:color w:val="auto"/>
                      <w:sz w:val="21"/>
                      <w:szCs w:val="21"/>
                      <w:highlight w:val="none"/>
                      <w:vertAlign w:val="superscript"/>
                      <w:lang w:val="en-US" w:eastAsia="zh-CN"/>
                    </w:rPr>
                    <w:t>3</w:t>
                  </w:r>
                </w:p>
              </w:tc>
              <w:tc>
                <w:tcPr>
                  <w:tcW w:w="1395" w:type="dxa"/>
                  <w:vMerge w:val="restart"/>
                  <w:tcBorders>
                    <w:tl2br w:val="nil"/>
                    <w:tr2bl w:val="nil"/>
                  </w:tcBorders>
                  <w:noWrap w:val="0"/>
                  <w:vAlign w:val="center"/>
                </w:tcPr>
                <w:p w14:paraId="6E91A3D5">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密闭</w:t>
                  </w:r>
                </w:p>
              </w:tc>
              <w:tc>
                <w:tcPr>
                  <w:tcW w:w="2133" w:type="dxa"/>
                  <w:vMerge w:val="restart"/>
                  <w:tcBorders>
                    <w:tl2br w:val="nil"/>
                    <w:tr2bl w:val="nil"/>
                  </w:tcBorders>
                  <w:noWrap w:val="0"/>
                  <w:vAlign w:val="center"/>
                </w:tcPr>
                <w:p w14:paraId="62478EB5">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满足《医疗机构水污染物排放标准》（GB18466-2005）中表3标准限值要求</w:t>
                  </w:r>
                </w:p>
              </w:tc>
            </w:tr>
            <w:tr w14:paraId="6BECF2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dxa"/>
                  <w:vMerge w:val="continue"/>
                  <w:tcBorders>
                    <w:tl2br w:val="nil"/>
                    <w:tr2bl w:val="nil"/>
                  </w:tcBorders>
                  <w:noWrap w:val="0"/>
                  <w:vAlign w:val="center"/>
                </w:tcPr>
                <w:p w14:paraId="3BBE7B7F">
                  <w:pPr>
                    <w:pStyle w:val="156"/>
                    <w:bidi w:val="0"/>
                    <w:rPr>
                      <w:rFonts w:hint="default" w:ascii="Times New Roman" w:hAnsi="Times New Roman" w:cs="Times New Roman"/>
                      <w:color w:val="auto"/>
                      <w:sz w:val="21"/>
                      <w:szCs w:val="21"/>
                      <w:highlight w:val="none"/>
                      <w:lang w:val="en-US" w:eastAsia="zh-CN"/>
                    </w:rPr>
                  </w:pPr>
                </w:p>
              </w:tc>
              <w:tc>
                <w:tcPr>
                  <w:tcW w:w="1275" w:type="dxa"/>
                  <w:tcBorders>
                    <w:tl2br w:val="nil"/>
                    <w:tr2bl w:val="nil"/>
                  </w:tcBorders>
                  <w:noWrap w:val="0"/>
                  <w:vAlign w:val="center"/>
                </w:tcPr>
                <w:p w14:paraId="65122D41">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硫化氢</w:t>
                  </w:r>
                </w:p>
              </w:tc>
              <w:tc>
                <w:tcPr>
                  <w:tcW w:w="1305" w:type="dxa"/>
                  <w:tcBorders>
                    <w:tl2br w:val="nil"/>
                    <w:tr2bl w:val="nil"/>
                  </w:tcBorders>
                  <w:noWrap w:val="0"/>
                  <w:vAlign w:val="center"/>
                </w:tcPr>
                <w:p w14:paraId="15BEE6C3">
                  <w:pPr>
                    <w:keepNext w:val="0"/>
                    <w:keepLines w:val="0"/>
                    <w:pageBreakBefore w:val="0"/>
                    <w:kinsoku/>
                    <w:wordWrap/>
                    <w:overflowPunct/>
                    <w:topLinePunct w:val="0"/>
                    <w:autoSpaceDE/>
                    <w:autoSpaceDN/>
                    <w:bidi w:val="0"/>
                    <w:spacing w:line="360" w:lineRule="exact"/>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0.028mg/m</w:t>
                  </w:r>
                  <w:r>
                    <w:rPr>
                      <w:rFonts w:hint="default" w:ascii="Times New Roman" w:hAnsi="Times New Roman" w:cs="Times New Roman"/>
                      <w:color w:val="auto"/>
                      <w:sz w:val="21"/>
                      <w:szCs w:val="21"/>
                      <w:highlight w:val="none"/>
                      <w:vertAlign w:val="superscript"/>
                      <w:lang w:val="en-US" w:eastAsia="zh-CN"/>
                    </w:rPr>
                    <w:t>3</w:t>
                  </w:r>
                </w:p>
              </w:tc>
              <w:tc>
                <w:tcPr>
                  <w:tcW w:w="1215" w:type="dxa"/>
                  <w:tcBorders>
                    <w:tl2br w:val="nil"/>
                    <w:tr2bl w:val="nil"/>
                  </w:tcBorders>
                  <w:noWrap w:val="0"/>
                  <w:vAlign w:val="center"/>
                </w:tcPr>
                <w:p w14:paraId="70FDC5D9">
                  <w:pPr>
                    <w:keepNext w:val="0"/>
                    <w:keepLines w:val="0"/>
                    <w:pageBreakBefore w:val="0"/>
                    <w:kinsoku/>
                    <w:wordWrap/>
                    <w:overflowPunct/>
                    <w:topLinePunct w:val="0"/>
                    <w:autoSpaceDE/>
                    <w:autoSpaceDN/>
                    <w:bidi w:val="0"/>
                    <w:spacing w:line="360" w:lineRule="exact"/>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0.03mg/m</w:t>
                  </w:r>
                  <w:r>
                    <w:rPr>
                      <w:rFonts w:hint="default" w:ascii="Times New Roman" w:hAnsi="Times New Roman" w:cs="Times New Roman"/>
                      <w:color w:val="auto"/>
                      <w:sz w:val="21"/>
                      <w:szCs w:val="21"/>
                      <w:highlight w:val="none"/>
                      <w:vertAlign w:val="superscript"/>
                      <w:lang w:val="en-US" w:eastAsia="zh-CN"/>
                    </w:rPr>
                    <w:t>3</w:t>
                  </w:r>
                </w:p>
              </w:tc>
              <w:tc>
                <w:tcPr>
                  <w:tcW w:w="1395" w:type="dxa"/>
                  <w:vMerge w:val="continue"/>
                  <w:tcBorders>
                    <w:tl2br w:val="nil"/>
                    <w:tr2bl w:val="nil"/>
                  </w:tcBorders>
                  <w:noWrap w:val="0"/>
                  <w:vAlign w:val="center"/>
                </w:tcPr>
                <w:p w14:paraId="687DF386">
                  <w:pPr>
                    <w:pStyle w:val="156"/>
                    <w:bidi w:val="0"/>
                    <w:rPr>
                      <w:rFonts w:hint="default" w:ascii="Times New Roman" w:hAnsi="Times New Roman" w:cs="Times New Roman"/>
                      <w:color w:val="auto"/>
                      <w:sz w:val="21"/>
                      <w:szCs w:val="21"/>
                      <w:highlight w:val="none"/>
                      <w:lang w:val="en-US" w:eastAsia="zh-CN"/>
                    </w:rPr>
                  </w:pPr>
                </w:p>
              </w:tc>
              <w:tc>
                <w:tcPr>
                  <w:tcW w:w="2133" w:type="dxa"/>
                  <w:vMerge w:val="continue"/>
                  <w:tcBorders>
                    <w:tl2br w:val="nil"/>
                    <w:tr2bl w:val="nil"/>
                  </w:tcBorders>
                  <w:noWrap w:val="0"/>
                  <w:vAlign w:val="center"/>
                </w:tcPr>
                <w:p w14:paraId="1FA8A1F2">
                  <w:pPr>
                    <w:pStyle w:val="156"/>
                    <w:bidi w:val="0"/>
                    <w:rPr>
                      <w:rFonts w:hint="default" w:ascii="Times New Roman" w:hAnsi="Times New Roman" w:cs="Times New Roman"/>
                      <w:color w:val="auto"/>
                      <w:sz w:val="21"/>
                      <w:szCs w:val="21"/>
                      <w:highlight w:val="none"/>
                      <w:lang w:val="en-US" w:eastAsia="zh-CN"/>
                    </w:rPr>
                  </w:pPr>
                </w:p>
              </w:tc>
            </w:tr>
            <w:tr w14:paraId="62A39D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dxa"/>
                  <w:vMerge w:val="continue"/>
                  <w:tcBorders>
                    <w:tl2br w:val="nil"/>
                    <w:tr2bl w:val="nil"/>
                  </w:tcBorders>
                  <w:noWrap w:val="0"/>
                  <w:vAlign w:val="center"/>
                </w:tcPr>
                <w:p w14:paraId="7F504EE0">
                  <w:pPr>
                    <w:pStyle w:val="156"/>
                    <w:bidi w:val="0"/>
                    <w:rPr>
                      <w:rFonts w:hint="default" w:ascii="Times New Roman" w:hAnsi="Times New Roman" w:cs="Times New Roman"/>
                      <w:color w:val="auto"/>
                      <w:sz w:val="21"/>
                      <w:szCs w:val="21"/>
                      <w:highlight w:val="none"/>
                      <w:lang w:val="en-US" w:eastAsia="zh-CN"/>
                    </w:rPr>
                  </w:pPr>
                </w:p>
              </w:tc>
              <w:tc>
                <w:tcPr>
                  <w:tcW w:w="1275" w:type="dxa"/>
                  <w:tcBorders>
                    <w:tl2br w:val="nil"/>
                    <w:tr2bl w:val="nil"/>
                  </w:tcBorders>
                  <w:noWrap w:val="0"/>
                  <w:vAlign w:val="center"/>
                </w:tcPr>
                <w:p w14:paraId="474C745C">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臭气浓度</w:t>
                  </w:r>
                </w:p>
              </w:tc>
              <w:tc>
                <w:tcPr>
                  <w:tcW w:w="1305" w:type="dxa"/>
                  <w:tcBorders>
                    <w:tl2br w:val="nil"/>
                    <w:tr2bl w:val="nil"/>
                  </w:tcBorders>
                  <w:noWrap w:val="0"/>
                  <w:vAlign w:val="center"/>
                </w:tcPr>
                <w:p w14:paraId="489C53BD">
                  <w:pPr>
                    <w:keepNext w:val="0"/>
                    <w:keepLines w:val="0"/>
                    <w:pageBreakBefore w:val="0"/>
                    <w:kinsoku/>
                    <w:wordWrap/>
                    <w:overflowPunct/>
                    <w:topLinePunct w:val="0"/>
                    <w:autoSpaceDE/>
                    <w:autoSpaceDN/>
                    <w:bidi w:val="0"/>
                    <w:spacing w:line="360" w:lineRule="exact"/>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未检出</w:t>
                  </w:r>
                </w:p>
              </w:tc>
              <w:tc>
                <w:tcPr>
                  <w:tcW w:w="1215" w:type="dxa"/>
                  <w:tcBorders>
                    <w:tl2br w:val="nil"/>
                    <w:tr2bl w:val="nil"/>
                  </w:tcBorders>
                  <w:noWrap w:val="0"/>
                  <w:vAlign w:val="center"/>
                </w:tcPr>
                <w:p w14:paraId="3E904653">
                  <w:pPr>
                    <w:keepNext w:val="0"/>
                    <w:keepLines w:val="0"/>
                    <w:pageBreakBefore w:val="0"/>
                    <w:kinsoku/>
                    <w:wordWrap/>
                    <w:overflowPunct/>
                    <w:topLinePunct w:val="0"/>
                    <w:autoSpaceDE/>
                    <w:autoSpaceDN/>
                    <w:bidi w:val="0"/>
                    <w:spacing w:line="360" w:lineRule="exact"/>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10（无量纲）</w:t>
                  </w:r>
                </w:p>
              </w:tc>
              <w:tc>
                <w:tcPr>
                  <w:tcW w:w="1395" w:type="dxa"/>
                  <w:vMerge w:val="continue"/>
                  <w:tcBorders>
                    <w:tl2br w:val="nil"/>
                    <w:tr2bl w:val="nil"/>
                  </w:tcBorders>
                  <w:noWrap w:val="0"/>
                  <w:vAlign w:val="center"/>
                </w:tcPr>
                <w:p w14:paraId="4F598ED4">
                  <w:pPr>
                    <w:pStyle w:val="156"/>
                    <w:bidi w:val="0"/>
                    <w:rPr>
                      <w:rFonts w:hint="default" w:ascii="Times New Roman" w:hAnsi="Times New Roman" w:cs="Times New Roman"/>
                      <w:color w:val="auto"/>
                      <w:sz w:val="21"/>
                      <w:szCs w:val="21"/>
                      <w:highlight w:val="none"/>
                      <w:lang w:val="en-US" w:eastAsia="zh-CN"/>
                    </w:rPr>
                  </w:pPr>
                </w:p>
              </w:tc>
              <w:tc>
                <w:tcPr>
                  <w:tcW w:w="2133" w:type="dxa"/>
                  <w:vMerge w:val="continue"/>
                  <w:tcBorders>
                    <w:tl2br w:val="nil"/>
                    <w:tr2bl w:val="nil"/>
                  </w:tcBorders>
                  <w:noWrap w:val="0"/>
                  <w:vAlign w:val="center"/>
                </w:tcPr>
                <w:p w14:paraId="14E11F5C">
                  <w:pPr>
                    <w:pStyle w:val="156"/>
                    <w:bidi w:val="0"/>
                    <w:rPr>
                      <w:rFonts w:hint="default" w:ascii="Times New Roman" w:hAnsi="Times New Roman" w:cs="Times New Roman"/>
                      <w:color w:val="auto"/>
                      <w:sz w:val="21"/>
                      <w:szCs w:val="21"/>
                      <w:highlight w:val="none"/>
                      <w:lang w:val="en-US" w:eastAsia="zh-CN"/>
                    </w:rPr>
                  </w:pPr>
                </w:p>
              </w:tc>
            </w:tr>
            <w:tr w14:paraId="5AA289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dxa"/>
                  <w:vMerge w:val="continue"/>
                  <w:tcBorders>
                    <w:tl2br w:val="nil"/>
                    <w:tr2bl w:val="nil"/>
                  </w:tcBorders>
                  <w:noWrap w:val="0"/>
                  <w:vAlign w:val="center"/>
                </w:tcPr>
                <w:p w14:paraId="7D66DDF2">
                  <w:pPr>
                    <w:pStyle w:val="156"/>
                    <w:bidi w:val="0"/>
                    <w:rPr>
                      <w:rFonts w:hint="default" w:ascii="Times New Roman" w:hAnsi="Times New Roman" w:cs="Times New Roman"/>
                      <w:color w:val="auto"/>
                      <w:sz w:val="21"/>
                      <w:szCs w:val="21"/>
                      <w:highlight w:val="none"/>
                      <w:lang w:val="en-US" w:eastAsia="zh-CN"/>
                    </w:rPr>
                  </w:pPr>
                </w:p>
              </w:tc>
              <w:tc>
                <w:tcPr>
                  <w:tcW w:w="1275" w:type="dxa"/>
                  <w:tcBorders>
                    <w:tl2br w:val="nil"/>
                    <w:tr2bl w:val="nil"/>
                  </w:tcBorders>
                  <w:noWrap w:val="0"/>
                  <w:vAlign w:val="center"/>
                </w:tcPr>
                <w:p w14:paraId="5BA0E3B6">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氯气</w:t>
                  </w:r>
                </w:p>
              </w:tc>
              <w:tc>
                <w:tcPr>
                  <w:tcW w:w="1305" w:type="dxa"/>
                  <w:tcBorders>
                    <w:tl2br w:val="nil"/>
                    <w:tr2bl w:val="nil"/>
                  </w:tcBorders>
                  <w:noWrap w:val="0"/>
                  <w:vAlign w:val="center"/>
                </w:tcPr>
                <w:p w14:paraId="61B4F3C8">
                  <w:pPr>
                    <w:keepNext w:val="0"/>
                    <w:keepLines w:val="0"/>
                    <w:pageBreakBefore w:val="0"/>
                    <w:kinsoku/>
                    <w:wordWrap/>
                    <w:overflowPunct/>
                    <w:topLinePunct w:val="0"/>
                    <w:autoSpaceDE/>
                    <w:autoSpaceDN/>
                    <w:bidi w:val="0"/>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未检出</w:t>
                  </w:r>
                </w:p>
              </w:tc>
              <w:tc>
                <w:tcPr>
                  <w:tcW w:w="1215" w:type="dxa"/>
                  <w:tcBorders>
                    <w:tl2br w:val="nil"/>
                    <w:tr2bl w:val="nil"/>
                  </w:tcBorders>
                  <w:noWrap w:val="0"/>
                  <w:vAlign w:val="center"/>
                </w:tcPr>
                <w:p w14:paraId="0245306C">
                  <w:pPr>
                    <w:keepNext w:val="0"/>
                    <w:keepLines w:val="0"/>
                    <w:pageBreakBefore w:val="0"/>
                    <w:kinsoku/>
                    <w:wordWrap/>
                    <w:overflowPunct/>
                    <w:topLinePunct w:val="0"/>
                    <w:autoSpaceDE/>
                    <w:autoSpaceDN/>
                    <w:bidi w:val="0"/>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395" w:type="dxa"/>
                  <w:vMerge w:val="continue"/>
                  <w:tcBorders>
                    <w:tl2br w:val="nil"/>
                    <w:tr2bl w:val="nil"/>
                  </w:tcBorders>
                  <w:noWrap w:val="0"/>
                  <w:vAlign w:val="center"/>
                </w:tcPr>
                <w:p w14:paraId="475949A6">
                  <w:pPr>
                    <w:pStyle w:val="156"/>
                    <w:bidi w:val="0"/>
                    <w:rPr>
                      <w:rFonts w:hint="default" w:ascii="Times New Roman" w:hAnsi="Times New Roman" w:cs="Times New Roman"/>
                      <w:color w:val="auto"/>
                      <w:sz w:val="21"/>
                      <w:szCs w:val="21"/>
                      <w:highlight w:val="none"/>
                      <w:lang w:val="en-US" w:eastAsia="zh-CN"/>
                    </w:rPr>
                  </w:pPr>
                </w:p>
              </w:tc>
              <w:tc>
                <w:tcPr>
                  <w:tcW w:w="2133" w:type="dxa"/>
                  <w:vMerge w:val="continue"/>
                  <w:tcBorders>
                    <w:tl2br w:val="nil"/>
                    <w:tr2bl w:val="nil"/>
                  </w:tcBorders>
                  <w:noWrap w:val="0"/>
                  <w:vAlign w:val="center"/>
                </w:tcPr>
                <w:p w14:paraId="0748FF64">
                  <w:pPr>
                    <w:pStyle w:val="156"/>
                    <w:bidi w:val="0"/>
                    <w:rPr>
                      <w:rFonts w:hint="default" w:ascii="Times New Roman" w:hAnsi="Times New Roman" w:cs="Times New Roman"/>
                      <w:color w:val="auto"/>
                      <w:sz w:val="21"/>
                      <w:szCs w:val="21"/>
                      <w:highlight w:val="none"/>
                      <w:lang w:val="en-US" w:eastAsia="zh-CN"/>
                    </w:rPr>
                  </w:pPr>
                </w:p>
              </w:tc>
            </w:tr>
            <w:tr w14:paraId="1AD0CE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dxa"/>
                  <w:vMerge w:val="continue"/>
                  <w:tcBorders>
                    <w:tl2br w:val="nil"/>
                    <w:tr2bl w:val="nil"/>
                  </w:tcBorders>
                  <w:noWrap w:val="0"/>
                  <w:vAlign w:val="center"/>
                </w:tcPr>
                <w:p w14:paraId="7A6D8C16">
                  <w:pPr>
                    <w:pStyle w:val="156"/>
                    <w:bidi w:val="0"/>
                    <w:rPr>
                      <w:rFonts w:hint="default" w:ascii="Times New Roman" w:hAnsi="Times New Roman" w:cs="Times New Roman"/>
                      <w:color w:val="auto"/>
                      <w:sz w:val="21"/>
                      <w:szCs w:val="21"/>
                      <w:highlight w:val="none"/>
                      <w:lang w:val="en-US" w:eastAsia="zh-CN"/>
                    </w:rPr>
                  </w:pPr>
                </w:p>
              </w:tc>
              <w:tc>
                <w:tcPr>
                  <w:tcW w:w="1275" w:type="dxa"/>
                  <w:tcBorders>
                    <w:tl2br w:val="nil"/>
                    <w:tr2bl w:val="nil"/>
                  </w:tcBorders>
                  <w:noWrap w:val="0"/>
                  <w:vAlign w:val="center"/>
                </w:tcPr>
                <w:p w14:paraId="3B126EF3">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食堂油烟</w:t>
                  </w:r>
                </w:p>
              </w:tc>
              <w:tc>
                <w:tcPr>
                  <w:tcW w:w="1305" w:type="dxa"/>
                  <w:tcBorders>
                    <w:tl2br w:val="nil"/>
                    <w:tr2bl w:val="nil"/>
                  </w:tcBorders>
                  <w:noWrap w:val="0"/>
                  <w:vAlign w:val="center"/>
                </w:tcPr>
                <w:p w14:paraId="4F109E99">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0.63mg/m</w:t>
                  </w:r>
                  <w:r>
                    <w:rPr>
                      <w:rFonts w:hint="default" w:ascii="Times New Roman" w:hAnsi="Times New Roman" w:cs="Times New Roman"/>
                      <w:color w:val="auto"/>
                      <w:sz w:val="21"/>
                      <w:szCs w:val="21"/>
                      <w:highlight w:val="none"/>
                      <w:vertAlign w:val="superscript"/>
                      <w:lang w:val="en-US" w:eastAsia="zh-CN"/>
                    </w:rPr>
                    <w:t>3</w:t>
                  </w:r>
                </w:p>
              </w:tc>
              <w:tc>
                <w:tcPr>
                  <w:tcW w:w="1215" w:type="dxa"/>
                  <w:tcBorders>
                    <w:tl2br w:val="nil"/>
                    <w:tr2bl w:val="nil"/>
                  </w:tcBorders>
                  <w:noWrap w:val="0"/>
                  <w:vAlign w:val="center"/>
                </w:tcPr>
                <w:p w14:paraId="7CD59686">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2.0mg/m</w:t>
                  </w:r>
                  <w:r>
                    <w:rPr>
                      <w:rFonts w:hint="default" w:ascii="Times New Roman" w:hAnsi="Times New Roman" w:cs="Times New Roman"/>
                      <w:color w:val="auto"/>
                      <w:sz w:val="21"/>
                      <w:szCs w:val="21"/>
                      <w:highlight w:val="none"/>
                      <w:vertAlign w:val="superscript"/>
                      <w:lang w:val="en-US" w:eastAsia="zh-CN"/>
                    </w:rPr>
                    <w:t>3</w:t>
                  </w:r>
                </w:p>
              </w:tc>
              <w:tc>
                <w:tcPr>
                  <w:tcW w:w="1395" w:type="dxa"/>
                  <w:tcBorders>
                    <w:tl2br w:val="nil"/>
                    <w:tr2bl w:val="nil"/>
                  </w:tcBorders>
                  <w:noWrap w:val="0"/>
                  <w:vAlign w:val="center"/>
                </w:tcPr>
                <w:p w14:paraId="177DF348">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油烟净化器</w:t>
                  </w:r>
                </w:p>
              </w:tc>
              <w:tc>
                <w:tcPr>
                  <w:tcW w:w="2133" w:type="dxa"/>
                  <w:tcBorders>
                    <w:tl2br w:val="nil"/>
                    <w:tr2bl w:val="nil"/>
                  </w:tcBorders>
                  <w:noWrap w:val="0"/>
                  <w:vAlign w:val="center"/>
                </w:tcPr>
                <w:p w14:paraId="258553C6">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满足《饮食业油烟排放标准（试行）》（GB18483-2001）标准要求（小型）</w:t>
                  </w:r>
                </w:p>
              </w:tc>
            </w:tr>
            <w:tr w14:paraId="1770DA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dxa"/>
                  <w:vMerge w:val="restart"/>
                  <w:tcBorders>
                    <w:tl2br w:val="nil"/>
                    <w:tr2bl w:val="nil"/>
                  </w:tcBorders>
                  <w:noWrap w:val="0"/>
                  <w:vAlign w:val="center"/>
                </w:tcPr>
                <w:p w14:paraId="4F56319D">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废水</w:t>
                  </w:r>
                </w:p>
              </w:tc>
              <w:tc>
                <w:tcPr>
                  <w:tcW w:w="1275" w:type="dxa"/>
                  <w:tcBorders>
                    <w:tl2br w:val="nil"/>
                    <w:tr2bl w:val="nil"/>
                  </w:tcBorders>
                  <w:noWrap w:val="0"/>
                  <w:vAlign w:val="center"/>
                </w:tcPr>
                <w:p w14:paraId="4862180D">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COD</w:t>
                  </w:r>
                </w:p>
              </w:tc>
              <w:tc>
                <w:tcPr>
                  <w:tcW w:w="1305" w:type="dxa"/>
                  <w:tcBorders>
                    <w:tl2br w:val="nil"/>
                    <w:tr2bl w:val="nil"/>
                  </w:tcBorders>
                  <w:noWrap w:val="0"/>
                  <w:vAlign w:val="center"/>
                </w:tcPr>
                <w:p w14:paraId="3A7D9635">
                  <w:pPr>
                    <w:keepNext w:val="0"/>
                    <w:keepLines w:val="0"/>
                    <w:pageBreakBefore w:val="0"/>
                    <w:kinsoku/>
                    <w:wordWrap/>
                    <w:overflowPunct/>
                    <w:topLinePunct w:val="0"/>
                    <w:autoSpaceDE/>
                    <w:autoSpaceDN/>
                    <w:bidi w:val="0"/>
                    <w:spacing w:line="360" w:lineRule="exact"/>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31</w:t>
                  </w:r>
                  <w:r>
                    <w:rPr>
                      <w:rStyle w:val="37"/>
                      <w:rFonts w:hint="default" w:ascii="Times New Roman" w:hAnsi="Times New Roman" w:eastAsia="宋体" w:cs="Times New Roman"/>
                      <w:color w:val="auto"/>
                      <w:kern w:val="2"/>
                      <w:sz w:val="21"/>
                      <w:highlight w:val="none"/>
                      <w:lang w:val="en-US" w:eastAsia="zh-CN" w:bidi="ar-SA"/>
                    </w:rPr>
                    <w:t>mg/L</w:t>
                  </w:r>
                </w:p>
              </w:tc>
              <w:tc>
                <w:tcPr>
                  <w:tcW w:w="1215" w:type="dxa"/>
                  <w:tcBorders>
                    <w:tl2br w:val="nil"/>
                    <w:tr2bl w:val="nil"/>
                  </w:tcBorders>
                  <w:noWrap w:val="0"/>
                  <w:vAlign w:val="center"/>
                </w:tcPr>
                <w:p w14:paraId="264365D7">
                  <w:pPr>
                    <w:keepNext w:val="0"/>
                    <w:keepLines w:val="0"/>
                    <w:pageBreakBefore w:val="0"/>
                    <w:kinsoku/>
                    <w:wordWrap/>
                    <w:overflowPunct/>
                    <w:topLinePunct w:val="0"/>
                    <w:autoSpaceDE/>
                    <w:autoSpaceDN/>
                    <w:bidi w:val="0"/>
                    <w:spacing w:line="360" w:lineRule="exact"/>
                    <w:ind w:firstLine="0" w:firstLineChars="0"/>
                    <w:jc w:val="center"/>
                    <w:rPr>
                      <w:rFonts w:hint="default" w:ascii="Times New Roman" w:hAnsi="Times New Roman" w:cs="Times New Roman"/>
                      <w:color w:val="auto"/>
                      <w:sz w:val="21"/>
                      <w:szCs w:val="21"/>
                      <w:highlight w:val="none"/>
                      <w:lang w:val="en-US" w:eastAsia="zh-CN"/>
                    </w:rPr>
                  </w:pPr>
                  <w:r>
                    <w:rPr>
                      <w:rStyle w:val="37"/>
                      <w:rFonts w:hint="default" w:ascii="Times New Roman" w:hAnsi="Times New Roman" w:eastAsia="宋体" w:cs="Times New Roman"/>
                      <w:color w:val="auto"/>
                      <w:kern w:val="2"/>
                      <w:sz w:val="21"/>
                      <w:highlight w:val="none"/>
                      <w:lang w:val="en-US" w:eastAsia="zh-CN" w:bidi="ar-SA"/>
                    </w:rPr>
                    <w:t>250mg/L</w:t>
                  </w:r>
                </w:p>
              </w:tc>
              <w:tc>
                <w:tcPr>
                  <w:tcW w:w="1395" w:type="dxa"/>
                  <w:vMerge w:val="restart"/>
                  <w:tcBorders>
                    <w:tl2br w:val="nil"/>
                    <w:tr2bl w:val="nil"/>
                  </w:tcBorders>
                  <w:noWrap w:val="0"/>
                  <w:vAlign w:val="center"/>
                </w:tcPr>
                <w:p w14:paraId="441AB004">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沉淀+二氧化氯消毒</w:t>
                  </w:r>
                </w:p>
              </w:tc>
              <w:tc>
                <w:tcPr>
                  <w:tcW w:w="2133" w:type="dxa"/>
                  <w:vMerge w:val="restart"/>
                  <w:tcBorders>
                    <w:tl2br w:val="nil"/>
                    <w:tr2bl w:val="nil"/>
                  </w:tcBorders>
                  <w:noWrap w:val="0"/>
                  <w:vAlign w:val="center"/>
                </w:tcPr>
                <w:p w14:paraId="57CACFD4">
                  <w:pPr>
                    <w:pStyle w:val="156"/>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满足《</w:t>
                  </w:r>
                  <w:r>
                    <w:rPr>
                      <w:rFonts w:hint="default" w:ascii="Times New Roman" w:hAnsi="Times New Roman" w:cs="Times New Roman"/>
                      <w:color w:val="auto"/>
                      <w:sz w:val="21"/>
                      <w:szCs w:val="21"/>
                      <w:highlight w:val="none"/>
                      <w:lang w:val="en-US" w:eastAsia="zh-CN"/>
                    </w:rPr>
                    <w:t>医疗机构水污染物排放标准</w:t>
                  </w:r>
                  <w:r>
                    <w:rPr>
                      <w:rFonts w:hint="default" w:ascii="Times New Roman" w:hAnsi="Times New Roman" w:cs="Times New Roman"/>
                      <w:color w:val="auto"/>
                      <w:sz w:val="21"/>
                      <w:szCs w:val="21"/>
                      <w:highlight w:val="none"/>
                    </w:rPr>
                    <w:t>》（GB</w:t>
                  </w:r>
                  <w:r>
                    <w:rPr>
                      <w:rFonts w:hint="default" w:ascii="Times New Roman" w:hAnsi="Times New Roman" w:cs="Times New Roman"/>
                      <w:color w:val="auto"/>
                      <w:sz w:val="21"/>
                      <w:szCs w:val="21"/>
                      <w:highlight w:val="none"/>
                      <w:lang w:val="en-US" w:eastAsia="zh-CN"/>
                    </w:rPr>
                    <w:t>18466-2005</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表2预处理排放标准</w:t>
                  </w:r>
                </w:p>
              </w:tc>
            </w:tr>
            <w:tr w14:paraId="1EB12B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dxa"/>
                  <w:vMerge w:val="continue"/>
                  <w:tcBorders>
                    <w:tl2br w:val="nil"/>
                    <w:tr2bl w:val="nil"/>
                  </w:tcBorders>
                  <w:noWrap w:val="0"/>
                  <w:vAlign w:val="center"/>
                </w:tcPr>
                <w:p w14:paraId="1BE4D060">
                  <w:pPr>
                    <w:pStyle w:val="156"/>
                    <w:bidi w:val="0"/>
                    <w:rPr>
                      <w:rFonts w:hint="default" w:ascii="Times New Roman" w:hAnsi="Times New Roman" w:cs="Times New Roman"/>
                      <w:color w:val="auto"/>
                      <w:sz w:val="21"/>
                      <w:szCs w:val="21"/>
                      <w:highlight w:val="none"/>
                      <w:lang w:val="en-US" w:eastAsia="zh-CN"/>
                    </w:rPr>
                  </w:pPr>
                </w:p>
              </w:tc>
              <w:tc>
                <w:tcPr>
                  <w:tcW w:w="1275" w:type="dxa"/>
                  <w:tcBorders>
                    <w:tl2br w:val="nil"/>
                    <w:tr2bl w:val="nil"/>
                  </w:tcBorders>
                  <w:noWrap w:val="0"/>
                  <w:vAlign w:val="center"/>
                </w:tcPr>
                <w:p w14:paraId="0903A612">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氨氮</w:t>
                  </w:r>
                </w:p>
              </w:tc>
              <w:tc>
                <w:tcPr>
                  <w:tcW w:w="1305" w:type="dxa"/>
                  <w:tcBorders>
                    <w:tl2br w:val="nil"/>
                    <w:tr2bl w:val="nil"/>
                  </w:tcBorders>
                  <w:noWrap w:val="0"/>
                  <w:vAlign w:val="center"/>
                </w:tcPr>
                <w:p w14:paraId="61FE4780">
                  <w:pPr>
                    <w:keepNext w:val="0"/>
                    <w:keepLines w:val="0"/>
                    <w:pageBreakBefore w:val="0"/>
                    <w:kinsoku/>
                    <w:wordWrap/>
                    <w:overflowPunct/>
                    <w:topLinePunct w:val="0"/>
                    <w:autoSpaceDE/>
                    <w:autoSpaceDN/>
                    <w:bidi w:val="0"/>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5.13</w:t>
                  </w:r>
                  <w:r>
                    <w:rPr>
                      <w:rStyle w:val="37"/>
                      <w:rFonts w:hint="default" w:ascii="Times New Roman" w:hAnsi="Times New Roman" w:eastAsia="宋体" w:cs="Times New Roman"/>
                      <w:color w:val="auto"/>
                      <w:kern w:val="2"/>
                      <w:sz w:val="21"/>
                      <w:highlight w:val="none"/>
                      <w:lang w:val="en-US" w:eastAsia="zh-CN" w:bidi="ar-SA"/>
                    </w:rPr>
                    <w:t>mg/L</w:t>
                  </w:r>
                </w:p>
              </w:tc>
              <w:tc>
                <w:tcPr>
                  <w:tcW w:w="1215" w:type="dxa"/>
                  <w:tcBorders>
                    <w:tl2br w:val="nil"/>
                    <w:tr2bl w:val="nil"/>
                  </w:tcBorders>
                  <w:noWrap w:val="0"/>
                  <w:vAlign w:val="center"/>
                </w:tcPr>
                <w:p w14:paraId="1C177664">
                  <w:pPr>
                    <w:keepNext w:val="0"/>
                    <w:keepLines w:val="0"/>
                    <w:pageBreakBefore w:val="0"/>
                    <w:kinsoku/>
                    <w:wordWrap/>
                    <w:overflowPunct/>
                    <w:topLinePunct w:val="0"/>
                    <w:autoSpaceDE/>
                    <w:autoSpaceDN/>
                    <w:bidi w:val="0"/>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w:t>
                  </w:r>
                </w:p>
              </w:tc>
              <w:tc>
                <w:tcPr>
                  <w:tcW w:w="1395" w:type="dxa"/>
                  <w:vMerge w:val="continue"/>
                  <w:tcBorders>
                    <w:tl2br w:val="nil"/>
                    <w:tr2bl w:val="nil"/>
                  </w:tcBorders>
                  <w:noWrap w:val="0"/>
                  <w:vAlign w:val="center"/>
                </w:tcPr>
                <w:p w14:paraId="59508B8C">
                  <w:pPr>
                    <w:pStyle w:val="156"/>
                    <w:bidi w:val="0"/>
                    <w:rPr>
                      <w:rFonts w:hint="default" w:ascii="Times New Roman" w:hAnsi="Times New Roman" w:cs="Times New Roman"/>
                      <w:color w:val="auto"/>
                      <w:sz w:val="21"/>
                      <w:szCs w:val="21"/>
                      <w:highlight w:val="none"/>
                      <w:lang w:val="en-US" w:eastAsia="zh-CN"/>
                    </w:rPr>
                  </w:pPr>
                </w:p>
              </w:tc>
              <w:tc>
                <w:tcPr>
                  <w:tcW w:w="2133" w:type="dxa"/>
                  <w:vMerge w:val="continue"/>
                  <w:tcBorders>
                    <w:tl2br w:val="nil"/>
                    <w:tr2bl w:val="nil"/>
                  </w:tcBorders>
                  <w:noWrap w:val="0"/>
                  <w:vAlign w:val="center"/>
                </w:tcPr>
                <w:p w14:paraId="40E825A6">
                  <w:pPr>
                    <w:pStyle w:val="156"/>
                    <w:bidi w:val="0"/>
                    <w:rPr>
                      <w:rFonts w:hint="default" w:ascii="Times New Roman" w:hAnsi="Times New Roman" w:cs="Times New Roman"/>
                      <w:color w:val="auto"/>
                      <w:sz w:val="21"/>
                      <w:szCs w:val="21"/>
                      <w:highlight w:val="none"/>
                      <w:lang w:val="en-US" w:eastAsia="zh-CN"/>
                    </w:rPr>
                  </w:pPr>
                </w:p>
              </w:tc>
            </w:tr>
            <w:tr w14:paraId="20AF32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dxa"/>
                  <w:vMerge w:val="continue"/>
                  <w:tcBorders>
                    <w:tl2br w:val="nil"/>
                    <w:tr2bl w:val="nil"/>
                  </w:tcBorders>
                  <w:noWrap w:val="0"/>
                  <w:vAlign w:val="center"/>
                </w:tcPr>
                <w:p w14:paraId="142047E4">
                  <w:pPr>
                    <w:pStyle w:val="156"/>
                    <w:bidi w:val="0"/>
                    <w:rPr>
                      <w:rFonts w:hint="default" w:ascii="Times New Roman" w:hAnsi="Times New Roman" w:cs="Times New Roman"/>
                      <w:color w:val="auto"/>
                      <w:sz w:val="21"/>
                      <w:szCs w:val="21"/>
                      <w:highlight w:val="none"/>
                      <w:lang w:val="en-US" w:eastAsia="zh-CN"/>
                    </w:rPr>
                  </w:pPr>
                </w:p>
              </w:tc>
              <w:tc>
                <w:tcPr>
                  <w:tcW w:w="1275" w:type="dxa"/>
                  <w:tcBorders>
                    <w:tl2br w:val="nil"/>
                    <w:tr2bl w:val="nil"/>
                  </w:tcBorders>
                  <w:noWrap w:val="0"/>
                  <w:vAlign w:val="center"/>
                </w:tcPr>
                <w:p w14:paraId="754CF9A4">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BOD</w:t>
                  </w:r>
                  <w:r>
                    <w:rPr>
                      <w:rFonts w:hint="default" w:ascii="Times New Roman" w:hAnsi="Times New Roman" w:cs="Times New Roman"/>
                      <w:color w:val="auto"/>
                      <w:sz w:val="21"/>
                      <w:szCs w:val="21"/>
                      <w:highlight w:val="none"/>
                      <w:vertAlign w:val="subscript"/>
                      <w:lang w:val="en-US" w:eastAsia="zh-CN"/>
                    </w:rPr>
                    <w:t>5</w:t>
                  </w:r>
                </w:p>
              </w:tc>
              <w:tc>
                <w:tcPr>
                  <w:tcW w:w="1305" w:type="dxa"/>
                  <w:tcBorders>
                    <w:tl2br w:val="nil"/>
                    <w:tr2bl w:val="nil"/>
                  </w:tcBorders>
                  <w:noWrap w:val="0"/>
                  <w:vAlign w:val="center"/>
                </w:tcPr>
                <w:p w14:paraId="478408D2">
                  <w:pPr>
                    <w:keepNext w:val="0"/>
                    <w:keepLines w:val="0"/>
                    <w:pageBreakBefore w:val="0"/>
                    <w:kinsoku/>
                    <w:wordWrap/>
                    <w:overflowPunct/>
                    <w:topLinePunct w:val="0"/>
                    <w:autoSpaceDE/>
                    <w:autoSpaceDN/>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10.4</w:t>
                  </w:r>
                  <w:r>
                    <w:rPr>
                      <w:rStyle w:val="37"/>
                      <w:rFonts w:hint="default" w:ascii="Times New Roman" w:hAnsi="Times New Roman" w:eastAsia="宋体" w:cs="Times New Roman"/>
                      <w:color w:val="auto"/>
                      <w:kern w:val="2"/>
                      <w:sz w:val="21"/>
                      <w:highlight w:val="none"/>
                      <w:lang w:val="en-US" w:eastAsia="zh-CN" w:bidi="ar-SA"/>
                    </w:rPr>
                    <w:t>mg/L</w:t>
                  </w:r>
                </w:p>
              </w:tc>
              <w:tc>
                <w:tcPr>
                  <w:tcW w:w="1215" w:type="dxa"/>
                  <w:tcBorders>
                    <w:tl2br w:val="nil"/>
                    <w:tr2bl w:val="nil"/>
                  </w:tcBorders>
                  <w:noWrap w:val="0"/>
                  <w:vAlign w:val="center"/>
                </w:tcPr>
                <w:p w14:paraId="3502333D">
                  <w:pPr>
                    <w:keepNext w:val="0"/>
                    <w:keepLines w:val="0"/>
                    <w:pageBreakBefore w:val="0"/>
                    <w:kinsoku/>
                    <w:wordWrap/>
                    <w:overflowPunct/>
                    <w:topLinePunct w:val="0"/>
                    <w:autoSpaceDE/>
                    <w:autoSpaceDN/>
                    <w:bidi w:val="0"/>
                    <w:spacing w:line="360" w:lineRule="exact"/>
                    <w:ind w:firstLine="0" w:firstLineChars="0"/>
                    <w:jc w:val="center"/>
                    <w:rPr>
                      <w:rFonts w:hint="default" w:ascii="Times New Roman" w:hAnsi="Times New Roman" w:cs="Times New Roman"/>
                      <w:color w:val="auto"/>
                      <w:kern w:val="0"/>
                      <w:sz w:val="21"/>
                      <w:szCs w:val="21"/>
                      <w:highlight w:val="none"/>
                    </w:rPr>
                  </w:pPr>
                  <w:r>
                    <w:rPr>
                      <w:rStyle w:val="37"/>
                      <w:rFonts w:hint="default" w:ascii="Times New Roman" w:hAnsi="Times New Roman" w:eastAsia="宋体" w:cs="Times New Roman"/>
                      <w:color w:val="auto"/>
                      <w:kern w:val="2"/>
                      <w:sz w:val="21"/>
                      <w:highlight w:val="none"/>
                      <w:lang w:val="en-US" w:eastAsia="zh-CN" w:bidi="ar-SA"/>
                    </w:rPr>
                    <w:t>100mg/L</w:t>
                  </w:r>
                </w:p>
              </w:tc>
              <w:tc>
                <w:tcPr>
                  <w:tcW w:w="1395" w:type="dxa"/>
                  <w:vMerge w:val="continue"/>
                  <w:tcBorders>
                    <w:tl2br w:val="nil"/>
                    <w:tr2bl w:val="nil"/>
                  </w:tcBorders>
                  <w:noWrap w:val="0"/>
                  <w:vAlign w:val="center"/>
                </w:tcPr>
                <w:p w14:paraId="4399FFEC">
                  <w:pPr>
                    <w:pStyle w:val="156"/>
                    <w:bidi w:val="0"/>
                    <w:rPr>
                      <w:rFonts w:hint="default" w:ascii="Times New Roman" w:hAnsi="Times New Roman" w:cs="Times New Roman"/>
                      <w:color w:val="auto"/>
                      <w:sz w:val="21"/>
                      <w:szCs w:val="21"/>
                      <w:highlight w:val="none"/>
                      <w:lang w:val="en-US" w:eastAsia="zh-CN"/>
                    </w:rPr>
                  </w:pPr>
                </w:p>
              </w:tc>
              <w:tc>
                <w:tcPr>
                  <w:tcW w:w="2133" w:type="dxa"/>
                  <w:vMerge w:val="continue"/>
                  <w:tcBorders>
                    <w:tl2br w:val="nil"/>
                    <w:tr2bl w:val="nil"/>
                  </w:tcBorders>
                  <w:noWrap w:val="0"/>
                  <w:vAlign w:val="center"/>
                </w:tcPr>
                <w:p w14:paraId="14E1B2F5">
                  <w:pPr>
                    <w:pStyle w:val="156"/>
                    <w:bidi w:val="0"/>
                    <w:rPr>
                      <w:rFonts w:hint="default" w:ascii="Times New Roman" w:hAnsi="Times New Roman" w:cs="Times New Roman"/>
                      <w:color w:val="auto"/>
                      <w:sz w:val="21"/>
                      <w:szCs w:val="21"/>
                      <w:highlight w:val="none"/>
                      <w:lang w:val="en-US" w:eastAsia="zh-CN"/>
                    </w:rPr>
                  </w:pPr>
                </w:p>
              </w:tc>
            </w:tr>
            <w:tr w14:paraId="239226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dxa"/>
                  <w:vMerge w:val="continue"/>
                  <w:tcBorders>
                    <w:tl2br w:val="nil"/>
                    <w:tr2bl w:val="nil"/>
                  </w:tcBorders>
                  <w:noWrap w:val="0"/>
                  <w:vAlign w:val="center"/>
                </w:tcPr>
                <w:p w14:paraId="207ACAF8">
                  <w:pPr>
                    <w:pStyle w:val="156"/>
                    <w:bidi w:val="0"/>
                    <w:rPr>
                      <w:rFonts w:hint="default" w:ascii="Times New Roman" w:hAnsi="Times New Roman" w:cs="Times New Roman"/>
                      <w:color w:val="auto"/>
                      <w:sz w:val="21"/>
                      <w:szCs w:val="21"/>
                      <w:highlight w:val="none"/>
                      <w:lang w:val="en-US" w:eastAsia="zh-CN"/>
                    </w:rPr>
                  </w:pPr>
                </w:p>
              </w:tc>
              <w:tc>
                <w:tcPr>
                  <w:tcW w:w="1275" w:type="dxa"/>
                  <w:tcBorders>
                    <w:tl2br w:val="nil"/>
                    <w:tr2bl w:val="nil"/>
                  </w:tcBorders>
                  <w:noWrap w:val="0"/>
                  <w:vAlign w:val="center"/>
                </w:tcPr>
                <w:p w14:paraId="012C74C9">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SS</w:t>
                  </w:r>
                </w:p>
              </w:tc>
              <w:tc>
                <w:tcPr>
                  <w:tcW w:w="1305" w:type="dxa"/>
                  <w:tcBorders>
                    <w:tl2br w:val="nil"/>
                    <w:tr2bl w:val="nil"/>
                  </w:tcBorders>
                  <w:noWrap w:val="0"/>
                  <w:vAlign w:val="center"/>
                </w:tcPr>
                <w:p w14:paraId="3354FD90">
                  <w:pPr>
                    <w:keepNext w:val="0"/>
                    <w:keepLines w:val="0"/>
                    <w:pageBreakBefore w:val="0"/>
                    <w:kinsoku/>
                    <w:wordWrap/>
                    <w:overflowPunct/>
                    <w:topLinePunct w:val="0"/>
                    <w:autoSpaceDE/>
                    <w:autoSpaceDN/>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49</w:t>
                  </w:r>
                  <w:r>
                    <w:rPr>
                      <w:rStyle w:val="37"/>
                      <w:rFonts w:hint="default" w:ascii="Times New Roman" w:hAnsi="Times New Roman" w:eastAsia="宋体" w:cs="Times New Roman"/>
                      <w:color w:val="auto"/>
                      <w:kern w:val="2"/>
                      <w:sz w:val="21"/>
                      <w:highlight w:val="none"/>
                      <w:lang w:val="en-US" w:eastAsia="zh-CN" w:bidi="ar-SA"/>
                    </w:rPr>
                    <w:t>mg/L</w:t>
                  </w:r>
                </w:p>
              </w:tc>
              <w:tc>
                <w:tcPr>
                  <w:tcW w:w="1215" w:type="dxa"/>
                  <w:tcBorders>
                    <w:tl2br w:val="nil"/>
                    <w:tr2bl w:val="nil"/>
                  </w:tcBorders>
                  <w:noWrap w:val="0"/>
                  <w:vAlign w:val="center"/>
                </w:tcPr>
                <w:p w14:paraId="69DBB9C4">
                  <w:pPr>
                    <w:keepNext w:val="0"/>
                    <w:keepLines w:val="0"/>
                    <w:pageBreakBefore w:val="0"/>
                    <w:kinsoku/>
                    <w:wordWrap/>
                    <w:overflowPunct/>
                    <w:topLinePunct w:val="0"/>
                    <w:autoSpaceDE/>
                    <w:autoSpaceDN/>
                    <w:bidi w:val="0"/>
                    <w:spacing w:line="360" w:lineRule="exact"/>
                    <w:ind w:firstLine="0" w:firstLineChars="0"/>
                    <w:jc w:val="center"/>
                    <w:rPr>
                      <w:rFonts w:hint="default" w:ascii="Times New Roman" w:hAnsi="Times New Roman" w:cs="Times New Roman"/>
                      <w:color w:val="auto"/>
                      <w:kern w:val="0"/>
                      <w:sz w:val="21"/>
                      <w:szCs w:val="21"/>
                      <w:highlight w:val="none"/>
                    </w:rPr>
                  </w:pPr>
                  <w:r>
                    <w:rPr>
                      <w:rStyle w:val="37"/>
                      <w:rFonts w:hint="default" w:ascii="Times New Roman" w:hAnsi="Times New Roman" w:eastAsia="宋体" w:cs="Times New Roman"/>
                      <w:color w:val="auto"/>
                      <w:kern w:val="2"/>
                      <w:sz w:val="21"/>
                      <w:highlight w:val="none"/>
                      <w:lang w:val="en-US" w:eastAsia="zh-CN" w:bidi="ar-SA"/>
                    </w:rPr>
                    <w:t>60mg/L</w:t>
                  </w:r>
                </w:p>
              </w:tc>
              <w:tc>
                <w:tcPr>
                  <w:tcW w:w="1395" w:type="dxa"/>
                  <w:vMerge w:val="continue"/>
                  <w:tcBorders>
                    <w:tl2br w:val="nil"/>
                    <w:tr2bl w:val="nil"/>
                  </w:tcBorders>
                  <w:noWrap w:val="0"/>
                  <w:vAlign w:val="center"/>
                </w:tcPr>
                <w:p w14:paraId="29C2AA3E">
                  <w:pPr>
                    <w:pStyle w:val="156"/>
                    <w:bidi w:val="0"/>
                    <w:rPr>
                      <w:rFonts w:hint="default" w:ascii="Times New Roman" w:hAnsi="Times New Roman" w:cs="Times New Roman"/>
                      <w:color w:val="auto"/>
                      <w:sz w:val="21"/>
                      <w:szCs w:val="21"/>
                      <w:highlight w:val="none"/>
                      <w:lang w:val="en-US" w:eastAsia="zh-CN"/>
                    </w:rPr>
                  </w:pPr>
                </w:p>
              </w:tc>
              <w:tc>
                <w:tcPr>
                  <w:tcW w:w="2133" w:type="dxa"/>
                  <w:vMerge w:val="continue"/>
                  <w:tcBorders>
                    <w:tl2br w:val="nil"/>
                    <w:tr2bl w:val="nil"/>
                  </w:tcBorders>
                  <w:noWrap w:val="0"/>
                  <w:vAlign w:val="center"/>
                </w:tcPr>
                <w:p w14:paraId="451798C1">
                  <w:pPr>
                    <w:pStyle w:val="156"/>
                    <w:bidi w:val="0"/>
                    <w:rPr>
                      <w:rFonts w:hint="default" w:ascii="Times New Roman" w:hAnsi="Times New Roman" w:cs="Times New Roman"/>
                      <w:color w:val="auto"/>
                      <w:sz w:val="21"/>
                      <w:szCs w:val="21"/>
                      <w:highlight w:val="none"/>
                      <w:lang w:val="en-US" w:eastAsia="zh-CN"/>
                    </w:rPr>
                  </w:pPr>
                </w:p>
              </w:tc>
            </w:tr>
            <w:tr w14:paraId="735F09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dxa"/>
                  <w:vMerge w:val="continue"/>
                  <w:tcBorders>
                    <w:tl2br w:val="nil"/>
                    <w:tr2bl w:val="nil"/>
                  </w:tcBorders>
                  <w:noWrap w:val="0"/>
                  <w:vAlign w:val="center"/>
                </w:tcPr>
                <w:p w14:paraId="63420100">
                  <w:pPr>
                    <w:pStyle w:val="156"/>
                    <w:bidi w:val="0"/>
                    <w:rPr>
                      <w:rFonts w:hint="default" w:ascii="Times New Roman" w:hAnsi="Times New Roman" w:cs="Times New Roman"/>
                      <w:color w:val="auto"/>
                      <w:sz w:val="21"/>
                      <w:szCs w:val="21"/>
                      <w:highlight w:val="none"/>
                      <w:lang w:val="en-US" w:eastAsia="zh-CN"/>
                    </w:rPr>
                  </w:pPr>
                </w:p>
              </w:tc>
              <w:tc>
                <w:tcPr>
                  <w:tcW w:w="1275" w:type="dxa"/>
                  <w:tcBorders>
                    <w:tl2br w:val="nil"/>
                    <w:tr2bl w:val="nil"/>
                  </w:tcBorders>
                  <w:noWrap w:val="0"/>
                  <w:vAlign w:val="center"/>
                </w:tcPr>
                <w:p w14:paraId="383406C0">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粪大肠菌群</w:t>
                  </w:r>
                </w:p>
              </w:tc>
              <w:tc>
                <w:tcPr>
                  <w:tcW w:w="1305" w:type="dxa"/>
                  <w:tcBorders>
                    <w:tl2br w:val="nil"/>
                    <w:tr2bl w:val="nil"/>
                  </w:tcBorders>
                  <w:noWrap w:val="0"/>
                  <w:vAlign w:val="center"/>
                </w:tcPr>
                <w:p w14:paraId="76AD16A9">
                  <w:pPr>
                    <w:keepNext w:val="0"/>
                    <w:keepLines w:val="0"/>
                    <w:pageBreakBefore w:val="0"/>
                    <w:kinsoku/>
                    <w:wordWrap/>
                    <w:overflowPunct/>
                    <w:topLinePunct w:val="0"/>
                    <w:autoSpaceDE/>
                    <w:autoSpaceDN/>
                    <w:bidi w:val="0"/>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1000</w:t>
                  </w:r>
                  <w:r>
                    <w:rPr>
                      <w:rStyle w:val="37"/>
                      <w:rFonts w:hint="default" w:ascii="Times New Roman" w:hAnsi="Times New Roman" w:eastAsia="宋体" w:cs="Times New Roman"/>
                      <w:color w:val="auto"/>
                      <w:kern w:val="2"/>
                      <w:sz w:val="21"/>
                      <w:highlight w:val="none"/>
                      <w:lang w:val="en-US" w:eastAsia="zh-CN" w:bidi="ar-SA"/>
                    </w:rPr>
                    <w:t>个/L</w:t>
                  </w:r>
                </w:p>
              </w:tc>
              <w:tc>
                <w:tcPr>
                  <w:tcW w:w="1215" w:type="dxa"/>
                  <w:tcBorders>
                    <w:tl2br w:val="nil"/>
                    <w:tr2bl w:val="nil"/>
                  </w:tcBorders>
                  <w:noWrap w:val="0"/>
                  <w:vAlign w:val="center"/>
                </w:tcPr>
                <w:p w14:paraId="62FD9CDE">
                  <w:pPr>
                    <w:keepNext w:val="0"/>
                    <w:keepLines w:val="0"/>
                    <w:pageBreakBefore w:val="0"/>
                    <w:kinsoku/>
                    <w:wordWrap/>
                    <w:overflowPunct/>
                    <w:topLinePunct w:val="0"/>
                    <w:autoSpaceDE/>
                    <w:autoSpaceDN/>
                    <w:bidi w:val="0"/>
                    <w:spacing w:line="360" w:lineRule="exact"/>
                    <w:ind w:firstLine="0" w:firstLineChars="0"/>
                    <w:jc w:val="center"/>
                    <w:rPr>
                      <w:rFonts w:hint="default" w:ascii="Times New Roman" w:hAnsi="Times New Roman" w:cs="Times New Roman"/>
                      <w:color w:val="auto"/>
                      <w:kern w:val="0"/>
                      <w:sz w:val="21"/>
                      <w:szCs w:val="21"/>
                      <w:highlight w:val="none"/>
                    </w:rPr>
                  </w:pPr>
                  <w:r>
                    <w:rPr>
                      <w:rStyle w:val="37"/>
                      <w:rFonts w:hint="default" w:ascii="Times New Roman" w:hAnsi="Times New Roman" w:eastAsia="宋体" w:cs="Times New Roman"/>
                      <w:color w:val="auto"/>
                      <w:kern w:val="2"/>
                      <w:sz w:val="21"/>
                      <w:highlight w:val="none"/>
                      <w:lang w:val="en-US" w:eastAsia="zh-CN" w:bidi="ar-SA"/>
                    </w:rPr>
                    <w:t>5000个/L</w:t>
                  </w:r>
                </w:p>
              </w:tc>
              <w:tc>
                <w:tcPr>
                  <w:tcW w:w="1395" w:type="dxa"/>
                  <w:vMerge w:val="continue"/>
                  <w:tcBorders>
                    <w:tl2br w:val="nil"/>
                    <w:tr2bl w:val="nil"/>
                  </w:tcBorders>
                  <w:noWrap w:val="0"/>
                  <w:vAlign w:val="center"/>
                </w:tcPr>
                <w:p w14:paraId="3AD7C750">
                  <w:pPr>
                    <w:pStyle w:val="156"/>
                    <w:bidi w:val="0"/>
                    <w:rPr>
                      <w:rFonts w:hint="default" w:ascii="Times New Roman" w:hAnsi="Times New Roman" w:cs="Times New Roman"/>
                      <w:color w:val="auto"/>
                      <w:sz w:val="21"/>
                      <w:szCs w:val="21"/>
                      <w:highlight w:val="none"/>
                      <w:lang w:val="en-US" w:eastAsia="zh-CN"/>
                    </w:rPr>
                  </w:pPr>
                </w:p>
              </w:tc>
              <w:tc>
                <w:tcPr>
                  <w:tcW w:w="2133" w:type="dxa"/>
                  <w:vMerge w:val="continue"/>
                  <w:tcBorders>
                    <w:tl2br w:val="nil"/>
                    <w:tr2bl w:val="nil"/>
                  </w:tcBorders>
                  <w:noWrap w:val="0"/>
                  <w:vAlign w:val="center"/>
                </w:tcPr>
                <w:p w14:paraId="599ACD6E">
                  <w:pPr>
                    <w:pStyle w:val="156"/>
                    <w:bidi w:val="0"/>
                    <w:rPr>
                      <w:rFonts w:hint="default" w:ascii="Times New Roman" w:hAnsi="Times New Roman" w:cs="Times New Roman"/>
                      <w:color w:val="auto"/>
                      <w:sz w:val="21"/>
                      <w:szCs w:val="21"/>
                      <w:highlight w:val="none"/>
                      <w:lang w:val="en-US" w:eastAsia="zh-CN"/>
                    </w:rPr>
                  </w:pPr>
                </w:p>
              </w:tc>
            </w:tr>
            <w:tr w14:paraId="5E1620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dxa"/>
                  <w:vMerge w:val="continue"/>
                  <w:tcBorders>
                    <w:tl2br w:val="nil"/>
                    <w:tr2bl w:val="nil"/>
                  </w:tcBorders>
                  <w:noWrap w:val="0"/>
                  <w:vAlign w:val="center"/>
                </w:tcPr>
                <w:p w14:paraId="766D5B1C">
                  <w:pPr>
                    <w:pStyle w:val="156"/>
                    <w:bidi w:val="0"/>
                    <w:rPr>
                      <w:rFonts w:hint="default" w:ascii="Times New Roman" w:hAnsi="Times New Roman" w:cs="Times New Roman"/>
                      <w:color w:val="auto"/>
                      <w:sz w:val="21"/>
                      <w:szCs w:val="21"/>
                      <w:highlight w:val="none"/>
                      <w:lang w:val="en-US" w:eastAsia="zh-CN"/>
                    </w:rPr>
                  </w:pPr>
                </w:p>
              </w:tc>
              <w:tc>
                <w:tcPr>
                  <w:tcW w:w="1275" w:type="dxa"/>
                  <w:tcBorders>
                    <w:tl2br w:val="nil"/>
                    <w:tr2bl w:val="nil"/>
                  </w:tcBorders>
                  <w:shd w:val="clear" w:color="auto" w:fill="auto"/>
                  <w:noWrap w:val="0"/>
                  <w:vAlign w:val="center"/>
                </w:tcPr>
                <w:p w14:paraId="51829412">
                  <w:pPr>
                    <w:pStyle w:val="156"/>
                    <w:bidi w:val="0"/>
                    <w:ind w:firstLine="0" w:firstLineChars="0"/>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动植物油</w:t>
                  </w:r>
                </w:p>
              </w:tc>
              <w:tc>
                <w:tcPr>
                  <w:tcW w:w="1305" w:type="dxa"/>
                  <w:tcBorders>
                    <w:tl2br w:val="nil"/>
                    <w:tr2bl w:val="nil"/>
                  </w:tcBorders>
                  <w:shd w:val="clear" w:color="auto" w:fill="auto"/>
                  <w:noWrap w:val="0"/>
                  <w:vAlign w:val="center"/>
                </w:tcPr>
                <w:p w14:paraId="5ACC1D13">
                  <w:pPr>
                    <w:keepNext w:val="0"/>
                    <w:keepLines w:val="0"/>
                    <w:pageBreakBefore w:val="0"/>
                    <w:kinsoku/>
                    <w:wordWrap/>
                    <w:overflowPunct/>
                    <w:topLinePunct w:val="0"/>
                    <w:autoSpaceDE/>
                    <w:autoSpaceDN/>
                    <w:bidi w:val="0"/>
                    <w:spacing w:line="360" w:lineRule="exact"/>
                    <w:ind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w:t>
                  </w:r>
                  <w:r>
                    <w:rPr>
                      <w:rStyle w:val="37"/>
                      <w:rFonts w:hint="default" w:ascii="Times New Roman" w:hAnsi="Times New Roman" w:eastAsia="宋体" w:cs="Times New Roman"/>
                      <w:color w:val="auto"/>
                      <w:kern w:val="2"/>
                      <w:sz w:val="21"/>
                      <w:highlight w:val="none"/>
                      <w:lang w:val="en-US" w:eastAsia="zh-CN" w:bidi="ar-SA"/>
                    </w:rPr>
                    <w:t>mg/L</w:t>
                  </w:r>
                </w:p>
              </w:tc>
              <w:tc>
                <w:tcPr>
                  <w:tcW w:w="1215" w:type="dxa"/>
                  <w:tcBorders>
                    <w:tl2br w:val="nil"/>
                    <w:tr2bl w:val="nil"/>
                  </w:tcBorders>
                  <w:shd w:val="clear" w:color="auto" w:fill="auto"/>
                  <w:noWrap w:val="0"/>
                  <w:vAlign w:val="center"/>
                </w:tcPr>
                <w:p w14:paraId="3830EE68">
                  <w:pPr>
                    <w:keepNext w:val="0"/>
                    <w:keepLines w:val="0"/>
                    <w:pageBreakBefore w:val="0"/>
                    <w:kinsoku/>
                    <w:wordWrap/>
                    <w:overflowPunct/>
                    <w:topLinePunct w:val="0"/>
                    <w:autoSpaceDE/>
                    <w:autoSpaceDN/>
                    <w:bidi w:val="0"/>
                    <w:spacing w:line="360" w:lineRule="exact"/>
                    <w:ind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w:t>
                  </w:r>
                  <w:r>
                    <w:rPr>
                      <w:rStyle w:val="37"/>
                      <w:rFonts w:hint="default" w:ascii="Times New Roman" w:hAnsi="Times New Roman" w:eastAsia="宋体" w:cs="Times New Roman"/>
                      <w:color w:val="auto"/>
                      <w:kern w:val="2"/>
                      <w:sz w:val="21"/>
                      <w:highlight w:val="none"/>
                      <w:lang w:val="en-US" w:eastAsia="zh-CN" w:bidi="ar-SA"/>
                    </w:rPr>
                    <w:t>mg/L</w:t>
                  </w:r>
                </w:p>
              </w:tc>
              <w:tc>
                <w:tcPr>
                  <w:tcW w:w="1395" w:type="dxa"/>
                  <w:vMerge w:val="continue"/>
                  <w:tcBorders>
                    <w:tl2br w:val="nil"/>
                    <w:tr2bl w:val="nil"/>
                  </w:tcBorders>
                  <w:noWrap w:val="0"/>
                  <w:vAlign w:val="center"/>
                </w:tcPr>
                <w:p w14:paraId="3EC9B4ED">
                  <w:pPr>
                    <w:pStyle w:val="156"/>
                    <w:bidi w:val="0"/>
                    <w:rPr>
                      <w:rFonts w:hint="default" w:ascii="Times New Roman" w:hAnsi="Times New Roman" w:cs="Times New Roman"/>
                      <w:color w:val="auto"/>
                      <w:sz w:val="21"/>
                      <w:szCs w:val="21"/>
                      <w:highlight w:val="none"/>
                      <w:lang w:val="en-US" w:eastAsia="zh-CN"/>
                    </w:rPr>
                  </w:pPr>
                </w:p>
              </w:tc>
              <w:tc>
                <w:tcPr>
                  <w:tcW w:w="2133" w:type="dxa"/>
                  <w:vMerge w:val="continue"/>
                  <w:tcBorders>
                    <w:tl2br w:val="nil"/>
                    <w:tr2bl w:val="nil"/>
                  </w:tcBorders>
                  <w:noWrap w:val="0"/>
                  <w:vAlign w:val="center"/>
                </w:tcPr>
                <w:p w14:paraId="2D98EC03">
                  <w:pPr>
                    <w:pStyle w:val="156"/>
                    <w:bidi w:val="0"/>
                    <w:rPr>
                      <w:rFonts w:hint="default" w:ascii="Times New Roman" w:hAnsi="Times New Roman" w:cs="Times New Roman"/>
                      <w:color w:val="auto"/>
                      <w:sz w:val="21"/>
                      <w:szCs w:val="21"/>
                      <w:highlight w:val="none"/>
                      <w:lang w:val="en-US" w:eastAsia="zh-CN"/>
                    </w:rPr>
                  </w:pPr>
                </w:p>
              </w:tc>
            </w:tr>
            <w:tr w14:paraId="4F40AF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dxa"/>
                  <w:vMerge w:val="continue"/>
                  <w:tcBorders>
                    <w:tl2br w:val="nil"/>
                    <w:tr2bl w:val="nil"/>
                  </w:tcBorders>
                  <w:noWrap w:val="0"/>
                  <w:vAlign w:val="center"/>
                </w:tcPr>
                <w:p w14:paraId="166533F4">
                  <w:pPr>
                    <w:pStyle w:val="156"/>
                    <w:bidi w:val="0"/>
                    <w:rPr>
                      <w:rFonts w:hint="default" w:ascii="Times New Roman" w:hAnsi="Times New Roman" w:cs="Times New Roman"/>
                      <w:color w:val="auto"/>
                      <w:sz w:val="21"/>
                      <w:szCs w:val="21"/>
                      <w:highlight w:val="none"/>
                      <w:lang w:val="en-US" w:eastAsia="zh-CN"/>
                    </w:rPr>
                  </w:pPr>
                </w:p>
              </w:tc>
              <w:tc>
                <w:tcPr>
                  <w:tcW w:w="1275" w:type="dxa"/>
                  <w:tcBorders>
                    <w:tl2br w:val="nil"/>
                    <w:tr2bl w:val="nil"/>
                  </w:tcBorders>
                  <w:shd w:val="clear" w:color="auto" w:fill="auto"/>
                  <w:noWrap w:val="0"/>
                  <w:vAlign w:val="center"/>
                </w:tcPr>
                <w:p w14:paraId="1A552E33">
                  <w:pPr>
                    <w:pStyle w:val="156"/>
                    <w:bidi w:val="0"/>
                    <w:ind w:firstLine="0" w:firstLineChars="0"/>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pH</w:t>
                  </w:r>
                </w:p>
              </w:tc>
              <w:tc>
                <w:tcPr>
                  <w:tcW w:w="1305" w:type="dxa"/>
                  <w:tcBorders>
                    <w:tl2br w:val="nil"/>
                    <w:tr2bl w:val="nil"/>
                  </w:tcBorders>
                  <w:shd w:val="clear" w:color="auto" w:fill="auto"/>
                  <w:noWrap w:val="0"/>
                  <w:vAlign w:val="center"/>
                </w:tcPr>
                <w:p w14:paraId="2BF20333">
                  <w:pPr>
                    <w:keepNext w:val="0"/>
                    <w:keepLines w:val="0"/>
                    <w:pageBreakBefore w:val="0"/>
                    <w:kinsoku/>
                    <w:wordWrap/>
                    <w:overflowPunct/>
                    <w:topLinePunct w:val="0"/>
                    <w:autoSpaceDE/>
                    <w:autoSpaceDN/>
                    <w:bidi w:val="0"/>
                    <w:spacing w:line="360" w:lineRule="exact"/>
                    <w:ind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7.46（无量纲）</w:t>
                  </w:r>
                </w:p>
              </w:tc>
              <w:tc>
                <w:tcPr>
                  <w:tcW w:w="1215" w:type="dxa"/>
                  <w:tcBorders>
                    <w:tl2br w:val="nil"/>
                    <w:tr2bl w:val="nil"/>
                  </w:tcBorders>
                  <w:shd w:val="clear" w:color="auto" w:fill="auto"/>
                  <w:noWrap w:val="0"/>
                  <w:vAlign w:val="center"/>
                </w:tcPr>
                <w:p w14:paraId="74A3862A">
                  <w:pPr>
                    <w:keepNext w:val="0"/>
                    <w:keepLines w:val="0"/>
                    <w:pageBreakBefore w:val="0"/>
                    <w:kinsoku/>
                    <w:wordWrap/>
                    <w:overflowPunct/>
                    <w:topLinePunct w:val="0"/>
                    <w:autoSpaceDE/>
                    <w:autoSpaceDN/>
                    <w:bidi w:val="0"/>
                    <w:spacing w:line="360" w:lineRule="exact"/>
                    <w:ind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6~9（无量纲）</w:t>
                  </w:r>
                </w:p>
              </w:tc>
              <w:tc>
                <w:tcPr>
                  <w:tcW w:w="1395" w:type="dxa"/>
                  <w:vMerge w:val="continue"/>
                  <w:tcBorders>
                    <w:tl2br w:val="nil"/>
                    <w:tr2bl w:val="nil"/>
                  </w:tcBorders>
                  <w:noWrap w:val="0"/>
                  <w:vAlign w:val="center"/>
                </w:tcPr>
                <w:p w14:paraId="5CCCCEAB">
                  <w:pPr>
                    <w:pStyle w:val="156"/>
                    <w:bidi w:val="0"/>
                    <w:rPr>
                      <w:rFonts w:hint="default" w:ascii="Times New Roman" w:hAnsi="Times New Roman" w:cs="Times New Roman"/>
                      <w:color w:val="auto"/>
                      <w:sz w:val="21"/>
                      <w:szCs w:val="21"/>
                      <w:highlight w:val="none"/>
                      <w:lang w:val="en-US" w:eastAsia="zh-CN"/>
                    </w:rPr>
                  </w:pPr>
                </w:p>
              </w:tc>
              <w:tc>
                <w:tcPr>
                  <w:tcW w:w="2133" w:type="dxa"/>
                  <w:vMerge w:val="continue"/>
                  <w:tcBorders>
                    <w:tl2br w:val="nil"/>
                    <w:tr2bl w:val="nil"/>
                  </w:tcBorders>
                  <w:noWrap w:val="0"/>
                  <w:vAlign w:val="center"/>
                </w:tcPr>
                <w:p w14:paraId="2CF5CB0F">
                  <w:pPr>
                    <w:pStyle w:val="156"/>
                    <w:bidi w:val="0"/>
                    <w:rPr>
                      <w:rFonts w:hint="default" w:ascii="Times New Roman" w:hAnsi="Times New Roman" w:cs="Times New Roman"/>
                      <w:color w:val="auto"/>
                      <w:sz w:val="21"/>
                      <w:szCs w:val="21"/>
                      <w:highlight w:val="none"/>
                      <w:lang w:val="en-US" w:eastAsia="zh-CN"/>
                    </w:rPr>
                  </w:pPr>
                </w:p>
              </w:tc>
            </w:tr>
            <w:tr w14:paraId="24905A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dxa"/>
                  <w:vMerge w:val="continue"/>
                  <w:tcBorders>
                    <w:tl2br w:val="nil"/>
                    <w:tr2bl w:val="nil"/>
                  </w:tcBorders>
                  <w:noWrap w:val="0"/>
                  <w:vAlign w:val="center"/>
                </w:tcPr>
                <w:p w14:paraId="0422F138">
                  <w:pPr>
                    <w:pStyle w:val="156"/>
                    <w:bidi w:val="0"/>
                    <w:rPr>
                      <w:rFonts w:hint="default" w:ascii="Times New Roman" w:hAnsi="Times New Roman" w:cs="Times New Roman"/>
                      <w:color w:val="auto"/>
                      <w:sz w:val="21"/>
                      <w:szCs w:val="21"/>
                      <w:highlight w:val="none"/>
                      <w:lang w:val="en-US" w:eastAsia="zh-CN"/>
                    </w:rPr>
                  </w:pPr>
                </w:p>
              </w:tc>
              <w:tc>
                <w:tcPr>
                  <w:tcW w:w="1275" w:type="dxa"/>
                  <w:tcBorders>
                    <w:tl2br w:val="nil"/>
                    <w:tr2bl w:val="nil"/>
                  </w:tcBorders>
                  <w:shd w:val="clear" w:color="auto" w:fill="auto"/>
                  <w:noWrap w:val="0"/>
                  <w:vAlign w:val="center"/>
                </w:tcPr>
                <w:p w14:paraId="4FF31183">
                  <w:pPr>
                    <w:pStyle w:val="156"/>
                    <w:bidi w:val="0"/>
                    <w:ind w:firstLine="0" w:firstLineChars="0"/>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总余氯</w:t>
                  </w:r>
                </w:p>
              </w:tc>
              <w:tc>
                <w:tcPr>
                  <w:tcW w:w="1305" w:type="dxa"/>
                  <w:tcBorders>
                    <w:tl2br w:val="nil"/>
                    <w:tr2bl w:val="nil"/>
                  </w:tcBorders>
                  <w:shd w:val="clear" w:color="auto" w:fill="auto"/>
                  <w:noWrap w:val="0"/>
                  <w:vAlign w:val="center"/>
                </w:tcPr>
                <w:p w14:paraId="0E819CC5">
                  <w:pPr>
                    <w:keepNext w:val="0"/>
                    <w:keepLines w:val="0"/>
                    <w:pageBreakBefore w:val="0"/>
                    <w:kinsoku/>
                    <w:wordWrap/>
                    <w:overflowPunct/>
                    <w:topLinePunct w:val="0"/>
                    <w:autoSpaceDE/>
                    <w:autoSpaceDN/>
                    <w:bidi w:val="0"/>
                    <w:spacing w:line="360" w:lineRule="exact"/>
                    <w:ind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1.39</w:t>
                  </w:r>
                  <w:r>
                    <w:rPr>
                      <w:rStyle w:val="37"/>
                      <w:rFonts w:hint="default" w:ascii="Times New Roman" w:hAnsi="Times New Roman" w:eastAsia="宋体" w:cs="Times New Roman"/>
                      <w:color w:val="auto"/>
                      <w:kern w:val="2"/>
                      <w:sz w:val="21"/>
                      <w:highlight w:val="none"/>
                      <w:lang w:val="en-US" w:eastAsia="zh-CN" w:bidi="ar-SA"/>
                    </w:rPr>
                    <w:t>mg/L</w:t>
                  </w:r>
                </w:p>
              </w:tc>
              <w:tc>
                <w:tcPr>
                  <w:tcW w:w="1215" w:type="dxa"/>
                  <w:tcBorders>
                    <w:tl2br w:val="nil"/>
                    <w:tr2bl w:val="nil"/>
                  </w:tcBorders>
                  <w:shd w:val="clear" w:color="auto" w:fill="auto"/>
                  <w:noWrap w:val="0"/>
                  <w:vAlign w:val="center"/>
                </w:tcPr>
                <w:p w14:paraId="5B742802">
                  <w:pPr>
                    <w:keepNext w:val="0"/>
                    <w:keepLines w:val="0"/>
                    <w:pageBreakBefore w:val="0"/>
                    <w:kinsoku/>
                    <w:wordWrap/>
                    <w:overflowPunct/>
                    <w:topLinePunct w:val="0"/>
                    <w:autoSpaceDE/>
                    <w:autoSpaceDN/>
                    <w:bidi w:val="0"/>
                    <w:spacing w:line="360" w:lineRule="exact"/>
                    <w:ind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w:t>
                  </w:r>
                </w:p>
              </w:tc>
              <w:tc>
                <w:tcPr>
                  <w:tcW w:w="1395" w:type="dxa"/>
                  <w:tcBorders>
                    <w:tl2br w:val="nil"/>
                    <w:tr2bl w:val="nil"/>
                  </w:tcBorders>
                  <w:noWrap w:val="0"/>
                  <w:vAlign w:val="center"/>
                </w:tcPr>
                <w:p w14:paraId="7D929296">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解除时间≥1h</w:t>
                  </w:r>
                </w:p>
              </w:tc>
              <w:tc>
                <w:tcPr>
                  <w:tcW w:w="2133" w:type="dxa"/>
                  <w:vMerge w:val="continue"/>
                  <w:tcBorders>
                    <w:tl2br w:val="nil"/>
                    <w:tr2bl w:val="nil"/>
                  </w:tcBorders>
                  <w:noWrap w:val="0"/>
                  <w:vAlign w:val="center"/>
                </w:tcPr>
                <w:p w14:paraId="751938FE">
                  <w:pPr>
                    <w:pStyle w:val="156"/>
                    <w:bidi w:val="0"/>
                    <w:rPr>
                      <w:rFonts w:hint="default" w:ascii="Times New Roman" w:hAnsi="Times New Roman" w:cs="Times New Roman"/>
                      <w:color w:val="auto"/>
                      <w:sz w:val="21"/>
                      <w:szCs w:val="21"/>
                      <w:highlight w:val="none"/>
                      <w:lang w:val="en-US" w:eastAsia="zh-CN"/>
                    </w:rPr>
                  </w:pPr>
                </w:p>
              </w:tc>
            </w:tr>
            <w:tr w14:paraId="67951D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dxa"/>
                  <w:tcBorders>
                    <w:tl2br w:val="nil"/>
                    <w:tr2bl w:val="nil"/>
                  </w:tcBorders>
                  <w:noWrap w:val="0"/>
                  <w:vAlign w:val="center"/>
                </w:tcPr>
                <w:p w14:paraId="071AB924">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噪声</w:t>
                  </w:r>
                </w:p>
              </w:tc>
              <w:tc>
                <w:tcPr>
                  <w:tcW w:w="1275" w:type="dxa"/>
                  <w:tcBorders>
                    <w:tl2br w:val="nil"/>
                    <w:tr2bl w:val="nil"/>
                  </w:tcBorders>
                  <w:noWrap w:val="0"/>
                  <w:vAlign w:val="center"/>
                </w:tcPr>
                <w:p w14:paraId="43979C6E">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噪声</w:t>
                  </w:r>
                </w:p>
              </w:tc>
              <w:tc>
                <w:tcPr>
                  <w:tcW w:w="2520" w:type="dxa"/>
                  <w:gridSpan w:val="2"/>
                  <w:tcBorders>
                    <w:tl2br w:val="nil"/>
                    <w:tr2bl w:val="nil"/>
                  </w:tcBorders>
                  <w:noWrap w:val="0"/>
                  <w:vAlign w:val="center"/>
                </w:tcPr>
                <w:p w14:paraId="65C3697F">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昼间≤60dB(A）</w:t>
                  </w:r>
                </w:p>
                <w:p w14:paraId="6E0322F7">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夜间≤50dB(A）</w:t>
                  </w:r>
                </w:p>
              </w:tc>
              <w:tc>
                <w:tcPr>
                  <w:tcW w:w="1395" w:type="dxa"/>
                  <w:tcBorders>
                    <w:tl2br w:val="nil"/>
                    <w:tr2bl w:val="nil"/>
                  </w:tcBorders>
                  <w:noWrap w:val="0"/>
                  <w:vAlign w:val="center"/>
                </w:tcPr>
                <w:p w14:paraId="495E5155">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采用低噪声设备、基础减震及隔声措施</w:t>
                  </w:r>
                </w:p>
              </w:tc>
              <w:tc>
                <w:tcPr>
                  <w:tcW w:w="2133" w:type="dxa"/>
                  <w:tcBorders>
                    <w:tl2br w:val="nil"/>
                    <w:tr2bl w:val="nil"/>
                  </w:tcBorders>
                  <w:noWrap w:val="0"/>
                  <w:vAlign w:val="center"/>
                </w:tcPr>
                <w:p w14:paraId="15917000">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厂界满足《工业企业厂界环境噪声排放标准》（GB12348-2008）2类标准</w:t>
                  </w:r>
                </w:p>
              </w:tc>
            </w:tr>
            <w:tr w14:paraId="34523E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dxa"/>
                  <w:vMerge w:val="restart"/>
                  <w:tcBorders>
                    <w:tl2br w:val="nil"/>
                    <w:tr2bl w:val="nil"/>
                  </w:tcBorders>
                  <w:noWrap w:val="0"/>
                  <w:vAlign w:val="center"/>
                </w:tcPr>
                <w:p w14:paraId="4A04C773">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固废</w:t>
                  </w:r>
                </w:p>
              </w:tc>
              <w:tc>
                <w:tcPr>
                  <w:tcW w:w="1275" w:type="dxa"/>
                  <w:tcBorders>
                    <w:tl2br w:val="nil"/>
                    <w:tr2bl w:val="nil"/>
                  </w:tcBorders>
                  <w:noWrap w:val="0"/>
                  <w:vAlign w:val="center"/>
                </w:tcPr>
                <w:p w14:paraId="40F3045A">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医疗废物</w:t>
                  </w:r>
                </w:p>
              </w:tc>
              <w:tc>
                <w:tcPr>
                  <w:tcW w:w="1305" w:type="dxa"/>
                  <w:tcBorders>
                    <w:tl2br w:val="nil"/>
                    <w:tr2bl w:val="nil"/>
                  </w:tcBorders>
                  <w:noWrap w:val="0"/>
                  <w:vAlign w:val="center"/>
                </w:tcPr>
                <w:p w14:paraId="591A6D48">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2.57</w:t>
                  </w:r>
                  <w:r>
                    <w:rPr>
                      <w:rFonts w:hint="default" w:ascii="Times New Roman" w:hAnsi="Times New Roman" w:cs="Times New Roman"/>
                      <w:color w:val="auto"/>
                      <w:spacing w:val="-2"/>
                      <w:sz w:val="21"/>
                      <w:szCs w:val="21"/>
                      <w:highlight w:val="none"/>
                    </w:rPr>
                    <w:t>t/a</w:t>
                  </w:r>
                </w:p>
              </w:tc>
              <w:tc>
                <w:tcPr>
                  <w:tcW w:w="2610" w:type="dxa"/>
                  <w:gridSpan w:val="2"/>
                  <w:tcBorders>
                    <w:tl2br w:val="nil"/>
                    <w:tr2bl w:val="nil"/>
                  </w:tcBorders>
                  <w:noWrap w:val="0"/>
                  <w:vAlign w:val="center"/>
                </w:tcPr>
                <w:p w14:paraId="0D98A72D">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集中收集，交由鸡西环发医疗废物处理中心处置</w:t>
                  </w:r>
                </w:p>
              </w:tc>
              <w:tc>
                <w:tcPr>
                  <w:tcW w:w="2133" w:type="dxa"/>
                  <w:tcBorders>
                    <w:tl2br w:val="nil"/>
                    <w:tr2bl w:val="nil"/>
                  </w:tcBorders>
                  <w:noWrap w:val="0"/>
                  <w:vAlign w:val="center"/>
                </w:tcPr>
                <w:p w14:paraId="79A6C64E">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100%处置</w:t>
                  </w:r>
                </w:p>
              </w:tc>
            </w:tr>
            <w:tr w14:paraId="12966A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dxa"/>
                  <w:vMerge w:val="continue"/>
                  <w:tcBorders>
                    <w:tl2br w:val="nil"/>
                    <w:tr2bl w:val="nil"/>
                  </w:tcBorders>
                  <w:noWrap w:val="0"/>
                  <w:vAlign w:val="center"/>
                </w:tcPr>
                <w:p w14:paraId="156BF4A0">
                  <w:pPr>
                    <w:pStyle w:val="156"/>
                    <w:bidi w:val="0"/>
                    <w:rPr>
                      <w:rFonts w:hint="default" w:ascii="Times New Roman" w:hAnsi="Times New Roman" w:cs="Times New Roman"/>
                      <w:color w:val="auto"/>
                      <w:sz w:val="21"/>
                      <w:szCs w:val="21"/>
                      <w:highlight w:val="none"/>
                      <w:lang w:val="en-US" w:eastAsia="zh-CN"/>
                    </w:rPr>
                  </w:pPr>
                </w:p>
              </w:tc>
              <w:tc>
                <w:tcPr>
                  <w:tcW w:w="1275" w:type="dxa"/>
                  <w:tcBorders>
                    <w:tl2br w:val="nil"/>
                    <w:tr2bl w:val="nil"/>
                  </w:tcBorders>
                  <w:noWrap w:val="0"/>
                  <w:vAlign w:val="center"/>
                </w:tcPr>
                <w:p w14:paraId="0B928B8D">
                  <w:pPr>
                    <w:pStyle w:val="129"/>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污泥</w:t>
                  </w:r>
                </w:p>
              </w:tc>
              <w:tc>
                <w:tcPr>
                  <w:tcW w:w="1305" w:type="dxa"/>
                  <w:tcBorders>
                    <w:tl2br w:val="nil"/>
                    <w:tr2bl w:val="nil"/>
                  </w:tcBorders>
                  <w:noWrap w:val="0"/>
                  <w:vAlign w:val="center"/>
                </w:tcPr>
                <w:p w14:paraId="049A3D3A">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13.2t/a</w:t>
                  </w:r>
                </w:p>
              </w:tc>
              <w:tc>
                <w:tcPr>
                  <w:tcW w:w="2610" w:type="dxa"/>
                  <w:gridSpan w:val="2"/>
                  <w:tcBorders>
                    <w:tl2br w:val="nil"/>
                    <w:tr2bl w:val="nil"/>
                  </w:tcBorders>
                  <w:noWrap w:val="0"/>
                  <w:vAlign w:val="center"/>
                </w:tcPr>
                <w:p w14:paraId="6C749C21">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集中收集，委托黑龙江京盛华环保科技有限公司处置</w:t>
                  </w:r>
                </w:p>
              </w:tc>
              <w:tc>
                <w:tcPr>
                  <w:tcW w:w="2133" w:type="dxa"/>
                  <w:tcBorders>
                    <w:tl2br w:val="nil"/>
                    <w:tr2bl w:val="nil"/>
                  </w:tcBorders>
                  <w:noWrap w:val="0"/>
                  <w:vAlign w:val="center"/>
                </w:tcPr>
                <w:p w14:paraId="7679634C">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100%处置</w:t>
                  </w:r>
                </w:p>
              </w:tc>
            </w:tr>
            <w:tr w14:paraId="0D3D42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dxa"/>
                  <w:vMerge w:val="continue"/>
                  <w:tcBorders>
                    <w:tl2br w:val="nil"/>
                    <w:tr2bl w:val="nil"/>
                  </w:tcBorders>
                  <w:noWrap w:val="0"/>
                  <w:vAlign w:val="center"/>
                </w:tcPr>
                <w:p w14:paraId="22067FFF">
                  <w:pPr>
                    <w:pStyle w:val="156"/>
                    <w:bidi w:val="0"/>
                    <w:rPr>
                      <w:rFonts w:hint="default" w:ascii="Times New Roman" w:hAnsi="Times New Roman" w:cs="Times New Roman"/>
                      <w:color w:val="auto"/>
                      <w:sz w:val="21"/>
                      <w:szCs w:val="21"/>
                      <w:highlight w:val="none"/>
                      <w:lang w:val="en-US" w:eastAsia="zh-CN"/>
                    </w:rPr>
                  </w:pPr>
                </w:p>
              </w:tc>
              <w:tc>
                <w:tcPr>
                  <w:tcW w:w="1275" w:type="dxa"/>
                  <w:tcBorders>
                    <w:tl2br w:val="nil"/>
                    <w:tr2bl w:val="nil"/>
                  </w:tcBorders>
                  <w:noWrap w:val="0"/>
                  <w:vAlign w:val="center"/>
                </w:tcPr>
                <w:p w14:paraId="5BA7EB58">
                  <w:pPr>
                    <w:pStyle w:val="129"/>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生活垃圾</w:t>
                  </w:r>
                </w:p>
              </w:tc>
              <w:tc>
                <w:tcPr>
                  <w:tcW w:w="1305" w:type="dxa"/>
                  <w:tcBorders>
                    <w:tl2br w:val="nil"/>
                    <w:tr2bl w:val="nil"/>
                  </w:tcBorders>
                  <w:noWrap w:val="0"/>
                  <w:vAlign w:val="center"/>
                </w:tcPr>
                <w:p w14:paraId="03E2A945">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87.3</w:t>
                  </w:r>
                </w:p>
              </w:tc>
              <w:tc>
                <w:tcPr>
                  <w:tcW w:w="2610" w:type="dxa"/>
                  <w:gridSpan w:val="2"/>
                  <w:tcBorders>
                    <w:tl2br w:val="nil"/>
                    <w:tr2bl w:val="nil"/>
                  </w:tcBorders>
                  <w:noWrap w:val="0"/>
                  <w:vAlign w:val="center"/>
                </w:tcPr>
                <w:p w14:paraId="03525597">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由市政部门统一处置</w:t>
                  </w:r>
                </w:p>
              </w:tc>
              <w:tc>
                <w:tcPr>
                  <w:tcW w:w="2133" w:type="dxa"/>
                  <w:tcBorders>
                    <w:tl2br w:val="nil"/>
                    <w:tr2bl w:val="nil"/>
                  </w:tcBorders>
                  <w:noWrap w:val="0"/>
                  <w:vAlign w:val="center"/>
                </w:tcPr>
                <w:p w14:paraId="320DF747">
                  <w:pPr>
                    <w:pStyle w:val="156"/>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100%处置</w:t>
                  </w:r>
                </w:p>
              </w:tc>
            </w:tr>
            <w:tr w14:paraId="52B497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817" w:type="dxa"/>
                  <w:gridSpan w:val="6"/>
                  <w:tcBorders>
                    <w:tl2br w:val="nil"/>
                    <w:tr2bl w:val="nil"/>
                  </w:tcBorders>
                  <w:noWrap w:val="0"/>
                  <w:vAlign w:val="center"/>
                </w:tcPr>
                <w:p w14:paraId="457549EA">
                  <w:pPr>
                    <w:pStyle w:val="156"/>
                    <w:bidi w:val="0"/>
                    <w:jc w:val="left"/>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bCs w:val="0"/>
                      <w:color w:val="auto"/>
                      <w:sz w:val="21"/>
                      <w:szCs w:val="21"/>
                      <w:highlight w:val="none"/>
                      <w:lang w:val="en-US" w:eastAsia="zh-CN"/>
                    </w:rPr>
                    <w:t>注：现有工程</w:t>
                  </w:r>
                  <w:r>
                    <w:rPr>
                      <w:rFonts w:hint="default" w:ascii="Times New Roman" w:hAnsi="Times New Roman" w:cs="Times New Roman"/>
                      <w:b/>
                      <w:bCs w:val="0"/>
                      <w:color w:val="auto"/>
                      <w:sz w:val="21"/>
                      <w:szCs w:val="21"/>
                      <w:highlight w:val="none"/>
                      <w:lang w:val="en-US" w:eastAsia="zh-CN"/>
                    </w:rPr>
                    <w:t>实际排放浓度</w:t>
                  </w:r>
                  <w:r>
                    <w:rPr>
                      <w:rFonts w:hint="eastAsia" w:ascii="Times New Roman" w:hAnsi="Times New Roman" w:cs="Times New Roman"/>
                      <w:b/>
                      <w:bCs w:val="0"/>
                      <w:color w:val="auto"/>
                      <w:sz w:val="21"/>
                      <w:szCs w:val="21"/>
                      <w:highlight w:val="none"/>
                      <w:lang w:val="en-US" w:eastAsia="zh-CN"/>
                    </w:rPr>
                    <w:t>数据来自2020年9月由黑龙江中策检测技术有限公司出具的验收检测报告内容。</w:t>
                  </w:r>
                </w:p>
              </w:tc>
            </w:tr>
          </w:tbl>
          <w:p w14:paraId="5D32D016">
            <w:pPr>
              <w:pStyle w:val="11"/>
              <w:keepNext w:val="0"/>
              <w:keepLines w:val="0"/>
              <w:pageBreakBefore w:val="0"/>
              <w:widowControl/>
              <w:kinsoku/>
              <w:wordWrap/>
              <w:overflowPunct/>
              <w:topLinePunct w:val="0"/>
              <w:autoSpaceDE/>
              <w:autoSpaceDN/>
              <w:bidi w:val="0"/>
              <w:adjustRightInd w:val="0"/>
              <w:snapToGrid w:val="0"/>
              <w:spacing w:before="0" w:after="0" w:line="520" w:lineRule="atLeast"/>
              <w:ind w:right="0" w:rightChars="0" w:firstLine="489"/>
              <w:jc w:val="both"/>
              <w:textAlignment w:val="auto"/>
              <w:rPr>
                <w:rFonts w:hint="default" w:ascii="Times New Roman" w:hAnsi="Times New Roman" w:eastAsia="宋体" w:cs="Times New Roman"/>
                <w:bCs w:val="0"/>
                <w:color w:val="auto"/>
                <w:kern w:val="0"/>
                <w:sz w:val="24"/>
                <w:szCs w:val="32"/>
                <w:highlight w:val="none"/>
                <w:lang w:val="en-US" w:eastAsia="zh-CN" w:bidi="ar-SA"/>
              </w:rPr>
            </w:pPr>
            <w:r>
              <w:rPr>
                <w:rFonts w:hint="eastAsia" w:ascii="Times New Roman" w:hAnsi="Times New Roman" w:eastAsia="宋体" w:cs="Times New Roman"/>
                <w:bCs w:val="0"/>
                <w:color w:val="auto"/>
                <w:kern w:val="0"/>
                <w:sz w:val="24"/>
                <w:szCs w:val="32"/>
                <w:highlight w:val="none"/>
                <w:lang w:val="en-US" w:eastAsia="zh-CN" w:bidi="ar-SA"/>
              </w:rPr>
              <w:t>通过由黑龙江中策检测技术有限公司2020年9月21日出具的验收监测报告可知，本项目现有工程验收监测期间污染物达标情况为：</w:t>
            </w:r>
            <w:r>
              <w:rPr>
                <w:rFonts w:hint="default" w:ascii="Times New Roman" w:hAnsi="Times New Roman" w:eastAsia="宋体" w:cs="Times New Roman"/>
                <w:bCs w:val="0"/>
                <w:color w:val="auto"/>
                <w:kern w:val="0"/>
                <w:sz w:val="24"/>
                <w:szCs w:val="32"/>
                <w:highlight w:val="none"/>
                <w:lang w:val="en-US" w:eastAsia="zh-CN" w:bidi="ar-SA"/>
              </w:rPr>
              <w:t>生产废水处理设施后监测结果中，化学需氧量排放浓度日均值为31mg/L</w:t>
            </w:r>
            <w:r>
              <w:rPr>
                <w:rFonts w:hint="eastAsia" w:cs="Times New Roman"/>
                <w:bCs w:val="0"/>
                <w:color w:val="auto"/>
                <w:kern w:val="0"/>
                <w:sz w:val="24"/>
                <w:szCs w:val="32"/>
                <w:highlight w:val="none"/>
                <w:lang w:val="en-US" w:eastAsia="zh-CN" w:bidi="ar-SA"/>
              </w:rPr>
              <w:t>；</w:t>
            </w:r>
            <w:r>
              <w:rPr>
                <w:rFonts w:hint="default" w:ascii="Times New Roman" w:hAnsi="Times New Roman" w:eastAsia="宋体" w:cs="Times New Roman"/>
                <w:bCs w:val="0"/>
                <w:color w:val="auto"/>
                <w:kern w:val="0"/>
                <w:sz w:val="24"/>
                <w:szCs w:val="32"/>
                <w:highlight w:val="none"/>
                <w:lang w:val="en-US" w:eastAsia="zh-CN" w:bidi="ar-SA"/>
              </w:rPr>
              <w:t>五日生化需氧量排放浓度日均值为10.4mg/L</w:t>
            </w:r>
            <w:r>
              <w:rPr>
                <w:rFonts w:hint="eastAsia" w:cs="Times New Roman"/>
                <w:bCs w:val="0"/>
                <w:color w:val="auto"/>
                <w:kern w:val="0"/>
                <w:sz w:val="24"/>
                <w:szCs w:val="32"/>
                <w:highlight w:val="none"/>
                <w:lang w:val="en-US" w:eastAsia="zh-CN" w:bidi="ar-SA"/>
              </w:rPr>
              <w:t>；</w:t>
            </w:r>
            <w:r>
              <w:rPr>
                <w:rFonts w:hint="default" w:ascii="Times New Roman" w:hAnsi="Times New Roman" w:eastAsia="宋体" w:cs="Times New Roman"/>
                <w:bCs w:val="0"/>
                <w:color w:val="auto"/>
                <w:kern w:val="0"/>
                <w:sz w:val="24"/>
                <w:szCs w:val="32"/>
                <w:highlight w:val="none"/>
                <w:lang w:val="en-US" w:eastAsia="zh-CN" w:bidi="ar-SA"/>
              </w:rPr>
              <w:t>氨氮排放浓度日均值为5.13mg/L</w:t>
            </w:r>
            <w:r>
              <w:rPr>
                <w:rFonts w:hint="eastAsia" w:cs="Times New Roman"/>
                <w:bCs w:val="0"/>
                <w:color w:val="auto"/>
                <w:kern w:val="0"/>
                <w:sz w:val="24"/>
                <w:szCs w:val="32"/>
                <w:highlight w:val="none"/>
                <w:lang w:val="en-US" w:eastAsia="zh-CN" w:bidi="ar-SA"/>
              </w:rPr>
              <w:t>；</w:t>
            </w:r>
            <w:r>
              <w:rPr>
                <w:rFonts w:hint="default" w:ascii="Times New Roman" w:hAnsi="Times New Roman" w:eastAsia="宋体" w:cs="Times New Roman"/>
                <w:bCs w:val="0"/>
                <w:color w:val="auto"/>
                <w:kern w:val="0"/>
                <w:sz w:val="24"/>
                <w:szCs w:val="32"/>
                <w:highlight w:val="none"/>
                <w:lang w:val="en-US" w:eastAsia="zh-CN" w:bidi="ar-SA"/>
              </w:rPr>
              <w:t>悬浮物排放浓度日均值为49mg/L</w:t>
            </w:r>
            <w:r>
              <w:rPr>
                <w:rFonts w:hint="eastAsia" w:cs="Times New Roman"/>
                <w:bCs w:val="0"/>
                <w:color w:val="auto"/>
                <w:kern w:val="0"/>
                <w:sz w:val="24"/>
                <w:szCs w:val="32"/>
                <w:highlight w:val="none"/>
                <w:lang w:val="en-US" w:eastAsia="zh-CN" w:bidi="ar-SA"/>
              </w:rPr>
              <w:t>；</w:t>
            </w:r>
            <w:r>
              <w:rPr>
                <w:rFonts w:hint="default" w:ascii="Times New Roman" w:hAnsi="Times New Roman" w:eastAsia="宋体" w:cs="Times New Roman"/>
                <w:bCs w:val="0"/>
                <w:color w:val="auto"/>
                <w:kern w:val="0"/>
                <w:sz w:val="24"/>
                <w:szCs w:val="32"/>
                <w:highlight w:val="none"/>
                <w:lang w:val="en-US" w:eastAsia="zh-CN" w:bidi="ar-SA"/>
              </w:rPr>
              <w:t>pH排放浓度日均值为7.46(无量纲)</w:t>
            </w:r>
            <w:r>
              <w:rPr>
                <w:rFonts w:hint="eastAsia" w:cs="Times New Roman"/>
                <w:bCs w:val="0"/>
                <w:color w:val="auto"/>
                <w:kern w:val="0"/>
                <w:sz w:val="24"/>
                <w:szCs w:val="32"/>
                <w:highlight w:val="none"/>
                <w:lang w:val="en-US" w:eastAsia="zh-CN" w:bidi="ar-SA"/>
              </w:rPr>
              <w:t>；</w:t>
            </w:r>
            <w:r>
              <w:rPr>
                <w:rFonts w:hint="default" w:ascii="Times New Roman" w:hAnsi="Times New Roman" w:eastAsia="宋体" w:cs="Times New Roman"/>
                <w:bCs w:val="0"/>
                <w:color w:val="auto"/>
                <w:kern w:val="0"/>
                <w:sz w:val="24"/>
                <w:szCs w:val="32"/>
                <w:highlight w:val="none"/>
                <w:lang w:val="en-US" w:eastAsia="zh-CN" w:bidi="ar-SA"/>
              </w:rPr>
              <w:t>总余氯排放浓度日均值为1.39mg/L</w:t>
            </w:r>
            <w:r>
              <w:rPr>
                <w:rFonts w:hint="eastAsia" w:cs="Times New Roman"/>
                <w:bCs w:val="0"/>
                <w:color w:val="auto"/>
                <w:kern w:val="0"/>
                <w:sz w:val="24"/>
                <w:szCs w:val="32"/>
                <w:highlight w:val="none"/>
                <w:lang w:val="en-US" w:eastAsia="zh-CN" w:bidi="ar-SA"/>
              </w:rPr>
              <w:t>；</w:t>
            </w:r>
            <w:r>
              <w:rPr>
                <w:rFonts w:hint="default" w:ascii="Times New Roman" w:hAnsi="Times New Roman" w:eastAsia="宋体" w:cs="Times New Roman"/>
                <w:bCs w:val="0"/>
                <w:color w:val="auto"/>
                <w:kern w:val="0"/>
                <w:sz w:val="24"/>
                <w:szCs w:val="32"/>
                <w:highlight w:val="none"/>
                <w:lang w:val="en-US" w:eastAsia="zh-CN" w:bidi="ar-SA"/>
              </w:rPr>
              <w:t>粪大肠菌群排放浓度日均值为1.0×10³MPN/L</w:t>
            </w:r>
            <w:r>
              <w:rPr>
                <w:rFonts w:hint="eastAsia" w:cs="Times New Roman"/>
                <w:bCs w:val="0"/>
                <w:color w:val="auto"/>
                <w:kern w:val="0"/>
                <w:sz w:val="24"/>
                <w:szCs w:val="32"/>
                <w:highlight w:val="none"/>
                <w:lang w:val="en-US" w:eastAsia="zh-CN" w:bidi="ar-SA"/>
              </w:rPr>
              <w:t>；</w:t>
            </w:r>
            <w:r>
              <w:rPr>
                <w:rFonts w:hint="default" w:ascii="Times New Roman" w:hAnsi="Times New Roman" w:eastAsia="宋体" w:cs="Times New Roman"/>
                <w:bCs w:val="0"/>
                <w:color w:val="auto"/>
                <w:kern w:val="0"/>
                <w:sz w:val="24"/>
                <w:szCs w:val="32"/>
                <w:highlight w:val="none"/>
                <w:lang w:val="en-US" w:eastAsia="zh-CN" w:bidi="ar-SA"/>
              </w:rPr>
              <w:t>动植物油排放浓度日均值为1.27mg/L</w:t>
            </w:r>
            <w:r>
              <w:rPr>
                <w:rFonts w:hint="eastAsia" w:cs="Times New Roman"/>
                <w:bCs w:val="0"/>
                <w:color w:val="auto"/>
                <w:kern w:val="0"/>
                <w:sz w:val="24"/>
                <w:szCs w:val="32"/>
                <w:highlight w:val="none"/>
                <w:lang w:val="en-US" w:eastAsia="zh-CN" w:bidi="ar-SA"/>
              </w:rPr>
              <w:t>；</w:t>
            </w:r>
            <w:r>
              <w:rPr>
                <w:rFonts w:hint="default" w:ascii="Times New Roman" w:hAnsi="Times New Roman" w:eastAsia="宋体" w:cs="Times New Roman"/>
                <w:bCs w:val="0"/>
                <w:color w:val="auto"/>
                <w:kern w:val="0"/>
                <w:sz w:val="24"/>
                <w:szCs w:val="32"/>
                <w:highlight w:val="none"/>
                <w:lang w:val="en-US" w:eastAsia="zh-CN" w:bidi="ar-SA"/>
              </w:rPr>
              <w:t>监测结果均符合《医疗机构水污染物排放标准》(GB18466-2005)中表2预处理标准限值的要求</w:t>
            </w:r>
            <w:r>
              <w:rPr>
                <w:rFonts w:hint="eastAsia" w:ascii="Times New Roman" w:hAnsi="Times New Roman" w:eastAsia="宋体" w:cs="Times New Roman"/>
                <w:bCs w:val="0"/>
                <w:color w:val="auto"/>
                <w:kern w:val="0"/>
                <w:sz w:val="24"/>
                <w:szCs w:val="32"/>
                <w:highlight w:val="none"/>
                <w:lang w:val="en-US" w:eastAsia="zh-CN" w:bidi="ar-SA"/>
              </w:rPr>
              <w:t>；</w:t>
            </w:r>
            <w:r>
              <w:rPr>
                <w:rFonts w:hint="default" w:ascii="Times New Roman" w:hAnsi="Times New Roman" w:eastAsia="宋体" w:cs="Times New Roman"/>
                <w:bCs w:val="0"/>
                <w:color w:val="auto"/>
                <w:kern w:val="0"/>
                <w:sz w:val="24"/>
                <w:szCs w:val="32"/>
                <w:highlight w:val="none"/>
                <w:lang w:val="en-US" w:eastAsia="zh-CN" w:bidi="ar-SA"/>
              </w:rPr>
              <w:t>监测点位油烟净化装置后气流平稳段饮食业油烟最大排放浓度为0.63mg/m³</w:t>
            </w:r>
            <w:r>
              <w:rPr>
                <w:rFonts w:hint="eastAsia" w:cs="Times New Roman"/>
                <w:bCs w:val="0"/>
                <w:color w:val="auto"/>
                <w:kern w:val="0"/>
                <w:sz w:val="24"/>
                <w:szCs w:val="32"/>
                <w:highlight w:val="none"/>
                <w:lang w:val="en-US" w:eastAsia="zh-CN" w:bidi="ar-SA"/>
              </w:rPr>
              <w:t>，</w:t>
            </w:r>
            <w:r>
              <w:rPr>
                <w:rFonts w:hint="default" w:ascii="Times New Roman" w:hAnsi="Times New Roman" w:eastAsia="宋体" w:cs="Times New Roman"/>
                <w:bCs w:val="0"/>
                <w:color w:val="auto"/>
                <w:kern w:val="0"/>
                <w:sz w:val="24"/>
                <w:szCs w:val="32"/>
                <w:highlight w:val="none"/>
                <w:lang w:val="en-US" w:eastAsia="zh-CN" w:bidi="ar-SA"/>
              </w:rPr>
              <w:t>处理效率为66%</w:t>
            </w:r>
            <w:r>
              <w:rPr>
                <w:rFonts w:hint="eastAsia" w:cs="Times New Roman"/>
                <w:bCs w:val="0"/>
                <w:color w:val="auto"/>
                <w:kern w:val="0"/>
                <w:sz w:val="24"/>
                <w:szCs w:val="32"/>
                <w:highlight w:val="none"/>
                <w:lang w:val="en-US" w:eastAsia="zh-CN" w:bidi="ar-SA"/>
              </w:rPr>
              <w:t>，</w:t>
            </w:r>
            <w:r>
              <w:rPr>
                <w:rFonts w:hint="default" w:ascii="Times New Roman" w:hAnsi="Times New Roman" w:eastAsia="宋体" w:cs="Times New Roman"/>
                <w:bCs w:val="0"/>
                <w:color w:val="auto"/>
                <w:kern w:val="0"/>
                <w:sz w:val="24"/>
                <w:szCs w:val="32"/>
                <w:highlight w:val="none"/>
                <w:lang w:val="en-US" w:eastAsia="zh-CN" w:bidi="ar-SA"/>
              </w:rPr>
              <w:t>监测结果符合《饮食业油烟排放标准(试行)》(GB18483-2001)表2中小型标准限值的要求</w:t>
            </w:r>
            <w:r>
              <w:rPr>
                <w:rFonts w:hint="eastAsia" w:ascii="Times New Roman" w:hAnsi="Times New Roman" w:eastAsia="宋体" w:cs="Times New Roman"/>
                <w:bCs w:val="0"/>
                <w:color w:val="auto"/>
                <w:kern w:val="0"/>
                <w:sz w:val="24"/>
                <w:szCs w:val="32"/>
                <w:highlight w:val="none"/>
                <w:lang w:val="en-US" w:eastAsia="zh-CN" w:bidi="ar-SA"/>
              </w:rPr>
              <w:t>；</w:t>
            </w:r>
            <w:r>
              <w:rPr>
                <w:rFonts w:hint="default" w:ascii="Times New Roman" w:hAnsi="Times New Roman" w:eastAsia="宋体" w:cs="Times New Roman"/>
                <w:bCs w:val="0"/>
                <w:color w:val="auto"/>
                <w:kern w:val="0"/>
                <w:sz w:val="24"/>
                <w:szCs w:val="32"/>
                <w:highlight w:val="none"/>
                <w:lang w:val="en-US" w:eastAsia="zh-CN" w:bidi="ar-SA"/>
              </w:rPr>
              <w:t>厂界昼间噪声监测值在48.6～56.5dB(A)之间，夜间噪声监测值在39.1～45.4dB(A)之间，以上监测结果符合《工业企业厂界环境噪声排放标准》(GB12348-2008)2类标准限值的要求</w:t>
            </w:r>
            <w:r>
              <w:rPr>
                <w:rFonts w:hint="eastAsia" w:ascii="Times New Roman" w:hAnsi="Times New Roman" w:eastAsia="宋体" w:cs="Times New Roman"/>
                <w:bCs w:val="0"/>
                <w:color w:val="auto"/>
                <w:kern w:val="0"/>
                <w:sz w:val="24"/>
                <w:szCs w:val="32"/>
                <w:highlight w:val="none"/>
                <w:lang w:val="en-US" w:eastAsia="zh-CN" w:bidi="ar-SA"/>
              </w:rPr>
              <w:t>；</w:t>
            </w:r>
            <w:r>
              <w:rPr>
                <w:rFonts w:hint="default" w:ascii="Times New Roman" w:hAnsi="Times New Roman" w:eastAsia="宋体" w:cs="Times New Roman"/>
                <w:bCs w:val="0"/>
                <w:color w:val="auto"/>
                <w:kern w:val="0"/>
                <w:sz w:val="24"/>
                <w:szCs w:val="32"/>
                <w:highlight w:val="none"/>
                <w:lang w:val="en-US" w:eastAsia="zh-CN" w:bidi="ar-SA"/>
              </w:rPr>
              <w:t>医疗废物分类收集，收集后送至医院现有医疗废物暂存间内贮存，最终由鸡西环发医疗废物处理中心处置；污水处理站污泥委托黑龙江京盛华环保科技有限公司处置；生活垃圾分类收集后由市政环卫部门统一处置。综上，现有主体工程污染物均达标排放，且医疗垃圾暂存间防渗技术要求满足《危险废物贮存污染控制标准》（GB18597-2023）中相关要求，</w:t>
            </w:r>
            <w:r>
              <w:rPr>
                <w:rFonts w:hint="eastAsia" w:cs="Times New Roman"/>
                <w:bCs w:val="0"/>
                <w:color w:val="auto"/>
                <w:kern w:val="0"/>
                <w:sz w:val="24"/>
                <w:szCs w:val="32"/>
                <w:highlight w:val="none"/>
                <w:lang w:val="en-US" w:eastAsia="zh-CN" w:bidi="ar-SA"/>
              </w:rPr>
              <w:t>现有环保工程均符合要求，</w:t>
            </w:r>
            <w:r>
              <w:rPr>
                <w:rFonts w:hint="default" w:ascii="Times New Roman" w:hAnsi="Times New Roman" w:eastAsia="宋体" w:cs="Times New Roman"/>
                <w:bCs w:val="0"/>
                <w:color w:val="auto"/>
                <w:kern w:val="0"/>
                <w:sz w:val="24"/>
                <w:szCs w:val="32"/>
                <w:highlight w:val="none"/>
                <w:lang w:val="en-US" w:eastAsia="zh-CN" w:bidi="ar-SA"/>
              </w:rPr>
              <w:t>不存在原有环境问题。主体工程中污染物不存在本次锅炉建设项目产生的污染物，故无需叠加计算污染值排放量。</w:t>
            </w:r>
          </w:p>
        </w:tc>
      </w:tr>
    </w:tbl>
    <w:p w14:paraId="42ED0350">
      <w:pPr>
        <w:pStyle w:val="31"/>
        <w:rPr>
          <w:rFonts w:hint="default" w:ascii="Times New Roman" w:hAnsi="Times New Roman" w:eastAsia="宋体" w:cs="Times New Roman"/>
          <w:snapToGrid w:val="0"/>
          <w:color w:val="auto"/>
          <w:spacing w:val="0"/>
          <w:highlight w:val="none"/>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14:paraId="464270A4">
      <w:pPr>
        <w:pStyle w:val="2"/>
        <w:spacing w:line="360" w:lineRule="auto"/>
        <w:jc w:val="center"/>
        <w:rPr>
          <w:rFonts w:hint="default" w:ascii="Times New Roman" w:hAnsi="Times New Roman" w:eastAsia="宋体" w:cs="Times New Roman"/>
          <w:bCs w:val="0"/>
          <w:color w:val="auto"/>
          <w:spacing w:val="0"/>
          <w:highlight w:val="none"/>
        </w:rPr>
      </w:pPr>
      <w:bookmarkStart w:id="6" w:name="_Toc71191477"/>
      <w:bookmarkStart w:id="7" w:name="_Toc2930"/>
      <w:bookmarkStart w:id="8" w:name="_Toc71191479"/>
      <w:bookmarkStart w:id="9" w:name="_Toc71191478"/>
      <w:r>
        <w:rPr>
          <w:rFonts w:hint="default" w:ascii="Times New Roman" w:hAnsi="Times New Roman" w:eastAsia="宋体" w:cs="Times New Roman"/>
          <w:bCs w:val="0"/>
          <w:color w:val="auto"/>
          <w:spacing w:val="0"/>
          <w:highlight w:val="none"/>
        </w:rPr>
        <w:t>三、区域环境质量现状、环境保护目标及评价标准</w:t>
      </w:r>
      <w:bookmarkEnd w:id="6"/>
      <w:bookmarkEnd w:id="7"/>
    </w:p>
    <w:tbl>
      <w:tblPr>
        <w:tblStyle w:val="3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8075"/>
      </w:tblGrid>
      <w:tr w14:paraId="15DE23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1" w:hRule="atLeast"/>
          <w:jc w:val="center"/>
        </w:trPr>
        <w:tc>
          <w:tcPr>
            <w:tcW w:w="542" w:type="dxa"/>
            <w:noWrap w:val="0"/>
            <w:vAlign w:val="center"/>
          </w:tcPr>
          <w:p w14:paraId="0AA1CDFE">
            <w:pPr>
              <w:spacing w:line="240" w:lineRule="auto"/>
              <w:ind w:firstLine="0" w:firstLineChars="0"/>
              <w:jc w:val="center"/>
              <w:rPr>
                <w:rFonts w:hint="default" w:ascii="Times New Roman" w:hAnsi="Times New Roman" w:eastAsia="宋体" w:cs="Times New Roman"/>
                <w:color w:val="auto"/>
                <w:spacing w:val="0"/>
                <w:kern w:val="0"/>
                <w:highlight w:val="none"/>
              </w:rPr>
            </w:pPr>
            <w:r>
              <w:rPr>
                <w:rFonts w:hint="default" w:ascii="Times New Roman" w:hAnsi="Times New Roman" w:eastAsia="宋体" w:cs="Times New Roman"/>
                <w:color w:val="auto"/>
                <w:spacing w:val="0"/>
                <w:kern w:val="0"/>
                <w:highlight w:val="none"/>
              </w:rPr>
              <w:t>区域</w:t>
            </w:r>
          </w:p>
          <w:p w14:paraId="6C74CD90">
            <w:pPr>
              <w:spacing w:line="240" w:lineRule="auto"/>
              <w:ind w:firstLine="0" w:firstLineChars="0"/>
              <w:jc w:val="center"/>
              <w:rPr>
                <w:rFonts w:hint="default" w:ascii="Times New Roman" w:hAnsi="Times New Roman" w:eastAsia="宋体" w:cs="Times New Roman"/>
                <w:color w:val="auto"/>
                <w:spacing w:val="0"/>
                <w:kern w:val="0"/>
                <w:highlight w:val="none"/>
              </w:rPr>
            </w:pPr>
            <w:r>
              <w:rPr>
                <w:rFonts w:hint="default" w:ascii="Times New Roman" w:hAnsi="Times New Roman" w:eastAsia="宋体" w:cs="Times New Roman"/>
                <w:color w:val="auto"/>
                <w:spacing w:val="0"/>
                <w:kern w:val="0"/>
                <w:highlight w:val="none"/>
              </w:rPr>
              <w:t>环境</w:t>
            </w:r>
          </w:p>
          <w:p w14:paraId="1608BBF7">
            <w:pPr>
              <w:spacing w:line="240" w:lineRule="auto"/>
              <w:ind w:firstLine="0" w:firstLineChars="0"/>
              <w:jc w:val="center"/>
              <w:rPr>
                <w:rFonts w:hint="default" w:ascii="Times New Roman" w:hAnsi="Times New Roman" w:eastAsia="宋体" w:cs="Times New Roman"/>
                <w:color w:val="auto"/>
                <w:spacing w:val="0"/>
                <w:kern w:val="0"/>
                <w:highlight w:val="none"/>
              </w:rPr>
            </w:pPr>
            <w:r>
              <w:rPr>
                <w:rFonts w:hint="default" w:ascii="Times New Roman" w:hAnsi="Times New Roman" w:eastAsia="宋体" w:cs="Times New Roman"/>
                <w:color w:val="auto"/>
                <w:spacing w:val="0"/>
                <w:kern w:val="0"/>
                <w:highlight w:val="none"/>
              </w:rPr>
              <w:t>质量</w:t>
            </w:r>
          </w:p>
          <w:p w14:paraId="21890C54">
            <w:pPr>
              <w:spacing w:line="240" w:lineRule="auto"/>
              <w:ind w:firstLine="0" w:firstLineChars="0"/>
              <w:jc w:val="center"/>
              <w:rPr>
                <w:rFonts w:hint="default" w:ascii="Times New Roman" w:hAnsi="Times New Roman" w:eastAsia="宋体" w:cs="Times New Roman"/>
                <w:color w:val="auto"/>
                <w:spacing w:val="0"/>
                <w:kern w:val="0"/>
                <w:highlight w:val="none"/>
              </w:rPr>
            </w:pPr>
            <w:r>
              <w:rPr>
                <w:rFonts w:hint="default" w:ascii="Times New Roman" w:hAnsi="Times New Roman" w:eastAsia="宋体" w:cs="Times New Roman"/>
                <w:color w:val="auto"/>
                <w:spacing w:val="0"/>
                <w:kern w:val="0"/>
                <w:highlight w:val="none"/>
              </w:rPr>
              <w:t>现状</w:t>
            </w:r>
          </w:p>
        </w:tc>
        <w:tc>
          <w:tcPr>
            <w:tcW w:w="7987" w:type="dxa"/>
            <w:noWrap w:val="0"/>
            <w:vAlign w:val="center"/>
          </w:tcPr>
          <w:p w14:paraId="10B46BF5">
            <w:pPr>
              <w:ind w:left="0" w:leftChars="0" w:firstLine="0" w:firstLineChars="0"/>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1.</w:t>
            </w:r>
            <w:r>
              <w:rPr>
                <w:rFonts w:hint="default" w:ascii="Times New Roman" w:hAnsi="Times New Roman" w:eastAsia="宋体" w:cs="Times New Roman"/>
                <w:b/>
                <w:bCs w:val="0"/>
                <w:color w:val="auto"/>
                <w:spacing w:val="0"/>
                <w:sz w:val="24"/>
                <w:szCs w:val="24"/>
                <w:highlight w:val="none"/>
                <w:lang w:val="en-US" w:eastAsia="zh-CN"/>
              </w:rPr>
              <w:t>环境空气质量现状</w:t>
            </w:r>
          </w:p>
          <w:p w14:paraId="02F3DCED">
            <w:pPr>
              <w:pStyle w:val="114"/>
              <w:spacing w:line="360" w:lineRule="auto"/>
              <w:ind w:firstLine="420"/>
              <w:rPr>
                <w:rFonts w:hint="default" w:ascii="Times New Roman" w:hAnsi="Times New Roman" w:eastAsia="宋体" w:cs="Times New Roman"/>
                <w:color w:val="auto"/>
                <w:spacing w:val="0"/>
                <w:highlight w:val="none"/>
                <w:lang w:val="en-US"/>
              </w:rPr>
            </w:pPr>
            <w:r>
              <w:rPr>
                <w:rFonts w:hint="default" w:ascii="Times New Roman" w:hAnsi="Times New Roman" w:eastAsia="宋体" w:cs="Times New Roman"/>
                <w:color w:val="auto"/>
                <w:spacing w:val="0"/>
                <w:highlight w:val="none"/>
                <w:lang w:val="en-US" w:eastAsia="zh-CN"/>
              </w:rPr>
              <w:t>（1</w:t>
            </w:r>
            <w:r>
              <w:rPr>
                <w:rFonts w:hint="default" w:ascii="Times New Roman" w:hAnsi="Times New Roman" w:eastAsia="宋体" w:cs="Times New Roman"/>
                <w:color w:val="auto"/>
                <w:spacing w:val="0"/>
                <w:highlight w:val="none"/>
                <w:lang w:eastAsia="zh-CN"/>
              </w:rPr>
              <w:t>）</w:t>
            </w:r>
            <w:r>
              <w:rPr>
                <w:rFonts w:hint="default" w:ascii="Times New Roman" w:hAnsi="Times New Roman" w:eastAsia="宋体" w:cs="Times New Roman"/>
                <w:color w:val="auto"/>
                <w:spacing w:val="0"/>
                <w:highlight w:val="none"/>
                <w:lang w:val="en-US" w:eastAsia="zh-CN"/>
              </w:rPr>
              <w:t>基本污染物</w:t>
            </w:r>
          </w:p>
          <w:p w14:paraId="7F30428D">
            <w:pPr>
              <w:rPr>
                <w:rFonts w:hint="default" w:ascii="Times New Roman" w:hAnsi="Times New Roman" w:cs="Times New Roman"/>
                <w:color w:val="auto"/>
                <w:highlight w:val="none"/>
              </w:rPr>
            </w:pPr>
            <w:r>
              <w:rPr>
                <w:rFonts w:hint="default" w:ascii="Times New Roman" w:hAnsi="Times New Roman" w:cs="Times New Roman"/>
                <w:color w:val="auto"/>
                <w:highlight w:val="none"/>
              </w:rPr>
              <w:t>根据《2024年黑龙江省生态环境质量状况》，鸡西市空气质量级别达二级标准，达标天数为348天（95.1%）。PM</w:t>
            </w:r>
            <w:r>
              <w:rPr>
                <w:rFonts w:hint="default" w:ascii="Times New Roman" w:hAnsi="Times New Roman" w:cs="Times New Roman"/>
                <w:color w:val="auto"/>
                <w:highlight w:val="none"/>
                <w:vertAlign w:val="subscript"/>
              </w:rPr>
              <w:t>2.5</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10</w:t>
            </w: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、CO-95per和O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-8h-90per年均浓度分别为27μg/m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、46μg/m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、8μg/m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、17μg/m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、1.0mg/m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和90μg/m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14:paraId="66951DBC">
            <w:pPr>
              <w:rPr>
                <w:rFonts w:hint="default" w:ascii="Times New Roman" w:hAnsi="Times New Roman" w:eastAsia="宋体" w:cs="Times New Roman"/>
                <w:iCs/>
                <w:color w:val="auto"/>
                <w:kern w:val="2"/>
                <w:sz w:val="24"/>
                <w:szCs w:val="24"/>
                <w:highlight w:val="none"/>
                <w:lang w:val="en-US" w:eastAsia="zh-CN" w:bidi="ar-SA"/>
              </w:rPr>
            </w:pPr>
            <w:r>
              <w:rPr>
                <w:rFonts w:hint="default" w:ascii="Times New Roman" w:hAnsi="Times New Roman" w:cs="Times New Roman"/>
                <w:color w:val="auto"/>
                <w:highlight w:val="none"/>
              </w:rPr>
              <w:t>各污染物PM</w:t>
            </w:r>
            <w:r>
              <w:rPr>
                <w:rFonts w:hint="default" w:ascii="Times New Roman" w:hAnsi="Times New Roman" w:cs="Times New Roman"/>
                <w:color w:val="auto"/>
                <w:highlight w:val="none"/>
                <w:vertAlign w:val="subscript"/>
              </w:rPr>
              <w:t>2.5</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10</w:t>
            </w: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、CO、O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均满足《环境空气质量标准》（GB3095-2012）二级标准。</w:t>
            </w:r>
            <w:r>
              <w:rPr>
                <w:rFonts w:hint="default" w:ascii="Times New Roman" w:hAnsi="Times New Roman" w:eastAsia="宋体" w:cs="Times New Roman"/>
                <w:iCs/>
                <w:color w:val="auto"/>
                <w:kern w:val="2"/>
                <w:sz w:val="24"/>
                <w:szCs w:val="24"/>
                <w:highlight w:val="none"/>
                <w:lang w:val="en-US" w:eastAsia="zh-CN" w:bidi="ar-SA"/>
              </w:rPr>
              <w:t>环境空气监测数据见下表：</w:t>
            </w:r>
          </w:p>
          <w:p w14:paraId="08D11BFD">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pacing w:val="-2"/>
                <w:sz w:val="21"/>
                <w:szCs w:val="21"/>
                <w:highlight w:val="none"/>
                <w:lang w:val="en-US" w:eastAsia="zh-CN"/>
              </w:rPr>
              <w:t xml:space="preserve">表3-1    </w:t>
            </w:r>
            <w:r>
              <w:rPr>
                <w:rFonts w:hint="default" w:ascii="Times New Roman" w:hAnsi="Times New Roman" w:cs="Times New Roman"/>
                <w:b/>
                <w:bCs/>
                <w:color w:val="auto"/>
                <w:spacing w:val="-2"/>
                <w:sz w:val="21"/>
                <w:szCs w:val="21"/>
                <w:highlight w:val="none"/>
              </w:rPr>
              <w:t>区域空气质量现状评价表</w:t>
            </w:r>
          </w:p>
          <w:tbl>
            <w:tblPr>
              <w:tblStyle w:val="149"/>
              <w:tblW w:w="4996"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69"/>
              <w:gridCol w:w="2274"/>
              <w:gridCol w:w="1269"/>
              <w:gridCol w:w="1269"/>
              <w:gridCol w:w="1063"/>
              <w:gridCol w:w="1104"/>
            </w:tblGrid>
            <w:tr w14:paraId="6C4A61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0" w:type="dxa"/>
                  <w:tcBorders>
                    <w:top w:val="single" w:color="000000" w:sz="10" w:space="0"/>
                    <w:left w:val="nil"/>
                  </w:tcBorders>
                  <w:vAlign w:val="center"/>
                </w:tcPr>
                <w:p w14:paraId="4F4C0861">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污染物</w:t>
                  </w:r>
                </w:p>
              </w:tc>
              <w:tc>
                <w:tcPr>
                  <w:tcW w:w="2250" w:type="dxa"/>
                  <w:tcBorders>
                    <w:top w:val="single" w:color="000000" w:sz="10" w:space="0"/>
                  </w:tcBorders>
                  <w:vAlign w:val="center"/>
                </w:tcPr>
                <w:p w14:paraId="24C50FE5">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7"/>
                      <w:sz w:val="21"/>
                      <w:szCs w:val="21"/>
                      <w:highlight w:val="none"/>
                    </w:rPr>
                    <w:t>年评价指标</w:t>
                  </w:r>
                </w:p>
              </w:tc>
              <w:tc>
                <w:tcPr>
                  <w:tcW w:w="1256" w:type="dxa"/>
                  <w:tcBorders>
                    <w:top w:val="single" w:color="000000" w:sz="10" w:space="0"/>
                  </w:tcBorders>
                  <w:vAlign w:val="center"/>
                </w:tcPr>
                <w:p w14:paraId="4719A4A6">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现状浓度</w:t>
                  </w:r>
                </w:p>
                <w:p w14:paraId="0A21BF59">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w:t>
                  </w:r>
                  <w:r>
                    <w:rPr>
                      <w:rFonts w:hint="default" w:ascii="Times New Roman" w:hAnsi="Times New Roman" w:eastAsia="Times New Roman" w:cs="Times New Roman"/>
                      <w:color w:val="auto"/>
                      <w:spacing w:val="2"/>
                      <w:sz w:val="21"/>
                      <w:szCs w:val="21"/>
                      <w:highlight w:val="none"/>
                    </w:rPr>
                    <w:t>μg/m</w:t>
                  </w:r>
                  <w:r>
                    <w:rPr>
                      <w:rFonts w:hint="default" w:ascii="Times New Roman" w:hAnsi="Times New Roman" w:eastAsia="宋体" w:cs="Times New Roman"/>
                      <w:color w:val="auto"/>
                      <w:spacing w:val="2"/>
                      <w:sz w:val="21"/>
                      <w:szCs w:val="21"/>
                      <w:highlight w:val="none"/>
                      <w:vertAlign w:val="superscript"/>
                      <w:lang w:val="en-US" w:eastAsia="zh-CN"/>
                    </w:rPr>
                    <w:t>3</w:t>
                  </w:r>
                  <w:r>
                    <w:rPr>
                      <w:rFonts w:hint="default" w:ascii="Times New Roman" w:hAnsi="Times New Roman" w:eastAsia="宋体" w:cs="Times New Roman"/>
                      <w:color w:val="auto"/>
                      <w:spacing w:val="2"/>
                      <w:position w:val="6"/>
                      <w:sz w:val="21"/>
                      <w:szCs w:val="21"/>
                      <w:highlight w:val="none"/>
                      <w:lang w:eastAsia="zh-CN"/>
                    </w:rPr>
                    <w:t>)</w:t>
                  </w:r>
                </w:p>
              </w:tc>
              <w:tc>
                <w:tcPr>
                  <w:tcW w:w="1256" w:type="dxa"/>
                  <w:tcBorders>
                    <w:top w:val="single" w:color="000000" w:sz="10" w:space="0"/>
                  </w:tcBorders>
                  <w:vAlign w:val="center"/>
                </w:tcPr>
                <w:p w14:paraId="3F45ECC5">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标准值</w:t>
                  </w:r>
                </w:p>
                <w:p w14:paraId="4CB37897">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w:t>
                  </w:r>
                  <w:r>
                    <w:rPr>
                      <w:rFonts w:hint="default" w:ascii="Times New Roman" w:hAnsi="Times New Roman" w:eastAsia="Times New Roman" w:cs="Times New Roman"/>
                      <w:color w:val="auto"/>
                      <w:spacing w:val="2"/>
                      <w:sz w:val="21"/>
                      <w:szCs w:val="21"/>
                      <w:highlight w:val="none"/>
                    </w:rPr>
                    <w:t>μg/m</w:t>
                  </w:r>
                  <w:r>
                    <w:rPr>
                      <w:rFonts w:hint="default" w:ascii="Times New Roman" w:hAnsi="Times New Roman" w:eastAsia="宋体" w:cs="Times New Roman"/>
                      <w:color w:val="auto"/>
                      <w:spacing w:val="2"/>
                      <w:sz w:val="21"/>
                      <w:szCs w:val="21"/>
                      <w:highlight w:val="none"/>
                      <w:vertAlign w:val="superscript"/>
                      <w:lang w:val="en-US" w:eastAsia="zh-CN"/>
                    </w:rPr>
                    <w:t>3</w:t>
                  </w:r>
                  <w:r>
                    <w:rPr>
                      <w:rFonts w:hint="default" w:ascii="Times New Roman" w:hAnsi="Times New Roman" w:eastAsia="宋体" w:cs="Times New Roman"/>
                      <w:color w:val="auto"/>
                      <w:spacing w:val="2"/>
                      <w:position w:val="6"/>
                      <w:sz w:val="21"/>
                      <w:szCs w:val="21"/>
                      <w:highlight w:val="none"/>
                      <w:lang w:eastAsia="zh-CN"/>
                    </w:rPr>
                    <w:t>)</w:t>
                  </w:r>
                </w:p>
              </w:tc>
              <w:tc>
                <w:tcPr>
                  <w:tcW w:w="1052" w:type="dxa"/>
                  <w:tcBorders>
                    <w:top w:val="single" w:color="000000" w:sz="10" w:space="0"/>
                  </w:tcBorders>
                  <w:vAlign w:val="center"/>
                </w:tcPr>
                <w:p w14:paraId="01B5A903">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占标率</w:t>
                  </w:r>
                </w:p>
                <w:p w14:paraId="52E07E60">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r>
                    <w:rPr>
                      <w:rFonts w:hint="default" w:ascii="Times New Roman" w:hAnsi="Times New Roman" w:eastAsia="Times New Roman" w:cs="Times New Roman"/>
                      <w:color w:val="auto"/>
                      <w:sz w:val="21"/>
                      <w:szCs w:val="21"/>
                      <w:highlight w:val="none"/>
                    </w:rPr>
                    <w:t>%</w:t>
                  </w:r>
                  <w:r>
                    <w:rPr>
                      <w:rFonts w:hint="default" w:ascii="Times New Roman" w:hAnsi="Times New Roman" w:cs="Times New Roman"/>
                      <w:color w:val="auto"/>
                      <w:sz w:val="21"/>
                      <w:szCs w:val="21"/>
                      <w:highlight w:val="none"/>
                    </w:rPr>
                    <w:t>）</w:t>
                  </w:r>
                </w:p>
              </w:tc>
              <w:tc>
                <w:tcPr>
                  <w:tcW w:w="1092" w:type="dxa"/>
                  <w:tcBorders>
                    <w:top w:val="single" w:color="000000" w:sz="10" w:space="0"/>
                    <w:right w:val="nil"/>
                  </w:tcBorders>
                  <w:vAlign w:val="center"/>
                </w:tcPr>
                <w:p w14:paraId="77C7004D">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7"/>
                      <w:sz w:val="21"/>
                      <w:szCs w:val="21"/>
                      <w:highlight w:val="none"/>
                    </w:rPr>
                    <w:t>达标情况</w:t>
                  </w:r>
                </w:p>
              </w:tc>
            </w:tr>
            <w:tr w14:paraId="5C33F1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0" w:type="dxa"/>
                  <w:tcBorders>
                    <w:left w:val="nil"/>
                  </w:tcBorders>
                  <w:vAlign w:val="center"/>
                </w:tcPr>
                <w:p w14:paraId="2F569B2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PM</w:t>
                  </w:r>
                  <w:r>
                    <w:rPr>
                      <w:rFonts w:hint="default" w:ascii="Times New Roman" w:hAnsi="Times New Roman" w:eastAsia="Times New Roman" w:cs="Times New Roman"/>
                      <w:color w:val="auto"/>
                      <w:spacing w:val="6"/>
                      <w:position w:val="-1"/>
                      <w:sz w:val="21"/>
                      <w:szCs w:val="21"/>
                      <w:highlight w:val="none"/>
                      <w:vertAlign w:val="subscript"/>
                    </w:rPr>
                    <w:t>2.5</w:t>
                  </w:r>
                </w:p>
              </w:tc>
              <w:tc>
                <w:tcPr>
                  <w:tcW w:w="2250" w:type="dxa"/>
                  <w:vAlign w:val="center"/>
                </w:tcPr>
                <w:p w14:paraId="73BF2BEE">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8"/>
                      <w:sz w:val="21"/>
                      <w:szCs w:val="21"/>
                      <w:highlight w:val="none"/>
                    </w:rPr>
                    <w:t>年平均质量浓度</w:t>
                  </w:r>
                </w:p>
              </w:tc>
              <w:tc>
                <w:tcPr>
                  <w:tcW w:w="1256" w:type="dxa"/>
                  <w:vAlign w:val="center"/>
                </w:tcPr>
                <w:p w14:paraId="73AF111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28</w:t>
                  </w:r>
                </w:p>
              </w:tc>
              <w:tc>
                <w:tcPr>
                  <w:tcW w:w="1256" w:type="dxa"/>
                  <w:vAlign w:val="center"/>
                </w:tcPr>
                <w:p w14:paraId="3DB0F88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35</w:t>
                  </w:r>
                </w:p>
              </w:tc>
              <w:tc>
                <w:tcPr>
                  <w:tcW w:w="1052" w:type="dxa"/>
                  <w:vAlign w:val="center"/>
                </w:tcPr>
                <w:p w14:paraId="3DF28E6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80.0</w:t>
                  </w:r>
                </w:p>
              </w:tc>
              <w:tc>
                <w:tcPr>
                  <w:tcW w:w="1092" w:type="dxa"/>
                  <w:tcBorders>
                    <w:right w:val="nil"/>
                  </w:tcBorders>
                  <w:vAlign w:val="center"/>
                </w:tcPr>
                <w:p w14:paraId="7472E872">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r>
            <w:tr w14:paraId="0E8E27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0" w:type="dxa"/>
                  <w:tcBorders>
                    <w:left w:val="nil"/>
                  </w:tcBorders>
                  <w:vAlign w:val="center"/>
                </w:tcPr>
                <w:p w14:paraId="2F395CA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PM</w:t>
                  </w:r>
                  <w:r>
                    <w:rPr>
                      <w:rFonts w:hint="default" w:ascii="Times New Roman" w:hAnsi="Times New Roman" w:eastAsia="Times New Roman" w:cs="Times New Roman"/>
                      <w:color w:val="auto"/>
                      <w:spacing w:val="8"/>
                      <w:position w:val="-1"/>
                      <w:sz w:val="21"/>
                      <w:szCs w:val="21"/>
                      <w:highlight w:val="none"/>
                      <w:vertAlign w:val="subscript"/>
                    </w:rPr>
                    <w:t>10</w:t>
                  </w:r>
                </w:p>
              </w:tc>
              <w:tc>
                <w:tcPr>
                  <w:tcW w:w="2250" w:type="dxa"/>
                  <w:vAlign w:val="center"/>
                </w:tcPr>
                <w:p w14:paraId="335FF3B9">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8"/>
                      <w:sz w:val="21"/>
                      <w:szCs w:val="21"/>
                      <w:highlight w:val="none"/>
                    </w:rPr>
                    <w:t>年平均质量浓度</w:t>
                  </w:r>
                </w:p>
              </w:tc>
              <w:tc>
                <w:tcPr>
                  <w:tcW w:w="1256" w:type="dxa"/>
                  <w:vAlign w:val="center"/>
                </w:tcPr>
                <w:p w14:paraId="5114BD2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50</w:t>
                  </w:r>
                </w:p>
              </w:tc>
              <w:tc>
                <w:tcPr>
                  <w:tcW w:w="1256" w:type="dxa"/>
                  <w:vAlign w:val="center"/>
                </w:tcPr>
                <w:p w14:paraId="2B2D40E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70</w:t>
                  </w:r>
                </w:p>
              </w:tc>
              <w:tc>
                <w:tcPr>
                  <w:tcW w:w="1052" w:type="dxa"/>
                  <w:vAlign w:val="center"/>
                </w:tcPr>
                <w:p w14:paraId="0548799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71.4</w:t>
                  </w:r>
                </w:p>
              </w:tc>
              <w:tc>
                <w:tcPr>
                  <w:tcW w:w="1092" w:type="dxa"/>
                  <w:tcBorders>
                    <w:right w:val="nil"/>
                  </w:tcBorders>
                  <w:vAlign w:val="center"/>
                </w:tcPr>
                <w:p w14:paraId="7E75039D">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r>
            <w:tr w14:paraId="166282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0" w:type="dxa"/>
                  <w:tcBorders>
                    <w:left w:val="nil"/>
                  </w:tcBorders>
                  <w:vAlign w:val="center"/>
                </w:tcPr>
                <w:p w14:paraId="6B0B7F4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SO</w:t>
                  </w:r>
                  <w:r>
                    <w:rPr>
                      <w:rFonts w:hint="default" w:ascii="Times New Roman" w:hAnsi="Times New Roman" w:eastAsia="Times New Roman" w:cs="Times New Roman"/>
                      <w:color w:val="auto"/>
                      <w:spacing w:val="1"/>
                      <w:position w:val="-1"/>
                      <w:sz w:val="21"/>
                      <w:szCs w:val="21"/>
                      <w:highlight w:val="none"/>
                      <w:vertAlign w:val="subscript"/>
                    </w:rPr>
                    <w:t>2</w:t>
                  </w:r>
                </w:p>
              </w:tc>
              <w:tc>
                <w:tcPr>
                  <w:tcW w:w="2250" w:type="dxa"/>
                  <w:vAlign w:val="center"/>
                </w:tcPr>
                <w:p w14:paraId="3AF1B92C">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8"/>
                      <w:sz w:val="21"/>
                      <w:szCs w:val="21"/>
                      <w:highlight w:val="none"/>
                    </w:rPr>
                    <w:t>年平均质量浓度</w:t>
                  </w:r>
                </w:p>
              </w:tc>
              <w:tc>
                <w:tcPr>
                  <w:tcW w:w="1256" w:type="dxa"/>
                  <w:vAlign w:val="center"/>
                </w:tcPr>
                <w:p w14:paraId="1D84766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8</w:t>
                  </w:r>
                </w:p>
              </w:tc>
              <w:tc>
                <w:tcPr>
                  <w:tcW w:w="1256" w:type="dxa"/>
                  <w:vAlign w:val="center"/>
                </w:tcPr>
                <w:p w14:paraId="5480814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60</w:t>
                  </w:r>
                </w:p>
              </w:tc>
              <w:tc>
                <w:tcPr>
                  <w:tcW w:w="1052" w:type="dxa"/>
                  <w:vAlign w:val="center"/>
                </w:tcPr>
                <w:p w14:paraId="3525C2E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13.3</w:t>
                  </w:r>
                </w:p>
              </w:tc>
              <w:tc>
                <w:tcPr>
                  <w:tcW w:w="1092" w:type="dxa"/>
                  <w:tcBorders>
                    <w:right w:val="nil"/>
                  </w:tcBorders>
                  <w:vAlign w:val="center"/>
                </w:tcPr>
                <w:p w14:paraId="02D8E695">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r>
            <w:tr w14:paraId="4D5D30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0" w:type="dxa"/>
                  <w:tcBorders>
                    <w:left w:val="nil"/>
                  </w:tcBorders>
                  <w:vAlign w:val="center"/>
                </w:tcPr>
                <w:p w14:paraId="4AAFB5F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7"/>
                      <w:sz w:val="21"/>
                      <w:szCs w:val="21"/>
                      <w:highlight w:val="none"/>
                    </w:rPr>
                    <w:t>NO</w:t>
                  </w:r>
                  <w:r>
                    <w:rPr>
                      <w:rFonts w:hint="default" w:ascii="Times New Roman" w:hAnsi="Times New Roman" w:eastAsia="Times New Roman" w:cs="Times New Roman"/>
                      <w:color w:val="auto"/>
                      <w:spacing w:val="7"/>
                      <w:position w:val="-1"/>
                      <w:sz w:val="21"/>
                      <w:szCs w:val="21"/>
                      <w:highlight w:val="none"/>
                      <w:vertAlign w:val="subscript"/>
                    </w:rPr>
                    <w:t>2</w:t>
                  </w:r>
                </w:p>
              </w:tc>
              <w:tc>
                <w:tcPr>
                  <w:tcW w:w="2250" w:type="dxa"/>
                  <w:vAlign w:val="center"/>
                </w:tcPr>
                <w:p w14:paraId="34679932">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8"/>
                      <w:sz w:val="21"/>
                      <w:szCs w:val="21"/>
                      <w:highlight w:val="none"/>
                    </w:rPr>
                    <w:t>年平均质量浓度</w:t>
                  </w:r>
                </w:p>
              </w:tc>
              <w:tc>
                <w:tcPr>
                  <w:tcW w:w="1256" w:type="dxa"/>
                  <w:vAlign w:val="center"/>
                </w:tcPr>
                <w:p w14:paraId="1AFB521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20</w:t>
                  </w:r>
                </w:p>
              </w:tc>
              <w:tc>
                <w:tcPr>
                  <w:tcW w:w="1256" w:type="dxa"/>
                  <w:vAlign w:val="center"/>
                </w:tcPr>
                <w:p w14:paraId="42770E8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40</w:t>
                  </w:r>
                </w:p>
              </w:tc>
              <w:tc>
                <w:tcPr>
                  <w:tcW w:w="1052" w:type="dxa"/>
                  <w:vAlign w:val="center"/>
                </w:tcPr>
                <w:p w14:paraId="7415972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50.0</w:t>
                  </w:r>
                </w:p>
              </w:tc>
              <w:tc>
                <w:tcPr>
                  <w:tcW w:w="1092" w:type="dxa"/>
                  <w:tcBorders>
                    <w:right w:val="nil"/>
                  </w:tcBorders>
                  <w:vAlign w:val="center"/>
                </w:tcPr>
                <w:p w14:paraId="1FB546F9">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r>
            <w:tr w14:paraId="01AC77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0" w:type="dxa"/>
                  <w:tcBorders>
                    <w:left w:val="nil"/>
                  </w:tcBorders>
                  <w:vAlign w:val="center"/>
                </w:tcPr>
                <w:p w14:paraId="445F070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CO</w:t>
                  </w:r>
                </w:p>
              </w:tc>
              <w:tc>
                <w:tcPr>
                  <w:tcW w:w="2250" w:type="dxa"/>
                  <w:vAlign w:val="center"/>
                </w:tcPr>
                <w:p w14:paraId="1F8770C1">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百分位数</w:t>
                  </w:r>
                  <w:r>
                    <w:rPr>
                      <w:rFonts w:hint="default" w:ascii="Times New Roman" w:hAnsi="Times New Roman" w:eastAsia="Times New Roman" w:cs="Times New Roman"/>
                      <w:color w:val="auto"/>
                      <w:spacing w:val="5"/>
                      <w:sz w:val="21"/>
                      <w:szCs w:val="21"/>
                      <w:highlight w:val="none"/>
                    </w:rPr>
                    <w:t>24h</w:t>
                  </w:r>
                  <w:r>
                    <w:rPr>
                      <w:rFonts w:hint="default" w:ascii="Times New Roman" w:hAnsi="Times New Roman" w:cs="Times New Roman"/>
                      <w:color w:val="auto"/>
                      <w:spacing w:val="5"/>
                      <w:sz w:val="21"/>
                      <w:szCs w:val="21"/>
                      <w:highlight w:val="none"/>
                    </w:rPr>
                    <w:t>平均浓度</w:t>
                  </w:r>
                </w:p>
              </w:tc>
              <w:tc>
                <w:tcPr>
                  <w:tcW w:w="1256" w:type="dxa"/>
                  <w:vAlign w:val="center"/>
                </w:tcPr>
                <w:p w14:paraId="436D7FD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1000</w:t>
                  </w:r>
                </w:p>
              </w:tc>
              <w:tc>
                <w:tcPr>
                  <w:tcW w:w="1256" w:type="dxa"/>
                  <w:vAlign w:val="center"/>
                </w:tcPr>
                <w:p w14:paraId="67F8493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4"/>
                      <w:sz w:val="21"/>
                      <w:szCs w:val="21"/>
                      <w:highlight w:val="none"/>
                    </w:rPr>
                    <w:t>4000</w:t>
                  </w:r>
                </w:p>
              </w:tc>
              <w:tc>
                <w:tcPr>
                  <w:tcW w:w="1052" w:type="dxa"/>
                  <w:vAlign w:val="center"/>
                </w:tcPr>
                <w:p w14:paraId="11F2543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25.0</w:t>
                  </w:r>
                </w:p>
              </w:tc>
              <w:tc>
                <w:tcPr>
                  <w:tcW w:w="1092" w:type="dxa"/>
                  <w:tcBorders>
                    <w:right w:val="nil"/>
                  </w:tcBorders>
                  <w:vAlign w:val="center"/>
                </w:tcPr>
                <w:p w14:paraId="758B1EA9">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r>
            <w:tr w14:paraId="750D1B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0" w:type="dxa"/>
                  <w:tcBorders>
                    <w:left w:val="nil"/>
                    <w:bottom w:val="single" w:color="000000" w:sz="10" w:space="0"/>
                  </w:tcBorders>
                  <w:vAlign w:val="center"/>
                </w:tcPr>
                <w:p w14:paraId="6FE899E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O</w:t>
                  </w:r>
                  <w:r>
                    <w:rPr>
                      <w:rFonts w:hint="default" w:ascii="Times New Roman" w:hAnsi="Times New Roman" w:eastAsia="Times New Roman" w:cs="Times New Roman"/>
                      <w:color w:val="auto"/>
                      <w:spacing w:val="1"/>
                      <w:position w:val="-1"/>
                      <w:sz w:val="21"/>
                      <w:szCs w:val="21"/>
                      <w:highlight w:val="none"/>
                      <w:vertAlign w:val="subscript"/>
                    </w:rPr>
                    <w:t>3</w:t>
                  </w:r>
                </w:p>
              </w:tc>
              <w:tc>
                <w:tcPr>
                  <w:tcW w:w="2250" w:type="dxa"/>
                  <w:tcBorders>
                    <w:bottom w:val="single" w:color="000000" w:sz="10" w:space="0"/>
                  </w:tcBorders>
                  <w:vAlign w:val="center"/>
                </w:tcPr>
                <w:p w14:paraId="49BC234C">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百分位数</w:t>
                  </w:r>
                  <w:r>
                    <w:rPr>
                      <w:rFonts w:hint="default" w:ascii="Times New Roman" w:hAnsi="Times New Roman" w:eastAsia="Times New Roman" w:cs="Times New Roman"/>
                      <w:color w:val="auto"/>
                      <w:spacing w:val="5"/>
                      <w:sz w:val="21"/>
                      <w:szCs w:val="21"/>
                      <w:highlight w:val="none"/>
                    </w:rPr>
                    <w:t>8h</w:t>
                  </w:r>
                  <w:r>
                    <w:rPr>
                      <w:rFonts w:hint="default" w:ascii="Times New Roman" w:hAnsi="Times New Roman" w:cs="Times New Roman"/>
                      <w:color w:val="auto"/>
                      <w:spacing w:val="5"/>
                      <w:sz w:val="21"/>
                      <w:szCs w:val="21"/>
                      <w:highlight w:val="none"/>
                    </w:rPr>
                    <w:t>平均浓度</w:t>
                  </w:r>
                </w:p>
              </w:tc>
              <w:tc>
                <w:tcPr>
                  <w:tcW w:w="1256" w:type="dxa"/>
                  <w:tcBorders>
                    <w:bottom w:val="single" w:color="000000" w:sz="10" w:space="0"/>
                  </w:tcBorders>
                  <w:vAlign w:val="center"/>
                </w:tcPr>
                <w:p w14:paraId="6015FB4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98</w:t>
                  </w:r>
                </w:p>
              </w:tc>
              <w:tc>
                <w:tcPr>
                  <w:tcW w:w="1256" w:type="dxa"/>
                  <w:tcBorders>
                    <w:bottom w:val="single" w:color="000000" w:sz="10" w:space="0"/>
                  </w:tcBorders>
                  <w:vAlign w:val="center"/>
                </w:tcPr>
                <w:p w14:paraId="44C87FB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160</w:t>
                  </w:r>
                </w:p>
              </w:tc>
              <w:tc>
                <w:tcPr>
                  <w:tcW w:w="1052" w:type="dxa"/>
                  <w:tcBorders>
                    <w:bottom w:val="single" w:color="000000" w:sz="10" w:space="0"/>
                  </w:tcBorders>
                  <w:vAlign w:val="center"/>
                </w:tcPr>
                <w:p w14:paraId="6137C64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61.2</w:t>
                  </w:r>
                </w:p>
              </w:tc>
              <w:tc>
                <w:tcPr>
                  <w:tcW w:w="1092" w:type="dxa"/>
                  <w:tcBorders>
                    <w:bottom w:val="single" w:color="000000" w:sz="10" w:space="0"/>
                    <w:right w:val="nil"/>
                  </w:tcBorders>
                  <w:vAlign w:val="center"/>
                </w:tcPr>
                <w:p w14:paraId="1C01B39E">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r>
          </w:tbl>
          <w:p w14:paraId="0782976B">
            <w:pPr>
              <w:keepNext w:val="0"/>
              <w:keepLines w:val="0"/>
              <w:pageBreakBefore w:val="0"/>
              <w:widowControl w:val="0"/>
              <w:kinsoku/>
              <w:wordWrap/>
              <w:overflowPunct/>
              <w:topLinePunct w:val="0"/>
              <w:autoSpaceDE/>
              <w:autoSpaceDN/>
              <w:bidi w:val="0"/>
              <w:adjustRightInd w:val="0"/>
              <w:snapToGrid w:val="0"/>
              <w:spacing w:line="520" w:lineRule="atLeast"/>
              <w:ind w:left="0" w:leftChars="0" w:firstLine="480" w:firstLineChars="200"/>
              <w:textAlignment w:val="auto"/>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color w:val="auto"/>
                <w:sz w:val="24"/>
                <w:szCs w:val="24"/>
                <w:highlight w:val="none"/>
              </w:rPr>
              <w:t>根据《</w:t>
            </w:r>
            <w:r>
              <w:rPr>
                <w:rFonts w:hint="default" w:ascii="Times New Roman" w:hAnsi="Times New Roman" w:eastAsia="Times New Roman" w:cs="Times New Roman"/>
                <w:color w:val="auto"/>
                <w:sz w:val="24"/>
                <w:szCs w:val="24"/>
                <w:highlight w:val="none"/>
              </w:rPr>
              <w:t>2024</w:t>
            </w:r>
            <w:r>
              <w:rPr>
                <w:rFonts w:hint="default" w:ascii="Times New Roman" w:hAnsi="Times New Roman" w:cs="Times New Roman"/>
                <w:color w:val="auto"/>
                <w:sz w:val="24"/>
                <w:szCs w:val="24"/>
                <w:highlight w:val="none"/>
              </w:rPr>
              <w:t>年黑龙江省生态环境质量状况》结果，评价区环境空气质量能够</w:t>
            </w:r>
            <w:r>
              <w:rPr>
                <w:rFonts w:hint="default" w:ascii="Times New Roman" w:hAnsi="Times New Roman" w:cs="Times New Roman"/>
                <w:color w:val="auto"/>
                <w:spacing w:val="-1"/>
                <w:sz w:val="24"/>
                <w:szCs w:val="24"/>
                <w:highlight w:val="none"/>
              </w:rPr>
              <w:t>满足环境空气二类功能区要求，项目所在区域为达标区。</w:t>
            </w:r>
          </w:p>
          <w:p w14:paraId="57170319">
            <w:pPr>
              <w:keepNext w:val="0"/>
              <w:keepLines w:val="0"/>
              <w:pageBreakBefore w:val="0"/>
              <w:widowControl w:val="0"/>
              <w:kinsoku/>
              <w:wordWrap/>
              <w:overflowPunct/>
              <w:topLinePunct w:val="0"/>
              <w:autoSpaceDE/>
              <w:autoSpaceDN/>
              <w:bidi w:val="0"/>
              <w:adjustRightInd w:val="0"/>
              <w:snapToGrid w:val="0"/>
              <w:spacing w:line="520" w:lineRule="atLeast"/>
              <w:ind w:left="0" w:leftChars="0" w:firstLine="480" w:firstLineChars="200"/>
              <w:textAlignment w:val="auto"/>
              <w:rPr>
                <w:rFonts w:hint="default" w:ascii="Times New Roman" w:hAnsi="Times New Roman" w:eastAsia="宋体" w:cs="Times New Roman"/>
                <w:b w:val="0"/>
                <w:bCs/>
                <w:color w:val="auto"/>
                <w:spacing w:val="0"/>
                <w:sz w:val="24"/>
                <w:szCs w:val="24"/>
                <w:highlight w:val="none"/>
                <w:lang w:val="en-US" w:eastAsia="zh-CN"/>
              </w:rPr>
            </w:pPr>
            <w:r>
              <w:rPr>
                <w:rFonts w:hint="default" w:ascii="Times New Roman" w:hAnsi="Times New Roman" w:cs="Times New Roman"/>
                <w:b w:val="0"/>
                <w:bCs/>
                <w:color w:val="auto"/>
                <w:spacing w:val="0"/>
                <w:sz w:val="24"/>
                <w:szCs w:val="24"/>
                <w:highlight w:val="none"/>
                <w:lang w:val="en-US" w:eastAsia="zh-CN"/>
              </w:rPr>
              <w:t>（2）特征污染物</w:t>
            </w:r>
          </w:p>
          <w:p w14:paraId="729E0EAC">
            <w:pPr>
              <w:keepNext w:val="0"/>
              <w:keepLines w:val="0"/>
              <w:pageBreakBefore w:val="0"/>
              <w:widowControl w:val="0"/>
              <w:kinsoku/>
              <w:wordWrap/>
              <w:overflowPunct/>
              <w:topLinePunct w:val="0"/>
              <w:autoSpaceDE/>
              <w:autoSpaceDN/>
              <w:bidi w:val="0"/>
              <w:adjustRightInd w:val="0"/>
              <w:snapToGrid w:val="0"/>
              <w:spacing w:line="520" w:lineRule="atLeast"/>
              <w:ind w:firstLine="48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snapToGrid w:val="0"/>
                <w:color w:val="auto"/>
                <w:kern w:val="0"/>
                <w:sz w:val="24"/>
                <w:highlight w:val="none"/>
              </w:rPr>
              <w:t>本项目排放的环境空气特征污染物为TSP</w:t>
            </w:r>
            <w:r>
              <w:rPr>
                <w:rFonts w:hint="default" w:ascii="Times New Roman" w:hAnsi="Times New Roman" w:cs="Times New Roman"/>
                <w:snapToGrid w:val="0"/>
                <w:color w:val="auto"/>
                <w:kern w:val="0"/>
                <w:sz w:val="24"/>
                <w:highlight w:val="none"/>
                <w:lang w:eastAsia="zh-CN"/>
              </w:rPr>
              <w:t>、</w:t>
            </w:r>
            <w:r>
              <w:rPr>
                <w:rFonts w:hint="default" w:ascii="Times New Roman" w:hAnsi="Times New Roman" w:cs="Times New Roman"/>
                <w:snapToGrid w:val="0"/>
                <w:color w:val="auto"/>
                <w:kern w:val="0"/>
                <w:sz w:val="24"/>
                <w:highlight w:val="none"/>
                <w:lang w:val="en-US" w:eastAsia="zh-CN"/>
              </w:rPr>
              <w:t>氮氧化物</w:t>
            </w:r>
            <w:r>
              <w:rPr>
                <w:rFonts w:hint="default" w:ascii="Times New Roman" w:hAnsi="Times New Roman" w:cs="Times New Roman"/>
                <w:snapToGrid w:val="0"/>
                <w:color w:val="auto"/>
                <w:kern w:val="0"/>
                <w:sz w:val="24"/>
                <w:highlight w:val="none"/>
              </w:rPr>
              <w:t>，本项目数据</w:t>
            </w:r>
            <w:r>
              <w:rPr>
                <w:rFonts w:hint="default" w:ascii="Times New Roman" w:hAnsi="Times New Roman" w:cs="Times New Roman"/>
                <w:snapToGrid w:val="0"/>
                <w:color w:val="auto"/>
                <w:kern w:val="0"/>
                <w:sz w:val="24"/>
                <w:highlight w:val="none"/>
                <w:lang w:val="en-US" w:eastAsia="zh-CN"/>
              </w:rPr>
              <w:t>委托</w:t>
            </w:r>
            <w:r>
              <w:rPr>
                <w:rFonts w:hint="default" w:ascii="Times New Roman" w:hAnsi="Times New Roman" w:eastAsia="宋体" w:cs="Times New Roman"/>
                <w:color w:val="auto"/>
                <w:sz w:val="24"/>
                <w:szCs w:val="24"/>
                <w:highlight w:val="none"/>
              </w:rPr>
              <w:t>黑龙江汉风环境检测技术有限公司于2025年</w:t>
            </w: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rPr>
              <w:t>月</w:t>
            </w:r>
            <w:r>
              <w:rPr>
                <w:rFonts w:hint="default" w:ascii="Times New Roman" w:hAnsi="Times New Roman" w:eastAsia="宋体" w:cs="Times New Roman"/>
                <w:color w:val="auto"/>
                <w:sz w:val="24"/>
                <w:szCs w:val="24"/>
                <w:highlight w:val="none"/>
                <w:lang w:val="en-US" w:eastAsia="zh-CN"/>
              </w:rPr>
              <w:t>22</w:t>
            </w:r>
            <w:r>
              <w:rPr>
                <w:rFonts w:hint="default" w:ascii="Times New Roman" w:hAnsi="Times New Roman" w:eastAsia="宋体" w:cs="Times New Roman"/>
                <w:color w:val="auto"/>
                <w:sz w:val="24"/>
                <w:szCs w:val="24"/>
                <w:highlight w:val="none"/>
              </w:rPr>
              <w:t>日-</w:t>
            </w:r>
            <w:r>
              <w:rPr>
                <w:rFonts w:hint="default" w:ascii="Times New Roman" w:hAnsi="Times New Roman" w:eastAsia="宋体" w:cs="Times New Roman"/>
                <w:color w:val="auto"/>
                <w:sz w:val="24"/>
                <w:szCs w:val="24"/>
                <w:highlight w:val="none"/>
                <w:lang w:val="en-US" w:eastAsia="zh-CN"/>
              </w:rPr>
              <w:t>24</w:t>
            </w:r>
            <w:r>
              <w:rPr>
                <w:rFonts w:hint="default" w:ascii="Times New Roman" w:hAnsi="Times New Roman" w:eastAsia="宋体" w:cs="Times New Roman"/>
                <w:color w:val="auto"/>
                <w:sz w:val="24"/>
                <w:szCs w:val="24"/>
                <w:highlight w:val="none"/>
              </w:rPr>
              <w:t>日对项目所在区域进行监测，TSP</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氮氧化物</w:t>
            </w:r>
            <w:r>
              <w:rPr>
                <w:rFonts w:hint="default" w:ascii="Times New Roman" w:hAnsi="Times New Roman" w:eastAsia="宋体" w:cs="Times New Roman"/>
                <w:color w:val="auto"/>
                <w:sz w:val="24"/>
                <w:szCs w:val="24"/>
                <w:highlight w:val="none"/>
              </w:rPr>
              <w:t>监测日均值，监测频次为1天1次，连续3天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cs="Times New Roman"/>
                <w:snapToGrid w:val="0"/>
                <w:color w:val="auto"/>
                <w:kern w:val="0"/>
                <w:sz w:val="24"/>
                <w:highlight w:val="none"/>
              </w:rPr>
              <w:t>取24小时平均值</w:t>
            </w:r>
            <w:r>
              <w:rPr>
                <w:rFonts w:hint="default" w:ascii="Times New Roman" w:hAnsi="Times New Roman" w:cs="Times New Roman"/>
                <w:snapToGrid w:val="0"/>
                <w:color w:val="auto"/>
                <w:kern w:val="0"/>
                <w:sz w:val="24"/>
                <w:highlight w:val="none"/>
                <w:lang w:eastAsia="zh-CN"/>
              </w:rPr>
              <w:t>。</w:t>
            </w:r>
            <w:r>
              <w:rPr>
                <w:rFonts w:hint="default" w:ascii="Times New Roman" w:hAnsi="Times New Roman" w:cs="Times New Roman"/>
                <w:color w:val="auto"/>
                <w:sz w:val="24"/>
                <w:highlight w:val="none"/>
              </w:rPr>
              <w:t>监测结果见表3-2。</w:t>
            </w:r>
            <w:r>
              <w:rPr>
                <w:rFonts w:hint="eastAsia" w:ascii="Times New Roman" w:hAnsi="Times New Roman" w:cs="Times New Roman"/>
                <w:color w:val="auto"/>
                <w:sz w:val="24"/>
                <w:highlight w:val="none"/>
                <w:lang w:val="en-US" w:eastAsia="zh-CN"/>
              </w:rPr>
              <w:t>气象条件见表3-3。</w:t>
            </w:r>
          </w:p>
          <w:p w14:paraId="4887CDD4">
            <w:pPr>
              <w:spacing w:line="500" w:lineRule="exact"/>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表3-</w:t>
            </w:r>
            <w:r>
              <w:rPr>
                <w:rFonts w:hint="default" w:ascii="Times New Roman" w:hAnsi="Times New Roman" w:eastAsia="宋体" w:cs="Times New Roman"/>
                <w:b/>
                <w:color w:val="auto"/>
                <w:sz w:val="21"/>
                <w:szCs w:val="21"/>
                <w:highlight w:val="none"/>
              </w:rPr>
              <w:t>2环境空气</w:t>
            </w:r>
            <w:r>
              <w:rPr>
                <w:rFonts w:hint="default" w:ascii="Times New Roman" w:hAnsi="Times New Roman" w:cs="Times New Roman"/>
                <w:b/>
                <w:color w:val="auto"/>
                <w:sz w:val="21"/>
                <w:szCs w:val="21"/>
                <w:highlight w:val="none"/>
              </w:rPr>
              <w:t>质量现状监测结果</w:t>
            </w:r>
          </w:p>
          <w:tbl>
            <w:tblPr>
              <w:tblStyle w:val="3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37"/>
              <w:gridCol w:w="1151"/>
              <w:gridCol w:w="2546"/>
              <w:gridCol w:w="2722"/>
            </w:tblGrid>
            <w:tr w14:paraId="11CD45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914" w:type="pct"/>
                  <w:vMerge w:val="restart"/>
                  <w:tcBorders>
                    <w:tl2br w:val="nil"/>
                    <w:tr2bl w:val="nil"/>
                  </w:tcBorders>
                  <w:noWrap w:val="0"/>
                  <w:vAlign w:val="center"/>
                </w:tcPr>
                <w:p w14:paraId="18C608F7">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采样日期</w:t>
                  </w:r>
                </w:p>
              </w:tc>
              <w:tc>
                <w:tcPr>
                  <w:tcW w:w="732" w:type="pct"/>
                  <w:vMerge w:val="restart"/>
                  <w:tcBorders>
                    <w:tl2br w:val="nil"/>
                    <w:tr2bl w:val="nil"/>
                  </w:tcBorders>
                  <w:noWrap w:val="0"/>
                  <w:vAlign w:val="center"/>
                </w:tcPr>
                <w:p w14:paraId="06DD1A54">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检测频次</w:t>
                  </w:r>
                </w:p>
              </w:tc>
              <w:tc>
                <w:tcPr>
                  <w:tcW w:w="3352" w:type="pct"/>
                  <w:gridSpan w:val="2"/>
                  <w:tcBorders>
                    <w:tl2br w:val="nil"/>
                    <w:tr2bl w:val="nil"/>
                  </w:tcBorders>
                  <w:noWrap w:val="0"/>
                  <w:vAlign w:val="center"/>
                </w:tcPr>
                <w:p w14:paraId="47E9161D">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lang w:val="en-US" w:eastAsia="zh-CN"/>
                    </w:rPr>
                    <w:t>检测结果</w:t>
                  </w:r>
                  <w:r>
                    <w:rPr>
                      <w:rFonts w:hint="default" w:ascii="Times New Roman" w:hAnsi="Times New Roman" w:eastAsia="宋体" w:cs="Times New Roman"/>
                      <w:color w:val="auto"/>
                      <w:spacing w:val="8"/>
                      <w:sz w:val="21"/>
                      <w:szCs w:val="21"/>
                      <w:highlight w:val="none"/>
                      <w:lang w:eastAsia="zh-CN"/>
                    </w:rPr>
                    <w:t>（</w:t>
                  </w:r>
                  <w:r>
                    <w:rPr>
                      <w:rFonts w:hint="default" w:ascii="Times New Roman" w:hAnsi="Times New Roman" w:eastAsia="宋体" w:cs="Times New Roman"/>
                      <w:color w:val="auto"/>
                      <w:spacing w:val="8"/>
                      <w:sz w:val="21"/>
                      <w:szCs w:val="21"/>
                      <w:highlight w:val="none"/>
                      <w:lang w:val="en-US" w:eastAsia="zh-CN"/>
                    </w:rPr>
                    <w:t>mg/m</w:t>
                  </w:r>
                  <w:r>
                    <w:rPr>
                      <w:rFonts w:hint="default" w:ascii="Times New Roman" w:hAnsi="Times New Roman" w:eastAsia="宋体" w:cs="Times New Roman"/>
                      <w:color w:val="auto"/>
                      <w:spacing w:val="8"/>
                      <w:sz w:val="21"/>
                      <w:szCs w:val="21"/>
                      <w:highlight w:val="none"/>
                      <w:vertAlign w:val="superscript"/>
                      <w:lang w:val="en-US" w:eastAsia="zh-CN"/>
                    </w:rPr>
                    <w:t>3</w:t>
                  </w:r>
                  <w:r>
                    <w:rPr>
                      <w:rFonts w:hint="default" w:ascii="Times New Roman" w:hAnsi="Times New Roman" w:eastAsia="宋体" w:cs="Times New Roman"/>
                      <w:color w:val="auto"/>
                      <w:spacing w:val="8"/>
                      <w:sz w:val="21"/>
                      <w:szCs w:val="21"/>
                      <w:highlight w:val="none"/>
                      <w:lang w:eastAsia="zh-CN"/>
                    </w:rPr>
                    <w:t>）</w:t>
                  </w:r>
                </w:p>
              </w:tc>
            </w:tr>
            <w:tr w14:paraId="680BF9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914" w:type="pct"/>
                  <w:vMerge w:val="continue"/>
                  <w:tcBorders>
                    <w:tl2br w:val="nil"/>
                    <w:tr2bl w:val="nil"/>
                  </w:tcBorders>
                  <w:noWrap w:val="0"/>
                  <w:vAlign w:val="center"/>
                </w:tcPr>
                <w:p w14:paraId="505F3D2F">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732" w:type="pct"/>
                  <w:vMerge w:val="continue"/>
                  <w:tcBorders>
                    <w:tl2br w:val="nil"/>
                    <w:tr2bl w:val="nil"/>
                  </w:tcBorders>
                  <w:noWrap w:val="0"/>
                  <w:vAlign w:val="center"/>
                </w:tcPr>
                <w:p w14:paraId="0CD21046">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1620" w:type="pct"/>
                  <w:tcBorders>
                    <w:tl2br w:val="nil"/>
                    <w:tr2bl w:val="nil"/>
                  </w:tcBorders>
                  <w:noWrap w:val="0"/>
                  <w:vAlign w:val="center"/>
                </w:tcPr>
                <w:p w14:paraId="3457A1EE">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总悬浮颗粒物</w:t>
                  </w:r>
                </w:p>
              </w:tc>
              <w:tc>
                <w:tcPr>
                  <w:tcW w:w="1732" w:type="pct"/>
                  <w:tcBorders>
                    <w:tl2br w:val="nil"/>
                    <w:tr2bl w:val="nil"/>
                  </w:tcBorders>
                  <w:noWrap w:val="0"/>
                  <w:vAlign w:val="center"/>
                </w:tcPr>
                <w:p w14:paraId="1608484C">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氮氧化物</w:t>
                  </w:r>
                </w:p>
              </w:tc>
            </w:tr>
            <w:tr w14:paraId="67DC51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914" w:type="pct"/>
                  <w:vMerge w:val="continue"/>
                  <w:tcBorders>
                    <w:tl2br w:val="nil"/>
                    <w:tr2bl w:val="nil"/>
                  </w:tcBorders>
                  <w:noWrap w:val="0"/>
                  <w:vAlign w:val="center"/>
                </w:tcPr>
                <w:p w14:paraId="0D72D8CD">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rPr>
                  </w:pPr>
                </w:p>
              </w:tc>
              <w:tc>
                <w:tcPr>
                  <w:tcW w:w="732" w:type="pct"/>
                  <w:vMerge w:val="continue"/>
                  <w:tcBorders>
                    <w:tl2br w:val="nil"/>
                    <w:tr2bl w:val="nil"/>
                  </w:tcBorders>
                  <w:noWrap w:val="0"/>
                  <w:vAlign w:val="center"/>
                </w:tcPr>
                <w:p w14:paraId="294D9973">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rPr>
                  </w:pPr>
                </w:p>
              </w:tc>
              <w:tc>
                <w:tcPr>
                  <w:tcW w:w="1620" w:type="pct"/>
                  <w:tcBorders>
                    <w:tl2br w:val="nil"/>
                    <w:tr2bl w:val="nil"/>
                  </w:tcBorders>
                  <w:noWrap w:val="0"/>
                  <w:vAlign w:val="center"/>
                </w:tcPr>
                <w:p w14:paraId="450661DD">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w:t>
                  </w:r>
                  <w:r>
                    <w:rPr>
                      <w:rFonts w:hint="default" w:ascii="Times New Roman" w:hAnsi="Times New Roman" w:eastAsia="宋体" w:cs="Times New Roman"/>
                      <w:color w:val="auto"/>
                      <w:spacing w:val="8"/>
                      <w:sz w:val="21"/>
                      <w:szCs w:val="21"/>
                      <w:highlight w:val="none"/>
                    </w:rPr>
                    <w:t>1#下风向监测点</w:t>
                  </w:r>
                </w:p>
              </w:tc>
              <w:tc>
                <w:tcPr>
                  <w:tcW w:w="1732" w:type="pct"/>
                  <w:tcBorders>
                    <w:tl2br w:val="nil"/>
                    <w:tr2bl w:val="nil"/>
                  </w:tcBorders>
                  <w:noWrap w:val="0"/>
                  <w:vAlign w:val="center"/>
                </w:tcPr>
                <w:p w14:paraId="2C786957">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w:t>
                  </w:r>
                  <w:r>
                    <w:rPr>
                      <w:rFonts w:hint="default" w:ascii="Times New Roman" w:hAnsi="Times New Roman" w:eastAsia="宋体" w:cs="Times New Roman"/>
                      <w:color w:val="auto"/>
                      <w:spacing w:val="8"/>
                      <w:sz w:val="21"/>
                      <w:szCs w:val="21"/>
                      <w:highlight w:val="none"/>
                    </w:rPr>
                    <w:t>1#下风向监测点</w:t>
                  </w:r>
                </w:p>
              </w:tc>
            </w:tr>
            <w:tr w14:paraId="35373E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14" w:type="pct"/>
                  <w:tcBorders>
                    <w:tl2br w:val="nil"/>
                    <w:tr2bl w:val="nil"/>
                  </w:tcBorders>
                  <w:noWrap w:val="0"/>
                  <w:vAlign w:val="center"/>
                </w:tcPr>
                <w:p w14:paraId="1DDB30CD">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2025.</w:t>
                  </w:r>
                  <w:r>
                    <w:rPr>
                      <w:rFonts w:hint="eastAsia" w:ascii="Times New Roman" w:hAnsi="Times New Roman" w:cs="Times New Roman"/>
                      <w:color w:val="auto"/>
                      <w:spacing w:val="8"/>
                      <w:sz w:val="21"/>
                      <w:szCs w:val="21"/>
                      <w:highlight w:val="none"/>
                      <w:lang w:val="en-US" w:eastAsia="zh-CN"/>
                    </w:rPr>
                    <w:t>10.22</w:t>
                  </w:r>
                </w:p>
              </w:tc>
              <w:tc>
                <w:tcPr>
                  <w:tcW w:w="732" w:type="pct"/>
                  <w:vMerge w:val="restart"/>
                  <w:tcBorders>
                    <w:tl2br w:val="nil"/>
                    <w:tr2bl w:val="nil"/>
                  </w:tcBorders>
                  <w:noWrap w:val="0"/>
                  <w:vAlign w:val="center"/>
                </w:tcPr>
                <w:p w14:paraId="5B470ED0">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日均值</w:t>
                  </w:r>
                </w:p>
              </w:tc>
              <w:tc>
                <w:tcPr>
                  <w:tcW w:w="1620" w:type="pct"/>
                  <w:tcBorders>
                    <w:tl2br w:val="nil"/>
                    <w:tr2bl w:val="nil"/>
                  </w:tcBorders>
                  <w:shd w:val="clear" w:color="auto" w:fill="auto"/>
                  <w:noWrap w:val="0"/>
                  <w:vAlign w:val="center"/>
                </w:tcPr>
                <w:p w14:paraId="2042C256">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 xml:space="preserve">0.092 </w:t>
                  </w:r>
                </w:p>
              </w:tc>
              <w:tc>
                <w:tcPr>
                  <w:tcW w:w="1732" w:type="pct"/>
                  <w:tcBorders>
                    <w:tl2br w:val="nil"/>
                    <w:tr2bl w:val="nil"/>
                  </w:tcBorders>
                  <w:shd w:val="clear" w:color="auto" w:fill="auto"/>
                  <w:noWrap w:val="0"/>
                  <w:vAlign w:val="center"/>
                </w:tcPr>
                <w:p w14:paraId="1399B44E">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0.028</w:t>
                  </w:r>
                </w:p>
              </w:tc>
            </w:tr>
            <w:tr w14:paraId="743DEC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14" w:type="pct"/>
                  <w:tcBorders>
                    <w:tl2br w:val="nil"/>
                    <w:tr2bl w:val="nil"/>
                  </w:tcBorders>
                  <w:noWrap w:val="0"/>
                  <w:vAlign w:val="center"/>
                </w:tcPr>
                <w:p w14:paraId="436412AE">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2025.</w:t>
                  </w:r>
                  <w:r>
                    <w:rPr>
                      <w:rFonts w:hint="eastAsia" w:ascii="Times New Roman" w:hAnsi="Times New Roman" w:cs="Times New Roman"/>
                      <w:color w:val="auto"/>
                      <w:spacing w:val="8"/>
                      <w:sz w:val="21"/>
                      <w:szCs w:val="21"/>
                      <w:highlight w:val="none"/>
                      <w:lang w:val="en-US" w:eastAsia="zh-CN"/>
                    </w:rPr>
                    <w:t>10.23</w:t>
                  </w:r>
                </w:p>
              </w:tc>
              <w:tc>
                <w:tcPr>
                  <w:tcW w:w="732" w:type="pct"/>
                  <w:vMerge w:val="continue"/>
                  <w:tcBorders>
                    <w:tl2br w:val="nil"/>
                    <w:tr2bl w:val="nil"/>
                  </w:tcBorders>
                  <w:noWrap w:val="0"/>
                  <w:vAlign w:val="center"/>
                </w:tcPr>
                <w:p w14:paraId="70393A8B">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rPr>
                  </w:pPr>
                </w:p>
              </w:tc>
              <w:tc>
                <w:tcPr>
                  <w:tcW w:w="1620" w:type="pct"/>
                  <w:tcBorders>
                    <w:tl2br w:val="nil"/>
                    <w:tr2bl w:val="nil"/>
                  </w:tcBorders>
                  <w:shd w:val="clear" w:color="auto" w:fill="auto"/>
                  <w:noWrap w:val="0"/>
                  <w:vAlign w:val="center"/>
                </w:tcPr>
                <w:p w14:paraId="30B56E58">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 xml:space="preserve">0.087 </w:t>
                  </w:r>
                </w:p>
              </w:tc>
              <w:tc>
                <w:tcPr>
                  <w:tcW w:w="1732" w:type="pct"/>
                  <w:tcBorders>
                    <w:tl2br w:val="nil"/>
                    <w:tr2bl w:val="nil"/>
                  </w:tcBorders>
                  <w:shd w:val="clear" w:color="auto" w:fill="auto"/>
                  <w:noWrap w:val="0"/>
                  <w:vAlign w:val="center"/>
                </w:tcPr>
                <w:p w14:paraId="3B910313">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0.021</w:t>
                  </w:r>
                </w:p>
              </w:tc>
            </w:tr>
            <w:tr w14:paraId="2E76ED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14" w:type="pct"/>
                  <w:tcBorders>
                    <w:tl2br w:val="nil"/>
                    <w:tr2bl w:val="nil"/>
                  </w:tcBorders>
                  <w:noWrap w:val="0"/>
                  <w:vAlign w:val="center"/>
                </w:tcPr>
                <w:p w14:paraId="7D807A7D">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2025.</w:t>
                  </w:r>
                  <w:r>
                    <w:rPr>
                      <w:rFonts w:hint="eastAsia" w:ascii="Times New Roman" w:hAnsi="Times New Roman" w:cs="Times New Roman"/>
                      <w:color w:val="auto"/>
                      <w:spacing w:val="8"/>
                      <w:sz w:val="21"/>
                      <w:szCs w:val="21"/>
                      <w:highlight w:val="none"/>
                      <w:lang w:val="en-US" w:eastAsia="zh-CN"/>
                    </w:rPr>
                    <w:t>10.24</w:t>
                  </w:r>
                </w:p>
              </w:tc>
              <w:tc>
                <w:tcPr>
                  <w:tcW w:w="732" w:type="pct"/>
                  <w:vMerge w:val="continue"/>
                  <w:tcBorders>
                    <w:tl2br w:val="nil"/>
                    <w:tr2bl w:val="nil"/>
                  </w:tcBorders>
                  <w:noWrap w:val="0"/>
                  <w:vAlign w:val="center"/>
                </w:tcPr>
                <w:p w14:paraId="541A07B5">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rPr>
                  </w:pPr>
                </w:p>
              </w:tc>
              <w:tc>
                <w:tcPr>
                  <w:tcW w:w="1620" w:type="pct"/>
                  <w:tcBorders>
                    <w:tl2br w:val="nil"/>
                    <w:tr2bl w:val="nil"/>
                  </w:tcBorders>
                  <w:shd w:val="clear" w:color="auto" w:fill="auto"/>
                  <w:noWrap w:val="0"/>
                  <w:vAlign w:val="center"/>
                </w:tcPr>
                <w:p w14:paraId="194B745C">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 xml:space="preserve">0.093 </w:t>
                  </w:r>
                </w:p>
              </w:tc>
              <w:tc>
                <w:tcPr>
                  <w:tcW w:w="1732" w:type="pct"/>
                  <w:tcBorders>
                    <w:tl2br w:val="nil"/>
                    <w:tr2bl w:val="nil"/>
                  </w:tcBorders>
                  <w:shd w:val="clear" w:color="auto" w:fill="auto"/>
                  <w:noWrap w:val="0"/>
                  <w:vAlign w:val="center"/>
                </w:tcPr>
                <w:p w14:paraId="14FEFD00">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0.030</w:t>
                  </w:r>
                </w:p>
              </w:tc>
            </w:tr>
          </w:tbl>
          <w:p w14:paraId="7CC5F7E2">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
                <w:color w:val="auto"/>
                <w:sz w:val="21"/>
                <w:szCs w:val="16"/>
                <w:highlight w:val="none"/>
                <w:lang w:val="en-US" w:eastAsia="zh-CN"/>
              </w:rPr>
            </w:pPr>
            <w:r>
              <w:rPr>
                <w:rFonts w:hint="eastAsia" w:ascii="Times New Roman" w:hAnsi="Times New Roman" w:cs="Times New Roman"/>
                <w:b/>
                <w:color w:val="auto"/>
                <w:sz w:val="21"/>
                <w:szCs w:val="16"/>
                <w:highlight w:val="none"/>
                <w:lang w:val="en-US" w:eastAsia="zh-CN"/>
              </w:rPr>
              <w:t>表3-3 气象条件</w:t>
            </w:r>
          </w:p>
          <w:tbl>
            <w:tblPr>
              <w:tblStyle w:val="35"/>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082"/>
              <w:gridCol w:w="1127"/>
              <w:gridCol w:w="1127"/>
              <w:gridCol w:w="1127"/>
              <w:gridCol w:w="1127"/>
              <w:gridCol w:w="1127"/>
              <w:gridCol w:w="1140"/>
            </w:tblGrid>
            <w:tr w14:paraId="3A5511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tblHeader/>
                <w:jc w:val="center"/>
              </w:trPr>
              <w:tc>
                <w:tcPr>
                  <w:tcW w:w="689" w:type="pct"/>
                  <w:vMerge w:val="restart"/>
                  <w:tcBorders>
                    <w:tl2br w:val="nil"/>
                    <w:tr2bl w:val="nil"/>
                  </w:tcBorders>
                  <w:noWrap w:val="0"/>
                  <w:vAlign w:val="center"/>
                </w:tcPr>
                <w:p w14:paraId="3C674190">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采样日期</w:t>
                  </w:r>
                </w:p>
              </w:tc>
              <w:tc>
                <w:tcPr>
                  <w:tcW w:w="4310" w:type="pct"/>
                  <w:gridSpan w:val="6"/>
                  <w:tcBorders>
                    <w:tl2br w:val="nil"/>
                    <w:tr2bl w:val="nil"/>
                  </w:tcBorders>
                  <w:noWrap w:val="0"/>
                  <w:vAlign w:val="center"/>
                </w:tcPr>
                <w:p w14:paraId="3F09928B">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统计结果</w:t>
                  </w:r>
                </w:p>
              </w:tc>
            </w:tr>
            <w:tr w14:paraId="404908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tblHeader/>
                <w:jc w:val="center"/>
              </w:trPr>
              <w:tc>
                <w:tcPr>
                  <w:tcW w:w="689" w:type="pct"/>
                  <w:vMerge w:val="continue"/>
                  <w:tcBorders>
                    <w:tl2br w:val="nil"/>
                    <w:tr2bl w:val="nil"/>
                  </w:tcBorders>
                  <w:noWrap w:val="0"/>
                  <w:vAlign w:val="center"/>
                </w:tcPr>
                <w:p w14:paraId="5DA4BD63">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717" w:type="pct"/>
                  <w:tcBorders>
                    <w:tl2br w:val="nil"/>
                    <w:tr2bl w:val="nil"/>
                  </w:tcBorders>
                  <w:noWrap w:val="0"/>
                  <w:vAlign w:val="center"/>
                </w:tcPr>
                <w:p w14:paraId="5AE8C9A1">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天气</w:t>
                  </w:r>
                </w:p>
              </w:tc>
              <w:tc>
                <w:tcPr>
                  <w:tcW w:w="717" w:type="pct"/>
                  <w:tcBorders>
                    <w:tl2br w:val="nil"/>
                    <w:tr2bl w:val="nil"/>
                  </w:tcBorders>
                  <w:noWrap w:val="0"/>
                  <w:vAlign w:val="center"/>
                </w:tcPr>
                <w:p w14:paraId="5E4FEC68">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风向</w:t>
                  </w:r>
                </w:p>
              </w:tc>
              <w:tc>
                <w:tcPr>
                  <w:tcW w:w="717" w:type="pct"/>
                  <w:tcBorders>
                    <w:tl2br w:val="nil"/>
                    <w:tr2bl w:val="nil"/>
                  </w:tcBorders>
                  <w:noWrap w:val="0"/>
                  <w:vAlign w:val="center"/>
                </w:tcPr>
                <w:p w14:paraId="44A19106">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风速（m/s）</w:t>
                  </w:r>
                </w:p>
              </w:tc>
              <w:tc>
                <w:tcPr>
                  <w:tcW w:w="717" w:type="pct"/>
                  <w:tcBorders>
                    <w:tl2br w:val="nil"/>
                    <w:tr2bl w:val="nil"/>
                  </w:tcBorders>
                  <w:noWrap w:val="0"/>
                  <w:vAlign w:val="center"/>
                </w:tcPr>
                <w:p w14:paraId="21AF7C7C">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最高气温(℃)</w:t>
                  </w:r>
                </w:p>
              </w:tc>
              <w:tc>
                <w:tcPr>
                  <w:tcW w:w="717" w:type="pct"/>
                  <w:tcBorders>
                    <w:tl2br w:val="nil"/>
                    <w:tr2bl w:val="nil"/>
                  </w:tcBorders>
                  <w:noWrap w:val="0"/>
                  <w:vAlign w:val="center"/>
                </w:tcPr>
                <w:p w14:paraId="7DBEA3F9">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最低气温(℃)</w:t>
                  </w:r>
                </w:p>
              </w:tc>
              <w:tc>
                <w:tcPr>
                  <w:tcW w:w="721" w:type="pct"/>
                  <w:tcBorders>
                    <w:tl2br w:val="nil"/>
                    <w:tr2bl w:val="nil"/>
                  </w:tcBorders>
                  <w:noWrap w:val="0"/>
                  <w:vAlign w:val="center"/>
                </w:tcPr>
                <w:p w14:paraId="3133E1A5">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气压(hPa)</w:t>
                  </w:r>
                </w:p>
              </w:tc>
            </w:tr>
            <w:tr w14:paraId="217DB4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689" w:type="pct"/>
                  <w:tcBorders>
                    <w:tl2br w:val="nil"/>
                    <w:tr2bl w:val="nil"/>
                  </w:tcBorders>
                  <w:noWrap w:val="0"/>
                  <w:vAlign w:val="center"/>
                </w:tcPr>
                <w:p w14:paraId="5FD9F535">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2025.</w:t>
                  </w:r>
                  <w:r>
                    <w:rPr>
                      <w:rFonts w:hint="eastAsia" w:ascii="Times New Roman" w:hAnsi="Times New Roman" w:eastAsia="宋体" w:cs="Times New Roman"/>
                      <w:color w:val="auto"/>
                      <w:spacing w:val="8"/>
                      <w:sz w:val="21"/>
                      <w:szCs w:val="21"/>
                      <w:highlight w:val="none"/>
                      <w:lang w:val="en-US" w:eastAsia="zh-CN"/>
                    </w:rPr>
                    <w:t>10.22</w:t>
                  </w:r>
                </w:p>
              </w:tc>
              <w:tc>
                <w:tcPr>
                  <w:tcW w:w="717" w:type="pct"/>
                  <w:tcBorders>
                    <w:tl2br w:val="nil"/>
                    <w:tr2bl w:val="nil"/>
                  </w:tcBorders>
                  <w:noWrap w:val="0"/>
                  <w:vAlign w:val="center"/>
                </w:tcPr>
                <w:p w14:paraId="57F82F1B">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晴</w:t>
                  </w:r>
                </w:p>
              </w:tc>
              <w:tc>
                <w:tcPr>
                  <w:tcW w:w="717" w:type="pct"/>
                  <w:tcBorders>
                    <w:tl2br w:val="nil"/>
                    <w:tr2bl w:val="nil"/>
                  </w:tcBorders>
                  <w:noWrap w:val="0"/>
                  <w:vAlign w:val="center"/>
                </w:tcPr>
                <w:p w14:paraId="31A10E51">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西北</w:t>
                  </w:r>
                  <w:r>
                    <w:rPr>
                      <w:rFonts w:hint="default" w:ascii="Times New Roman" w:hAnsi="Times New Roman" w:eastAsia="宋体" w:cs="Times New Roman"/>
                      <w:color w:val="auto"/>
                      <w:spacing w:val="8"/>
                      <w:sz w:val="21"/>
                      <w:szCs w:val="21"/>
                      <w:highlight w:val="none"/>
                      <w:lang w:val="en-US" w:eastAsia="zh-CN"/>
                    </w:rPr>
                    <w:t>风</w:t>
                  </w:r>
                </w:p>
              </w:tc>
              <w:tc>
                <w:tcPr>
                  <w:tcW w:w="717" w:type="pct"/>
                  <w:tcBorders>
                    <w:tl2br w:val="nil"/>
                    <w:tr2bl w:val="nil"/>
                  </w:tcBorders>
                  <w:noWrap w:val="0"/>
                  <w:vAlign w:val="center"/>
                </w:tcPr>
                <w:p w14:paraId="5E6BA22F">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3.0</w:t>
                  </w:r>
                </w:p>
              </w:tc>
              <w:tc>
                <w:tcPr>
                  <w:tcW w:w="717" w:type="pct"/>
                  <w:tcBorders>
                    <w:tl2br w:val="nil"/>
                    <w:tr2bl w:val="nil"/>
                  </w:tcBorders>
                  <w:noWrap w:val="0"/>
                  <w:vAlign w:val="center"/>
                </w:tcPr>
                <w:p w14:paraId="30E00D1E">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7</w:t>
                  </w:r>
                </w:p>
              </w:tc>
              <w:tc>
                <w:tcPr>
                  <w:tcW w:w="717" w:type="pct"/>
                  <w:tcBorders>
                    <w:tl2br w:val="nil"/>
                    <w:tr2bl w:val="nil"/>
                  </w:tcBorders>
                  <w:noWrap w:val="0"/>
                  <w:vAlign w:val="center"/>
                </w:tcPr>
                <w:p w14:paraId="1D02C2CF">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-4</w:t>
                  </w:r>
                </w:p>
              </w:tc>
              <w:tc>
                <w:tcPr>
                  <w:tcW w:w="721" w:type="pct"/>
                  <w:tcBorders>
                    <w:tl2br w:val="nil"/>
                    <w:tr2bl w:val="nil"/>
                  </w:tcBorders>
                  <w:noWrap w:val="0"/>
                  <w:vAlign w:val="center"/>
                </w:tcPr>
                <w:p w14:paraId="41287923">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 xml:space="preserve">993.3 </w:t>
                  </w:r>
                </w:p>
              </w:tc>
            </w:tr>
            <w:tr w14:paraId="015B28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689" w:type="pct"/>
                  <w:tcBorders>
                    <w:tl2br w:val="nil"/>
                    <w:tr2bl w:val="nil"/>
                  </w:tcBorders>
                  <w:noWrap w:val="0"/>
                  <w:vAlign w:val="center"/>
                </w:tcPr>
                <w:p w14:paraId="3F128747">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2025.</w:t>
                  </w:r>
                  <w:r>
                    <w:rPr>
                      <w:rFonts w:hint="eastAsia" w:ascii="Times New Roman" w:hAnsi="Times New Roman" w:eastAsia="宋体" w:cs="Times New Roman"/>
                      <w:color w:val="auto"/>
                      <w:spacing w:val="8"/>
                      <w:sz w:val="21"/>
                      <w:szCs w:val="21"/>
                      <w:highlight w:val="none"/>
                      <w:lang w:val="en-US" w:eastAsia="zh-CN"/>
                    </w:rPr>
                    <w:t>10.23</w:t>
                  </w:r>
                </w:p>
              </w:tc>
              <w:tc>
                <w:tcPr>
                  <w:tcW w:w="717" w:type="pct"/>
                  <w:tcBorders>
                    <w:tl2br w:val="nil"/>
                    <w:tr2bl w:val="nil"/>
                  </w:tcBorders>
                  <w:noWrap w:val="0"/>
                  <w:vAlign w:val="center"/>
                </w:tcPr>
                <w:p w14:paraId="23AD7FEB">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晴</w:t>
                  </w:r>
                </w:p>
              </w:tc>
              <w:tc>
                <w:tcPr>
                  <w:tcW w:w="717" w:type="pct"/>
                  <w:tcBorders>
                    <w:tl2br w:val="nil"/>
                    <w:tr2bl w:val="nil"/>
                  </w:tcBorders>
                  <w:noWrap w:val="0"/>
                  <w:vAlign w:val="center"/>
                </w:tcPr>
                <w:p w14:paraId="2300E6F2">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西北</w:t>
                  </w:r>
                  <w:r>
                    <w:rPr>
                      <w:rFonts w:hint="default" w:ascii="Times New Roman" w:hAnsi="Times New Roman" w:eastAsia="宋体" w:cs="Times New Roman"/>
                      <w:color w:val="auto"/>
                      <w:spacing w:val="8"/>
                      <w:sz w:val="21"/>
                      <w:szCs w:val="21"/>
                      <w:highlight w:val="none"/>
                      <w:lang w:val="en-US" w:eastAsia="zh-CN"/>
                    </w:rPr>
                    <w:t>风</w:t>
                  </w:r>
                </w:p>
              </w:tc>
              <w:tc>
                <w:tcPr>
                  <w:tcW w:w="717" w:type="pct"/>
                  <w:tcBorders>
                    <w:tl2br w:val="nil"/>
                    <w:tr2bl w:val="nil"/>
                  </w:tcBorders>
                  <w:noWrap w:val="0"/>
                  <w:vAlign w:val="center"/>
                </w:tcPr>
                <w:p w14:paraId="62B60E91">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2.2</w:t>
                  </w:r>
                </w:p>
              </w:tc>
              <w:tc>
                <w:tcPr>
                  <w:tcW w:w="717" w:type="pct"/>
                  <w:tcBorders>
                    <w:tl2br w:val="nil"/>
                    <w:tr2bl w:val="nil"/>
                  </w:tcBorders>
                  <w:noWrap w:val="0"/>
                  <w:vAlign w:val="center"/>
                </w:tcPr>
                <w:p w14:paraId="28ABE6EB">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5</w:t>
                  </w:r>
                </w:p>
              </w:tc>
              <w:tc>
                <w:tcPr>
                  <w:tcW w:w="717" w:type="pct"/>
                  <w:tcBorders>
                    <w:tl2br w:val="nil"/>
                    <w:tr2bl w:val="nil"/>
                  </w:tcBorders>
                  <w:noWrap w:val="0"/>
                  <w:vAlign w:val="center"/>
                </w:tcPr>
                <w:p w14:paraId="186FD30F">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-3</w:t>
                  </w:r>
                </w:p>
              </w:tc>
              <w:tc>
                <w:tcPr>
                  <w:tcW w:w="721" w:type="pct"/>
                  <w:tcBorders>
                    <w:tl2br w:val="nil"/>
                    <w:tr2bl w:val="nil"/>
                  </w:tcBorders>
                  <w:noWrap w:val="0"/>
                  <w:vAlign w:val="center"/>
                </w:tcPr>
                <w:p w14:paraId="001B8C9C">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 xml:space="preserve">993.2 </w:t>
                  </w:r>
                </w:p>
              </w:tc>
            </w:tr>
            <w:tr w14:paraId="5D5699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689" w:type="pct"/>
                  <w:tcBorders>
                    <w:tl2br w:val="nil"/>
                    <w:tr2bl w:val="nil"/>
                  </w:tcBorders>
                  <w:noWrap w:val="0"/>
                  <w:vAlign w:val="center"/>
                </w:tcPr>
                <w:p w14:paraId="105142B9">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2025.</w:t>
                  </w:r>
                  <w:r>
                    <w:rPr>
                      <w:rFonts w:hint="eastAsia" w:ascii="Times New Roman" w:hAnsi="Times New Roman" w:eastAsia="宋体" w:cs="Times New Roman"/>
                      <w:color w:val="auto"/>
                      <w:spacing w:val="8"/>
                      <w:sz w:val="21"/>
                      <w:szCs w:val="21"/>
                      <w:highlight w:val="none"/>
                      <w:lang w:val="en-US" w:eastAsia="zh-CN"/>
                    </w:rPr>
                    <w:t>10.24</w:t>
                  </w:r>
                </w:p>
              </w:tc>
              <w:tc>
                <w:tcPr>
                  <w:tcW w:w="717" w:type="pct"/>
                  <w:tcBorders>
                    <w:tl2br w:val="nil"/>
                    <w:tr2bl w:val="nil"/>
                  </w:tcBorders>
                  <w:noWrap w:val="0"/>
                  <w:vAlign w:val="center"/>
                </w:tcPr>
                <w:p w14:paraId="72B1B6BA">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晴</w:t>
                  </w:r>
                </w:p>
              </w:tc>
              <w:tc>
                <w:tcPr>
                  <w:tcW w:w="717" w:type="pct"/>
                  <w:tcBorders>
                    <w:tl2br w:val="nil"/>
                    <w:tr2bl w:val="nil"/>
                  </w:tcBorders>
                  <w:noWrap w:val="0"/>
                  <w:vAlign w:val="center"/>
                </w:tcPr>
                <w:p w14:paraId="39965746">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西南</w:t>
                  </w:r>
                  <w:r>
                    <w:rPr>
                      <w:rFonts w:hint="default" w:ascii="Times New Roman" w:hAnsi="Times New Roman" w:eastAsia="宋体" w:cs="Times New Roman"/>
                      <w:color w:val="auto"/>
                      <w:spacing w:val="8"/>
                      <w:sz w:val="21"/>
                      <w:szCs w:val="21"/>
                      <w:highlight w:val="none"/>
                      <w:lang w:val="en-US" w:eastAsia="zh-CN"/>
                    </w:rPr>
                    <w:t>风</w:t>
                  </w:r>
                </w:p>
              </w:tc>
              <w:tc>
                <w:tcPr>
                  <w:tcW w:w="717" w:type="pct"/>
                  <w:tcBorders>
                    <w:tl2br w:val="nil"/>
                    <w:tr2bl w:val="nil"/>
                  </w:tcBorders>
                  <w:noWrap w:val="0"/>
                  <w:vAlign w:val="center"/>
                </w:tcPr>
                <w:p w14:paraId="6FF59A46">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2.5</w:t>
                  </w:r>
                </w:p>
              </w:tc>
              <w:tc>
                <w:tcPr>
                  <w:tcW w:w="717" w:type="pct"/>
                  <w:tcBorders>
                    <w:tl2br w:val="nil"/>
                    <w:tr2bl w:val="nil"/>
                  </w:tcBorders>
                  <w:noWrap w:val="0"/>
                  <w:vAlign w:val="center"/>
                </w:tcPr>
                <w:p w14:paraId="37E3CED3">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7</w:t>
                  </w:r>
                </w:p>
              </w:tc>
              <w:tc>
                <w:tcPr>
                  <w:tcW w:w="717" w:type="pct"/>
                  <w:tcBorders>
                    <w:tl2br w:val="nil"/>
                    <w:tr2bl w:val="nil"/>
                  </w:tcBorders>
                  <w:noWrap w:val="0"/>
                  <w:vAlign w:val="center"/>
                </w:tcPr>
                <w:p w14:paraId="2E153149">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-4</w:t>
                  </w:r>
                </w:p>
              </w:tc>
              <w:tc>
                <w:tcPr>
                  <w:tcW w:w="721" w:type="pct"/>
                  <w:tcBorders>
                    <w:tl2br w:val="nil"/>
                    <w:tr2bl w:val="nil"/>
                  </w:tcBorders>
                  <w:noWrap w:val="0"/>
                  <w:vAlign w:val="center"/>
                </w:tcPr>
                <w:p w14:paraId="5DA2F410">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 xml:space="preserve">993.2 </w:t>
                  </w:r>
                </w:p>
              </w:tc>
            </w:tr>
          </w:tbl>
          <w:p w14:paraId="05413702">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
                <w:color w:val="auto"/>
                <w:sz w:val="21"/>
                <w:szCs w:val="16"/>
                <w:highlight w:val="none"/>
                <w:lang w:val="en-US" w:eastAsia="zh-CN"/>
              </w:rPr>
            </w:pPr>
          </w:p>
          <w:p w14:paraId="4DDDE1E8">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
                <w:color w:val="auto"/>
                <w:sz w:val="21"/>
                <w:szCs w:val="16"/>
                <w:highlight w:val="none"/>
                <w:lang w:val="en-US" w:eastAsia="zh-CN"/>
              </w:rPr>
            </w:pPr>
            <w:r>
              <w:rPr>
                <w:rFonts w:hint="default" w:ascii="Times New Roman" w:hAnsi="Times New Roman" w:eastAsia="宋体" w:cs="Times New Roman"/>
                <w:b/>
                <w:color w:val="auto"/>
                <w:sz w:val="21"/>
                <w:szCs w:val="16"/>
                <w:highlight w:val="none"/>
                <w:lang w:val="en-US" w:eastAsia="zh-CN"/>
              </w:rPr>
              <w:t>表3-</w:t>
            </w:r>
            <w:r>
              <w:rPr>
                <w:rFonts w:hint="eastAsia" w:ascii="Times New Roman" w:hAnsi="Times New Roman" w:cs="Times New Roman"/>
                <w:b/>
                <w:color w:val="auto"/>
                <w:sz w:val="21"/>
                <w:szCs w:val="16"/>
                <w:highlight w:val="none"/>
                <w:lang w:val="en-US" w:eastAsia="zh-CN"/>
              </w:rPr>
              <w:t>4</w:t>
            </w:r>
            <w:r>
              <w:rPr>
                <w:rFonts w:hint="default" w:ascii="Times New Roman" w:hAnsi="Times New Roman" w:eastAsia="宋体" w:cs="Times New Roman"/>
                <w:b/>
                <w:color w:val="auto"/>
                <w:sz w:val="21"/>
                <w:szCs w:val="16"/>
                <w:highlight w:val="none"/>
                <w:lang w:val="en-US" w:eastAsia="zh-CN"/>
              </w:rPr>
              <w:t xml:space="preserve">  大气其他污染物环境质量现状表 </w:t>
            </w:r>
          </w:p>
          <w:tbl>
            <w:tblPr>
              <w:tblStyle w:val="35"/>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95"/>
              <w:gridCol w:w="706"/>
              <w:gridCol w:w="1216"/>
              <w:gridCol w:w="1254"/>
              <w:gridCol w:w="1166"/>
              <w:gridCol w:w="1042"/>
              <w:gridCol w:w="871"/>
            </w:tblGrid>
            <w:tr w14:paraId="596ED5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15" w:type="pct"/>
                  <w:noWrap w:val="0"/>
                  <w:vAlign w:val="center"/>
                </w:tcPr>
                <w:p w14:paraId="1EC89379">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名称</w:t>
                  </w:r>
                </w:p>
              </w:tc>
              <w:tc>
                <w:tcPr>
                  <w:tcW w:w="449" w:type="pct"/>
                  <w:noWrap w:val="0"/>
                  <w:vAlign w:val="center"/>
                </w:tcPr>
                <w:p w14:paraId="15C79179">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污染物</w:t>
                  </w:r>
                </w:p>
              </w:tc>
              <w:tc>
                <w:tcPr>
                  <w:tcW w:w="774" w:type="pct"/>
                  <w:noWrap w:val="0"/>
                  <w:vAlign w:val="center"/>
                </w:tcPr>
                <w:p w14:paraId="2F1F1219">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评价标准（μg/m</w:t>
                  </w:r>
                  <w:r>
                    <w:rPr>
                      <w:rFonts w:hint="default" w:ascii="Times New Roman" w:hAnsi="Times New Roman" w:eastAsia="宋体" w:cs="Times New Roman"/>
                      <w:color w:val="auto"/>
                      <w:spacing w:val="8"/>
                      <w:sz w:val="21"/>
                      <w:szCs w:val="21"/>
                      <w:highlight w:val="none"/>
                      <w:vertAlign w:val="superscript"/>
                      <w:lang w:val="en-US" w:eastAsia="zh-CN"/>
                    </w:rPr>
                    <w:t>3</w:t>
                  </w:r>
                  <w:r>
                    <w:rPr>
                      <w:rFonts w:hint="default" w:ascii="Times New Roman" w:hAnsi="Times New Roman" w:eastAsia="宋体" w:cs="Times New Roman"/>
                      <w:color w:val="auto"/>
                      <w:spacing w:val="8"/>
                      <w:sz w:val="21"/>
                      <w:szCs w:val="21"/>
                      <w:highlight w:val="none"/>
                      <w:lang w:val="en-US" w:eastAsia="zh-CN"/>
                    </w:rPr>
                    <w:t>）</w:t>
                  </w:r>
                </w:p>
              </w:tc>
              <w:tc>
                <w:tcPr>
                  <w:tcW w:w="798" w:type="pct"/>
                  <w:noWrap w:val="0"/>
                  <w:vAlign w:val="center"/>
                </w:tcPr>
                <w:p w14:paraId="4EAAE5B1">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浓度范围（μg/m</w:t>
                  </w:r>
                  <w:r>
                    <w:rPr>
                      <w:rFonts w:hint="default" w:ascii="Times New Roman" w:hAnsi="Times New Roman" w:eastAsia="宋体" w:cs="Times New Roman"/>
                      <w:color w:val="auto"/>
                      <w:spacing w:val="8"/>
                      <w:sz w:val="21"/>
                      <w:szCs w:val="21"/>
                      <w:highlight w:val="none"/>
                      <w:vertAlign w:val="superscript"/>
                      <w:lang w:val="en-US" w:eastAsia="zh-CN"/>
                    </w:rPr>
                    <w:t>3</w:t>
                  </w:r>
                  <w:r>
                    <w:rPr>
                      <w:rFonts w:hint="default" w:ascii="Times New Roman" w:hAnsi="Times New Roman" w:eastAsia="宋体" w:cs="Times New Roman"/>
                      <w:color w:val="auto"/>
                      <w:spacing w:val="8"/>
                      <w:sz w:val="21"/>
                      <w:szCs w:val="21"/>
                      <w:highlight w:val="none"/>
                      <w:lang w:val="en-US" w:eastAsia="zh-CN"/>
                    </w:rPr>
                    <w:t>）</w:t>
                  </w:r>
                </w:p>
              </w:tc>
              <w:tc>
                <w:tcPr>
                  <w:tcW w:w="742" w:type="pct"/>
                  <w:noWrap w:val="0"/>
                  <w:vAlign w:val="center"/>
                </w:tcPr>
                <w:p w14:paraId="27671C32">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最大占标率%</w:t>
                  </w:r>
                </w:p>
              </w:tc>
              <w:tc>
                <w:tcPr>
                  <w:tcW w:w="663" w:type="pct"/>
                  <w:noWrap w:val="0"/>
                  <w:vAlign w:val="center"/>
                </w:tcPr>
                <w:p w14:paraId="6C3023AC">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超标率%</w:t>
                  </w:r>
                </w:p>
              </w:tc>
              <w:tc>
                <w:tcPr>
                  <w:tcW w:w="554" w:type="pct"/>
                  <w:noWrap w:val="0"/>
                  <w:vAlign w:val="center"/>
                </w:tcPr>
                <w:p w14:paraId="7CAFFA58">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达标情况</w:t>
                  </w:r>
                </w:p>
              </w:tc>
            </w:tr>
            <w:tr w14:paraId="13D7D0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15" w:type="pct"/>
                  <w:vMerge w:val="restart"/>
                  <w:noWrap w:val="0"/>
                  <w:vAlign w:val="center"/>
                </w:tcPr>
                <w:p w14:paraId="6E585B5B">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1#下风向监测点</w:t>
                  </w:r>
                </w:p>
              </w:tc>
              <w:tc>
                <w:tcPr>
                  <w:tcW w:w="449" w:type="pct"/>
                  <w:noWrap w:val="0"/>
                  <w:vAlign w:val="center"/>
                </w:tcPr>
                <w:p w14:paraId="58883F5B">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总悬浮颗粒物</w:t>
                  </w:r>
                </w:p>
              </w:tc>
              <w:tc>
                <w:tcPr>
                  <w:tcW w:w="774" w:type="pct"/>
                  <w:noWrap w:val="0"/>
                  <w:vAlign w:val="center"/>
                </w:tcPr>
                <w:p w14:paraId="3731EDFA">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300</w:t>
                  </w:r>
                </w:p>
              </w:tc>
              <w:tc>
                <w:tcPr>
                  <w:tcW w:w="798" w:type="pct"/>
                  <w:noWrap w:val="0"/>
                  <w:vAlign w:val="center"/>
                </w:tcPr>
                <w:p w14:paraId="2B0B50C7">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87~93</w:t>
                  </w:r>
                </w:p>
              </w:tc>
              <w:tc>
                <w:tcPr>
                  <w:tcW w:w="742" w:type="pct"/>
                  <w:noWrap w:val="0"/>
                  <w:vAlign w:val="center"/>
                </w:tcPr>
                <w:p w14:paraId="5E2DEB5B">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31.0</w:t>
                  </w:r>
                </w:p>
              </w:tc>
              <w:tc>
                <w:tcPr>
                  <w:tcW w:w="663" w:type="pct"/>
                  <w:noWrap w:val="0"/>
                  <w:vAlign w:val="center"/>
                </w:tcPr>
                <w:p w14:paraId="75403F30">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0</w:t>
                  </w:r>
                </w:p>
              </w:tc>
              <w:tc>
                <w:tcPr>
                  <w:tcW w:w="554" w:type="pct"/>
                  <w:noWrap w:val="0"/>
                  <w:vAlign w:val="center"/>
                </w:tcPr>
                <w:p w14:paraId="1BE5FA13">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达标</w:t>
                  </w:r>
                </w:p>
              </w:tc>
            </w:tr>
            <w:tr w14:paraId="1751CE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1015" w:type="pct"/>
                  <w:vMerge w:val="continue"/>
                  <w:noWrap w:val="0"/>
                  <w:vAlign w:val="center"/>
                </w:tcPr>
                <w:p w14:paraId="5F073133">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449" w:type="pct"/>
                  <w:noWrap w:val="0"/>
                  <w:vAlign w:val="center"/>
                </w:tcPr>
                <w:p w14:paraId="44D329DF">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氮氧化物</w:t>
                  </w:r>
                </w:p>
              </w:tc>
              <w:tc>
                <w:tcPr>
                  <w:tcW w:w="774" w:type="pct"/>
                  <w:noWrap w:val="0"/>
                  <w:vAlign w:val="center"/>
                </w:tcPr>
                <w:p w14:paraId="58A39F90">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100</w:t>
                  </w:r>
                </w:p>
              </w:tc>
              <w:tc>
                <w:tcPr>
                  <w:tcW w:w="798" w:type="pct"/>
                  <w:noWrap w:val="0"/>
                  <w:vAlign w:val="center"/>
                </w:tcPr>
                <w:p w14:paraId="2E4590D3">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21~30</w:t>
                  </w:r>
                </w:p>
              </w:tc>
              <w:tc>
                <w:tcPr>
                  <w:tcW w:w="742" w:type="pct"/>
                  <w:noWrap w:val="0"/>
                  <w:vAlign w:val="center"/>
                </w:tcPr>
                <w:p w14:paraId="3AEE4ED5">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30.0</w:t>
                  </w:r>
                </w:p>
              </w:tc>
              <w:tc>
                <w:tcPr>
                  <w:tcW w:w="663" w:type="pct"/>
                  <w:noWrap w:val="0"/>
                  <w:vAlign w:val="center"/>
                </w:tcPr>
                <w:p w14:paraId="4CB8C8DD">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0</w:t>
                  </w:r>
                </w:p>
              </w:tc>
              <w:tc>
                <w:tcPr>
                  <w:tcW w:w="554" w:type="pct"/>
                  <w:noWrap w:val="0"/>
                  <w:vAlign w:val="center"/>
                </w:tcPr>
                <w:p w14:paraId="4426A069">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达标</w:t>
                  </w:r>
                </w:p>
              </w:tc>
            </w:tr>
          </w:tbl>
          <w:p w14:paraId="5EDBD6D1">
            <w:pPr>
              <w:keepNext w:val="0"/>
              <w:keepLines w:val="0"/>
              <w:pageBreakBefore w:val="0"/>
              <w:widowControl w:val="0"/>
              <w:kinsoku/>
              <w:wordWrap/>
              <w:overflowPunct/>
              <w:topLinePunct w:val="0"/>
              <w:autoSpaceDE/>
              <w:autoSpaceDN/>
              <w:bidi w:val="0"/>
              <w:adjustRightInd w:val="0"/>
              <w:snapToGrid w:val="0"/>
              <w:spacing w:before="157" w:beforeLines="50" w:line="520" w:lineRule="atLeast"/>
              <w:ind w:left="0" w:lef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bidi="ar-SA"/>
              </w:rPr>
              <w:t>由上表可以看出，本项目TSP、氮氧化物24小时平均浓度值满足《环境空气质量标准》（GB3095-2012）及其修改单二级标准要求，区域环境空气质量良好</w:t>
            </w:r>
            <w:r>
              <w:rPr>
                <w:rFonts w:hint="default" w:ascii="Times New Roman" w:hAnsi="Times New Roman" w:eastAsia="宋体" w:cs="Times New Roman"/>
                <w:color w:val="auto"/>
                <w:sz w:val="24"/>
                <w:szCs w:val="32"/>
                <w:highlight w:val="none"/>
                <w:lang w:val="en-US" w:eastAsia="zh-CN"/>
              </w:rPr>
              <w:t>，</w:t>
            </w:r>
            <w:r>
              <w:rPr>
                <w:rFonts w:hint="default" w:ascii="Times New Roman" w:hAnsi="Times New Roman" w:cs="Times New Roman"/>
                <w:color w:val="auto"/>
                <w:sz w:val="24"/>
                <w:highlight w:val="none"/>
              </w:rPr>
              <w:t>且有一定的环境容量。</w:t>
            </w:r>
            <w:r>
              <w:rPr>
                <w:rFonts w:hint="default" w:ascii="Times New Roman" w:hAnsi="Times New Roman" w:eastAsia="宋体" w:cs="Times New Roman"/>
                <w:color w:val="auto"/>
                <w:highlight w:val="none"/>
                <w:lang w:eastAsia="zh-CN"/>
              </w:rPr>
              <w:drawing>
                <wp:inline distT="0" distB="0" distL="114300" distR="114300">
                  <wp:extent cx="4800600" cy="3314700"/>
                  <wp:effectExtent l="0" t="0" r="0" b="0"/>
                  <wp:docPr id="57" name="图片 25" descr="0e04f6da-3248-4b3b-a721-23f1a237b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5" descr="0e04f6da-3248-4b3b-a721-23f1a237b616"/>
                          <pic:cNvPicPr>
                            <a:picLocks noChangeAspect="1"/>
                          </pic:cNvPicPr>
                        </pic:nvPicPr>
                        <pic:blipFill>
                          <a:blip r:embed="rId22"/>
                          <a:stretch>
                            <a:fillRect/>
                          </a:stretch>
                        </pic:blipFill>
                        <pic:spPr>
                          <a:xfrm>
                            <a:off x="0" y="0"/>
                            <a:ext cx="4800600" cy="3314700"/>
                          </a:xfrm>
                          <a:prstGeom prst="rect">
                            <a:avLst/>
                          </a:prstGeom>
                          <a:noFill/>
                          <a:ln>
                            <a:noFill/>
                          </a:ln>
                        </pic:spPr>
                      </pic:pic>
                    </a:graphicData>
                  </a:graphic>
                </wp:inline>
              </w:drawing>
            </w:r>
          </w:p>
          <w:p w14:paraId="7AFD6B8F">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bCs/>
                <w:color w:val="auto"/>
                <w:sz w:val="21"/>
                <w:szCs w:val="21"/>
                <w:highlight w:val="none"/>
                <w:lang w:val="en-US" w:eastAsia="zh-CN"/>
              </w:rPr>
              <w:t>图3-1 大气</w:t>
            </w:r>
            <w:r>
              <w:rPr>
                <w:rFonts w:hint="default" w:ascii="Times New Roman" w:hAnsi="Times New Roman" w:cs="Times New Roman"/>
                <w:b/>
                <w:bCs/>
                <w:color w:val="auto"/>
                <w:sz w:val="21"/>
                <w:szCs w:val="21"/>
                <w:highlight w:val="none"/>
                <w:lang w:val="en-US" w:eastAsia="zh-CN"/>
              </w:rPr>
              <w:t>及噪声</w:t>
            </w:r>
            <w:r>
              <w:rPr>
                <w:rFonts w:hint="default" w:ascii="Times New Roman" w:hAnsi="Times New Roman" w:eastAsia="宋体" w:cs="Times New Roman"/>
                <w:b/>
                <w:bCs/>
                <w:color w:val="auto"/>
                <w:sz w:val="21"/>
                <w:szCs w:val="21"/>
                <w:highlight w:val="none"/>
                <w:lang w:val="en-US" w:eastAsia="zh-CN"/>
              </w:rPr>
              <w:t>监测点位示意图</w:t>
            </w:r>
          </w:p>
          <w:p w14:paraId="31E35225">
            <w:pPr>
              <w:ind w:left="0" w:leftChars="0" w:firstLine="0" w:firstLineChars="0"/>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2.</w:t>
            </w:r>
            <w:r>
              <w:rPr>
                <w:rFonts w:hint="default" w:ascii="Times New Roman" w:hAnsi="Times New Roman" w:eastAsia="宋体" w:cs="Times New Roman"/>
                <w:b/>
                <w:bCs w:val="0"/>
                <w:color w:val="auto"/>
                <w:spacing w:val="0"/>
                <w:sz w:val="24"/>
                <w:szCs w:val="24"/>
                <w:highlight w:val="none"/>
                <w:lang w:val="en-US" w:eastAsia="zh-CN"/>
              </w:rPr>
              <w:t>地表水质量现状</w:t>
            </w:r>
          </w:p>
          <w:p w14:paraId="471ECB9D">
            <w:pPr>
              <w:pStyle w:val="131"/>
              <w:keepNext w:val="0"/>
              <w:keepLines w:val="0"/>
              <w:pageBreakBefore w:val="0"/>
              <w:widowControl w:val="0"/>
              <w:kinsoku/>
              <w:wordWrap/>
              <w:overflowPunct/>
              <w:topLinePunct w:val="0"/>
              <w:autoSpaceDE/>
              <w:autoSpaceDN/>
              <w:bidi w:val="0"/>
              <w:adjustRightInd w:val="0"/>
              <w:snapToGrid w:val="0"/>
              <w:spacing w:line="360" w:lineRule="auto"/>
              <w:ind w:left="0" w:right="0" w:firstLine="480"/>
              <w:jc w:val="both"/>
              <w:textAlignment w:val="auto"/>
              <w:rPr>
                <w:rFonts w:hint="default" w:ascii="Times New Roman" w:hAnsi="Times New Roman" w:eastAsia="方正书宋_GBK" w:cs="Times New Roman"/>
                <w:color w:val="auto"/>
                <w:kern w:val="0"/>
                <w:sz w:val="24"/>
                <w:szCs w:val="24"/>
                <w:highlight w:val="none"/>
                <w:lang w:val="en-US" w:eastAsia="zh-CN" w:bidi="ar"/>
              </w:rPr>
            </w:pPr>
            <w:r>
              <w:rPr>
                <w:rFonts w:hint="default" w:ascii="Times New Roman" w:hAnsi="Times New Roman" w:eastAsia="宋体" w:cs="Times New Roman"/>
                <w:color w:val="auto"/>
                <w:spacing w:val="0"/>
                <w:sz w:val="24"/>
                <w:szCs w:val="24"/>
                <w:highlight w:val="none"/>
                <w:lang w:val="en-US" w:eastAsia="zh-CN"/>
              </w:rPr>
              <w:t>根据《全国重要江河湖泊水功能区划（2011-2030）》，项目所在水功能区</w:t>
            </w:r>
            <w:r>
              <w:rPr>
                <w:rFonts w:hint="eastAsia" w:ascii="Times New Roman" w:hAnsi="Times New Roman" w:cs="Times New Roman"/>
                <w:color w:val="auto"/>
                <w:spacing w:val="0"/>
                <w:sz w:val="24"/>
                <w:szCs w:val="24"/>
                <w:highlight w:val="none"/>
                <w:lang w:val="en-US" w:eastAsia="zh-CN"/>
              </w:rPr>
              <w:t>穆棱河</w:t>
            </w:r>
            <w:r>
              <w:rPr>
                <w:rFonts w:hint="default" w:ascii="Times New Roman" w:hAnsi="Times New Roman" w:eastAsia="宋体" w:cs="Times New Roman"/>
                <w:color w:val="auto"/>
                <w:spacing w:val="0"/>
                <w:sz w:val="24"/>
                <w:szCs w:val="24"/>
                <w:highlight w:val="none"/>
                <w:lang w:val="en-US" w:eastAsia="zh-CN"/>
              </w:rPr>
              <w:t>起始断面为东胜村，终止断面为鸡古路西100m，水质标准为Ⅳ类。故确定本次评价区域地表水水质目标执行《地表水环境质量标准》（GB3838-2002）中Ⅳ类</w:t>
            </w:r>
            <w:r>
              <w:rPr>
                <w:rFonts w:hint="default" w:ascii="Times New Roman" w:hAnsi="Times New Roman" w:eastAsia="方正书宋_GBK" w:cs="Times New Roman"/>
                <w:color w:val="auto"/>
                <w:kern w:val="0"/>
                <w:sz w:val="24"/>
                <w:szCs w:val="24"/>
                <w:highlight w:val="none"/>
                <w:lang w:val="en-US" w:eastAsia="zh-CN" w:bidi="ar"/>
              </w:rPr>
              <w:t>标准。</w:t>
            </w:r>
          </w:p>
          <w:p w14:paraId="5A41D87C">
            <w:pPr>
              <w:pStyle w:val="131"/>
              <w:keepNext w:val="0"/>
              <w:keepLines w:val="0"/>
              <w:pageBreakBefore w:val="0"/>
              <w:widowControl w:val="0"/>
              <w:kinsoku/>
              <w:wordWrap/>
              <w:overflowPunct/>
              <w:topLinePunct w:val="0"/>
              <w:autoSpaceDE/>
              <w:autoSpaceDN/>
              <w:bidi w:val="0"/>
              <w:adjustRightInd w:val="0"/>
              <w:snapToGrid w:val="0"/>
              <w:spacing w:line="360" w:lineRule="auto"/>
              <w:ind w:left="0" w:right="0" w:firstLine="480"/>
              <w:jc w:val="both"/>
              <w:textAlignment w:val="auto"/>
              <w:rPr>
                <w:rFonts w:hint="default" w:ascii="Times New Roman" w:hAnsi="Times New Roman" w:eastAsia="方正书宋_GBK" w:cs="Times New Roman"/>
                <w:color w:val="auto"/>
                <w:kern w:val="0"/>
                <w:sz w:val="24"/>
                <w:szCs w:val="24"/>
                <w:highlight w:val="none"/>
                <w:lang w:val="en-US" w:eastAsia="zh-CN" w:bidi="ar"/>
              </w:rPr>
            </w:pPr>
            <w:r>
              <w:rPr>
                <w:color w:val="auto"/>
                <w:spacing w:val="-1"/>
                <w:sz w:val="24"/>
                <w:szCs w:val="24"/>
                <w:highlight w:val="none"/>
              </w:rPr>
              <w:t>根据《</w:t>
            </w:r>
            <w:r>
              <w:rPr>
                <w:rFonts w:ascii="Times New Roman" w:hAnsi="Times New Roman" w:eastAsia="Times New Roman" w:cs="Times New Roman"/>
                <w:color w:val="auto"/>
                <w:spacing w:val="-1"/>
                <w:sz w:val="24"/>
                <w:szCs w:val="24"/>
                <w:highlight w:val="none"/>
              </w:rPr>
              <w:t>2024</w:t>
            </w:r>
            <w:r>
              <w:rPr>
                <w:color w:val="auto"/>
                <w:spacing w:val="-1"/>
                <w:sz w:val="24"/>
                <w:szCs w:val="24"/>
                <w:highlight w:val="none"/>
              </w:rPr>
              <w:t>年黑龙江省生态环境状况公报》，</w:t>
            </w:r>
            <w:r>
              <w:rPr>
                <w:color w:val="auto"/>
                <w:spacing w:val="-2"/>
                <w:sz w:val="24"/>
                <w:szCs w:val="24"/>
                <w:highlight w:val="none"/>
              </w:rPr>
              <w:t>穆棱河</w:t>
            </w:r>
            <w:r>
              <w:rPr>
                <w:rFonts w:hint="eastAsia"/>
                <w:color w:val="auto"/>
                <w:spacing w:val="-2"/>
                <w:sz w:val="24"/>
                <w:szCs w:val="24"/>
                <w:highlight w:val="none"/>
                <w:lang w:val="en-US" w:eastAsia="zh-CN"/>
              </w:rPr>
              <w:t>鸡西境内</w:t>
            </w:r>
            <w:r>
              <w:rPr>
                <w:color w:val="auto"/>
                <w:spacing w:val="-2"/>
                <w:sz w:val="24"/>
                <w:szCs w:val="24"/>
                <w:highlight w:val="none"/>
              </w:rPr>
              <w:t>该段水体指标</w:t>
            </w:r>
            <w:r>
              <w:rPr>
                <w:color w:val="auto"/>
                <w:spacing w:val="-1"/>
                <w:sz w:val="24"/>
                <w:szCs w:val="24"/>
                <w:highlight w:val="none"/>
              </w:rPr>
              <w:t>可满足</w:t>
            </w:r>
            <w:r>
              <w:rPr>
                <w:rFonts w:ascii="Times New Roman" w:hAnsi="Times New Roman" w:eastAsia="Times New Roman" w:cs="Times New Roman"/>
                <w:color w:val="auto"/>
                <w:spacing w:val="-1"/>
                <w:sz w:val="24"/>
                <w:szCs w:val="24"/>
                <w:highlight w:val="none"/>
              </w:rPr>
              <w:t>Ⅲ</w:t>
            </w:r>
            <w:r>
              <w:rPr>
                <w:color w:val="auto"/>
                <w:spacing w:val="-1"/>
                <w:sz w:val="24"/>
                <w:szCs w:val="24"/>
                <w:highlight w:val="none"/>
              </w:rPr>
              <w:t>类水体功能标准，水体状况良好。</w:t>
            </w:r>
          </w:p>
          <w:p w14:paraId="6A4F00BE">
            <w:pPr>
              <w:ind w:left="0" w:leftChars="0" w:firstLine="0" w:firstLineChars="0"/>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3.</w:t>
            </w:r>
            <w:r>
              <w:rPr>
                <w:rFonts w:hint="default" w:ascii="Times New Roman" w:hAnsi="Times New Roman" w:eastAsia="宋体" w:cs="Times New Roman"/>
                <w:b/>
                <w:bCs w:val="0"/>
                <w:color w:val="auto"/>
                <w:spacing w:val="0"/>
                <w:sz w:val="24"/>
                <w:szCs w:val="24"/>
                <w:highlight w:val="none"/>
                <w:lang w:val="en-US" w:eastAsia="zh-CN"/>
              </w:rPr>
              <w:t>声环境质量现状</w:t>
            </w:r>
          </w:p>
          <w:p w14:paraId="1164245E">
            <w:pPr>
              <w:adjustRightInd w:val="0"/>
              <w:snapToGrid w:val="0"/>
              <w:spacing w:line="360" w:lineRule="auto"/>
              <w:ind w:firstLine="476" w:firstLineChars="200"/>
              <w:rPr>
                <w:rFonts w:hint="default" w:ascii="Times New Roman" w:hAnsi="Times New Roman" w:cs="Times New Roman"/>
                <w:color w:val="auto"/>
                <w:spacing w:val="-3"/>
                <w:sz w:val="24"/>
                <w:szCs w:val="24"/>
                <w:highlight w:val="none"/>
              </w:rPr>
            </w:pPr>
            <w:r>
              <w:rPr>
                <w:rFonts w:hint="default" w:ascii="Times New Roman" w:hAnsi="Times New Roman" w:cs="Times New Roman"/>
                <w:color w:val="auto"/>
                <w:spacing w:val="-1"/>
                <w:sz w:val="24"/>
                <w:szCs w:val="24"/>
                <w:highlight w:val="none"/>
              </w:rPr>
              <w:t>根据《</w:t>
            </w:r>
            <w:r>
              <w:rPr>
                <w:rFonts w:hint="default" w:ascii="Times New Roman" w:hAnsi="Times New Roman" w:eastAsia="Times New Roman" w:cs="Times New Roman"/>
                <w:color w:val="auto"/>
                <w:spacing w:val="-1"/>
                <w:sz w:val="24"/>
                <w:szCs w:val="24"/>
                <w:highlight w:val="none"/>
              </w:rPr>
              <w:t>2024</w:t>
            </w:r>
            <w:r>
              <w:rPr>
                <w:rFonts w:hint="default" w:ascii="Times New Roman" w:hAnsi="Times New Roman" w:cs="Times New Roman"/>
                <w:color w:val="auto"/>
                <w:spacing w:val="-1"/>
                <w:sz w:val="24"/>
                <w:szCs w:val="24"/>
                <w:highlight w:val="none"/>
              </w:rPr>
              <w:t>年黑龙江省生态环境质量状况公报</w:t>
            </w:r>
            <w:r>
              <w:rPr>
                <w:rFonts w:hint="default" w:ascii="Times New Roman" w:hAnsi="Times New Roman" w:cs="Times New Roman"/>
                <w:color w:val="auto"/>
                <w:spacing w:val="-2"/>
                <w:sz w:val="24"/>
                <w:szCs w:val="24"/>
                <w:highlight w:val="none"/>
              </w:rPr>
              <w:t>》，鸡西市区域昼间声环境质</w:t>
            </w:r>
            <w:r>
              <w:rPr>
                <w:rFonts w:hint="default" w:ascii="Times New Roman" w:hAnsi="Times New Roman" w:cs="Times New Roman"/>
                <w:color w:val="auto"/>
                <w:sz w:val="24"/>
                <w:szCs w:val="24"/>
                <w:highlight w:val="none"/>
              </w:rPr>
              <w:t>量为二级，等效声级为</w:t>
            </w:r>
            <w:r>
              <w:rPr>
                <w:rFonts w:hint="default" w:ascii="Times New Roman" w:hAnsi="Times New Roman" w:eastAsia="Times New Roman" w:cs="Times New Roman"/>
                <w:color w:val="auto"/>
                <w:sz w:val="24"/>
                <w:szCs w:val="24"/>
                <w:highlight w:val="none"/>
              </w:rPr>
              <w:t>53.6dB</w:t>
            </w:r>
            <w:r>
              <w:rPr>
                <w:rFonts w:hint="default" w:ascii="Times New Roman" w:hAnsi="Times New Roman" w:cs="Times New Roman"/>
                <w:color w:val="auto"/>
                <w:sz w:val="24"/>
                <w:szCs w:val="24"/>
                <w:highlight w:val="none"/>
              </w:rPr>
              <w:t>（</w:t>
            </w:r>
            <w:r>
              <w:rPr>
                <w:rFonts w:hint="default" w:ascii="Times New Roman" w:hAnsi="Times New Roman" w:eastAsia="Times New Roman" w:cs="Times New Roman"/>
                <w:color w:val="auto"/>
                <w:sz w:val="24"/>
                <w:szCs w:val="24"/>
                <w:highlight w:val="none"/>
              </w:rPr>
              <w:t>A</w:t>
            </w:r>
            <w:r>
              <w:rPr>
                <w:rFonts w:hint="default" w:ascii="Times New Roman" w:hAnsi="Times New Roman" w:cs="Times New Roman"/>
                <w:color w:val="auto"/>
                <w:spacing w:val="13"/>
                <w:sz w:val="24"/>
                <w:szCs w:val="24"/>
                <w:highlight w:val="none"/>
              </w:rPr>
              <w:t>）；</w:t>
            </w:r>
            <w:r>
              <w:rPr>
                <w:rFonts w:hint="default" w:ascii="Times New Roman" w:hAnsi="Times New Roman" w:cs="Times New Roman"/>
                <w:color w:val="auto"/>
                <w:sz w:val="24"/>
                <w:szCs w:val="24"/>
                <w:highlight w:val="none"/>
              </w:rPr>
              <w:t>道路交通昼间声环境质量为一级，等效声</w:t>
            </w:r>
            <w:r>
              <w:rPr>
                <w:rFonts w:hint="default" w:ascii="Times New Roman" w:hAnsi="Times New Roman" w:cs="Times New Roman"/>
                <w:color w:val="auto"/>
                <w:spacing w:val="-3"/>
                <w:sz w:val="24"/>
                <w:szCs w:val="24"/>
                <w:highlight w:val="none"/>
              </w:rPr>
              <w:t>级为</w:t>
            </w:r>
            <w:r>
              <w:rPr>
                <w:rFonts w:hint="default" w:ascii="Times New Roman" w:hAnsi="Times New Roman" w:eastAsia="Times New Roman" w:cs="Times New Roman"/>
                <w:color w:val="auto"/>
                <w:spacing w:val="-3"/>
                <w:sz w:val="24"/>
                <w:szCs w:val="24"/>
                <w:highlight w:val="none"/>
              </w:rPr>
              <w:t>65.8dB</w:t>
            </w:r>
            <w:r>
              <w:rPr>
                <w:rFonts w:hint="default" w:ascii="Times New Roman" w:hAnsi="Times New Roman" w:cs="Times New Roman"/>
                <w:color w:val="auto"/>
                <w:spacing w:val="-3"/>
                <w:sz w:val="24"/>
                <w:szCs w:val="24"/>
                <w:highlight w:val="none"/>
              </w:rPr>
              <w:t>（</w:t>
            </w:r>
            <w:r>
              <w:rPr>
                <w:rFonts w:hint="default" w:ascii="Times New Roman" w:hAnsi="Times New Roman" w:eastAsia="Times New Roman" w:cs="Times New Roman"/>
                <w:color w:val="auto"/>
                <w:spacing w:val="-3"/>
                <w:sz w:val="24"/>
                <w:szCs w:val="24"/>
                <w:highlight w:val="none"/>
              </w:rPr>
              <w:t>A</w:t>
            </w:r>
            <w:r>
              <w:rPr>
                <w:rFonts w:hint="default" w:ascii="Times New Roman" w:hAnsi="Times New Roman" w:cs="Times New Roman"/>
                <w:color w:val="auto"/>
                <w:spacing w:val="15"/>
                <w:sz w:val="24"/>
                <w:szCs w:val="24"/>
                <w:highlight w:val="none"/>
              </w:rPr>
              <w:t>）；</w:t>
            </w:r>
            <w:r>
              <w:rPr>
                <w:rFonts w:hint="default" w:ascii="Times New Roman" w:hAnsi="Times New Roman" w:cs="Times New Roman"/>
                <w:color w:val="auto"/>
                <w:spacing w:val="-3"/>
                <w:sz w:val="24"/>
                <w:szCs w:val="24"/>
                <w:highlight w:val="none"/>
              </w:rPr>
              <w:t>功能区昼间达标率</w:t>
            </w:r>
            <w:r>
              <w:rPr>
                <w:rFonts w:hint="default" w:ascii="Times New Roman" w:hAnsi="Times New Roman" w:eastAsia="Times New Roman" w:cs="Times New Roman"/>
                <w:color w:val="auto"/>
                <w:spacing w:val="-3"/>
                <w:sz w:val="24"/>
                <w:szCs w:val="24"/>
                <w:highlight w:val="none"/>
              </w:rPr>
              <w:t>100%</w:t>
            </w:r>
            <w:r>
              <w:rPr>
                <w:rFonts w:hint="default" w:ascii="Times New Roman" w:hAnsi="Times New Roman" w:cs="Times New Roman"/>
                <w:color w:val="auto"/>
                <w:spacing w:val="-3"/>
                <w:sz w:val="24"/>
                <w:szCs w:val="24"/>
                <w:highlight w:val="none"/>
              </w:rPr>
              <w:t>；功能区夜间达标率</w:t>
            </w:r>
            <w:r>
              <w:rPr>
                <w:rFonts w:hint="default" w:ascii="Times New Roman" w:hAnsi="Times New Roman" w:eastAsia="Times New Roman" w:cs="Times New Roman"/>
                <w:color w:val="auto"/>
                <w:spacing w:val="-3"/>
                <w:sz w:val="24"/>
                <w:szCs w:val="24"/>
                <w:highlight w:val="none"/>
              </w:rPr>
              <w:t>100%</w:t>
            </w:r>
            <w:r>
              <w:rPr>
                <w:rFonts w:hint="default" w:ascii="Times New Roman" w:hAnsi="Times New Roman" w:cs="Times New Roman"/>
                <w:color w:val="auto"/>
                <w:spacing w:val="-3"/>
                <w:sz w:val="24"/>
                <w:szCs w:val="24"/>
                <w:highlight w:val="none"/>
              </w:rPr>
              <w:t>。</w:t>
            </w:r>
          </w:p>
          <w:p w14:paraId="256CC66C">
            <w:pPr>
              <w:spacing w:line="360" w:lineRule="auto"/>
              <w:ind w:firstLine="480" w:firstLineChars="200"/>
              <w:jc w:val="both"/>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kern w:val="0"/>
                <w:sz w:val="24"/>
                <w:szCs w:val="24"/>
                <w:highlight w:val="none"/>
                <w:lang w:val="en-US" w:eastAsia="zh-CN"/>
              </w:rPr>
              <w:t>本项目厂区周围50m范围内有2处声环境敏感点，分别为拟建项目西侧</w:t>
            </w:r>
            <w:r>
              <w:rPr>
                <w:rFonts w:hint="eastAsia" w:ascii="Times New Roman" w:hAnsi="Times New Roman" w:cs="Times New Roman"/>
                <w:color w:val="auto"/>
                <w:kern w:val="0"/>
                <w:sz w:val="24"/>
                <w:szCs w:val="24"/>
                <w:highlight w:val="none"/>
                <w:lang w:val="en-US" w:eastAsia="zh-CN"/>
              </w:rPr>
              <w:t>（距离本院区边界40米）</w:t>
            </w:r>
            <w:r>
              <w:rPr>
                <w:rFonts w:hint="default" w:ascii="Times New Roman" w:hAnsi="Times New Roman" w:cs="Times New Roman"/>
                <w:color w:val="auto"/>
                <w:kern w:val="0"/>
                <w:sz w:val="24"/>
                <w:szCs w:val="24"/>
                <w:highlight w:val="none"/>
                <w:lang w:val="en-US" w:eastAsia="zh-CN"/>
              </w:rPr>
              <w:t>及北侧居民</w:t>
            </w:r>
            <w:r>
              <w:rPr>
                <w:rFonts w:hint="eastAsia" w:ascii="Times New Roman" w:hAnsi="Times New Roman" w:cs="Times New Roman"/>
                <w:color w:val="auto"/>
                <w:kern w:val="0"/>
                <w:sz w:val="24"/>
                <w:szCs w:val="24"/>
                <w:highlight w:val="none"/>
                <w:lang w:val="en-US" w:eastAsia="zh-CN"/>
              </w:rPr>
              <w:t>（距离本院区边界30米）</w:t>
            </w:r>
            <w:r>
              <w:rPr>
                <w:rFonts w:hint="default" w:ascii="Times New Roman" w:hAnsi="Times New Roman" w:cs="Times New Roman"/>
                <w:color w:val="auto"/>
                <w:kern w:val="0"/>
                <w:sz w:val="24"/>
                <w:szCs w:val="24"/>
                <w:highlight w:val="none"/>
                <w:lang w:val="en-US" w:eastAsia="zh-CN"/>
              </w:rPr>
              <w:t>。委托</w:t>
            </w:r>
            <w:r>
              <w:rPr>
                <w:rFonts w:hint="default" w:ascii="Times New Roman" w:hAnsi="Times New Roman" w:eastAsia="宋体" w:cs="Times New Roman"/>
                <w:color w:val="auto"/>
                <w:sz w:val="24"/>
                <w:szCs w:val="32"/>
                <w:highlight w:val="none"/>
                <w:lang w:val="en-US" w:eastAsia="zh-CN"/>
              </w:rPr>
              <w:t>黑龙江</w:t>
            </w:r>
            <w:r>
              <w:rPr>
                <w:rFonts w:hint="default" w:ascii="Times New Roman" w:hAnsi="Times New Roman" w:cs="Times New Roman"/>
                <w:color w:val="auto"/>
                <w:sz w:val="24"/>
                <w:szCs w:val="32"/>
                <w:highlight w:val="none"/>
                <w:lang w:val="en-US" w:eastAsia="zh-CN"/>
              </w:rPr>
              <w:t>汉风环境检测技术有限公司</w:t>
            </w:r>
            <w:r>
              <w:rPr>
                <w:rFonts w:hint="default" w:ascii="Times New Roman" w:hAnsi="Times New Roman" w:cs="Times New Roman"/>
                <w:color w:val="auto"/>
                <w:sz w:val="24"/>
                <w:szCs w:val="24"/>
                <w:highlight w:val="none"/>
                <w:lang w:val="en-US" w:eastAsia="zh-CN"/>
              </w:rPr>
              <w:t>于2025年10月24日对项目周边敏感目标进行声环境质量现状</w:t>
            </w:r>
            <w:r>
              <w:rPr>
                <w:rFonts w:hint="default" w:ascii="Times New Roman" w:hAnsi="Times New Roman" w:eastAsia="宋体" w:cs="Times New Roman"/>
                <w:color w:val="auto"/>
                <w:sz w:val="24"/>
                <w:szCs w:val="24"/>
                <w:highlight w:val="none"/>
                <w:lang w:val="en-US" w:eastAsia="zh-CN"/>
              </w:rPr>
              <w:t>监测。在项目北侧居民</w:t>
            </w:r>
            <w:r>
              <w:rPr>
                <w:rFonts w:hint="default" w:ascii="Times New Roman" w:hAnsi="Times New Roman" w:cs="Times New Roman"/>
                <w:color w:val="auto"/>
                <w:sz w:val="24"/>
                <w:szCs w:val="24"/>
                <w:highlight w:val="none"/>
                <w:lang w:val="en-US" w:eastAsia="zh-CN"/>
              </w:rPr>
              <w:t>1#</w:t>
            </w:r>
            <w:r>
              <w:rPr>
                <w:rFonts w:hint="eastAsia" w:ascii="Times New Roman" w:hAnsi="Times New Roman" w:cs="Times New Roman"/>
                <w:color w:val="auto"/>
                <w:sz w:val="24"/>
                <w:szCs w:val="24"/>
                <w:highlight w:val="none"/>
                <w:lang w:val="en-US" w:eastAsia="zh-CN"/>
              </w:rPr>
              <w:t>（坐标E</w:t>
            </w:r>
            <w:r>
              <w:rPr>
                <w:rFonts w:hint="default" w:ascii="Times New Roman" w:hAnsi="Times New Roman" w:eastAsia="宋体" w:cs="Times New Roman"/>
                <w:color w:val="auto"/>
                <w:spacing w:val="8"/>
                <w:sz w:val="21"/>
                <w:szCs w:val="21"/>
                <w:highlight w:val="none"/>
                <w:lang w:val="en-US" w:eastAsia="zh-CN"/>
              </w:rPr>
              <w:t>131.014431</w:t>
            </w:r>
            <w:r>
              <w:rPr>
                <w:rFonts w:hint="eastAsia" w:ascii="Times New Roman" w:hAnsi="Times New Roman" w:cs="Times New Roman"/>
                <w:color w:val="auto"/>
                <w:spacing w:val="8"/>
                <w:sz w:val="21"/>
                <w:szCs w:val="21"/>
                <w:highlight w:val="none"/>
                <w:lang w:val="en-US" w:eastAsia="zh-CN"/>
              </w:rPr>
              <w:t>°，N</w:t>
            </w:r>
            <w:r>
              <w:rPr>
                <w:rFonts w:hint="default" w:ascii="Times New Roman" w:hAnsi="Times New Roman" w:eastAsia="宋体" w:cs="Times New Roman"/>
                <w:color w:val="auto"/>
                <w:spacing w:val="8"/>
                <w:sz w:val="21"/>
                <w:szCs w:val="21"/>
                <w:highlight w:val="none"/>
                <w:lang w:val="en-US" w:eastAsia="zh-CN"/>
              </w:rPr>
              <w:t>45.351183</w:t>
            </w:r>
            <w:r>
              <w:rPr>
                <w:rFonts w:hint="eastAsia"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、西侧</w:t>
            </w:r>
            <w:r>
              <w:rPr>
                <w:rFonts w:hint="default" w:ascii="Times New Roman" w:hAnsi="Times New Roman" w:cs="Times New Roman"/>
                <w:color w:val="auto"/>
                <w:sz w:val="24"/>
                <w:szCs w:val="24"/>
                <w:highlight w:val="none"/>
                <w:lang w:val="en-US" w:eastAsia="zh-CN"/>
              </w:rPr>
              <w:t>居民2#</w:t>
            </w:r>
            <w:r>
              <w:rPr>
                <w:rFonts w:hint="eastAsia" w:ascii="Times New Roman" w:hAnsi="Times New Roman" w:cs="Times New Roman"/>
                <w:color w:val="auto"/>
                <w:sz w:val="24"/>
                <w:szCs w:val="24"/>
                <w:highlight w:val="none"/>
                <w:lang w:val="en-US" w:eastAsia="zh-CN"/>
              </w:rPr>
              <w:t>（坐标E</w:t>
            </w:r>
            <w:r>
              <w:rPr>
                <w:rFonts w:hint="default" w:ascii="Times New Roman" w:hAnsi="Times New Roman" w:eastAsia="宋体" w:cs="Times New Roman"/>
                <w:color w:val="auto"/>
                <w:spacing w:val="8"/>
                <w:sz w:val="21"/>
                <w:szCs w:val="21"/>
                <w:highlight w:val="none"/>
                <w:lang w:val="en-US" w:eastAsia="zh-CN"/>
              </w:rPr>
              <w:t>131.012436</w:t>
            </w:r>
            <w:r>
              <w:rPr>
                <w:rFonts w:hint="eastAsia" w:ascii="Times New Roman" w:hAnsi="Times New Roman" w:cs="Times New Roman"/>
                <w:color w:val="auto"/>
                <w:spacing w:val="8"/>
                <w:sz w:val="21"/>
                <w:szCs w:val="21"/>
                <w:highlight w:val="none"/>
                <w:lang w:val="en-US" w:eastAsia="zh-CN"/>
              </w:rPr>
              <w:t>°，N</w:t>
            </w:r>
            <w:r>
              <w:rPr>
                <w:rFonts w:hint="eastAsia" w:ascii="Times New Roman" w:hAnsi="Times New Roman" w:eastAsia="宋体" w:cs="Times New Roman"/>
                <w:color w:val="auto"/>
                <w:spacing w:val="8"/>
                <w:sz w:val="21"/>
                <w:szCs w:val="21"/>
                <w:highlight w:val="none"/>
                <w:lang w:val="en-US" w:eastAsia="zh-CN"/>
              </w:rPr>
              <w:t>45.348187</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分别</w:t>
            </w:r>
            <w:r>
              <w:rPr>
                <w:rFonts w:hint="default" w:ascii="Times New Roman" w:hAnsi="Times New Roman" w:eastAsia="宋体" w:cs="Times New Roman"/>
                <w:color w:val="auto"/>
                <w:sz w:val="24"/>
                <w:szCs w:val="24"/>
                <w:highlight w:val="none"/>
                <w:lang w:val="en-US" w:eastAsia="zh-CN"/>
              </w:rPr>
              <w:t>设置监</w:t>
            </w:r>
            <w:r>
              <w:rPr>
                <w:rFonts w:hint="default" w:ascii="Times New Roman" w:hAnsi="Times New Roman" w:cs="Times New Roman"/>
                <w:color w:val="auto"/>
                <w:sz w:val="24"/>
                <w:szCs w:val="24"/>
                <w:highlight w:val="none"/>
                <w:lang w:val="en-US" w:eastAsia="zh-CN"/>
              </w:rPr>
              <w:t>测点位，监测点位见图3-1。具体检测结果如下：</w:t>
            </w:r>
          </w:p>
          <w:p w14:paraId="7D931E44">
            <w:pPr>
              <w:spacing w:line="360" w:lineRule="auto"/>
              <w:ind w:firstLine="422" w:firstLineChars="20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bCs/>
                <w:color w:val="auto"/>
                <w:kern w:val="0"/>
                <w:sz w:val="21"/>
                <w:szCs w:val="21"/>
                <w:highlight w:val="none"/>
              </w:rPr>
              <w:t>表3-</w:t>
            </w:r>
            <w:r>
              <w:rPr>
                <w:rFonts w:hint="eastAsia" w:ascii="Times New Roman" w:hAnsi="Times New Roman" w:cs="Times New Roman"/>
                <w:b/>
                <w:bCs/>
                <w:color w:val="auto"/>
                <w:kern w:val="0"/>
                <w:sz w:val="21"/>
                <w:szCs w:val="21"/>
                <w:highlight w:val="none"/>
                <w:lang w:val="en-US" w:eastAsia="zh-CN"/>
              </w:rPr>
              <w:t>5</w:t>
            </w:r>
            <w:r>
              <w:rPr>
                <w:rFonts w:hint="default" w:ascii="Times New Roman" w:hAnsi="Times New Roman" w:eastAsia="宋体" w:cs="Times New Roman"/>
                <w:b/>
                <w:bCs/>
                <w:color w:val="auto"/>
                <w:kern w:val="0"/>
                <w:sz w:val="21"/>
                <w:szCs w:val="21"/>
                <w:highlight w:val="none"/>
              </w:rPr>
              <w:t xml:space="preserve">  监测结果</w:t>
            </w:r>
          </w:p>
          <w:tbl>
            <w:tblPr>
              <w:tblStyle w:val="36"/>
              <w:tblW w:w="488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52"/>
              <w:gridCol w:w="1785"/>
              <w:gridCol w:w="1921"/>
              <w:gridCol w:w="1922"/>
            </w:tblGrid>
            <w:tr w14:paraId="3B2676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36" w:type="pct"/>
                  <w:vMerge w:val="restart"/>
                  <w:tcBorders>
                    <w:tl2br w:val="nil"/>
                    <w:tr2bl w:val="nil"/>
                  </w:tcBorders>
                  <w:noWrap w:val="0"/>
                  <w:vAlign w:val="center"/>
                </w:tcPr>
                <w:p w14:paraId="2B7CE125">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监测点位</w:t>
                  </w:r>
                </w:p>
              </w:tc>
              <w:tc>
                <w:tcPr>
                  <w:tcW w:w="1162" w:type="pct"/>
                  <w:vMerge w:val="restart"/>
                  <w:tcBorders>
                    <w:tl2br w:val="nil"/>
                    <w:tr2bl w:val="nil"/>
                  </w:tcBorders>
                  <w:noWrap w:val="0"/>
                  <w:vAlign w:val="center"/>
                </w:tcPr>
                <w:p w14:paraId="449CD77E">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监测时间</w:t>
                  </w:r>
                </w:p>
              </w:tc>
              <w:tc>
                <w:tcPr>
                  <w:tcW w:w="2501" w:type="pct"/>
                  <w:gridSpan w:val="2"/>
                  <w:tcBorders>
                    <w:tl2br w:val="nil"/>
                    <w:tr2bl w:val="nil"/>
                  </w:tcBorders>
                  <w:noWrap w:val="0"/>
                  <w:vAlign w:val="center"/>
                </w:tcPr>
                <w:p w14:paraId="61ACC853">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监测结果</w:t>
                  </w:r>
                </w:p>
              </w:tc>
            </w:tr>
            <w:tr w14:paraId="6A4048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36" w:type="pct"/>
                  <w:vMerge w:val="continue"/>
                  <w:tcBorders>
                    <w:tl2br w:val="nil"/>
                    <w:tr2bl w:val="nil"/>
                  </w:tcBorders>
                  <w:noWrap w:val="0"/>
                  <w:vAlign w:val="center"/>
                </w:tcPr>
                <w:p w14:paraId="25FA6664">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1162" w:type="pct"/>
                  <w:vMerge w:val="continue"/>
                  <w:tcBorders>
                    <w:tl2br w:val="nil"/>
                    <w:tr2bl w:val="nil"/>
                  </w:tcBorders>
                  <w:noWrap w:val="0"/>
                  <w:vAlign w:val="center"/>
                </w:tcPr>
                <w:p w14:paraId="5C221E61">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1250" w:type="pct"/>
                  <w:tcBorders>
                    <w:tl2br w:val="nil"/>
                    <w:tr2bl w:val="nil"/>
                  </w:tcBorders>
                  <w:noWrap w:val="0"/>
                  <w:vAlign w:val="center"/>
                </w:tcPr>
                <w:p w14:paraId="67E9104E">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昼间</w:t>
                  </w:r>
                </w:p>
              </w:tc>
              <w:tc>
                <w:tcPr>
                  <w:tcW w:w="1251" w:type="pct"/>
                  <w:tcBorders>
                    <w:tl2br w:val="nil"/>
                    <w:tr2bl w:val="nil"/>
                  </w:tcBorders>
                  <w:noWrap w:val="0"/>
                  <w:vAlign w:val="center"/>
                </w:tcPr>
                <w:p w14:paraId="075C1B39">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夜间</w:t>
                  </w:r>
                </w:p>
              </w:tc>
            </w:tr>
            <w:tr w14:paraId="4D8BA8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36" w:type="pct"/>
                  <w:tcBorders>
                    <w:tl2br w:val="nil"/>
                    <w:tr2bl w:val="nil"/>
                  </w:tcBorders>
                  <w:shd w:val="clear" w:color="auto" w:fill="auto"/>
                  <w:noWrap w:val="0"/>
                  <w:vAlign w:val="center"/>
                </w:tcPr>
                <w:p w14:paraId="1B0B9D1F">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1#北侧居民</w:t>
                  </w:r>
                </w:p>
              </w:tc>
              <w:tc>
                <w:tcPr>
                  <w:tcW w:w="1162" w:type="pct"/>
                  <w:tcBorders>
                    <w:tl2br w:val="nil"/>
                    <w:tr2bl w:val="nil"/>
                  </w:tcBorders>
                  <w:noWrap w:val="0"/>
                  <w:vAlign w:val="center"/>
                </w:tcPr>
                <w:p w14:paraId="1A576774">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2025.10.24</w:t>
                  </w:r>
                </w:p>
              </w:tc>
              <w:tc>
                <w:tcPr>
                  <w:tcW w:w="1250" w:type="pct"/>
                  <w:tcBorders>
                    <w:tl2br w:val="nil"/>
                    <w:tr2bl w:val="nil"/>
                  </w:tcBorders>
                  <w:shd w:val="clear" w:color="auto" w:fill="auto"/>
                  <w:noWrap w:val="0"/>
                  <w:vAlign w:val="center"/>
                </w:tcPr>
                <w:p w14:paraId="51E4E434">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55</w:t>
                  </w:r>
                </w:p>
              </w:tc>
              <w:tc>
                <w:tcPr>
                  <w:tcW w:w="1251" w:type="pct"/>
                  <w:tcBorders>
                    <w:tl2br w:val="nil"/>
                    <w:tr2bl w:val="nil"/>
                  </w:tcBorders>
                  <w:shd w:val="clear" w:color="auto" w:fill="auto"/>
                  <w:noWrap w:val="0"/>
                  <w:vAlign w:val="center"/>
                </w:tcPr>
                <w:p w14:paraId="0A0E4E82">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46</w:t>
                  </w:r>
                </w:p>
              </w:tc>
            </w:tr>
            <w:tr w14:paraId="68AEE4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36" w:type="pct"/>
                  <w:tcBorders>
                    <w:tl2br w:val="nil"/>
                    <w:tr2bl w:val="nil"/>
                  </w:tcBorders>
                  <w:shd w:val="clear" w:color="auto" w:fill="auto"/>
                  <w:noWrap w:val="0"/>
                  <w:vAlign w:val="center"/>
                </w:tcPr>
                <w:p w14:paraId="10B6474F">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2#西侧居民</w:t>
                  </w:r>
                </w:p>
              </w:tc>
              <w:tc>
                <w:tcPr>
                  <w:tcW w:w="1162" w:type="pct"/>
                  <w:tcBorders>
                    <w:tl2br w:val="nil"/>
                    <w:tr2bl w:val="nil"/>
                  </w:tcBorders>
                  <w:noWrap w:val="0"/>
                  <w:vAlign w:val="center"/>
                </w:tcPr>
                <w:p w14:paraId="1BA60A41">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2025.10.24</w:t>
                  </w:r>
                </w:p>
              </w:tc>
              <w:tc>
                <w:tcPr>
                  <w:tcW w:w="1250" w:type="pct"/>
                  <w:tcBorders>
                    <w:tl2br w:val="nil"/>
                    <w:tr2bl w:val="nil"/>
                  </w:tcBorders>
                  <w:shd w:val="clear" w:color="auto" w:fill="auto"/>
                  <w:noWrap w:val="0"/>
                  <w:vAlign w:val="center"/>
                </w:tcPr>
                <w:p w14:paraId="517C838D">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57</w:t>
                  </w:r>
                </w:p>
              </w:tc>
              <w:tc>
                <w:tcPr>
                  <w:tcW w:w="1251" w:type="pct"/>
                  <w:tcBorders>
                    <w:tl2br w:val="nil"/>
                    <w:tr2bl w:val="nil"/>
                  </w:tcBorders>
                  <w:shd w:val="clear" w:color="auto" w:fill="auto"/>
                  <w:noWrap w:val="0"/>
                  <w:vAlign w:val="center"/>
                </w:tcPr>
                <w:p w14:paraId="466FFAD6">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48</w:t>
                  </w:r>
                </w:p>
              </w:tc>
            </w:tr>
          </w:tbl>
          <w:p w14:paraId="4300F176">
            <w:pPr>
              <w:adjustRightInd w:val="0"/>
              <w:snapToGri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由上表可以看出，本项目敏感点噪声监测值满足《声环境质量标准》（GB3096-2008）2类标准要求。</w:t>
            </w:r>
          </w:p>
          <w:p w14:paraId="7C805D90">
            <w:pPr>
              <w:adjustRightInd w:val="0"/>
              <w:snapToGrid w:val="0"/>
              <w:spacing w:line="360" w:lineRule="auto"/>
              <w:ind w:left="0" w:leftChars="0" w:firstLine="0" w:firstLineChars="0"/>
              <w:rPr>
                <w:rFonts w:hint="default" w:ascii="Times New Roman" w:hAnsi="Times New Roman" w:cs="Times New Roman"/>
                <w:b/>
                <w:bCs w:val="0"/>
                <w:color w:val="auto"/>
                <w:kern w:val="0"/>
                <w:highlight w:val="none"/>
                <w:lang w:val="en-US" w:eastAsia="zh-CN"/>
              </w:rPr>
            </w:pPr>
            <w:r>
              <w:rPr>
                <w:rFonts w:hint="default" w:ascii="Times New Roman" w:hAnsi="Times New Roman" w:cs="Times New Roman"/>
                <w:b/>
                <w:bCs w:val="0"/>
                <w:color w:val="auto"/>
                <w:kern w:val="0"/>
                <w:highlight w:val="none"/>
                <w:lang w:val="en-US" w:eastAsia="zh-CN"/>
              </w:rPr>
              <w:t>4.土壤、地下水环境质量现状</w:t>
            </w:r>
          </w:p>
          <w:p w14:paraId="1D605CCF">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根据《建设项目环境影响报告表编制技术指南（污染影响类）》（试行），地下水、土壤环境原则上不开展环境质量现状调查。建设项目存在土壤、地下水污染途径的，应结合污染源、保护目标分布情况开展现状调查以留作背景值。</w:t>
            </w:r>
          </w:p>
          <w:p w14:paraId="583A4796">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本项目为热力生产和供应项目，运行过程不存在地下水、土壤环境污染途径，不存在污染地下水的特征因子，不存在污染地下水的途径。不会对地下水、土壤环境造成影响。因此，本次评价不进行地下水、土壤环境质量现状监测。</w:t>
            </w:r>
          </w:p>
          <w:p w14:paraId="0CE7155B">
            <w:pPr>
              <w:pStyle w:val="18"/>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rPr>
                <w:rFonts w:hint="default" w:ascii="Times New Roman" w:hAnsi="Times New Roman" w:eastAsia="宋体" w:cs="Times New Roman"/>
                <w:b/>
                <w:bCs w:val="0"/>
                <w:color w:val="auto"/>
                <w:kern w:val="0"/>
                <w:sz w:val="24"/>
                <w:szCs w:val="24"/>
                <w:highlight w:val="none"/>
                <w:lang w:val="en-US" w:eastAsia="zh-CN" w:bidi="ar-SA"/>
              </w:rPr>
            </w:pPr>
            <w:r>
              <w:rPr>
                <w:rFonts w:hint="default" w:ascii="Times New Roman" w:hAnsi="Times New Roman" w:eastAsia="宋体" w:cs="Times New Roman"/>
                <w:b/>
                <w:bCs w:val="0"/>
                <w:color w:val="auto"/>
                <w:kern w:val="0"/>
                <w:sz w:val="24"/>
                <w:szCs w:val="24"/>
                <w:highlight w:val="none"/>
                <w:lang w:val="en-US" w:eastAsia="zh-CN" w:bidi="ar-SA"/>
              </w:rPr>
              <w:t>5</w:t>
            </w:r>
            <w:r>
              <w:rPr>
                <w:rFonts w:hint="default" w:ascii="Times New Roman" w:hAnsi="Times New Roman" w:cs="Times New Roman"/>
                <w:b/>
                <w:bCs w:val="0"/>
                <w:color w:val="auto"/>
                <w:kern w:val="0"/>
                <w:sz w:val="24"/>
                <w:szCs w:val="24"/>
                <w:highlight w:val="none"/>
                <w:lang w:val="en-US" w:eastAsia="zh-CN" w:bidi="ar-SA"/>
              </w:rPr>
              <w:t>.</w:t>
            </w:r>
            <w:r>
              <w:rPr>
                <w:rFonts w:hint="default" w:ascii="Times New Roman" w:hAnsi="Times New Roman" w:eastAsia="宋体" w:cs="Times New Roman"/>
                <w:b/>
                <w:bCs w:val="0"/>
                <w:color w:val="auto"/>
                <w:kern w:val="0"/>
                <w:sz w:val="24"/>
                <w:szCs w:val="24"/>
                <w:highlight w:val="none"/>
                <w:lang w:val="en-US" w:eastAsia="zh-CN" w:bidi="ar-SA"/>
              </w:rPr>
              <w:t>生态环境质量现状</w:t>
            </w:r>
          </w:p>
          <w:p w14:paraId="1B30BDDC">
            <w:pPr>
              <w:pStyle w:val="18"/>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b/>
                <w:bCs w:val="0"/>
                <w:color w:val="auto"/>
                <w:kern w:val="0"/>
                <w:sz w:val="24"/>
                <w:szCs w:val="24"/>
                <w:highlight w:val="none"/>
                <w:lang w:val="en-US" w:eastAsia="zh-CN" w:bidi="ar-SA"/>
              </w:rPr>
            </w:pPr>
            <w:r>
              <w:rPr>
                <w:rFonts w:hint="default" w:ascii="Times New Roman" w:hAnsi="Times New Roman" w:eastAsia="宋体" w:cs="Times New Roman"/>
                <w:bCs/>
                <w:color w:val="auto"/>
                <w:kern w:val="0"/>
                <w:sz w:val="24"/>
                <w:szCs w:val="24"/>
                <w:highlight w:val="none"/>
                <w:lang w:val="en-US" w:eastAsia="zh-CN" w:bidi="ar-SA"/>
              </w:rPr>
              <w:t>本项目利用现有场地进行锅炉建</w:t>
            </w:r>
            <w:r>
              <w:rPr>
                <w:rFonts w:hint="default" w:ascii="Times New Roman" w:hAnsi="Times New Roman" w:cs="Times New Roman"/>
                <w:bCs/>
                <w:color w:val="auto"/>
                <w:kern w:val="0"/>
                <w:sz w:val="24"/>
                <w:szCs w:val="24"/>
                <w:highlight w:val="none"/>
                <w:lang w:val="en-US" w:eastAsia="zh-CN" w:bidi="ar-SA"/>
              </w:rPr>
              <w:t>设</w:t>
            </w:r>
            <w:r>
              <w:rPr>
                <w:rFonts w:hint="default" w:ascii="Times New Roman" w:hAnsi="Times New Roman" w:eastAsia="宋体" w:cs="Times New Roman"/>
                <w:bCs/>
                <w:color w:val="auto"/>
                <w:kern w:val="0"/>
                <w:sz w:val="24"/>
                <w:szCs w:val="24"/>
                <w:highlight w:val="none"/>
                <w:lang w:val="en-US" w:eastAsia="zh-CN" w:bidi="ar-SA"/>
              </w:rPr>
              <w:t>，不新增用地且用地范围内不含有生态环境保护目标，因此不进行生态环境质量现状调查。</w:t>
            </w:r>
          </w:p>
        </w:tc>
      </w:tr>
      <w:tr w14:paraId="0A5260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63" w:hRule="atLeast"/>
          <w:jc w:val="center"/>
        </w:trPr>
        <w:tc>
          <w:tcPr>
            <w:tcW w:w="542" w:type="dxa"/>
            <w:noWrap w:val="0"/>
            <w:vAlign w:val="center"/>
          </w:tcPr>
          <w:p w14:paraId="5BE148C2">
            <w:pPr>
              <w:spacing w:line="240" w:lineRule="auto"/>
              <w:ind w:firstLine="0" w:firstLineChars="0"/>
              <w:jc w:val="center"/>
              <w:rPr>
                <w:rFonts w:hint="default" w:ascii="Times New Roman" w:hAnsi="Times New Roman" w:eastAsia="宋体" w:cs="Times New Roman"/>
                <w:color w:val="auto"/>
                <w:spacing w:val="0"/>
                <w:kern w:val="0"/>
                <w:highlight w:val="none"/>
              </w:rPr>
            </w:pPr>
            <w:r>
              <w:rPr>
                <w:rFonts w:hint="default" w:ascii="Times New Roman" w:hAnsi="Times New Roman" w:eastAsia="宋体" w:cs="Times New Roman"/>
                <w:color w:val="auto"/>
                <w:spacing w:val="0"/>
                <w:kern w:val="0"/>
                <w:highlight w:val="none"/>
              </w:rPr>
              <w:t>环境</w:t>
            </w:r>
          </w:p>
          <w:p w14:paraId="10E9C672">
            <w:pPr>
              <w:spacing w:line="240" w:lineRule="auto"/>
              <w:ind w:firstLine="0" w:firstLineChars="0"/>
              <w:jc w:val="center"/>
              <w:rPr>
                <w:rFonts w:hint="default" w:ascii="Times New Roman" w:hAnsi="Times New Roman" w:eastAsia="宋体" w:cs="Times New Roman"/>
                <w:color w:val="auto"/>
                <w:spacing w:val="0"/>
                <w:kern w:val="0"/>
                <w:highlight w:val="none"/>
              </w:rPr>
            </w:pPr>
            <w:r>
              <w:rPr>
                <w:rFonts w:hint="default" w:ascii="Times New Roman" w:hAnsi="Times New Roman" w:eastAsia="宋体" w:cs="Times New Roman"/>
                <w:color w:val="auto"/>
                <w:spacing w:val="0"/>
                <w:kern w:val="0"/>
                <w:highlight w:val="none"/>
              </w:rPr>
              <w:t>保护</w:t>
            </w:r>
          </w:p>
          <w:p w14:paraId="00A0E32B">
            <w:pPr>
              <w:spacing w:line="240" w:lineRule="auto"/>
              <w:ind w:firstLine="0" w:firstLineChars="0"/>
              <w:jc w:val="center"/>
              <w:rPr>
                <w:rFonts w:hint="default" w:ascii="Times New Roman" w:hAnsi="Times New Roman" w:eastAsia="宋体" w:cs="Times New Roman"/>
                <w:color w:val="auto"/>
                <w:spacing w:val="0"/>
                <w:kern w:val="0"/>
                <w:highlight w:val="none"/>
              </w:rPr>
            </w:pPr>
            <w:r>
              <w:rPr>
                <w:rFonts w:hint="default" w:ascii="Times New Roman" w:hAnsi="Times New Roman" w:eastAsia="宋体" w:cs="Times New Roman"/>
                <w:color w:val="auto"/>
                <w:spacing w:val="0"/>
                <w:kern w:val="0"/>
                <w:highlight w:val="none"/>
              </w:rPr>
              <w:t>目标</w:t>
            </w:r>
          </w:p>
        </w:tc>
        <w:tc>
          <w:tcPr>
            <w:tcW w:w="7987" w:type="dxa"/>
            <w:noWrap w:val="0"/>
            <w:vAlign w:val="center"/>
          </w:tcPr>
          <w:p w14:paraId="0B911F81">
            <w:pPr>
              <w:ind w:left="0" w:leftChars="0" w:firstLine="0" w:firstLineChars="0"/>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1.</w:t>
            </w:r>
            <w:r>
              <w:rPr>
                <w:rFonts w:hint="default" w:ascii="Times New Roman" w:hAnsi="Times New Roman" w:eastAsia="宋体" w:cs="Times New Roman"/>
                <w:b/>
                <w:bCs w:val="0"/>
                <w:color w:val="auto"/>
                <w:spacing w:val="0"/>
                <w:sz w:val="24"/>
                <w:szCs w:val="24"/>
                <w:highlight w:val="none"/>
                <w:lang w:val="en-US" w:eastAsia="zh-CN"/>
              </w:rPr>
              <w:t>大气</w:t>
            </w:r>
            <w:r>
              <w:rPr>
                <w:rFonts w:hint="default" w:ascii="Times New Roman" w:hAnsi="Times New Roman" w:cs="Times New Roman"/>
                <w:b/>
                <w:bCs w:val="0"/>
                <w:color w:val="auto"/>
                <w:spacing w:val="0"/>
                <w:sz w:val="24"/>
                <w:szCs w:val="24"/>
                <w:highlight w:val="none"/>
                <w:lang w:val="en-US" w:eastAsia="zh-CN"/>
              </w:rPr>
              <w:t>环境、声环境保护目标</w:t>
            </w:r>
          </w:p>
          <w:p w14:paraId="6CAD99F5">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厂界外500米范围内存在大气环境保护目标</w:t>
            </w:r>
            <w:r>
              <w:rPr>
                <w:rFonts w:hint="default" w:ascii="Times New Roman" w:hAnsi="Times New Roman" w:cs="Times New Roman"/>
                <w:color w:val="auto"/>
                <w:sz w:val="24"/>
                <w:highlight w:val="none"/>
                <w:lang w:val="en-US" w:eastAsia="zh-CN"/>
              </w:rPr>
              <w:t>为新区、树英小学、晨兴中学、晨兴社区、花园小区、医院厂界北侧居民、阳光家园、城子河区公安局、城子河区纪检委、城山公寓、</w:t>
            </w:r>
            <w:r>
              <w:rPr>
                <w:rFonts w:hint="default" w:ascii="Times New Roman" w:hAnsi="Times New Roman" w:eastAsia="宋体" w:cs="Times New Roman"/>
                <w:color w:val="auto"/>
                <w:sz w:val="24"/>
                <w:szCs w:val="24"/>
                <w:highlight w:val="none"/>
                <w:lang w:val="en-US" w:eastAsia="zh-CN"/>
              </w:rPr>
              <w:t>厂区西侧部分居民</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highlight w:val="none"/>
                <w:lang w:val="en-US" w:eastAsia="zh-CN"/>
              </w:rPr>
              <w:t>城山家园。</w:t>
            </w:r>
            <w:r>
              <w:rPr>
                <w:rFonts w:hint="default" w:ascii="Times New Roman" w:hAnsi="Times New Roman" w:eastAsia="宋体" w:cs="Times New Roman"/>
                <w:color w:val="auto"/>
                <w:sz w:val="24"/>
                <w:szCs w:val="24"/>
                <w:highlight w:val="none"/>
              </w:rPr>
              <w:t>厂界外50m范围内</w:t>
            </w:r>
            <w:r>
              <w:rPr>
                <w:rFonts w:hint="default" w:ascii="Times New Roman" w:hAnsi="Times New Roman" w:eastAsia="宋体" w:cs="Times New Roman"/>
                <w:color w:val="auto"/>
                <w:sz w:val="24"/>
                <w:szCs w:val="24"/>
                <w:highlight w:val="none"/>
                <w:lang w:val="en-US" w:eastAsia="zh-CN"/>
              </w:rPr>
              <w:t>存在</w:t>
            </w:r>
            <w:r>
              <w:rPr>
                <w:rFonts w:hint="default" w:ascii="Times New Roman" w:hAnsi="Times New Roman" w:eastAsia="宋体" w:cs="Times New Roman"/>
                <w:color w:val="auto"/>
                <w:sz w:val="24"/>
                <w:szCs w:val="24"/>
                <w:highlight w:val="none"/>
              </w:rPr>
              <w:t>声环境保护目标</w:t>
            </w:r>
            <w:r>
              <w:rPr>
                <w:rFonts w:hint="default" w:ascii="Times New Roman" w:hAnsi="Times New Roman" w:cs="Times New Roman"/>
                <w:color w:val="auto"/>
                <w:sz w:val="24"/>
                <w:highlight w:val="none"/>
                <w:lang w:val="en-US" w:eastAsia="zh-CN"/>
              </w:rPr>
              <w:t>医院厂界北侧</w:t>
            </w:r>
            <w:r>
              <w:rPr>
                <w:rFonts w:hint="default" w:ascii="Times New Roman" w:hAnsi="Times New Roman" w:eastAsia="宋体" w:cs="Times New Roman"/>
                <w:color w:val="auto"/>
                <w:sz w:val="24"/>
                <w:szCs w:val="24"/>
                <w:highlight w:val="none"/>
                <w:lang w:val="en-US" w:eastAsia="zh-CN"/>
              </w:rPr>
              <w:t>部分居民、厂区西侧部分居民</w:t>
            </w:r>
            <w:r>
              <w:rPr>
                <w:rFonts w:hint="default" w:ascii="Times New Roman" w:hAnsi="Times New Roman" w:cs="Times New Roman"/>
                <w:color w:val="auto"/>
                <w:sz w:val="24"/>
                <w:szCs w:val="24"/>
                <w:highlight w:val="none"/>
                <w:lang w:val="en-US" w:eastAsia="zh-CN"/>
              </w:rPr>
              <w:t>及</w:t>
            </w:r>
            <w:r>
              <w:rPr>
                <w:rFonts w:hint="default" w:ascii="Times New Roman" w:hAnsi="Times New Roman" w:cs="Times New Roman"/>
                <w:color w:val="auto"/>
                <w:sz w:val="24"/>
                <w:highlight w:val="none"/>
                <w:lang w:val="en-US" w:eastAsia="zh-CN"/>
              </w:rPr>
              <w:t>城子河区公安局、城子河区纪检委</w:t>
            </w:r>
            <w:r>
              <w:rPr>
                <w:rFonts w:hint="default" w:ascii="Times New Roman" w:hAnsi="Times New Roman" w:eastAsia="宋体" w:cs="Times New Roman"/>
                <w:color w:val="auto"/>
                <w:sz w:val="24"/>
                <w:szCs w:val="24"/>
                <w:highlight w:val="none"/>
                <w:lang w:val="en-US" w:eastAsia="zh-CN"/>
              </w:rPr>
              <w:t>。</w:t>
            </w:r>
          </w:p>
          <w:p w14:paraId="60022F58">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rPr>
              <mc:AlternateContent>
                <mc:Choice Requires="wps">
                  <w:drawing>
                    <wp:anchor distT="0" distB="0" distL="114300" distR="114300" simplePos="0" relativeHeight="251682816" behindDoc="0" locked="0" layoutInCell="1" allowOverlap="1">
                      <wp:simplePos x="0" y="0"/>
                      <wp:positionH relativeFrom="column">
                        <wp:posOffset>2068195</wp:posOffset>
                      </wp:positionH>
                      <wp:positionV relativeFrom="paragraph">
                        <wp:posOffset>1443355</wp:posOffset>
                      </wp:positionV>
                      <wp:extent cx="137160" cy="415925"/>
                      <wp:effectExtent l="12700" t="12700" r="21590" b="28575"/>
                      <wp:wrapNone/>
                      <wp:docPr id="78" name="任意多边形 78"/>
                      <wp:cNvGraphicFramePr/>
                      <a:graphic xmlns:a="http://schemas.openxmlformats.org/drawingml/2006/main">
                        <a:graphicData uri="http://schemas.microsoft.com/office/word/2010/wordprocessingShape">
                          <wps:wsp>
                            <wps:cNvSpPr/>
                            <wps:spPr>
                              <a:xfrm>
                                <a:off x="3539490" y="3836035"/>
                                <a:ext cx="137160" cy="415925"/>
                              </a:xfrm>
                              <a:custGeom>
                                <a:avLst/>
                                <a:gdLst>
                                  <a:gd name="connisteX0" fmla="*/ 0 w 170180"/>
                                  <a:gd name="connsiteY0" fmla="*/ 14605 h 415925"/>
                                  <a:gd name="connisteX1" fmla="*/ 13335 w 170180"/>
                                  <a:gd name="connsiteY1" fmla="*/ 415925 h 415925"/>
                                  <a:gd name="connisteX2" fmla="*/ 170180 w 170180"/>
                                  <a:gd name="connsiteY2" fmla="*/ 401955 h 415925"/>
                                  <a:gd name="connisteX3" fmla="*/ 156210 w 170180"/>
                                  <a:gd name="connsiteY3" fmla="*/ 0 h 415925"/>
                                  <a:gd name="connisteX4" fmla="*/ 0 w 170180"/>
                                  <a:gd name="connsiteY4" fmla="*/ 14605 h 4159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70180" h="415925">
                                    <a:moveTo>
                                      <a:pt x="0" y="14605"/>
                                    </a:moveTo>
                                    <a:lnTo>
                                      <a:pt x="13335" y="415925"/>
                                    </a:lnTo>
                                    <a:lnTo>
                                      <a:pt x="170180" y="401955"/>
                                    </a:lnTo>
                                    <a:lnTo>
                                      <a:pt x="156210" y="0"/>
                                    </a:lnTo>
                                    <a:lnTo>
                                      <a:pt x="0" y="14605"/>
                                    </a:lnTo>
                                    <a:close/>
                                  </a:path>
                                </a:pathLst>
                              </a:custGeom>
                              <a:solidFill>
                                <a:srgbClr val="4A964D">
                                  <a:alpha val="50000"/>
                                </a:srgbClr>
                              </a:solidFill>
                              <a:ln>
                                <a:solidFill>
                                  <a:srgbClr val="25C826"/>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62.85pt;margin-top:113.65pt;height:32.75pt;width:10.8pt;z-index:251682816;mso-width-relative:page;mso-height-relative:page;" fillcolor="#4A964D" filled="t" stroked="t" coordsize="170180,415925" o:gfxdata="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" path="m0,14605l13335,415925,170180,401955,156210,0,0,14605xe">
                      <v:path o:connectlocs="0,14605;10747,415925;137160,401955;125900,0;0,14605" o:connectangles="0,0,0,0,0"/>
                      <v:fill on="t" opacity="32768f" focussize="0,0"/>
                      <v:stroke weight="2pt" color="#25C826 [2404]"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4864" behindDoc="0" locked="0" layoutInCell="1" allowOverlap="1">
                      <wp:simplePos x="0" y="0"/>
                      <wp:positionH relativeFrom="column">
                        <wp:posOffset>1948815</wp:posOffset>
                      </wp:positionH>
                      <wp:positionV relativeFrom="paragraph">
                        <wp:posOffset>1626235</wp:posOffset>
                      </wp:positionV>
                      <wp:extent cx="363220" cy="319405"/>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363220" cy="3194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B868F0">
                                  <w:pPr>
                                    <w:spacing w:line="240" w:lineRule="auto"/>
                                    <w:ind w:left="0" w:leftChars="0" w:firstLine="0" w:firstLineChars="0"/>
                                    <w:jc w:val="center"/>
                                    <w:rPr>
                                      <w:rFonts w:hint="default" w:eastAsia="宋体"/>
                                      <w:b/>
                                      <w:bCs w:val="0"/>
                                      <w:sz w:val="13"/>
                                      <w:szCs w:val="13"/>
                                      <w:lang w:val="en-US" w:eastAsia="zh-CN"/>
                                    </w:rPr>
                                  </w:pPr>
                                  <w:r>
                                    <w:rPr>
                                      <w:rFonts w:hint="eastAsia" w:eastAsia="宋体"/>
                                      <w:b/>
                                      <w:bCs w:val="0"/>
                                      <w:sz w:val="13"/>
                                      <w:szCs w:val="13"/>
                                      <w:lang w:val="en-US" w:eastAsia="zh-CN"/>
                                    </w:rPr>
                                    <w:t>西侧居民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3.45pt;margin-top:128.05pt;height:25.15pt;width:28.6pt;z-index:251684864;mso-width-relative:page;mso-height-relative:page;" filled="f" stroked="f" coordsize="21600,21600" o:gfxdata="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NyyWdHbAAAACwEAAA8AAAAAAAAAAQAgAAAAIgAAAGRy&#10;cy9kb3ducmV2LnhtbFBLAQIUABQAAAAIAIdO4kDTxsblOwIAAGcEAAAOAAAAAAAAAAEAIAAAACoB&#10;AABkcnMvZTJvRG9jLnhtbFBLBQYAAAAABgAGAFkBAADXBQAAAAA=&#10;">
                      <v:fill on="f" focussize="0,0"/>
                      <v:stroke on="f" weight="0.5pt"/>
                      <v:imagedata o:title=""/>
                      <o:lock v:ext="edit" aspectratio="f"/>
                      <v:textbox>
                        <w:txbxContent>
                          <w:p w14:paraId="6FB868F0">
                            <w:pPr>
                              <w:spacing w:line="240" w:lineRule="auto"/>
                              <w:ind w:left="0" w:leftChars="0" w:firstLine="0" w:firstLineChars="0"/>
                              <w:jc w:val="center"/>
                              <w:rPr>
                                <w:rFonts w:hint="default" w:eastAsia="宋体"/>
                                <w:b/>
                                <w:bCs w:val="0"/>
                                <w:sz w:val="13"/>
                                <w:szCs w:val="13"/>
                                <w:lang w:val="en-US" w:eastAsia="zh-CN"/>
                              </w:rPr>
                            </w:pPr>
                            <w:r>
                              <w:rPr>
                                <w:rFonts w:hint="eastAsia" w:eastAsia="宋体"/>
                                <w:b/>
                                <w:bCs w:val="0"/>
                                <w:sz w:val="13"/>
                                <w:szCs w:val="13"/>
                                <w:lang w:val="en-US" w:eastAsia="zh-CN"/>
                              </w:rPr>
                              <w:t>西侧居民</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3840" behindDoc="0" locked="0" layoutInCell="1" allowOverlap="1">
                      <wp:simplePos x="0" y="0"/>
                      <wp:positionH relativeFrom="column">
                        <wp:posOffset>1946910</wp:posOffset>
                      </wp:positionH>
                      <wp:positionV relativeFrom="paragraph">
                        <wp:posOffset>1371600</wp:posOffset>
                      </wp:positionV>
                      <wp:extent cx="363220" cy="319405"/>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363220" cy="3194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79C6E5">
                                  <w:pPr>
                                    <w:spacing w:line="240" w:lineRule="auto"/>
                                    <w:ind w:left="0" w:leftChars="0" w:firstLine="0" w:firstLineChars="0"/>
                                    <w:jc w:val="center"/>
                                    <w:rPr>
                                      <w:rFonts w:hint="eastAsia" w:eastAsia="宋体"/>
                                      <w:b/>
                                      <w:bCs w:val="0"/>
                                      <w:sz w:val="13"/>
                                      <w:szCs w:val="13"/>
                                      <w:lang w:val="en-US" w:eastAsia="zh-CN"/>
                                    </w:rPr>
                                  </w:pPr>
                                  <w:r>
                                    <w:rPr>
                                      <w:rFonts w:hint="eastAsia" w:eastAsia="宋体"/>
                                      <w:b/>
                                      <w:bCs w:val="0"/>
                                      <w:sz w:val="13"/>
                                      <w:szCs w:val="13"/>
                                      <w:lang w:val="en-US" w:eastAsia="zh-CN"/>
                                    </w:rPr>
                                    <w:t>公安</w:t>
                                  </w:r>
                                </w:p>
                                <w:p w14:paraId="08268724">
                                  <w:pPr>
                                    <w:spacing w:line="240" w:lineRule="auto"/>
                                    <w:ind w:left="0" w:leftChars="0" w:firstLine="0" w:firstLineChars="0"/>
                                    <w:jc w:val="center"/>
                                    <w:rPr>
                                      <w:rFonts w:hint="default" w:eastAsia="宋体"/>
                                      <w:b/>
                                      <w:bCs w:val="0"/>
                                      <w:sz w:val="13"/>
                                      <w:szCs w:val="13"/>
                                      <w:lang w:val="en-US" w:eastAsia="zh-CN"/>
                                    </w:rPr>
                                  </w:pPr>
                                  <w:r>
                                    <w:rPr>
                                      <w:rFonts w:hint="eastAsia" w:eastAsia="宋体"/>
                                      <w:b/>
                                      <w:bCs w:val="0"/>
                                      <w:sz w:val="13"/>
                                      <w:szCs w:val="13"/>
                                      <w:lang w:val="en-US" w:eastAsia="zh-CN"/>
                                    </w:rPr>
                                    <w:t>纪委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3.3pt;margin-top:108pt;height:25.15pt;width:28.6pt;z-index:251683840;mso-width-relative:page;mso-height-relative:page;" filled="f" stroked="f" coordsize="21600,21600" o:gfxdata="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FvCAnaAAAACwEAAA8AAAAAAAAAAQAgAAAAIgAAAGRy&#10;cy9kb3ducmV2LnhtbFBLAQIUABQAAAAIAIdO4kAa/Q6hPAIAAGcEAAAOAAAAAAAAAAEAIAAAACkB&#10;AABkcnMvZTJvRG9jLnhtbFBLBQYAAAAABgAGAFkBAADXBQAAAAA=&#10;">
                      <v:fill on="f" focussize="0,0"/>
                      <v:stroke on="f" weight="0.5pt"/>
                      <v:imagedata o:title=""/>
                      <o:lock v:ext="edit" aspectratio="f"/>
                      <v:textbox>
                        <w:txbxContent>
                          <w:p w14:paraId="0379C6E5">
                            <w:pPr>
                              <w:spacing w:line="240" w:lineRule="auto"/>
                              <w:ind w:left="0" w:leftChars="0" w:firstLine="0" w:firstLineChars="0"/>
                              <w:jc w:val="center"/>
                              <w:rPr>
                                <w:rFonts w:hint="eastAsia" w:eastAsia="宋体"/>
                                <w:b/>
                                <w:bCs w:val="0"/>
                                <w:sz w:val="13"/>
                                <w:szCs w:val="13"/>
                                <w:lang w:val="en-US" w:eastAsia="zh-CN"/>
                              </w:rPr>
                            </w:pPr>
                            <w:r>
                              <w:rPr>
                                <w:rFonts w:hint="eastAsia" w:eastAsia="宋体"/>
                                <w:b/>
                                <w:bCs w:val="0"/>
                                <w:sz w:val="13"/>
                                <w:szCs w:val="13"/>
                                <w:lang w:val="en-US" w:eastAsia="zh-CN"/>
                              </w:rPr>
                              <w:t>公安</w:t>
                            </w:r>
                          </w:p>
                          <w:p w14:paraId="08268724">
                            <w:pPr>
                              <w:spacing w:line="240" w:lineRule="auto"/>
                              <w:ind w:left="0" w:leftChars="0" w:firstLine="0" w:firstLineChars="0"/>
                              <w:jc w:val="center"/>
                              <w:rPr>
                                <w:rFonts w:hint="default" w:eastAsia="宋体"/>
                                <w:b/>
                                <w:bCs w:val="0"/>
                                <w:sz w:val="13"/>
                                <w:szCs w:val="13"/>
                                <w:lang w:val="en-US" w:eastAsia="zh-CN"/>
                              </w:rPr>
                            </w:pPr>
                            <w:r>
                              <w:rPr>
                                <w:rFonts w:hint="eastAsia" w:eastAsia="宋体"/>
                                <w:b/>
                                <w:bCs w:val="0"/>
                                <w:sz w:val="13"/>
                                <w:szCs w:val="13"/>
                                <w:lang w:val="en-US" w:eastAsia="zh-CN"/>
                              </w:rPr>
                              <w:t>纪委</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1792" behindDoc="0" locked="0" layoutInCell="1" allowOverlap="1">
                      <wp:simplePos x="0" y="0"/>
                      <wp:positionH relativeFrom="column">
                        <wp:posOffset>1812290</wp:posOffset>
                      </wp:positionH>
                      <wp:positionV relativeFrom="paragraph">
                        <wp:posOffset>1984375</wp:posOffset>
                      </wp:positionV>
                      <wp:extent cx="600075" cy="224790"/>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600075" cy="2247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47C388">
                                  <w:pPr>
                                    <w:spacing w:line="240" w:lineRule="auto"/>
                                    <w:ind w:left="0" w:leftChars="0" w:firstLine="0" w:firstLineChars="0"/>
                                    <w:jc w:val="center"/>
                                    <w:rPr>
                                      <w:rFonts w:hint="default" w:eastAsia="宋体"/>
                                      <w:b/>
                                      <w:bCs w:val="0"/>
                                      <w:sz w:val="13"/>
                                      <w:szCs w:val="13"/>
                                      <w:lang w:val="en-US" w:eastAsia="zh-CN"/>
                                    </w:rPr>
                                  </w:pPr>
                                  <w:r>
                                    <w:rPr>
                                      <w:rFonts w:hint="eastAsia" w:eastAsia="宋体"/>
                                      <w:b/>
                                      <w:bCs w:val="0"/>
                                      <w:sz w:val="13"/>
                                      <w:szCs w:val="13"/>
                                      <w:lang w:val="en-US" w:eastAsia="zh-CN"/>
                                    </w:rPr>
                                    <w:t>阳光家园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2.7pt;margin-top:156.25pt;height:17.7pt;width:47.25pt;z-index:251681792;mso-width-relative:page;mso-height-relative:page;" filled="f" stroked="f" coordsize="21600,21600" o:gfxdata="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mCHlQ3QAAAAsBAAAPAAAAAAAAAAEAIAAAACIA&#10;AABkcnMvZG93bnJldi54bWxQSwECFAAUAAAACACHTuJAXMtxZz0CAABnBAAADgAAAAAAAAABACAA&#10;AAAsAQAAZHJzL2Uyb0RvYy54bWxQSwUGAAAAAAYABgBZAQAA2wUAAAAA&#10;">
                      <v:fill on="f" focussize="0,0"/>
                      <v:stroke on="f" weight="0.5pt"/>
                      <v:imagedata o:title=""/>
                      <o:lock v:ext="edit" aspectratio="f"/>
                      <v:textbox>
                        <w:txbxContent>
                          <w:p w14:paraId="7647C388">
                            <w:pPr>
                              <w:spacing w:line="240" w:lineRule="auto"/>
                              <w:ind w:left="0" w:leftChars="0" w:firstLine="0" w:firstLineChars="0"/>
                              <w:jc w:val="center"/>
                              <w:rPr>
                                <w:rFonts w:hint="default" w:eastAsia="宋体"/>
                                <w:b/>
                                <w:bCs w:val="0"/>
                                <w:sz w:val="13"/>
                                <w:szCs w:val="13"/>
                                <w:lang w:val="en-US" w:eastAsia="zh-CN"/>
                              </w:rPr>
                            </w:pPr>
                            <w:r>
                              <w:rPr>
                                <w:rFonts w:hint="eastAsia" w:eastAsia="宋体"/>
                                <w:b/>
                                <w:bCs w:val="0"/>
                                <w:sz w:val="13"/>
                                <w:szCs w:val="13"/>
                                <w:lang w:val="en-US" w:eastAsia="zh-CN"/>
                              </w:rPr>
                              <w:t>阳光家园</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0768" behindDoc="0" locked="0" layoutInCell="1" allowOverlap="1">
                      <wp:simplePos x="0" y="0"/>
                      <wp:positionH relativeFrom="column">
                        <wp:posOffset>1845310</wp:posOffset>
                      </wp:positionH>
                      <wp:positionV relativeFrom="paragraph">
                        <wp:posOffset>2542540</wp:posOffset>
                      </wp:positionV>
                      <wp:extent cx="600075" cy="374015"/>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600075" cy="3740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3D25F7">
                                  <w:pPr>
                                    <w:spacing w:line="240" w:lineRule="auto"/>
                                    <w:ind w:left="0" w:leftChars="0" w:firstLine="0" w:firstLineChars="0"/>
                                    <w:jc w:val="center"/>
                                    <w:rPr>
                                      <w:rFonts w:hint="default" w:eastAsia="宋体"/>
                                      <w:b/>
                                      <w:bCs w:val="0"/>
                                      <w:sz w:val="13"/>
                                      <w:szCs w:val="13"/>
                                      <w:lang w:val="en-US" w:eastAsia="zh-CN"/>
                                    </w:rPr>
                                  </w:pPr>
                                  <w:r>
                                    <w:rPr>
                                      <w:rFonts w:hint="eastAsia" w:eastAsia="宋体"/>
                                      <w:b/>
                                      <w:bCs w:val="0"/>
                                      <w:sz w:val="13"/>
                                      <w:szCs w:val="13"/>
                                      <w:lang w:val="en-US" w:eastAsia="zh-CN"/>
                                    </w:rPr>
                                    <w:t>城山公寓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5.3pt;margin-top:200.2pt;height:29.45pt;width:47.25pt;z-index:251680768;mso-width-relative:page;mso-height-relative:page;" filled="f" stroked="f" coordsize="21600,21600" o:gfxdata="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J/Q0ltwAAAALAQAADwAAAAAAAAABACAAAAAiAAAA&#10;ZHJzL2Rvd25yZXYueG1sUEsBAhQAFAAAAAgAh07iQP9GytY8AgAAZwQAAA4AAAAAAAAAAQAgAAAA&#10;KwEAAGRycy9lMm9Eb2MueG1sUEsFBgAAAAAGAAYAWQEAANkFAAAAAA==&#10;">
                      <v:fill on="f" focussize="0,0"/>
                      <v:stroke on="f" weight="0.5pt"/>
                      <v:imagedata o:title=""/>
                      <o:lock v:ext="edit" aspectratio="f"/>
                      <v:textbox>
                        <w:txbxContent>
                          <w:p w14:paraId="4B3D25F7">
                            <w:pPr>
                              <w:spacing w:line="240" w:lineRule="auto"/>
                              <w:ind w:left="0" w:leftChars="0" w:firstLine="0" w:firstLineChars="0"/>
                              <w:jc w:val="center"/>
                              <w:rPr>
                                <w:rFonts w:hint="default" w:eastAsia="宋体"/>
                                <w:b/>
                                <w:bCs w:val="0"/>
                                <w:sz w:val="13"/>
                                <w:szCs w:val="13"/>
                                <w:lang w:val="en-US" w:eastAsia="zh-CN"/>
                              </w:rPr>
                            </w:pPr>
                            <w:r>
                              <w:rPr>
                                <w:rFonts w:hint="eastAsia" w:eastAsia="宋体"/>
                                <w:b/>
                                <w:bCs w:val="0"/>
                                <w:sz w:val="13"/>
                                <w:szCs w:val="13"/>
                                <w:lang w:val="en-US" w:eastAsia="zh-CN"/>
                              </w:rPr>
                              <w:t>城山公寓</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9744" behindDoc="0" locked="0" layoutInCell="1" allowOverlap="1">
                      <wp:simplePos x="0" y="0"/>
                      <wp:positionH relativeFrom="column">
                        <wp:posOffset>2217420</wp:posOffset>
                      </wp:positionH>
                      <wp:positionV relativeFrom="paragraph">
                        <wp:posOffset>2172335</wp:posOffset>
                      </wp:positionV>
                      <wp:extent cx="600075" cy="374015"/>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600075" cy="3740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A3202E">
                                  <w:pPr>
                                    <w:spacing w:line="240" w:lineRule="auto"/>
                                    <w:ind w:left="0" w:leftChars="0" w:firstLine="0" w:firstLineChars="0"/>
                                    <w:jc w:val="center"/>
                                    <w:rPr>
                                      <w:rFonts w:hint="default" w:eastAsia="宋体"/>
                                      <w:b/>
                                      <w:bCs w:val="0"/>
                                      <w:sz w:val="13"/>
                                      <w:szCs w:val="13"/>
                                      <w:lang w:val="en-US" w:eastAsia="zh-CN"/>
                                    </w:rPr>
                                  </w:pPr>
                                  <w:r>
                                    <w:rPr>
                                      <w:rFonts w:hint="eastAsia" w:eastAsia="宋体"/>
                                      <w:b/>
                                      <w:bCs w:val="0"/>
                                      <w:sz w:val="13"/>
                                      <w:szCs w:val="13"/>
                                      <w:lang w:val="en-US" w:eastAsia="zh-CN"/>
                                    </w:rPr>
                                    <w:t>城山家园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4.6pt;margin-top:171.05pt;height:29.45pt;width:47.25pt;z-index:251679744;mso-width-relative:page;mso-height-relative:page;" filled="f" stroked="f" coordsize="21600,21600" o:gfxdata="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&#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O2eqfbAAAACwEAAA8AAAAAAAAAAQAgAAAAIgAAAGRy&#10;cy9kb3ducmV2LnhtbFBLAQIUABQAAAAIAIdO4kBQwf40OwIAAGcEAAAOAAAAAAAAAAEAIAAAACoB&#10;AABkcnMvZTJvRG9jLnhtbFBLBQYAAAAABgAGAFkBAADXBQAAAAA=&#10;">
                      <v:fill on="f" focussize="0,0"/>
                      <v:stroke on="f" weight="0.5pt"/>
                      <v:imagedata o:title=""/>
                      <o:lock v:ext="edit" aspectratio="f"/>
                      <v:textbox>
                        <w:txbxContent>
                          <w:p w14:paraId="0BA3202E">
                            <w:pPr>
                              <w:spacing w:line="240" w:lineRule="auto"/>
                              <w:ind w:left="0" w:leftChars="0" w:firstLine="0" w:firstLineChars="0"/>
                              <w:jc w:val="center"/>
                              <w:rPr>
                                <w:rFonts w:hint="default" w:eastAsia="宋体"/>
                                <w:b/>
                                <w:bCs w:val="0"/>
                                <w:sz w:val="13"/>
                                <w:szCs w:val="13"/>
                                <w:lang w:val="en-US" w:eastAsia="zh-CN"/>
                              </w:rPr>
                            </w:pPr>
                            <w:r>
                              <w:rPr>
                                <w:rFonts w:hint="eastAsia" w:eastAsia="宋体"/>
                                <w:b/>
                                <w:bCs w:val="0"/>
                                <w:sz w:val="13"/>
                                <w:szCs w:val="13"/>
                                <w:lang w:val="en-US" w:eastAsia="zh-CN"/>
                              </w:rPr>
                              <w:t>城山家园</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8720" behindDoc="0" locked="0" layoutInCell="1" allowOverlap="1">
                      <wp:simplePos x="0" y="0"/>
                      <wp:positionH relativeFrom="column">
                        <wp:posOffset>2187575</wp:posOffset>
                      </wp:positionH>
                      <wp:positionV relativeFrom="paragraph">
                        <wp:posOffset>931545</wp:posOffset>
                      </wp:positionV>
                      <wp:extent cx="600075" cy="374015"/>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600075" cy="3740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DF1734">
                                  <w:pPr>
                                    <w:spacing w:line="240" w:lineRule="auto"/>
                                    <w:ind w:left="0" w:leftChars="0" w:firstLine="0" w:firstLineChars="0"/>
                                    <w:jc w:val="center"/>
                                    <w:rPr>
                                      <w:rFonts w:hint="default" w:eastAsia="宋体"/>
                                      <w:b/>
                                      <w:bCs w:val="0"/>
                                      <w:sz w:val="13"/>
                                      <w:szCs w:val="13"/>
                                      <w:lang w:val="en-US" w:eastAsia="zh-CN"/>
                                    </w:rPr>
                                  </w:pPr>
                                  <w:r>
                                    <w:rPr>
                                      <w:rFonts w:hint="eastAsia" w:eastAsia="宋体"/>
                                      <w:b/>
                                      <w:bCs w:val="0"/>
                                      <w:sz w:val="13"/>
                                      <w:szCs w:val="13"/>
                                      <w:lang w:val="en-US" w:eastAsia="zh-CN"/>
                                    </w:rPr>
                                    <w:t>医院北侧居民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2.25pt;margin-top:73.35pt;height:29.45pt;width:47.25pt;z-index:251678720;mso-width-relative:page;mso-height-relative:page;" filled="f" stroked="f" coordsize="21600,21600" o:gfxdata="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MwP73AAAAAsBAAAPAAAAAAAAAAEAIAAAACIAAABk&#10;cnMvZG93bnJldi54bWxQSwECFAAUAAAACACHTuJACr493DsCAABnBAAADgAAAAAAAAABACAAAAAr&#10;AQAAZHJzL2Uyb0RvYy54bWxQSwUGAAAAAAYABgBZAQAA2AUAAAAA&#10;">
                      <v:fill on="f" focussize="0,0"/>
                      <v:stroke on="f" weight="0.5pt"/>
                      <v:imagedata o:title=""/>
                      <o:lock v:ext="edit" aspectratio="f"/>
                      <v:textbox>
                        <w:txbxContent>
                          <w:p w14:paraId="12DF1734">
                            <w:pPr>
                              <w:spacing w:line="240" w:lineRule="auto"/>
                              <w:ind w:left="0" w:leftChars="0" w:firstLine="0" w:firstLineChars="0"/>
                              <w:jc w:val="center"/>
                              <w:rPr>
                                <w:rFonts w:hint="default" w:eastAsia="宋体"/>
                                <w:b/>
                                <w:bCs w:val="0"/>
                                <w:sz w:val="13"/>
                                <w:szCs w:val="13"/>
                                <w:lang w:val="en-US" w:eastAsia="zh-CN"/>
                              </w:rPr>
                            </w:pPr>
                            <w:r>
                              <w:rPr>
                                <w:rFonts w:hint="eastAsia" w:eastAsia="宋体"/>
                                <w:b/>
                                <w:bCs w:val="0"/>
                                <w:sz w:val="13"/>
                                <w:szCs w:val="13"/>
                                <w:lang w:val="en-US" w:eastAsia="zh-CN"/>
                              </w:rPr>
                              <w:t>医院北侧居民</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7696" behindDoc="0" locked="0" layoutInCell="1" allowOverlap="1">
                      <wp:simplePos x="0" y="0"/>
                      <wp:positionH relativeFrom="column">
                        <wp:posOffset>1817370</wp:posOffset>
                      </wp:positionH>
                      <wp:positionV relativeFrom="paragraph">
                        <wp:posOffset>1064895</wp:posOffset>
                      </wp:positionV>
                      <wp:extent cx="600075" cy="251460"/>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600075"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E09A2B">
                                  <w:pPr>
                                    <w:spacing w:line="240" w:lineRule="auto"/>
                                    <w:ind w:left="0" w:leftChars="0" w:firstLine="0" w:firstLineChars="0"/>
                                    <w:rPr>
                                      <w:rFonts w:hint="default" w:eastAsia="宋体"/>
                                      <w:b/>
                                      <w:bCs w:val="0"/>
                                      <w:sz w:val="13"/>
                                      <w:szCs w:val="13"/>
                                      <w:lang w:val="en-US" w:eastAsia="zh-CN"/>
                                    </w:rPr>
                                  </w:pPr>
                                  <w:r>
                                    <w:rPr>
                                      <w:rFonts w:hint="eastAsia" w:eastAsia="宋体"/>
                                      <w:b/>
                                      <w:bCs w:val="0"/>
                                      <w:sz w:val="13"/>
                                      <w:szCs w:val="13"/>
                                      <w:lang w:val="en-US" w:eastAsia="zh-CN"/>
                                    </w:rPr>
                                    <w:t>花园小区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3.1pt;margin-top:83.85pt;height:19.8pt;width:47.25pt;z-index:251677696;mso-width-relative:page;mso-height-relative:page;" filled="f" stroked="f" coordsize="21600,21600" o:gfxdata="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&#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zQvG72gAAAAsBAAAPAAAAAAAAAAEAIAAAACIAAABk&#10;cnMvZG93bnJldi54bWxQSwECFAAUAAAACACHTuJAdXqS0T0CAABnBAAADgAAAAAAAAABACAAAAAp&#10;AQAAZHJzL2Uyb0RvYy54bWxQSwUGAAAAAAYABgBZAQAA2AUAAAAA&#10;">
                      <v:fill on="f" focussize="0,0"/>
                      <v:stroke on="f" weight="0.5pt"/>
                      <v:imagedata o:title=""/>
                      <o:lock v:ext="edit" aspectratio="f"/>
                      <v:textbox>
                        <w:txbxContent>
                          <w:p w14:paraId="1CE09A2B">
                            <w:pPr>
                              <w:spacing w:line="240" w:lineRule="auto"/>
                              <w:ind w:left="0" w:leftChars="0" w:firstLine="0" w:firstLineChars="0"/>
                              <w:rPr>
                                <w:rFonts w:hint="default" w:eastAsia="宋体"/>
                                <w:b/>
                                <w:bCs w:val="0"/>
                                <w:sz w:val="13"/>
                                <w:szCs w:val="13"/>
                                <w:lang w:val="en-US" w:eastAsia="zh-CN"/>
                              </w:rPr>
                            </w:pPr>
                            <w:r>
                              <w:rPr>
                                <w:rFonts w:hint="eastAsia" w:eastAsia="宋体"/>
                                <w:b/>
                                <w:bCs w:val="0"/>
                                <w:sz w:val="13"/>
                                <w:szCs w:val="13"/>
                                <w:lang w:val="en-US" w:eastAsia="zh-CN"/>
                              </w:rPr>
                              <w:t>花园小区</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6672" behindDoc="0" locked="0" layoutInCell="1" allowOverlap="1">
                      <wp:simplePos x="0" y="0"/>
                      <wp:positionH relativeFrom="column">
                        <wp:posOffset>1528445</wp:posOffset>
                      </wp:positionH>
                      <wp:positionV relativeFrom="paragraph">
                        <wp:posOffset>1463675</wp:posOffset>
                      </wp:positionV>
                      <wp:extent cx="600075" cy="251460"/>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600075"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71E459">
                                  <w:pPr>
                                    <w:spacing w:line="240" w:lineRule="auto"/>
                                    <w:ind w:left="0" w:leftChars="0" w:firstLine="0" w:firstLineChars="0"/>
                                    <w:rPr>
                                      <w:rFonts w:hint="default" w:eastAsia="宋体"/>
                                      <w:b/>
                                      <w:bCs w:val="0"/>
                                      <w:sz w:val="13"/>
                                      <w:szCs w:val="13"/>
                                      <w:lang w:val="en-US" w:eastAsia="zh-CN"/>
                                    </w:rPr>
                                  </w:pPr>
                                  <w:r>
                                    <w:rPr>
                                      <w:rFonts w:hint="eastAsia" w:eastAsia="宋体"/>
                                      <w:b/>
                                      <w:bCs w:val="0"/>
                                      <w:sz w:val="13"/>
                                      <w:szCs w:val="13"/>
                                      <w:lang w:val="en-US" w:eastAsia="zh-CN"/>
                                    </w:rPr>
                                    <w:t>晨兴社区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0.35pt;margin-top:115.25pt;height:19.8pt;width:47.25pt;z-index:251676672;mso-width-relative:page;mso-height-relative:page;" filled="f" stroked="f" coordsize="21600,21600" o:gfxdata="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&#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LtlN22wAAAAsBAAAPAAAAAAAAAAEAIAAAACIAAABk&#10;cnMvZG93bnJldi54bWxQSwECFAAUAAAACACHTuJAgIJl2zwCAABnBAAADgAAAAAAAAABACAAAAAq&#10;AQAAZHJzL2Uyb0RvYy54bWxQSwUGAAAAAAYABgBZAQAA2AUAAAAA&#10;">
                      <v:fill on="f" focussize="0,0"/>
                      <v:stroke on="f" weight="0.5pt"/>
                      <v:imagedata o:title=""/>
                      <o:lock v:ext="edit" aspectratio="f"/>
                      <v:textbox>
                        <w:txbxContent>
                          <w:p w14:paraId="3D71E459">
                            <w:pPr>
                              <w:spacing w:line="240" w:lineRule="auto"/>
                              <w:ind w:left="0" w:leftChars="0" w:firstLine="0" w:firstLineChars="0"/>
                              <w:rPr>
                                <w:rFonts w:hint="default" w:eastAsia="宋体"/>
                                <w:b/>
                                <w:bCs w:val="0"/>
                                <w:sz w:val="13"/>
                                <w:szCs w:val="13"/>
                                <w:lang w:val="en-US" w:eastAsia="zh-CN"/>
                              </w:rPr>
                            </w:pPr>
                            <w:r>
                              <w:rPr>
                                <w:rFonts w:hint="eastAsia" w:eastAsia="宋体"/>
                                <w:b/>
                                <w:bCs w:val="0"/>
                                <w:sz w:val="13"/>
                                <w:szCs w:val="13"/>
                                <w:lang w:val="en-US" w:eastAsia="zh-CN"/>
                              </w:rPr>
                              <w:t>晨兴社区</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5648" behindDoc="0" locked="0" layoutInCell="1" allowOverlap="1">
                      <wp:simplePos x="0" y="0"/>
                      <wp:positionH relativeFrom="column">
                        <wp:posOffset>1031875</wp:posOffset>
                      </wp:positionH>
                      <wp:positionV relativeFrom="paragraph">
                        <wp:posOffset>1259840</wp:posOffset>
                      </wp:positionV>
                      <wp:extent cx="600075" cy="251460"/>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600075"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596BD8">
                                  <w:pPr>
                                    <w:spacing w:line="240" w:lineRule="auto"/>
                                    <w:ind w:left="0" w:leftChars="0" w:firstLine="0" w:firstLineChars="0"/>
                                    <w:rPr>
                                      <w:rFonts w:hint="default" w:eastAsia="宋体"/>
                                      <w:b/>
                                      <w:bCs w:val="0"/>
                                      <w:sz w:val="13"/>
                                      <w:szCs w:val="13"/>
                                      <w:lang w:val="en-US" w:eastAsia="zh-CN"/>
                                    </w:rPr>
                                  </w:pPr>
                                  <w:r>
                                    <w:rPr>
                                      <w:rFonts w:hint="eastAsia" w:eastAsia="宋体"/>
                                      <w:b/>
                                      <w:bCs w:val="0"/>
                                      <w:sz w:val="13"/>
                                      <w:szCs w:val="13"/>
                                      <w:lang w:val="en-US" w:eastAsia="zh-CN"/>
                                    </w:rPr>
                                    <w:t>晨兴中学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1.25pt;margin-top:99.2pt;height:19.8pt;width:47.25pt;z-index:251675648;mso-width-relative:page;mso-height-relative:page;" filled="f" stroked="f" coordsize="21600,21600" o:gfxdata="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&#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sZwt6doAAAALAQAADwAAAAAAAAABACAAAAAiAAAAZHJz&#10;L2Rvd25yZXYueG1sUEsBAhQAFAAAAAgAh07iQNr9pjM7AgAAZwQAAA4AAAAAAAAAAQAgAAAAKQEA&#10;AGRycy9lMm9Eb2MueG1sUEsFBgAAAAAGAAYAWQEAANYFAAAAAA==&#10;">
                      <v:fill on="f" focussize="0,0"/>
                      <v:stroke on="f" weight="0.5pt"/>
                      <v:imagedata o:title=""/>
                      <o:lock v:ext="edit" aspectratio="f"/>
                      <v:textbox>
                        <w:txbxContent>
                          <w:p w14:paraId="41596BD8">
                            <w:pPr>
                              <w:spacing w:line="240" w:lineRule="auto"/>
                              <w:ind w:left="0" w:leftChars="0" w:firstLine="0" w:firstLineChars="0"/>
                              <w:rPr>
                                <w:rFonts w:hint="default" w:eastAsia="宋体"/>
                                <w:b/>
                                <w:bCs w:val="0"/>
                                <w:sz w:val="13"/>
                                <w:szCs w:val="13"/>
                                <w:lang w:val="en-US" w:eastAsia="zh-CN"/>
                              </w:rPr>
                            </w:pPr>
                            <w:r>
                              <w:rPr>
                                <w:rFonts w:hint="eastAsia" w:eastAsia="宋体"/>
                                <w:b/>
                                <w:bCs w:val="0"/>
                                <w:sz w:val="13"/>
                                <w:szCs w:val="13"/>
                                <w:lang w:val="en-US" w:eastAsia="zh-CN"/>
                              </w:rPr>
                              <w:t>晨兴中学</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4624" behindDoc="0" locked="0" layoutInCell="1" allowOverlap="1">
                      <wp:simplePos x="0" y="0"/>
                      <wp:positionH relativeFrom="column">
                        <wp:posOffset>1390015</wp:posOffset>
                      </wp:positionH>
                      <wp:positionV relativeFrom="paragraph">
                        <wp:posOffset>862330</wp:posOffset>
                      </wp:positionV>
                      <wp:extent cx="600075" cy="251460"/>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600075"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2E2095">
                                  <w:pPr>
                                    <w:spacing w:line="240" w:lineRule="auto"/>
                                    <w:ind w:left="0" w:leftChars="0" w:firstLine="0" w:firstLineChars="0"/>
                                    <w:rPr>
                                      <w:rFonts w:hint="default" w:eastAsia="宋体"/>
                                      <w:b/>
                                      <w:bCs w:val="0"/>
                                      <w:sz w:val="13"/>
                                      <w:szCs w:val="13"/>
                                      <w:lang w:val="en-US" w:eastAsia="zh-CN"/>
                                    </w:rPr>
                                  </w:pPr>
                                  <w:r>
                                    <w:rPr>
                                      <w:rFonts w:hint="eastAsia" w:eastAsia="宋体"/>
                                      <w:b/>
                                      <w:bCs w:val="0"/>
                                      <w:sz w:val="13"/>
                                      <w:szCs w:val="13"/>
                                      <w:lang w:val="en-US" w:eastAsia="zh-CN"/>
                                    </w:rPr>
                                    <w:t>树英小学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9.45pt;margin-top:67.9pt;height:19.8pt;width:47.25pt;z-index:251674624;mso-width-relative:page;mso-height-relative:page;" filled="f" stroked="f" coordsize="21600,21600" o:gfxdata="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YYWA3dsAAAALAQAADwAAAAAAAAABACAAAAAiAAAA&#10;ZHJzL2Rvd25yZXYueG1sUEsBAhQAFAAAAAgAh07iQMEa7Hs9AgAAZwQAAA4AAAAAAAAAAQAgAAAA&#10;KgEAAGRycy9lMm9Eb2MueG1sUEsFBgAAAAAGAAYAWQEAANkFAAAAAA==&#10;">
                      <v:fill on="f" focussize="0,0"/>
                      <v:stroke on="f" weight="0.5pt"/>
                      <v:imagedata o:title=""/>
                      <o:lock v:ext="edit" aspectratio="f"/>
                      <v:textbox>
                        <w:txbxContent>
                          <w:p w14:paraId="272E2095">
                            <w:pPr>
                              <w:spacing w:line="240" w:lineRule="auto"/>
                              <w:ind w:left="0" w:leftChars="0" w:firstLine="0" w:firstLineChars="0"/>
                              <w:rPr>
                                <w:rFonts w:hint="default" w:eastAsia="宋体"/>
                                <w:b/>
                                <w:bCs w:val="0"/>
                                <w:sz w:val="13"/>
                                <w:szCs w:val="13"/>
                                <w:lang w:val="en-US" w:eastAsia="zh-CN"/>
                              </w:rPr>
                            </w:pPr>
                            <w:r>
                              <w:rPr>
                                <w:rFonts w:hint="eastAsia" w:eastAsia="宋体"/>
                                <w:b/>
                                <w:bCs w:val="0"/>
                                <w:sz w:val="13"/>
                                <w:szCs w:val="13"/>
                                <w:lang w:val="en-US" w:eastAsia="zh-CN"/>
                              </w:rPr>
                              <w:t>树英小学</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3600" behindDoc="0" locked="0" layoutInCell="1" allowOverlap="1">
                      <wp:simplePos x="0" y="0"/>
                      <wp:positionH relativeFrom="column">
                        <wp:posOffset>1618615</wp:posOffset>
                      </wp:positionH>
                      <wp:positionV relativeFrom="paragraph">
                        <wp:posOffset>362585</wp:posOffset>
                      </wp:positionV>
                      <wp:extent cx="415925" cy="251460"/>
                      <wp:effectExtent l="0" t="0" r="0" b="0"/>
                      <wp:wrapNone/>
                      <wp:docPr id="68" name="文本框 68"/>
                      <wp:cNvGraphicFramePr/>
                      <a:graphic xmlns:a="http://schemas.openxmlformats.org/drawingml/2006/main">
                        <a:graphicData uri="http://schemas.microsoft.com/office/word/2010/wordprocessingShape">
                          <wps:wsp>
                            <wps:cNvSpPr txBox="1"/>
                            <wps:spPr>
                              <a:xfrm>
                                <a:off x="4961255" y="3043555"/>
                                <a:ext cx="415925"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5CF7B2">
                                  <w:pPr>
                                    <w:spacing w:line="240" w:lineRule="auto"/>
                                    <w:ind w:left="0" w:leftChars="0" w:firstLine="0" w:firstLineChars="0"/>
                                    <w:rPr>
                                      <w:rFonts w:hint="eastAsia" w:eastAsia="宋体"/>
                                      <w:b/>
                                      <w:bCs w:val="0"/>
                                      <w:sz w:val="13"/>
                                      <w:szCs w:val="13"/>
                                      <w:lang w:val="en-US" w:eastAsia="zh-CN"/>
                                    </w:rPr>
                                  </w:pPr>
                                  <w:r>
                                    <w:rPr>
                                      <w:rFonts w:hint="eastAsia"/>
                                      <w:b/>
                                      <w:bCs w:val="0"/>
                                      <w:sz w:val="13"/>
                                      <w:szCs w:val="13"/>
                                      <w:lang w:val="en-US" w:eastAsia="zh-CN"/>
                                    </w:rPr>
                                    <w:t>新区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7.45pt;margin-top:28.55pt;height:19.8pt;width:32.75pt;z-index:251673600;mso-width-relative:page;mso-height-relative:page;" filled="f" stroked="f" coordsize="21600,21600" o:gfxdata="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D4scdLbAAAACQEAAA8AAAAAAAAA&#10;AQAgAAAAIgAAAGRycy9kb3ducmV2LnhtbFBLAQIUABQAAAAIAIdO4kBzinQFRwIAAHMEAAAOAAAA&#10;AAAAAAEAIAAAACoBAABkcnMvZTJvRG9jLnhtbFBLBQYAAAAABgAGAFkBAADjBQAAAAA=&#10;">
                      <v:fill on="f" focussize="0,0"/>
                      <v:stroke on="f" weight="0.5pt"/>
                      <v:imagedata o:title=""/>
                      <o:lock v:ext="edit" aspectratio="f"/>
                      <v:textbox>
                        <w:txbxContent>
                          <w:p w14:paraId="0B5CF7B2">
                            <w:pPr>
                              <w:spacing w:line="240" w:lineRule="auto"/>
                              <w:ind w:left="0" w:leftChars="0" w:firstLine="0" w:firstLineChars="0"/>
                              <w:rPr>
                                <w:rFonts w:hint="eastAsia" w:eastAsia="宋体"/>
                                <w:b/>
                                <w:bCs w:val="0"/>
                                <w:sz w:val="13"/>
                                <w:szCs w:val="13"/>
                                <w:lang w:val="en-US" w:eastAsia="zh-CN"/>
                              </w:rPr>
                            </w:pPr>
                            <w:r>
                              <w:rPr>
                                <w:rFonts w:hint="eastAsia"/>
                                <w:b/>
                                <w:bCs w:val="0"/>
                                <w:sz w:val="13"/>
                                <w:szCs w:val="13"/>
                                <w:lang w:val="en-US" w:eastAsia="zh-CN"/>
                              </w:rPr>
                              <w:t>新区</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2576" behindDoc="0" locked="0" layoutInCell="1" allowOverlap="1">
                      <wp:simplePos x="0" y="0"/>
                      <wp:positionH relativeFrom="column">
                        <wp:posOffset>3935095</wp:posOffset>
                      </wp:positionH>
                      <wp:positionV relativeFrom="paragraph">
                        <wp:posOffset>2930525</wp:posOffset>
                      </wp:positionV>
                      <wp:extent cx="149860" cy="102235"/>
                      <wp:effectExtent l="6350" t="6350" r="15240" b="24765"/>
                      <wp:wrapNone/>
                      <wp:docPr id="67" name="矩形 67"/>
                      <wp:cNvGraphicFramePr/>
                      <a:graphic xmlns:a="http://schemas.openxmlformats.org/drawingml/2006/main">
                        <a:graphicData uri="http://schemas.microsoft.com/office/word/2010/wordprocessingShape">
                          <wps:wsp>
                            <wps:cNvSpPr/>
                            <wps:spPr>
                              <a:xfrm>
                                <a:off x="0" y="0"/>
                                <a:ext cx="149860" cy="102235"/>
                              </a:xfrm>
                              <a:prstGeom prst="rect">
                                <a:avLst/>
                              </a:prstGeom>
                              <a:solidFill>
                                <a:srgbClr val="2F39BF"/>
                              </a:solidFill>
                              <a:ln w="12700">
                                <a:solidFill>
                                  <a:srgbClr val="2E38B9"/>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9.85pt;margin-top:230.75pt;height:8.05pt;width:11.8pt;z-index:251672576;v-text-anchor:middle;mso-width-relative:page;mso-height-relative:page;" fillcolor="#2F39BF" filled="t" stroked="t" coordsize="21600,21600" o:gfxdata="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PWZ1JrbAAAACwEAAA8AAAAAAAAAAQAgAAAAIgAAAGRycy9kb3ducmV2Lnht&#10;bFBLAQIUABQAAAAIAIdO4kD00v5DaAIAAN4EAAAOAAAAAAAAAAEAIAAAACoBAABkcnMvZTJvRG9j&#10;LnhtbFBLBQYAAAAABgAGAFkBAAAEBgAAAAA=&#10;">
                      <v:fill on="t" focussize="0,0"/>
                      <v:stroke weight="1pt" color="#2E38B9 [2404]" joinstyle="round"/>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1552" behindDoc="0" locked="0" layoutInCell="1" allowOverlap="1">
                      <wp:simplePos x="0" y="0"/>
                      <wp:positionH relativeFrom="column">
                        <wp:posOffset>3939540</wp:posOffset>
                      </wp:positionH>
                      <wp:positionV relativeFrom="paragraph">
                        <wp:posOffset>2662555</wp:posOffset>
                      </wp:positionV>
                      <wp:extent cx="149860" cy="102235"/>
                      <wp:effectExtent l="6350" t="6350" r="15240" b="24765"/>
                      <wp:wrapNone/>
                      <wp:docPr id="66" name="矩形 66"/>
                      <wp:cNvGraphicFramePr/>
                      <a:graphic xmlns:a="http://schemas.openxmlformats.org/drawingml/2006/main">
                        <a:graphicData uri="http://schemas.microsoft.com/office/word/2010/wordprocessingShape">
                          <wps:wsp>
                            <wps:cNvSpPr/>
                            <wps:spPr>
                              <a:xfrm>
                                <a:off x="0" y="0"/>
                                <a:ext cx="149860" cy="102235"/>
                              </a:xfrm>
                              <a:prstGeom prst="rect">
                                <a:avLst/>
                              </a:prstGeom>
                              <a:solidFill>
                                <a:srgbClr val="92D050">
                                  <a:alpha val="73000"/>
                                </a:srgbClr>
                              </a:solidFill>
                              <a:ln w="12700">
                                <a:solidFill>
                                  <a:srgbClr val="23C02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0.2pt;margin-top:209.65pt;height:8.05pt;width:11.8pt;z-index:251671552;v-text-anchor:middle;mso-width-relative:page;mso-height-relative:page;" fillcolor="#92D050" filled="t" stroked="t" coordsize="21600,21600" o:gfxdata="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LA240bYAAAACwEAAA8AAAAAAAAAAQAgAAAAIgAA&#10;AGRycy9kb3ducmV2LnhtbFBLAQIUABQAAAAIAIdO4kCsJA9yegIAAP8EAAAOAAAAAAAAAAEAIAAA&#10;ACcBAABkcnMvZTJvRG9jLnhtbFBLBQYAAAAABgAGAFkBAAATBgAAAAA=&#10;">
                      <v:fill on="t" opacity="47841f" focussize="0,0"/>
                      <v:stroke weight="1pt" color="#23C020 [2404]" joinstyle="round"/>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0528" behindDoc="0" locked="0" layoutInCell="1" allowOverlap="1">
                      <wp:simplePos x="0" y="0"/>
                      <wp:positionH relativeFrom="column">
                        <wp:posOffset>3950970</wp:posOffset>
                      </wp:positionH>
                      <wp:positionV relativeFrom="paragraph">
                        <wp:posOffset>2407920</wp:posOffset>
                      </wp:positionV>
                      <wp:extent cx="149860" cy="102235"/>
                      <wp:effectExtent l="6350" t="6350" r="15240" b="24765"/>
                      <wp:wrapNone/>
                      <wp:docPr id="65" name="矩形 65"/>
                      <wp:cNvGraphicFramePr/>
                      <a:graphic xmlns:a="http://schemas.openxmlformats.org/drawingml/2006/main">
                        <a:graphicData uri="http://schemas.microsoft.com/office/word/2010/wordprocessingShape">
                          <wps:wsp>
                            <wps:cNvSpPr/>
                            <wps:spPr>
                              <a:xfrm>
                                <a:off x="0" y="0"/>
                                <a:ext cx="149860" cy="102235"/>
                              </a:xfrm>
                              <a:prstGeom prst="rect">
                                <a:avLst/>
                              </a:prstGeom>
                              <a:noFill/>
                              <a:ln w="12700">
                                <a:solidFill>
                                  <a:srgbClr val="23C02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1.1pt;margin-top:189.6pt;height:8.05pt;width:11.8pt;z-index:251670528;v-text-anchor:middle;mso-width-relative:page;mso-height-relative:page;" filled="f" stroked="t" coordsize="21600,21600" o:gfxdata="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Q2xtdNoAAAALAQAADwAAAAAAAAABACAAAAAiAAAAZHJzL2Rvd25yZXYueG1sUEsBAhQAFAAA&#10;AAgAh07iQHpCA4tfAgAAtQQAAA4AAAAAAAAAAQAgAAAAKQEAAGRycy9lMm9Eb2MueG1sUEsFBgAA&#10;AAAGAAYAWQEAAPoFAAAAAA==&#10;">
                      <v:fill on="f" focussize="0,0"/>
                      <v:stroke weight="1pt" color="#23C020 [2404]" joinstyle="round"/>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9504" behindDoc="0" locked="0" layoutInCell="1" allowOverlap="1">
                      <wp:simplePos x="0" y="0"/>
                      <wp:positionH relativeFrom="column">
                        <wp:posOffset>3950970</wp:posOffset>
                      </wp:positionH>
                      <wp:positionV relativeFrom="paragraph">
                        <wp:posOffset>2272030</wp:posOffset>
                      </wp:positionV>
                      <wp:extent cx="149860" cy="102235"/>
                      <wp:effectExtent l="6350" t="6350" r="15240" b="24765"/>
                      <wp:wrapNone/>
                      <wp:docPr id="64" name="矩形 64"/>
                      <wp:cNvGraphicFramePr/>
                      <a:graphic xmlns:a="http://schemas.openxmlformats.org/drawingml/2006/main">
                        <a:graphicData uri="http://schemas.microsoft.com/office/word/2010/wordprocessingShape">
                          <wps:wsp>
                            <wps:cNvSpPr/>
                            <wps:spPr>
                              <a:xfrm>
                                <a:off x="0" y="0"/>
                                <a:ext cx="149860" cy="102235"/>
                              </a:xfrm>
                              <a:prstGeom prst="rect">
                                <a:avLst/>
                              </a:prstGeom>
                              <a:solidFill>
                                <a:srgbClr val="FFFF00">
                                  <a:alpha val="75000"/>
                                </a:srgbClr>
                              </a:solidFill>
                              <a:ln w="1270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1.1pt;margin-top:178.9pt;height:8.05pt;width:11.8pt;z-index:251669504;v-text-anchor:middle;mso-width-relative:page;mso-height-relative:page;" fillcolor="#FFFF00" filled="t" stroked="t" coordsize="21600,21600" o:gfxdata="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EyxJftkAAAALAQAADwAAAAAAAAABACAAAAAiAAAAZHJzL2Rv&#10;d25yZXYueG1sUEsBAhQAFAAAAAgAh07iQDpjdKVyAgAA/wQAAA4AAAAAAAAAAQAgAAAAKAEAAGRy&#10;cy9lMm9Eb2MueG1sUEsFBgAAAAAGAAYAWQEAAAwGAAAAAA==&#10;">
                      <v:fill on="t" opacity="49152f" focussize="0,0"/>
                      <v:stroke weight="1pt" color="#FFFF00 [2404]" joinstyle="round"/>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8480" behindDoc="0" locked="0" layoutInCell="1" allowOverlap="1">
                      <wp:simplePos x="0" y="0"/>
                      <wp:positionH relativeFrom="column">
                        <wp:posOffset>3941445</wp:posOffset>
                      </wp:positionH>
                      <wp:positionV relativeFrom="paragraph">
                        <wp:posOffset>2139950</wp:posOffset>
                      </wp:positionV>
                      <wp:extent cx="149860" cy="102235"/>
                      <wp:effectExtent l="6350" t="6350" r="15240" b="24765"/>
                      <wp:wrapNone/>
                      <wp:docPr id="63" name="矩形 63"/>
                      <wp:cNvGraphicFramePr/>
                      <a:graphic xmlns:a="http://schemas.openxmlformats.org/drawingml/2006/main">
                        <a:graphicData uri="http://schemas.microsoft.com/office/word/2010/wordprocessingShape">
                          <wps:wsp>
                            <wps:cNvSpPr/>
                            <wps:spPr>
                              <a:xfrm>
                                <a:off x="0" y="0"/>
                                <a:ext cx="149860" cy="102235"/>
                              </a:xfrm>
                              <a:prstGeom prst="rect">
                                <a:avLst/>
                              </a:prstGeom>
                              <a:noFill/>
                              <a:ln w="1270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0.35pt;margin-top:168.5pt;height:8.05pt;width:11.8pt;z-index:251668480;v-text-anchor:middle;mso-width-relative:page;mso-height-relative:page;" filled="f" stroked="t" coordsize="21600,21600" o:gfxdata="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ntvv12wAAAAsBAAAPAAAAAAAAAAEAIAAAACIAAABkcnMvZG93bnJldi54bWxQSwECFAAUAAAA&#10;CACHTuJAnp6KcF0CAAC1BAAADgAAAAAAAAABACAAAAAqAQAAZHJzL2Uyb0RvYy54bWxQSwUGAAAA&#10;AAYABgBZAQAA+QUAAAAA&#10;">
                      <v:fill on="f" focussize="0,0"/>
                      <v:stroke weight="1pt" color="#FFFF00 [2404]" joinstyle="round"/>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7456" behindDoc="0" locked="0" layoutInCell="1" allowOverlap="1">
                      <wp:simplePos x="0" y="0"/>
                      <wp:positionH relativeFrom="column">
                        <wp:posOffset>3938905</wp:posOffset>
                      </wp:positionH>
                      <wp:positionV relativeFrom="paragraph">
                        <wp:posOffset>2001520</wp:posOffset>
                      </wp:positionV>
                      <wp:extent cx="149860" cy="102235"/>
                      <wp:effectExtent l="6350" t="6350" r="15240" b="24765"/>
                      <wp:wrapNone/>
                      <wp:docPr id="62" name="矩形 62"/>
                      <wp:cNvGraphicFramePr/>
                      <a:graphic xmlns:a="http://schemas.openxmlformats.org/drawingml/2006/main">
                        <a:graphicData uri="http://schemas.microsoft.com/office/word/2010/wordprocessingShape">
                          <wps:wsp>
                            <wps:cNvSpPr/>
                            <wps:spPr>
                              <a:xfrm>
                                <a:off x="5451475" y="4410710"/>
                                <a:ext cx="149860" cy="102235"/>
                              </a:xfrm>
                              <a:prstGeom prst="rect">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0.15pt;margin-top:157.6pt;height:8.05pt;width:11.8pt;z-index:251667456;v-text-anchor:middle;mso-width-relative:page;mso-height-relative:page;" filled="f" stroked="t" coordsize="21600,21600" o:gfxdata="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oVC2xNcAAAALAQAADwAAAAAAAAABACAAAAAiAAAAZHJzL2Rvd25yZXYueG1s&#10;UEsBAhQAFAAAAAgAh07iQId0aYdrAgAAwQQAAA4AAAAAAAAAAQAgAAAAJgEAAGRycy9lMm9Eb2Mu&#10;eG1sUEsFBgAAAAAGAAYAWQEAAAMGAAAAAA==&#10;">
                      <v:fill on="f" focussize="0,0"/>
                      <v:stroke weight="1pt" color="#FF0000 [2404]" joinstyle="round"/>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6432" behindDoc="0" locked="0" layoutInCell="1" allowOverlap="1">
                      <wp:simplePos x="0" y="0"/>
                      <wp:positionH relativeFrom="column">
                        <wp:posOffset>3895725</wp:posOffset>
                      </wp:positionH>
                      <wp:positionV relativeFrom="paragraph">
                        <wp:posOffset>1812925</wp:posOffset>
                      </wp:positionV>
                      <wp:extent cx="1095375" cy="1403985"/>
                      <wp:effectExtent l="4445" t="4445" r="5080" b="20320"/>
                      <wp:wrapNone/>
                      <wp:docPr id="61" name="文本框 61"/>
                      <wp:cNvGraphicFramePr/>
                      <a:graphic xmlns:a="http://schemas.openxmlformats.org/drawingml/2006/main">
                        <a:graphicData uri="http://schemas.microsoft.com/office/word/2010/wordprocessingShape">
                          <wps:wsp>
                            <wps:cNvSpPr txBox="1"/>
                            <wps:spPr>
                              <a:xfrm>
                                <a:off x="5412740" y="4554855"/>
                                <a:ext cx="1095375" cy="1403985"/>
                              </a:xfrm>
                              <a:prstGeom prst="rect">
                                <a:avLst/>
                              </a:prstGeom>
                              <a:solidFill>
                                <a:schemeClr val="bg1">
                                  <a:lumMod val="95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8F8DC7E">
                                  <w:pPr>
                                    <w:spacing w:line="240" w:lineRule="auto"/>
                                    <w:ind w:left="0" w:leftChars="0" w:firstLine="0" w:firstLineChars="0"/>
                                    <w:jc w:val="center"/>
                                    <w:rPr>
                                      <w:rFonts w:hint="eastAsia"/>
                                      <w:sz w:val="16"/>
                                      <w:szCs w:val="16"/>
                                      <w:lang w:val="en-US" w:eastAsia="zh-CN"/>
                                    </w:rPr>
                                  </w:pPr>
                                  <w:r>
                                    <w:rPr>
                                      <w:rFonts w:hint="eastAsia"/>
                                      <w:sz w:val="16"/>
                                      <w:szCs w:val="16"/>
                                      <w:lang w:val="en-US" w:eastAsia="zh-CN"/>
                                    </w:rPr>
                                    <w:t>图例</w:t>
                                  </w:r>
                                </w:p>
                                <w:p w14:paraId="1771FFE2">
                                  <w:pPr>
                                    <w:spacing w:line="240" w:lineRule="auto"/>
                                    <w:ind w:left="0" w:leftChars="0" w:firstLine="0" w:firstLineChars="0"/>
                                    <w:jc w:val="both"/>
                                    <w:rPr>
                                      <w:rFonts w:hint="eastAsia"/>
                                      <w:sz w:val="16"/>
                                      <w:szCs w:val="16"/>
                                      <w:lang w:val="en-US" w:eastAsia="zh-CN"/>
                                    </w:rPr>
                                  </w:pPr>
                                  <w:r>
                                    <w:rPr>
                                      <w:rFonts w:hint="eastAsia"/>
                                      <w:sz w:val="16"/>
                                      <w:szCs w:val="16"/>
                                      <w:lang w:val="en-US" w:eastAsia="zh-CN"/>
                                    </w:rPr>
                                    <w:t xml:space="preserve">  ：医院厂界</w:t>
                                  </w:r>
                                </w:p>
                                <w:p w14:paraId="1EC9C6D5">
                                  <w:pPr>
                                    <w:spacing w:line="240" w:lineRule="auto"/>
                                    <w:ind w:left="0" w:leftChars="0" w:firstLine="0" w:firstLineChars="0"/>
                                    <w:jc w:val="both"/>
                                    <w:rPr>
                                      <w:rFonts w:hint="default"/>
                                      <w:sz w:val="16"/>
                                      <w:szCs w:val="16"/>
                                      <w:lang w:val="en-US" w:eastAsia="zh-CN"/>
                                    </w:rPr>
                                  </w:pPr>
                                  <w:r>
                                    <w:rPr>
                                      <w:rFonts w:hint="eastAsia"/>
                                      <w:sz w:val="16"/>
                                      <w:szCs w:val="16"/>
                                      <w:lang w:val="en-US" w:eastAsia="zh-CN"/>
                                    </w:rPr>
                                    <w:t xml:space="preserve">  ：声环境评价范围</w:t>
                                  </w:r>
                                </w:p>
                                <w:p w14:paraId="7BDB980D">
                                  <w:pPr>
                                    <w:spacing w:line="240" w:lineRule="auto"/>
                                    <w:ind w:left="0" w:leftChars="0" w:firstLine="0" w:firstLineChars="0"/>
                                    <w:jc w:val="both"/>
                                    <w:rPr>
                                      <w:rFonts w:hint="eastAsia"/>
                                      <w:sz w:val="16"/>
                                      <w:szCs w:val="16"/>
                                      <w:lang w:val="en-US" w:eastAsia="zh-CN"/>
                                    </w:rPr>
                                  </w:pPr>
                                  <w:r>
                                    <w:rPr>
                                      <w:rFonts w:hint="eastAsia"/>
                                      <w:sz w:val="16"/>
                                      <w:szCs w:val="16"/>
                                      <w:lang w:val="en-US" w:eastAsia="zh-CN"/>
                                    </w:rPr>
                                    <w:t xml:space="preserve">  ：声环境评价目标</w:t>
                                  </w:r>
                                </w:p>
                                <w:p w14:paraId="51984BA2">
                                  <w:pPr>
                                    <w:spacing w:line="240" w:lineRule="auto"/>
                                    <w:ind w:left="0" w:leftChars="0" w:firstLine="0" w:firstLineChars="0"/>
                                    <w:jc w:val="both"/>
                                    <w:rPr>
                                      <w:rFonts w:hint="default"/>
                                      <w:sz w:val="16"/>
                                      <w:szCs w:val="16"/>
                                      <w:lang w:val="en-US" w:eastAsia="zh-CN"/>
                                    </w:rPr>
                                  </w:pPr>
                                  <w:r>
                                    <w:rPr>
                                      <w:rFonts w:hint="eastAsia"/>
                                      <w:sz w:val="16"/>
                                      <w:szCs w:val="16"/>
                                      <w:lang w:val="en-US" w:eastAsia="zh-CN"/>
                                    </w:rPr>
                                    <w:t xml:space="preserve">  ：大气环境评价范围</w:t>
                                  </w:r>
                                </w:p>
                                <w:p w14:paraId="2929994D">
                                  <w:pPr>
                                    <w:spacing w:line="240" w:lineRule="auto"/>
                                    <w:ind w:left="0" w:leftChars="0" w:firstLine="0" w:firstLineChars="0"/>
                                    <w:jc w:val="both"/>
                                    <w:rPr>
                                      <w:rFonts w:hint="eastAsia"/>
                                      <w:sz w:val="16"/>
                                      <w:szCs w:val="16"/>
                                      <w:lang w:val="en-US" w:eastAsia="zh-CN"/>
                                    </w:rPr>
                                  </w:pPr>
                                  <w:r>
                                    <w:rPr>
                                      <w:rFonts w:hint="eastAsia"/>
                                      <w:sz w:val="16"/>
                                      <w:szCs w:val="16"/>
                                      <w:lang w:val="en-US" w:eastAsia="zh-CN"/>
                                    </w:rPr>
                                    <w:t xml:space="preserve">  ：大气环境评价目标</w:t>
                                  </w:r>
                                </w:p>
                                <w:p w14:paraId="56A6C534">
                                  <w:pPr>
                                    <w:spacing w:line="240" w:lineRule="auto"/>
                                    <w:ind w:left="0" w:leftChars="0" w:firstLine="0" w:firstLineChars="0"/>
                                    <w:jc w:val="both"/>
                                    <w:rPr>
                                      <w:rFonts w:hint="default"/>
                                      <w:sz w:val="16"/>
                                      <w:szCs w:val="16"/>
                                      <w:lang w:val="en-US" w:eastAsia="zh-CN"/>
                                    </w:rPr>
                                  </w:pPr>
                                  <w:r>
                                    <w:rPr>
                                      <w:rFonts w:hint="eastAsia"/>
                                      <w:sz w:val="16"/>
                                      <w:szCs w:val="16"/>
                                      <w:lang w:val="en-US" w:eastAsia="zh-CN"/>
                                    </w:rPr>
                                    <w:t xml:space="preserve">  ：本次建设项目（锅炉房）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6.75pt;margin-top:142.75pt;height:110.55pt;width:86.25pt;z-index:251666432;mso-width-relative:page;mso-height-relative:page;" fillcolor="#F2F2F2 [3052]" filled="t" stroked="t" coordsize="21600,21600" o:gfxdata="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eVm702gAAAAsBAAAPAAAAAAAAAAEAIAAA&#10;ACIAAABkcnMvZG93bnJldi54bWxQSwECFAAUAAAACACHTuJAbG+AJXwCAADoBAAADgAAAAAAAAAB&#10;ACAAAAApAQAAZHJzL2Uyb0RvYy54bWxQSwUGAAAAAAYABgBZAQAAFwYAAAAA&#10;">
                      <v:fill on="t" focussize="0,0"/>
                      <v:stroke weight="0.5pt" color="#000000 [3204]" joinstyle="round"/>
                      <v:imagedata o:title=""/>
                      <o:lock v:ext="edit" aspectratio="f"/>
                      <v:textbox>
                        <w:txbxContent>
                          <w:p w14:paraId="48F8DC7E">
                            <w:pPr>
                              <w:spacing w:line="240" w:lineRule="auto"/>
                              <w:ind w:left="0" w:leftChars="0" w:firstLine="0" w:firstLineChars="0"/>
                              <w:jc w:val="center"/>
                              <w:rPr>
                                <w:rFonts w:hint="eastAsia"/>
                                <w:sz w:val="16"/>
                                <w:szCs w:val="16"/>
                                <w:lang w:val="en-US" w:eastAsia="zh-CN"/>
                              </w:rPr>
                            </w:pPr>
                            <w:r>
                              <w:rPr>
                                <w:rFonts w:hint="eastAsia"/>
                                <w:sz w:val="16"/>
                                <w:szCs w:val="16"/>
                                <w:lang w:val="en-US" w:eastAsia="zh-CN"/>
                              </w:rPr>
                              <w:t>图例</w:t>
                            </w:r>
                          </w:p>
                          <w:p w14:paraId="1771FFE2">
                            <w:pPr>
                              <w:spacing w:line="240" w:lineRule="auto"/>
                              <w:ind w:left="0" w:leftChars="0" w:firstLine="0" w:firstLineChars="0"/>
                              <w:jc w:val="both"/>
                              <w:rPr>
                                <w:rFonts w:hint="eastAsia"/>
                                <w:sz w:val="16"/>
                                <w:szCs w:val="16"/>
                                <w:lang w:val="en-US" w:eastAsia="zh-CN"/>
                              </w:rPr>
                            </w:pPr>
                            <w:r>
                              <w:rPr>
                                <w:rFonts w:hint="eastAsia"/>
                                <w:sz w:val="16"/>
                                <w:szCs w:val="16"/>
                                <w:lang w:val="en-US" w:eastAsia="zh-CN"/>
                              </w:rPr>
                              <w:t xml:space="preserve">  ：医院厂界</w:t>
                            </w:r>
                          </w:p>
                          <w:p w14:paraId="1EC9C6D5">
                            <w:pPr>
                              <w:spacing w:line="240" w:lineRule="auto"/>
                              <w:ind w:left="0" w:leftChars="0" w:firstLine="0" w:firstLineChars="0"/>
                              <w:jc w:val="both"/>
                              <w:rPr>
                                <w:rFonts w:hint="default"/>
                                <w:sz w:val="16"/>
                                <w:szCs w:val="16"/>
                                <w:lang w:val="en-US" w:eastAsia="zh-CN"/>
                              </w:rPr>
                            </w:pPr>
                            <w:r>
                              <w:rPr>
                                <w:rFonts w:hint="eastAsia"/>
                                <w:sz w:val="16"/>
                                <w:szCs w:val="16"/>
                                <w:lang w:val="en-US" w:eastAsia="zh-CN"/>
                              </w:rPr>
                              <w:t xml:space="preserve">  ：声环境评价范围</w:t>
                            </w:r>
                          </w:p>
                          <w:p w14:paraId="7BDB980D">
                            <w:pPr>
                              <w:spacing w:line="240" w:lineRule="auto"/>
                              <w:ind w:left="0" w:leftChars="0" w:firstLine="0" w:firstLineChars="0"/>
                              <w:jc w:val="both"/>
                              <w:rPr>
                                <w:rFonts w:hint="eastAsia"/>
                                <w:sz w:val="16"/>
                                <w:szCs w:val="16"/>
                                <w:lang w:val="en-US" w:eastAsia="zh-CN"/>
                              </w:rPr>
                            </w:pPr>
                            <w:r>
                              <w:rPr>
                                <w:rFonts w:hint="eastAsia"/>
                                <w:sz w:val="16"/>
                                <w:szCs w:val="16"/>
                                <w:lang w:val="en-US" w:eastAsia="zh-CN"/>
                              </w:rPr>
                              <w:t xml:space="preserve">  ：声环境评价目标</w:t>
                            </w:r>
                          </w:p>
                          <w:p w14:paraId="51984BA2">
                            <w:pPr>
                              <w:spacing w:line="240" w:lineRule="auto"/>
                              <w:ind w:left="0" w:leftChars="0" w:firstLine="0" w:firstLineChars="0"/>
                              <w:jc w:val="both"/>
                              <w:rPr>
                                <w:rFonts w:hint="default"/>
                                <w:sz w:val="16"/>
                                <w:szCs w:val="16"/>
                                <w:lang w:val="en-US" w:eastAsia="zh-CN"/>
                              </w:rPr>
                            </w:pPr>
                            <w:r>
                              <w:rPr>
                                <w:rFonts w:hint="eastAsia"/>
                                <w:sz w:val="16"/>
                                <w:szCs w:val="16"/>
                                <w:lang w:val="en-US" w:eastAsia="zh-CN"/>
                              </w:rPr>
                              <w:t xml:space="preserve">  ：大气环境评价范围</w:t>
                            </w:r>
                          </w:p>
                          <w:p w14:paraId="2929994D">
                            <w:pPr>
                              <w:spacing w:line="240" w:lineRule="auto"/>
                              <w:ind w:left="0" w:leftChars="0" w:firstLine="0" w:firstLineChars="0"/>
                              <w:jc w:val="both"/>
                              <w:rPr>
                                <w:rFonts w:hint="eastAsia"/>
                                <w:sz w:val="16"/>
                                <w:szCs w:val="16"/>
                                <w:lang w:val="en-US" w:eastAsia="zh-CN"/>
                              </w:rPr>
                            </w:pPr>
                            <w:r>
                              <w:rPr>
                                <w:rFonts w:hint="eastAsia"/>
                                <w:sz w:val="16"/>
                                <w:szCs w:val="16"/>
                                <w:lang w:val="en-US" w:eastAsia="zh-CN"/>
                              </w:rPr>
                              <w:t xml:space="preserve">  ：大气环境评价目标</w:t>
                            </w:r>
                          </w:p>
                          <w:p w14:paraId="56A6C534">
                            <w:pPr>
                              <w:spacing w:line="240" w:lineRule="auto"/>
                              <w:ind w:left="0" w:leftChars="0" w:firstLine="0" w:firstLineChars="0"/>
                              <w:jc w:val="both"/>
                              <w:rPr>
                                <w:rFonts w:hint="default"/>
                                <w:sz w:val="16"/>
                                <w:szCs w:val="16"/>
                                <w:lang w:val="en-US" w:eastAsia="zh-CN"/>
                              </w:rPr>
                            </w:pPr>
                            <w:r>
                              <w:rPr>
                                <w:rFonts w:hint="eastAsia"/>
                                <w:sz w:val="16"/>
                                <w:szCs w:val="16"/>
                                <w:lang w:val="en-US" w:eastAsia="zh-CN"/>
                              </w:rPr>
                              <w:t xml:space="preserve">  ：本次建设项目（锅炉房）</w:t>
                            </w:r>
                          </w:p>
                        </w:txbxContent>
                      </v:textbox>
                    </v:shape>
                  </w:pict>
                </mc:Fallback>
              </mc:AlternateContent>
            </w:r>
            <w:r>
              <w:rPr>
                <w:rFonts w:hint="default" w:ascii="Times New Roman" w:hAnsi="Times New Roman" w:cs="Times New Roman"/>
                <w:color w:val="auto"/>
                <w:highlight w:val="none"/>
              </w:rPr>
              <w:drawing>
                <wp:anchor distT="0" distB="0" distL="114300" distR="114300" simplePos="0" relativeHeight="251665408" behindDoc="0" locked="0" layoutInCell="1" allowOverlap="1">
                  <wp:simplePos x="0" y="0"/>
                  <wp:positionH relativeFrom="column">
                    <wp:posOffset>4380230</wp:posOffset>
                  </wp:positionH>
                  <wp:positionV relativeFrom="paragraph">
                    <wp:posOffset>5080</wp:posOffset>
                  </wp:positionV>
                  <wp:extent cx="541655" cy="419100"/>
                  <wp:effectExtent l="0" t="0" r="10795" b="0"/>
                  <wp:wrapNone/>
                  <wp:docPr id="6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8"/>
                          <pic:cNvPicPr>
                            <a:picLocks noChangeAspect="1"/>
                          </pic:cNvPicPr>
                        </pic:nvPicPr>
                        <pic:blipFill>
                          <a:blip r:embed="rId23"/>
                          <a:stretch>
                            <a:fillRect/>
                          </a:stretch>
                        </pic:blipFill>
                        <pic:spPr>
                          <a:xfrm>
                            <a:off x="0" y="0"/>
                            <a:ext cx="541655" cy="419100"/>
                          </a:xfrm>
                          <a:prstGeom prst="rect">
                            <a:avLst/>
                          </a:prstGeom>
                          <a:noFill/>
                          <a:ln>
                            <a:noFill/>
                          </a:ln>
                        </pic:spPr>
                      </pic:pic>
                    </a:graphicData>
                  </a:graphic>
                </wp:anchor>
              </w:drawing>
            </w:r>
            <w:r>
              <w:rPr>
                <w:rFonts w:hint="default" w:ascii="Times New Roman" w:hAnsi="Times New Roman" w:cs="Times New Roman"/>
                <w:color w:val="auto"/>
                <w:highlight w:val="none"/>
              </w:rPr>
              <w:drawing>
                <wp:inline distT="0" distB="0" distL="114300" distR="114300">
                  <wp:extent cx="4932045" cy="3228340"/>
                  <wp:effectExtent l="0" t="0" r="1905" b="10160"/>
                  <wp:docPr id="5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7"/>
                          <pic:cNvPicPr>
                            <a:picLocks noChangeAspect="1"/>
                          </pic:cNvPicPr>
                        </pic:nvPicPr>
                        <pic:blipFill>
                          <a:blip r:embed="rId24"/>
                          <a:stretch>
                            <a:fillRect/>
                          </a:stretch>
                        </pic:blipFill>
                        <pic:spPr>
                          <a:xfrm>
                            <a:off x="0" y="0"/>
                            <a:ext cx="4932045" cy="3228340"/>
                          </a:xfrm>
                          <a:prstGeom prst="rect">
                            <a:avLst/>
                          </a:prstGeom>
                          <a:noFill/>
                          <a:ln>
                            <a:noFill/>
                          </a:ln>
                        </pic:spPr>
                      </pic:pic>
                    </a:graphicData>
                  </a:graphic>
                </wp:inline>
              </w:drawing>
            </w:r>
          </w:p>
          <w:p w14:paraId="068F3689">
            <w:pPr>
              <w:spacing w:line="360" w:lineRule="auto"/>
              <w:ind w:firstLine="422" w:firstLineChars="20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图3-</w:t>
            </w:r>
            <w:r>
              <w:rPr>
                <w:rFonts w:hint="eastAsia" w:ascii="Times New Roman" w:hAnsi="Times New Roman" w:eastAsia="宋体" w:cs="Times New Roman"/>
                <w:b/>
                <w:bCs/>
                <w:color w:val="auto"/>
                <w:sz w:val="21"/>
                <w:szCs w:val="21"/>
                <w:highlight w:val="none"/>
                <w:lang w:val="en-US" w:eastAsia="zh-CN"/>
              </w:rPr>
              <w:t>2</w:t>
            </w:r>
            <w:r>
              <w:rPr>
                <w:rFonts w:hint="default" w:ascii="Times New Roman" w:hAnsi="Times New Roman" w:eastAsia="宋体" w:cs="Times New Roman"/>
                <w:b/>
                <w:bCs/>
                <w:color w:val="auto"/>
                <w:sz w:val="21"/>
                <w:szCs w:val="21"/>
                <w:highlight w:val="none"/>
                <w:lang w:val="en-US" w:eastAsia="zh-CN"/>
              </w:rPr>
              <w:t xml:space="preserve"> </w:t>
            </w:r>
            <w:r>
              <w:rPr>
                <w:rFonts w:hint="eastAsia" w:ascii="Times New Roman" w:hAnsi="Times New Roman" w:eastAsia="宋体" w:cs="Times New Roman"/>
                <w:b/>
                <w:bCs/>
                <w:color w:val="auto"/>
                <w:sz w:val="21"/>
                <w:szCs w:val="21"/>
                <w:highlight w:val="none"/>
                <w:lang w:val="en-US" w:eastAsia="zh-CN"/>
              </w:rPr>
              <w:t>环境保护目标范围图</w:t>
            </w:r>
          </w:p>
          <w:p w14:paraId="65F7B668">
            <w:pPr>
              <w:spacing w:line="360" w:lineRule="auto"/>
              <w:ind w:firstLine="422" w:firstLineChars="20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表</w:t>
            </w:r>
            <w:r>
              <w:rPr>
                <w:rFonts w:hint="eastAsia" w:ascii="Times New Roman" w:hAnsi="Times New Roman" w:eastAsia="宋体" w:cs="Times New Roman"/>
                <w:b/>
                <w:bCs/>
                <w:color w:val="auto"/>
                <w:kern w:val="0"/>
                <w:sz w:val="21"/>
                <w:szCs w:val="21"/>
                <w:highlight w:val="none"/>
                <w:lang w:val="en-US" w:eastAsia="zh-CN"/>
              </w:rPr>
              <w:t>3-</w:t>
            </w:r>
            <w:r>
              <w:rPr>
                <w:rFonts w:hint="eastAsia" w:ascii="Times New Roman" w:hAnsi="Times New Roman" w:cs="Times New Roman"/>
                <w:b/>
                <w:bCs/>
                <w:color w:val="auto"/>
                <w:kern w:val="0"/>
                <w:sz w:val="21"/>
                <w:szCs w:val="21"/>
                <w:highlight w:val="none"/>
                <w:lang w:val="en-US" w:eastAsia="zh-CN"/>
              </w:rPr>
              <w:t>6</w:t>
            </w:r>
            <w:r>
              <w:rPr>
                <w:rFonts w:hint="default" w:ascii="Times New Roman" w:hAnsi="Times New Roman" w:eastAsia="宋体" w:cs="Times New Roman"/>
                <w:b/>
                <w:bCs/>
                <w:color w:val="auto"/>
                <w:kern w:val="0"/>
                <w:sz w:val="21"/>
                <w:szCs w:val="21"/>
                <w:highlight w:val="none"/>
              </w:rPr>
              <w:t xml:space="preserve">  主要环境保护目标一览表</w:t>
            </w:r>
          </w:p>
          <w:tbl>
            <w:tblPr>
              <w:tblStyle w:val="3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3"/>
              <w:gridCol w:w="919"/>
              <w:gridCol w:w="1298"/>
              <w:gridCol w:w="1186"/>
              <w:gridCol w:w="480"/>
              <w:gridCol w:w="565"/>
              <w:gridCol w:w="1510"/>
              <w:gridCol w:w="791"/>
              <w:gridCol w:w="667"/>
            </w:tblGrid>
            <w:tr w14:paraId="7DD673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2" w:type="pct"/>
                  <w:vMerge w:val="restart"/>
                  <w:vAlign w:val="center"/>
                </w:tcPr>
                <w:p w14:paraId="772651F9">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环境要素</w:t>
                  </w:r>
                </w:p>
              </w:tc>
              <w:tc>
                <w:tcPr>
                  <w:tcW w:w="585" w:type="pct"/>
                  <w:vMerge w:val="restart"/>
                  <w:vAlign w:val="center"/>
                </w:tcPr>
                <w:p w14:paraId="4DAF71BE">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名称</w:t>
                  </w:r>
                </w:p>
              </w:tc>
              <w:tc>
                <w:tcPr>
                  <w:tcW w:w="1579" w:type="pct"/>
                  <w:gridSpan w:val="2"/>
                  <w:vAlign w:val="center"/>
                </w:tcPr>
                <w:p w14:paraId="42075C45">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坐标</w:t>
                  </w:r>
                </w:p>
              </w:tc>
              <w:tc>
                <w:tcPr>
                  <w:tcW w:w="305" w:type="pct"/>
                  <w:vMerge w:val="restart"/>
                  <w:vAlign w:val="center"/>
                </w:tcPr>
                <w:p w14:paraId="7D006CBD">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保护</w:t>
                  </w:r>
                </w:p>
                <w:p w14:paraId="2FE1D433">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对象</w:t>
                  </w:r>
                </w:p>
              </w:tc>
              <w:tc>
                <w:tcPr>
                  <w:tcW w:w="359" w:type="pct"/>
                  <w:vMerge w:val="restart"/>
                  <w:vAlign w:val="center"/>
                </w:tcPr>
                <w:p w14:paraId="3CE7AE6F">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保护内容</w:t>
                  </w:r>
                </w:p>
              </w:tc>
              <w:tc>
                <w:tcPr>
                  <w:tcW w:w="960" w:type="pct"/>
                  <w:vMerge w:val="restart"/>
                  <w:vAlign w:val="center"/>
                </w:tcPr>
                <w:p w14:paraId="233E87BF">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环境功能区</w:t>
                  </w:r>
                </w:p>
              </w:tc>
              <w:tc>
                <w:tcPr>
                  <w:tcW w:w="503" w:type="pct"/>
                  <w:vMerge w:val="restart"/>
                  <w:vAlign w:val="center"/>
                </w:tcPr>
                <w:p w14:paraId="63C84E3C">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相对厂址</w:t>
                  </w:r>
                </w:p>
                <w:p w14:paraId="06D64C58">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方位</w:t>
                  </w:r>
                </w:p>
              </w:tc>
              <w:tc>
                <w:tcPr>
                  <w:tcW w:w="424" w:type="pct"/>
                  <w:vMerge w:val="restart"/>
                  <w:vAlign w:val="center"/>
                </w:tcPr>
                <w:p w14:paraId="3F50BA03">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相对厂界距离/m</w:t>
                  </w:r>
                </w:p>
              </w:tc>
            </w:tr>
            <w:tr w14:paraId="639E12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2" w:type="pct"/>
                  <w:vMerge w:val="continue"/>
                  <w:vAlign w:val="center"/>
                </w:tcPr>
                <w:p w14:paraId="122B1956">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585" w:type="pct"/>
                  <w:vMerge w:val="continue"/>
                  <w:vAlign w:val="center"/>
                </w:tcPr>
                <w:p w14:paraId="54D35411">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825" w:type="pct"/>
                  <w:shd w:val="clear" w:color="auto" w:fill="auto"/>
                  <w:vAlign w:val="center"/>
                </w:tcPr>
                <w:p w14:paraId="67A12365">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经度/°</w:t>
                  </w:r>
                </w:p>
              </w:tc>
              <w:tc>
                <w:tcPr>
                  <w:tcW w:w="754" w:type="pct"/>
                  <w:shd w:val="clear" w:color="auto" w:fill="auto"/>
                  <w:vAlign w:val="center"/>
                </w:tcPr>
                <w:p w14:paraId="7ABAB619">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纬度/°</w:t>
                  </w:r>
                </w:p>
              </w:tc>
              <w:tc>
                <w:tcPr>
                  <w:tcW w:w="305" w:type="pct"/>
                  <w:vMerge w:val="continue"/>
                  <w:vAlign w:val="center"/>
                </w:tcPr>
                <w:p w14:paraId="3814BD96">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359" w:type="pct"/>
                  <w:vMerge w:val="continue"/>
                  <w:vAlign w:val="center"/>
                </w:tcPr>
                <w:p w14:paraId="0C619DF7">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960" w:type="pct"/>
                  <w:vMerge w:val="continue"/>
                  <w:vAlign w:val="center"/>
                </w:tcPr>
                <w:p w14:paraId="768F5995">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503" w:type="pct"/>
                  <w:vMerge w:val="continue"/>
                  <w:vAlign w:val="center"/>
                </w:tcPr>
                <w:p w14:paraId="30AF75F4">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424" w:type="pct"/>
                  <w:vMerge w:val="continue"/>
                  <w:vAlign w:val="center"/>
                </w:tcPr>
                <w:p w14:paraId="09C80DA8">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r>
            <w:tr w14:paraId="644827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2" w:type="pct"/>
                  <w:vMerge w:val="restart"/>
                  <w:vAlign w:val="center"/>
                </w:tcPr>
                <w:p w14:paraId="716EC951">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环境空气</w:t>
                  </w:r>
                </w:p>
              </w:tc>
              <w:tc>
                <w:tcPr>
                  <w:tcW w:w="585" w:type="pct"/>
                  <w:vAlign w:val="center"/>
                </w:tcPr>
                <w:p w14:paraId="50BA4A1B">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cs="Times New Roman"/>
                      <w:color w:val="auto"/>
                      <w:sz w:val="21"/>
                      <w:szCs w:val="21"/>
                      <w:highlight w:val="none"/>
                      <w:lang w:val="en-US" w:eastAsia="zh-CN"/>
                    </w:rPr>
                    <w:t>新区</w:t>
                  </w:r>
                </w:p>
              </w:tc>
              <w:tc>
                <w:tcPr>
                  <w:tcW w:w="825" w:type="pct"/>
                  <w:vAlign w:val="center"/>
                </w:tcPr>
                <w:p w14:paraId="4650767E">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131.010766</w:t>
                  </w:r>
                </w:p>
              </w:tc>
              <w:tc>
                <w:tcPr>
                  <w:tcW w:w="754" w:type="pct"/>
                  <w:vAlign w:val="center"/>
                </w:tcPr>
                <w:p w14:paraId="60D6D0BC">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45.352559</w:t>
                  </w:r>
                </w:p>
              </w:tc>
              <w:tc>
                <w:tcPr>
                  <w:tcW w:w="305" w:type="pct"/>
                  <w:vMerge w:val="restart"/>
                  <w:vAlign w:val="center"/>
                </w:tcPr>
                <w:p w14:paraId="5061F1FF">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居民</w:t>
                  </w:r>
                </w:p>
              </w:tc>
              <w:tc>
                <w:tcPr>
                  <w:tcW w:w="359" w:type="pct"/>
                  <w:vMerge w:val="restart"/>
                  <w:vAlign w:val="center"/>
                </w:tcPr>
                <w:p w14:paraId="516BE528">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群众</w:t>
                  </w:r>
                </w:p>
              </w:tc>
              <w:tc>
                <w:tcPr>
                  <w:tcW w:w="960" w:type="pct"/>
                  <w:vMerge w:val="restart"/>
                  <w:vAlign w:val="center"/>
                </w:tcPr>
                <w:p w14:paraId="4AE97B92">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GB3095-2012二类区</w:t>
                  </w:r>
                </w:p>
              </w:tc>
              <w:tc>
                <w:tcPr>
                  <w:tcW w:w="503" w:type="pct"/>
                  <w:vAlign w:val="center"/>
                </w:tcPr>
                <w:p w14:paraId="62BAC0AB">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WNN</w:t>
                  </w:r>
                </w:p>
              </w:tc>
              <w:tc>
                <w:tcPr>
                  <w:tcW w:w="424" w:type="pct"/>
                  <w:vAlign w:val="center"/>
                </w:tcPr>
                <w:p w14:paraId="54384083">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370</w:t>
                  </w:r>
                </w:p>
              </w:tc>
            </w:tr>
            <w:tr w14:paraId="2B6943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2" w:type="pct"/>
                  <w:vMerge w:val="continue"/>
                  <w:vAlign w:val="center"/>
                </w:tcPr>
                <w:p w14:paraId="0E49BE80">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585" w:type="pct"/>
                  <w:vAlign w:val="center"/>
                </w:tcPr>
                <w:p w14:paraId="5FEAD779">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cs="Times New Roman"/>
                      <w:color w:val="auto"/>
                      <w:sz w:val="21"/>
                      <w:szCs w:val="21"/>
                      <w:highlight w:val="none"/>
                      <w:lang w:val="en-US" w:eastAsia="zh-CN"/>
                    </w:rPr>
                    <w:t>树英小学</w:t>
                  </w:r>
                </w:p>
              </w:tc>
              <w:tc>
                <w:tcPr>
                  <w:tcW w:w="825" w:type="pct"/>
                  <w:vAlign w:val="center"/>
                </w:tcPr>
                <w:p w14:paraId="2439F086">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131.009838</w:t>
                  </w:r>
                </w:p>
              </w:tc>
              <w:tc>
                <w:tcPr>
                  <w:tcW w:w="754" w:type="pct"/>
                  <w:vAlign w:val="center"/>
                </w:tcPr>
                <w:p w14:paraId="68A42912">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45.350837</w:t>
                  </w:r>
                </w:p>
              </w:tc>
              <w:tc>
                <w:tcPr>
                  <w:tcW w:w="305" w:type="pct"/>
                  <w:vMerge w:val="continue"/>
                  <w:vAlign w:val="center"/>
                </w:tcPr>
                <w:p w14:paraId="26BBB2D1">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359" w:type="pct"/>
                  <w:vMerge w:val="continue"/>
                  <w:vAlign w:val="center"/>
                </w:tcPr>
                <w:p w14:paraId="2710A2A5">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960" w:type="pct"/>
                  <w:vMerge w:val="continue"/>
                  <w:vAlign w:val="center"/>
                </w:tcPr>
                <w:p w14:paraId="0F303029">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503" w:type="pct"/>
                  <w:vAlign w:val="center"/>
                </w:tcPr>
                <w:p w14:paraId="7464DB8D">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WNW</w:t>
                  </w:r>
                </w:p>
              </w:tc>
              <w:tc>
                <w:tcPr>
                  <w:tcW w:w="424" w:type="pct"/>
                  <w:vAlign w:val="center"/>
                </w:tcPr>
                <w:p w14:paraId="3C5B3F4D">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280</w:t>
                  </w:r>
                </w:p>
              </w:tc>
            </w:tr>
            <w:tr w14:paraId="43DC52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2" w:type="pct"/>
                  <w:vMerge w:val="continue"/>
                  <w:vAlign w:val="center"/>
                </w:tcPr>
                <w:p w14:paraId="28F32352">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585" w:type="pct"/>
                  <w:vAlign w:val="center"/>
                </w:tcPr>
                <w:p w14:paraId="0D264C5B">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cs="Times New Roman"/>
                      <w:color w:val="auto"/>
                      <w:sz w:val="21"/>
                      <w:szCs w:val="21"/>
                      <w:highlight w:val="none"/>
                      <w:lang w:val="en-US" w:eastAsia="zh-CN"/>
                    </w:rPr>
                    <w:t>晨兴中学</w:t>
                  </w:r>
                </w:p>
              </w:tc>
              <w:tc>
                <w:tcPr>
                  <w:tcW w:w="825" w:type="pct"/>
                  <w:vAlign w:val="center"/>
                </w:tcPr>
                <w:p w14:paraId="52417E31">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131.007704</w:t>
                  </w:r>
                </w:p>
              </w:tc>
              <w:tc>
                <w:tcPr>
                  <w:tcW w:w="754" w:type="pct"/>
                  <w:vAlign w:val="center"/>
                </w:tcPr>
                <w:p w14:paraId="7A7A36B9">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45.349488</w:t>
                  </w:r>
                </w:p>
              </w:tc>
              <w:tc>
                <w:tcPr>
                  <w:tcW w:w="305" w:type="pct"/>
                  <w:vMerge w:val="continue"/>
                  <w:vAlign w:val="center"/>
                </w:tcPr>
                <w:p w14:paraId="5A15E571">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359" w:type="pct"/>
                  <w:vMerge w:val="continue"/>
                  <w:vAlign w:val="center"/>
                </w:tcPr>
                <w:p w14:paraId="7479901F">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960" w:type="pct"/>
                  <w:vMerge w:val="continue"/>
                  <w:vAlign w:val="center"/>
                </w:tcPr>
                <w:p w14:paraId="31AED445">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503" w:type="pct"/>
                  <w:vAlign w:val="center"/>
                </w:tcPr>
                <w:p w14:paraId="7400B7C9">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W</w:t>
                  </w:r>
                </w:p>
              </w:tc>
              <w:tc>
                <w:tcPr>
                  <w:tcW w:w="424" w:type="pct"/>
                  <w:vAlign w:val="center"/>
                </w:tcPr>
                <w:p w14:paraId="1B77E7AC">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400</w:t>
                  </w:r>
                </w:p>
              </w:tc>
            </w:tr>
            <w:tr w14:paraId="424891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2" w:type="pct"/>
                  <w:vMerge w:val="continue"/>
                  <w:vAlign w:val="center"/>
                </w:tcPr>
                <w:p w14:paraId="3A86EAF3">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585" w:type="pct"/>
                  <w:vAlign w:val="center"/>
                </w:tcPr>
                <w:p w14:paraId="1E576F8E">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cs="Times New Roman"/>
                      <w:color w:val="auto"/>
                      <w:sz w:val="21"/>
                      <w:szCs w:val="21"/>
                      <w:highlight w:val="none"/>
                      <w:lang w:val="en-US" w:eastAsia="zh-CN"/>
                    </w:rPr>
                    <w:t>晨兴社区</w:t>
                  </w:r>
                </w:p>
              </w:tc>
              <w:tc>
                <w:tcPr>
                  <w:tcW w:w="825" w:type="pct"/>
                  <w:vAlign w:val="center"/>
                </w:tcPr>
                <w:p w14:paraId="2CC9C815">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131.010097</w:t>
                  </w:r>
                </w:p>
              </w:tc>
              <w:tc>
                <w:tcPr>
                  <w:tcW w:w="754" w:type="pct"/>
                  <w:vAlign w:val="center"/>
                </w:tcPr>
                <w:p w14:paraId="3B645C6A">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45.348983</w:t>
                  </w:r>
                </w:p>
              </w:tc>
              <w:tc>
                <w:tcPr>
                  <w:tcW w:w="305" w:type="pct"/>
                  <w:vMerge w:val="continue"/>
                  <w:vAlign w:val="center"/>
                </w:tcPr>
                <w:p w14:paraId="6DD8F3CE">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359" w:type="pct"/>
                  <w:vMerge w:val="continue"/>
                  <w:vAlign w:val="center"/>
                </w:tcPr>
                <w:p w14:paraId="282B4A6C">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960" w:type="pct"/>
                  <w:vMerge w:val="continue"/>
                  <w:vAlign w:val="center"/>
                </w:tcPr>
                <w:p w14:paraId="0D031AA5">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503" w:type="pct"/>
                  <w:vAlign w:val="center"/>
                </w:tcPr>
                <w:p w14:paraId="109FD1B3">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W</w:t>
                  </w:r>
                </w:p>
              </w:tc>
              <w:tc>
                <w:tcPr>
                  <w:tcW w:w="424" w:type="pct"/>
                  <w:vAlign w:val="center"/>
                </w:tcPr>
                <w:p w14:paraId="6A9590B4">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220</w:t>
                  </w:r>
                </w:p>
              </w:tc>
            </w:tr>
            <w:tr w14:paraId="07894B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2" w:type="pct"/>
                  <w:vMerge w:val="continue"/>
                  <w:vAlign w:val="center"/>
                </w:tcPr>
                <w:p w14:paraId="4EFA6FD3">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585" w:type="pct"/>
                  <w:vAlign w:val="center"/>
                </w:tcPr>
                <w:p w14:paraId="109FF632">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cs="Times New Roman"/>
                      <w:color w:val="auto"/>
                      <w:sz w:val="21"/>
                      <w:szCs w:val="21"/>
                      <w:highlight w:val="none"/>
                      <w:lang w:val="en-US" w:eastAsia="zh-CN"/>
                    </w:rPr>
                    <w:t>花园小区</w:t>
                  </w:r>
                </w:p>
              </w:tc>
              <w:tc>
                <w:tcPr>
                  <w:tcW w:w="825" w:type="pct"/>
                  <w:vAlign w:val="center"/>
                </w:tcPr>
                <w:p w14:paraId="0CE2A9C0">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131.011973</w:t>
                  </w:r>
                </w:p>
              </w:tc>
              <w:tc>
                <w:tcPr>
                  <w:tcW w:w="754" w:type="pct"/>
                  <w:vAlign w:val="center"/>
                </w:tcPr>
                <w:p w14:paraId="332FF114">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45.350195</w:t>
                  </w:r>
                </w:p>
              </w:tc>
              <w:tc>
                <w:tcPr>
                  <w:tcW w:w="305" w:type="pct"/>
                  <w:vMerge w:val="continue"/>
                  <w:vAlign w:val="center"/>
                </w:tcPr>
                <w:p w14:paraId="7E821960">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359" w:type="pct"/>
                  <w:vMerge w:val="continue"/>
                  <w:vAlign w:val="center"/>
                </w:tcPr>
                <w:p w14:paraId="05444BE9">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960" w:type="pct"/>
                  <w:vMerge w:val="continue"/>
                  <w:vAlign w:val="center"/>
                </w:tcPr>
                <w:p w14:paraId="2B497434">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503" w:type="pct"/>
                  <w:vAlign w:val="center"/>
                </w:tcPr>
                <w:p w14:paraId="4240A1C8">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WN</w:t>
                  </w:r>
                </w:p>
              </w:tc>
              <w:tc>
                <w:tcPr>
                  <w:tcW w:w="424" w:type="pct"/>
                  <w:vAlign w:val="center"/>
                </w:tcPr>
                <w:p w14:paraId="0F6B86CB">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110</w:t>
                  </w:r>
                </w:p>
              </w:tc>
            </w:tr>
            <w:tr w14:paraId="060818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2" w:type="pct"/>
                  <w:vMerge w:val="continue"/>
                  <w:vAlign w:val="center"/>
                </w:tcPr>
                <w:p w14:paraId="0AEE66EC">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585" w:type="pct"/>
                  <w:vAlign w:val="center"/>
                </w:tcPr>
                <w:p w14:paraId="318F24AD">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cs="Times New Roman"/>
                      <w:color w:val="auto"/>
                      <w:sz w:val="21"/>
                      <w:szCs w:val="21"/>
                      <w:highlight w:val="none"/>
                      <w:lang w:val="en-US" w:eastAsia="zh-CN"/>
                    </w:rPr>
                    <w:t>医院厂界北侧居民</w:t>
                  </w:r>
                </w:p>
              </w:tc>
              <w:tc>
                <w:tcPr>
                  <w:tcW w:w="825" w:type="pct"/>
                  <w:vAlign w:val="center"/>
                </w:tcPr>
                <w:p w14:paraId="3B97DF2F">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131.014431</w:t>
                  </w:r>
                </w:p>
              </w:tc>
              <w:tc>
                <w:tcPr>
                  <w:tcW w:w="754" w:type="pct"/>
                  <w:vAlign w:val="center"/>
                </w:tcPr>
                <w:p w14:paraId="4CF51C90">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45.351183</w:t>
                  </w:r>
                </w:p>
              </w:tc>
              <w:tc>
                <w:tcPr>
                  <w:tcW w:w="305" w:type="pct"/>
                  <w:vMerge w:val="continue"/>
                  <w:vAlign w:val="center"/>
                </w:tcPr>
                <w:p w14:paraId="195F587F">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359" w:type="pct"/>
                  <w:vMerge w:val="continue"/>
                  <w:vAlign w:val="center"/>
                </w:tcPr>
                <w:p w14:paraId="798230FE">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960" w:type="pct"/>
                  <w:vMerge w:val="continue"/>
                  <w:vAlign w:val="center"/>
                </w:tcPr>
                <w:p w14:paraId="7ABD26C4">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503" w:type="pct"/>
                  <w:vAlign w:val="center"/>
                </w:tcPr>
                <w:p w14:paraId="354EB47B">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N</w:t>
                  </w:r>
                </w:p>
              </w:tc>
              <w:tc>
                <w:tcPr>
                  <w:tcW w:w="424" w:type="pct"/>
                  <w:vAlign w:val="center"/>
                </w:tcPr>
                <w:p w14:paraId="27C54A9D">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30</w:t>
                  </w:r>
                </w:p>
              </w:tc>
            </w:tr>
            <w:tr w14:paraId="550B49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2" w:type="pct"/>
                  <w:vMerge w:val="continue"/>
                  <w:vAlign w:val="center"/>
                </w:tcPr>
                <w:p w14:paraId="1800FC09">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585" w:type="pct"/>
                  <w:vAlign w:val="center"/>
                </w:tcPr>
                <w:p w14:paraId="4504CD94">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cs="Times New Roman"/>
                      <w:color w:val="auto"/>
                      <w:sz w:val="21"/>
                      <w:szCs w:val="21"/>
                      <w:highlight w:val="none"/>
                      <w:lang w:val="en-US" w:eastAsia="zh-CN"/>
                    </w:rPr>
                    <w:t>阳光家园</w:t>
                  </w:r>
                </w:p>
              </w:tc>
              <w:tc>
                <w:tcPr>
                  <w:tcW w:w="825" w:type="pct"/>
                  <w:vAlign w:val="center"/>
                </w:tcPr>
                <w:p w14:paraId="12ED1E4A">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131.012403</w:t>
                  </w:r>
                </w:p>
              </w:tc>
              <w:tc>
                <w:tcPr>
                  <w:tcW w:w="754" w:type="pct"/>
                  <w:vAlign w:val="center"/>
                </w:tcPr>
                <w:p w14:paraId="745DFFE2">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45.346335</w:t>
                  </w:r>
                </w:p>
              </w:tc>
              <w:tc>
                <w:tcPr>
                  <w:tcW w:w="305" w:type="pct"/>
                  <w:vMerge w:val="continue"/>
                  <w:vAlign w:val="center"/>
                </w:tcPr>
                <w:p w14:paraId="601897E6">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359" w:type="pct"/>
                  <w:vMerge w:val="continue"/>
                  <w:vAlign w:val="center"/>
                </w:tcPr>
                <w:p w14:paraId="503722F7">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960" w:type="pct"/>
                  <w:vMerge w:val="continue"/>
                  <w:vAlign w:val="center"/>
                </w:tcPr>
                <w:p w14:paraId="667A6C60">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503" w:type="pct"/>
                  <w:vAlign w:val="center"/>
                </w:tcPr>
                <w:p w14:paraId="230AC539">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WS</w:t>
                  </w:r>
                </w:p>
              </w:tc>
              <w:tc>
                <w:tcPr>
                  <w:tcW w:w="424" w:type="pct"/>
                  <w:vAlign w:val="center"/>
                </w:tcPr>
                <w:p w14:paraId="623F71EF">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64</w:t>
                  </w:r>
                </w:p>
              </w:tc>
            </w:tr>
            <w:tr w14:paraId="577194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2" w:type="pct"/>
                  <w:vMerge w:val="continue"/>
                  <w:vAlign w:val="center"/>
                </w:tcPr>
                <w:p w14:paraId="586328AA">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585" w:type="pct"/>
                  <w:vAlign w:val="center"/>
                </w:tcPr>
                <w:p w14:paraId="7AB53B88">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auto"/>
                      <w:spacing w:val="8"/>
                      <w:sz w:val="21"/>
                      <w:szCs w:val="21"/>
                      <w:highlight w:val="none"/>
                      <w:lang w:val="en-US" w:eastAsia="zh-CN"/>
                    </w:rPr>
                  </w:pPr>
                  <w:r>
                    <w:rPr>
                      <w:rFonts w:hint="default" w:ascii="Times New Roman" w:hAnsi="Times New Roman" w:cs="Times New Roman"/>
                      <w:color w:val="auto"/>
                      <w:sz w:val="21"/>
                      <w:szCs w:val="21"/>
                      <w:highlight w:val="none"/>
                      <w:lang w:val="en-US" w:eastAsia="zh-CN"/>
                    </w:rPr>
                    <w:t>城子河区公安局</w:t>
                  </w:r>
                </w:p>
              </w:tc>
              <w:tc>
                <w:tcPr>
                  <w:tcW w:w="825" w:type="pct"/>
                  <w:vAlign w:val="center"/>
                </w:tcPr>
                <w:p w14:paraId="05F7F6FA">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131.012490</w:t>
                  </w:r>
                </w:p>
              </w:tc>
              <w:tc>
                <w:tcPr>
                  <w:tcW w:w="754" w:type="pct"/>
                  <w:vAlign w:val="center"/>
                </w:tcPr>
                <w:p w14:paraId="2F87711F">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45.349099</w:t>
                  </w:r>
                </w:p>
              </w:tc>
              <w:tc>
                <w:tcPr>
                  <w:tcW w:w="305" w:type="pct"/>
                  <w:vMerge w:val="restart"/>
                  <w:vAlign w:val="center"/>
                </w:tcPr>
                <w:p w14:paraId="11AD808F">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8"/>
                      <w:kern w:val="2"/>
                      <w:sz w:val="21"/>
                      <w:szCs w:val="21"/>
                      <w:highlight w:val="none"/>
                      <w:lang w:val="en-US" w:eastAsia="zh-CN" w:bidi="ar-SA"/>
                    </w:rPr>
                  </w:pPr>
                  <w:r>
                    <w:rPr>
                      <w:rFonts w:hint="eastAsia" w:ascii="Times New Roman" w:hAnsi="Times New Roman" w:eastAsia="宋体" w:cs="Times New Roman"/>
                      <w:color w:val="auto"/>
                      <w:spacing w:val="8"/>
                      <w:sz w:val="21"/>
                      <w:szCs w:val="21"/>
                      <w:highlight w:val="none"/>
                      <w:lang w:val="en-US" w:eastAsia="zh-CN"/>
                    </w:rPr>
                    <w:t>事业单位</w:t>
                  </w:r>
                </w:p>
              </w:tc>
              <w:tc>
                <w:tcPr>
                  <w:tcW w:w="359" w:type="pct"/>
                  <w:vMerge w:val="restart"/>
                  <w:vAlign w:val="center"/>
                </w:tcPr>
                <w:p w14:paraId="7360126F">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8"/>
                      <w:kern w:val="2"/>
                      <w:sz w:val="21"/>
                      <w:szCs w:val="21"/>
                      <w:highlight w:val="none"/>
                      <w:lang w:val="en-US" w:eastAsia="zh-CN" w:bidi="ar-SA"/>
                    </w:rPr>
                  </w:pPr>
                  <w:r>
                    <w:rPr>
                      <w:rFonts w:hint="eastAsia" w:ascii="Times New Roman" w:hAnsi="Times New Roman" w:eastAsia="宋体" w:cs="Times New Roman"/>
                      <w:color w:val="auto"/>
                      <w:spacing w:val="8"/>
                      <w:sz w:val="21"/>
                      <w:szCs w:val="21"/>
                      <w:highlight w:val="none"/>
                      <w:lang w:val="en-US" w:eastAsia="zh-CN"/>
                    </w:rPr>
                    <w:t>职工</w:t>
                  </w:r>
                </w:p>
              </w:tc>
              <w:tc>
                <w:tcPr>
                  <w:tcW w:w="960" w:type="pct"/>
                  <w:vMerge w:val="continue"/>
                  <w:vAlign w:val="center"/>
                </w:tcPr>
                <w:p w14:paraId="739FC53A">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503" w:type="pct"/>
                  <w:vAlign w:val="center"/>
                </w:tcPr>
                <w:p w14:paraId="067358BB">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W</w:t>
                  </w:r>
                </w:p>
              </w:tc>
              <w:tc>
                <w:tcPr>
                  <w:tcW w:w="424" w:type="pct"/>
                  <w:vAlign w:val="center"/>
                </w:tcPr>
                <w:p w14:paraId="0F111E38">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40</w:t>
                  </w:r>
                </w:p>
              </w:tc>
            </w:tr>
            <w:tr w14:paraId="39A3CA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2" w:type="pct"/>
                  <w:vMerge w:val="continue"/>
                  <w:vAlign w:val="center"/>
                </w:tcPr>
                <w:p w14:paraId="029FC499">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585" w:type="pct"/>
                  <w:vAlign w:val="center"/>
                </w:tcPr>
                <w:p w14:paraId="614389E4">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城子河区纪检委</w:t>
                  </w:r>
                </w:p>
              </w:tc>
              <w:tc>
                <w:tcPr>
                  <w:tcW w:w="825" w:type="pct"/>
                  <w:vAlign w:val="center"/>
                </w:tcPr>
                <w:p w14:paraId="5817950D">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131.012479</w:t>
                  </w:r>
                </w:p>
              </w:tc>
              <w:tc>
                <w:tcPr>
                  <w:tcW w:w="754" w:type="pct"/>
                  <w:vAlign w:val="center"/>
                </w:tcPr>
                <w:p w14:paraId="52CDCFBA">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45.348590</w:t>
                  </w:r>
                </w:p>
              </w:tc>
              <w:tc>
                <w:tcPr>
                  <w:tcW w:w="305" w:type="pct"/>
                  <w:vMerge w:val="continue"/>
                  <w:shd w:val="clear" w:color="auto" w:fill="auto"/>
                  <w:vAlign w:val="center"/>
                </w:tcPr>
                <w:p w14:paraId="771C02C2">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8"/>
                      <w:kern w:val="2"/>
                      <w:sz w:val="21"/>
                      <w:szCs w:val="21"/>
                      <w:highlight w:val="none"/>
                      <w:lang w:val="en-US" w:eastAsia="zh-CN" w:bidi="ar-SA"/>
                    </w:rPr>
                  </w:pPr>
                </w:p>
              </w:tc>
              <w:tc>
                <w:tcPr>
                  <w:tcW w:w="359" w:type="pct"/>
                  <w:vMerge w:val="continue"/>
                  <w:shd w:val="clear" w:color="auto" w:fill="auto"/>
                  <w:vAlign w:val="center"/>
                </w:tcPr>
                <w:p w14:paraId="2D931C36">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8"/>
                      <w:kern w:val="2"/>
                      <w:sz w:val="21"/>
                      <w:szCs w:val="21"/>
                      <w:highlight w:val="none"/>
                      <w:lang w:val="en-US" w:eastAsia="zh-CN" w:bidi="ar-SA"/>
                    </w:rPr>
                  </w:pPr>
                </w:p>
              </w:tc>
              <w:tc>
                <w:tcPr>
                  <w:tcW w:w="960" w:type="pct"/>
                  <w:vMerge w:val="continue"/>
                  <w:vAlign w:val="center"/>
                </w:tcPr>
                <w:p w14:paraId="22F4B65F">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503" w:type="pct"/>
                  <w:shd w:val="clear" w:color="auto" w:fill="auto"/>
                  <w:vAlign w:val="center"/>
                </w:tcPr>
                <w:p w14:paraId="2FA54787">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8"/>
                      <w:kern w:val="2"/>
                      <w:sz w:val="21"/>
                      <w:szCs w:val="21"/>
                      <w:highlight w:val="none"/>
                      <w:lang w:val="en-US" w:eastAsia="zh-CN" w:bidi="ar-SA"/>
                    </w:rPr>
                  </w:pPr>
                  <w:r>
                    <w:rPr>
                      <w:rFonts w:hint="eastAsia" w:ascii="Times New Roman" w:hAnsi="Times New Roman" w:eastAsia="宋体" w:cs="Times New Roman"/>
                      <w:color w:val="auto"/>
                      <w:spacing w:val="8"/>
                      <w:sz w:val="21"/>
                      <w:szCs w:val="21"/>
                      <w:highlight w:val="none"/>
                      <w:lang w:val="en-US" w:eastAsia="zh-CN"/>
                    </w:rPr>
                    <w:t>W</w:t>
                  </w:r>
                </w:p>
              </w:tc>
              <w:tc>
                <w:tcPr>
                  <w:tcW w:w="424" w:type="pct"/>
                  <w:shd w:val="clear" w:color="auto" w:fill="auto"/>
                  <w:vAlign w:val="center"/>
                </w:tcPr>
                <w:p w14:paraId="10A3BC11">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8"/>
                      <w:kern w:val="2"/>
                      <w:sz w:val="21"/>
                      <w:szCs w:val="21"/>
                      <w:highlight w:val="none"/>
                      <w:lang w:val="en-US" w:eastAsia="zh-CN" w:bidi="ar-SA"/>
                    </w:rPr>
                  </w:pPr>
                  <w:r>
                    <w:rPr>
                      <w:rFonts w:hint="eastAsia" w:ascii="Times New Roman" w:hAnsi="Times New Roman" w:eastAsia="宋体" w:cs="Times New Roman"/>
                      <w:color w:val="auto"/>
                      <w:spacing w:val="8"/>
                      <w:sz w:val="21"/>
                      <w:szCs w:val="21"/>
                      <w:highlight w:val="none"/>
                      <w:lang w:val="en-US" w:eastAsia="zh-CN"/>
                    </w:rPr>
                    <w:t>40</w:t>
                  </w:r>
                </w:p>
              </w:tc>
            </w:tr>
            <w:tr w14:paraId="7BC9D3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2" w:type="pct"/>
                  <w:vMerge w:val="continue"/>
                  <w:vAlign w:val="center"/>
                </w:tcPr>
                <w:p w14:paraId="74F22AD3">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585" w:type="pct"/>
                  <w:vAlign w:val="center"/>
                </w:tcPr>
                <w:p w14:paraId="17E1D57A">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厂界</w:t>
                  </w:r>
                  <w:r>
                    <w:rPr>
                      <w:rFonts w:hint="eastAsia" w:ascii="Times New Roman" w:hAnsi="Times New Roman" w:cs="Times New Roman"/>
                      <w:color w:val="auto"/>
                      <w:sz w:val="21"/>
                      <w:szCs w:val="21"/>
                      <w:highlight w:val="none"/>
                      <w:lang w:val="en-US" w:eastAsia="zh-CN"/>
                    </w:rPr>
                    <w:t>西</w:t>
                  </w:r>
                  <w:r>
                    <w:rPr>
                      <w:rFonts w:hint="default" w:ascii="Times New Roman" w:hAnsi="Times New Roman" w:cs="Times New Roman"/>
                      <w:color w:val="auto"/>
                      <w:sz w:val="21"/>
                      <w:szCs w:val="21"/>
                      <w:highlight w:val="none"/>
                      <w:lang w:val="en-US" w:eastAsia="zh-CN"/>
                    </w:rPr>
                    <w:t>侧</w:t>
                  </w:r>
                  <w:r>
                    <w:rPr>
                      <w:rFonts w:hint="default" w:ascii="Times New Roman" w:hAnsi="Times New Roman" w:eastAsia="宋体" w:cs="Times New Roman"/>
                      <w:color w:val="auto"/>
                      <w:sz w:val="21"/>
                      <w:szCs w:val="21"/>
                      <w:highlight w:val="none"/>
                      <w:lang w:val="en-US" w:eastAsia="zh-CN"/>
                    </w:rPr>
                    <w:t>部分居民</w:t>
                  </w:r>
                </w:p>
              </w:tc>
              <w:tc>
                <w:tcPr>
                  <w:tcW w:w="825" w:type="pct"/>
                  <w:vAlign w:val="center"/>
                </w:tcPr>
                <w:p w14:paraId="0974EF4F">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131.012436</w:t>
                  </w:r>
                </w:p>
              </w:tc>
              <w:tc>
                <w:tcPr>
                  <w:tcW w:w="754" w:type="pct"/>
                  <w:vAlign w:val="center"/>
                </w:tcPr>
                <w:p w14:paraId="44091CBD">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45.348187</w:t>
                  </w:r>
                </w:p>
              </w:tc>
              <w:tc>
                <w:tcPr>
                  <w:tcW w:w="305" w:type="pct"/>
                  <w:vMerge w:val="restart"/>
                  <w:vAlign w:val="center"/>
                </w:tcPr>
                <w:p w14:paraId="2221CCFA">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8"/>
                      <w:kern w:val="2"/>
                      <w:sz w:val="21"/>
                      <w:szCs w:val="21"/>
                      <w:highlight w:val="none"/>
                      <w:lang w:val="en-US" w:eastAsia="zh-CN" w:bidi="ar-SA"/>
                    </w:rPr>
                  </w:pPr>
                  <w:r>
                    <w:rPr>
                      <w:rFonts w:hint="eastAsia" w:ascii="Times New Roman" w:hAnsi="Times New Roman" w:eastAsia="宋体" w:cs="Times New Roman"/>
                      <w:color w:val="auto"/>
                      <w:spacing w:val="8"/>
                      <w:sz w:val="21"/>
                      <w:szCs w:val="21"/>
                      <w:highlight w:val="none"/>
                      <w:lang w:val="en-US" w:eastAsia="zh-CN"/>
                    </w:rPr>
                    <w:t>居民</w:t>
                  </w:r>
                </w:p>
              </w:tc>
              <w:tc>
                <w:tcPr>
                  <w:tcW w:w="359" w:type="pct"/>
                  <w:vMerge w:val="restart"/>
                  <w:vAlign w:val="center"/>
                </w:tcPr>
                <w:p w14:paraId="4DC651BA">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8"/>
                      <w:kern w:val="2"/>
                      <w:sz w:val="21"/>
                      <w:szCs w:val="21"/>
                      <w:highlight w:val="none"/>
                      <w:lang w:val="en-US" w:eastAsia="zh-CN" w:bidi="ar-SA"/>
                    </w:rPr>
                  </w:pPr>
                  <w:r>
                    <w:rPr>
                      <w:rFonts w:hint="default" w:ascii="Times New Roman" w:hAnsi="Times New Roman" w:eastAsia="宋体" w:cs="Times New Roman"/>
                      <w:color w:val="auto"/>
                      <w:spacing w:val="8"/>
                      <w:sz w:val="21"/>
                      <w:szCs w:val="21"/>
                      <w:highlight w:val="none"/>
                      <w:lang w:val="en-US" w:eastAsia="zh-CN"/>
                    </w:rPr>
                    <w:t>群众</w:t>
                  </w:r>
                </w:p>
              </w:tc>
              <w:tc>
                <w:tcPr>
                  <w:tcW w:w="960" w:type="pct"/>
                  <w:vMerge w:val="continue"/>
                  <w:vAlign w:val="center"/>
                </w:tcPr>
                <w:p w14:paraId="0AA5A2AC">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503" w:type="pct"/>
                  <w:shd w:val="clear" w:color="auto" w:fill="auto"/>
                  <w:vAlign w:val="center"/>
                </w:tcPr>
                <w:p w14:paraId="094DB0D8">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Cs/>
                      <w:color w:val="auto"/>
                      <w:spacing w:val="8"/>
                      <w:kern w:val="2"/>
                      <w:sz w:val="21"/>
                      <w:szCs w:val="21"/>
                      <w:highlight w:val="none"/>
                      <w:lang w:val="en-US" w:eastAsia="zh-CN" w:bidi="ar-SA"/>
                    </w:rPr>
                  </w:pPr>
                  <w:r>
                    <w:rPr>
                      <w:rFonts w:hint="eastAsia" w:ascii="Times New Roman" w:hAnsi="Times New Roman" w:eastAsia="宋体" w:cs="Times New Roman"/>
                      <w:color w:val="auto"/>
                      <w:spacing w:val="8"/>
                      <w:sz w:val="21"/>
                      <w:szCs w:val="21"/>
                      <w:highlight w:val="none"/>
                      <w:lang w:val="en-US" w:eastAsia="zh-CN"/>
                    </w:rPr>
                    <w:t>W</w:t>
                  </w:r>
                </w:p>
              </w:tc>
              <w:tc>
                <w:tcPr>
                  <w:tcW w:w="424" w:type="pct"/>
                  <w:shd w:val="clear" w:color="auto" w:fill="auto"/>
                  <w:vAlign w:val="center"/>
                </w:tcPr>
                <w:p w14:paraId="659DCDD2">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Cs/>
                      <w:color w:val="auto"/>
                      <w:spacing w:val="8"/>
                      <w:kern w:val="2"/>
                      <w:sz w:val="21"/>
                      <w:szCs w:val="21"/>
                      <w:highlight w:val="none"/>
                      <w:lang w:val="en-US" w:eastAsia="zh-CN" w:bidi="ar-SA"/>
                    </w:rPr>
                  </w:pPr>
                  <w:r>
                    <w:rPr>
                      <w:rFonts w:hint="eastAsia" w:ascii="Times New Roman" w:hAnsi="Times New Roman" w:eastAsia="宋体" w:cs="Times New Roman"/>
                      <w:color w:val="auto"/>
                      <w:spacing w:val="8"/>
                      <w:sz w:val="21"/>
                      <w:szCs w:val="21"/>
                      <w:highlight w:val="none"/>
                      <w:lang w:val="en-US" w:eastAsia="zh-CN"/>
                    </w:rPr>
                    <w:t>40</w:t>
                  </w:r>
                </w:p>
              </w:tc>
            </w:tr>
            <w:tr w14:paraId="7437B8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2" w:type="pct"/>
                  <w:vMerge w:val="continue"/>
                  <w:vAlign w:val="center"/>
                </w:tcPr>
                <w:p w14:paraId="4D243D48">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585" w:type="pct"/>
                  <w:vAlign w:val="center"/>
                </w:tcPr>
                <w:p w14:paraId="5E1DDC87">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城山公寓</w:t>
                  </w:r>
                </w:p>
              </w:tc>
              <w:tc>
                <w:tcPr>
                  <w:tcW w:w="825" w:type="pct"/>
                  <w:vAlign w:val="center"/>
                </w:tcPr>
                <w:p w14:paraId="0831ADBC">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131.012360</w:t>
                  </w:r>
                </w:p>
              </w:tc>
              <w:tc>
                <w:tcPr>
                  <w:tcW w:w="754" w:type="pct"/>
                  <w:vAlign w:val="center"/>
                </w:tcPr>
                <w:p w14:paraId="5C2D23BF">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45.344948</w:t>
                  </w:r>
                </w:p>
              </w:tc>
              <w:tc>
                <w:tcPr>
                  <w:tcW w:w="305" w:type="pct"/>
                  <w:vMerge w:val="continue"/>
                  <w:shd w:val="clear" w:color="auto" w:fill="auto"/>
                  <w:vAlign w:val="center"/>
                </w:tcPr>
                <w:p w14:paraId="5B40AEB7">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8"/>
                      <w:kern w:val="2"/>
                      <w:sz w:val="21"/>
                      <w:szCs w:val="21"/>
                      <w:highlight w:val="none"/>
                      <w:lang w:val="en-US" w:eastAsia="zh-CN" w:bidi="ar-SA"/>
                    </w:rPr>
                  </w:pPr>
                </w:p>
              </w:tc>
              <w:tc>
                <w:tcPr>
                  <w:tcW w:w="359" w:type="pct"/>
                  <w:vMerge w:val="continue"/>
                  <w:shd w:val="clear" w:color="auto" w:fill="auto"/>
                  <w:vAlign w:val="center"/>
                </w:tcPr>
                <w:p w14:paraId="2239E0E5">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8"/>
                      <w:kern w:val="2"/>
                      <w:sz w:val="21"/>
                      <w:szCs w:val="21"/>
                      <w:highlight w:val="none"/>
                      <w:lang w:val="en-US" w:eastAsia="zh-CN" w:bidi="ar-SA"/>
                    </w:rPr>
                  </w:pPr>
                </w:p>
              </w:tc>
              <w:tc>
                <w:tcPr>
                  <w:tcW w:w="960" w:type="pct"/>
                  <w:vMerge w:val="continue"/>
                  <w:vAlign w:val="center"/>
                </w:tcPr>
                <w:p w14:paraId="4EB6EE7B">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503" w:type="pct"/>
                  <w:vAlign w:val="center"/>
                </w:tcPr>
                <w:p w14:paraId="3346008F">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WSS</w:t>
                  </w:r>
                </w:p>
              </w:tc>
              <w:tc>
                <w:tcPr>
                  <w:tcW w:w="424" w:type="pct"/>
                  <w:vAlign w:val="center"/>
                </w:tcPr>
                <w:p w14:paraId="0017792C">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320</w:t>
                  </w:r>
                </w:p>
              </w:tc>
            </w:tr>
            <w:tr w14:paraId="54981F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2" w:type="pct"/>
                  <w:vMerge w:val="continue"/>
                  <w:vAlign w:val="center"/>
                </w:tcPr>
                <w:p w14:paraId="0144B3E4">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585" w:type="pct"/>
                  <w:vAlign w:val="center"/>
                </w:tcPr>
                <w:p w14:paraId="7C7D13EC">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城山家园</w:t>
                  </w:r>
                </w:p>
              </w:tc>
              <w:tc>
                <w:tcPr>
                  <w:tcW w:w="825" w:type="pct"/>
                  <w:vAlign w:val="center"/>
                </w:tcPr>
                <w:p w14:paraId="3B685DE9">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131.014042</w:t>
                  </w:r>
                </w:p>
              </w:tc>
              <w:tc>
                <w:tcPr>
                  <w:tcW w:w="754" w:type="pct"/>
                  <w:vAlign w:val="center"/>
                </w:tcPr>
                <w:p w14:paraId="31A82750">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45.346265</w:t>
                  </w:r>
                </w:p>
              </w:tc>
              <w:tc>
                <w:tcPr>
                  <w:tcW w:w="305" w:type="pct"/>
                  <w:vMerge w:val="continue"/>
                  <w:vAlign w:val="center"/>
                </w:tcPr>
                <w:p w14:paraId="556497AE">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359" w:type="pct"/>
                  <w:vMerge w:val="continue"/>
                  <w:vAlign w:val="center"/>
                </w:tcPr>
                <w:p w14:paraId="00ABCAFD">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960" w:type="pct"/>
                  <w:vMerge w:val="continue"/>
                  <w:vAlign w:val="center"/>
                </w:tcPr>
                <w:p w14:paraId="395556B3">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p>
              </w:tc>
              <w:tc>
                <w:tcPr>
                  <w:tcW w:w="503" w:type="pct"/>
                  <w:vAlign w:val="center"/>
                </w:tcPr>
                <w:p w14:paraId="3B111CDF">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S</w:t>
                  </w:r>
                </w:p>
              </w:tc>
              <w:tc>
                <w:tcPr>
                  <w:tcW w:w="424" w:type="pct"/>
                  <w:vAlign w:val="center"/>
                </w:tcPr>
                <w:p w14:paraId="56A3C834">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110</w:t>
                  </w:r>
                </w:p>
              </w:tc>
            </w:tr>
            <w:tr w14:paraId="10730B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2" w:type="pct"/>
                  <w:vMerge w:val="restart"/>
                  <w:vAlign w:val="center"/>
                </w:tcPr>
                <w:p w14:paraId="7BC56430">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声环境</w:t>
                  </w:r>
                </w:p>
              </w:tc>
              <w:tc>
                <w:tcPr>
                  <w:tcW w:w="585" w:type="pct"/>
                  <w:shd w:val="clear" w:color="auto" w:fill="auto"/>
                  <w:vAlign w:val="center"/>
                </w:tcPr>
                <w:p w14:paraId="36E76BEC">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cs="Times New Roman"/>
                      <w:color w:val="auto"/>
                      <w:sz w:val="21"/>
                      <w:szCs w:val="21"/>
                      <w:highlight w:val="none"/>
                      <w:lang w:val="en-US" w:eastAsia="zh-CN"/>
                    </w:rPr>
                    <w:t>厂界北侧</w:t>
                  </w:r>
                  <w:r>
                    <w:rPr>
                      <w:rFonts w:hint="default" w:ascii="Times New Roman" w:hAnsi="Times New Roman" w:eastAsia="宋体" w:cs="Times New Roman"/>
                      <w:color w:val="auto"/>
                      <w:sz w:val="21"/>
                      <w:szCs w:val="21"/>
                      <w:highlight w:val="none"/>
                      <w:lang w:val="en-US" w:eastAsia="zh-CN"/>
                    </w:rPr>
                    <w:t>部分居民</w:t>
                  </w:r>
                </w:p>
              </w:tc>
              <w:tc>
                <w:tcPr>
                  <w:tcW w:w="825" w:type="pct"/>
                  <w:shd w:val="clear" w:color="auto" w:fill="auto"/>
                  <w:vAlign w:val="center"/>
                </w:tcPr>
                <w:p w14:paraId="43AA3FB0">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8"/>
                      <w:kern w:val="2"/>
                      <w:sz w:val="21"/>
                      <w:szCs w:val="21"/>
                      <w:highlight w:val="none"/>
                      <w:lang w:val="en-US" w:eastAsia="zh-CN" w:bidi="ar-SA"/>
                    </w:rPr>
                  </w:pPr>
                  <w:r>
                    <w:rPr>
                      <w:rFonts w:hint="default" w:ascii="Times New Roman" w:hAnsi="Times New Roman" w:eastAsia="宋体" w:cs="Times New Roman"/>
                      <w:color w:val="auto"/>
                      <w:spacing w:val="8"/>
                      <w:sz w:val="21"/>
                      <w:szCs w:val="21"/>
                      <w:highlight w:val="none"/>
                      <w:lang w:val="en-US" w:eastAsia="zh-CN"/>
                    </w:rPr>
                    <w:t>131.014431</w:t>
                  </w:r>
                </w:p>
              </w:tc>
              <w:tc>
                <w:tcPr>
                  <w:tcW w:w="754" w:type="pct"/>
                  <w:shd w:val="clear" w:color="auto" w:fill="auto"/>
                  <w:vAlign w:val="center"/>
                </w:tcPr>
                <w:p w14:paraId="44CC5EF8">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8"/>
                      <w:kern w:val="2"/>
                      <w:sz w:val="21"/>
                      <w:szCs w:val="21"/>
                      <w:highlight w:val="none"/>
                      <w:lang w:val="en-US" w:eastAsia="zh-CN" w:bidi="ar-SA"/>
                    </w:rPr>
                  </w:pPr>
                  <w:r>
                    <w:rPr>
                      <w:rFonts w:hint="default" w:ascii="Times New Roman" w:hAnsi="Times New Roman" w:eastAsia="宋体" w:cs="Times New Roman"/>
                      <w:color w:val="auto"/>
                      <w:spacing w:val="8"/>
                      <w:sz w:val="21"/>
                      <w:szCs w:val="21"/>
                      <w:highlight w:val="none"/>
                      <w:lang w:val="en-US" w:eastAsia="zh-CN"/>
                    </w:rPr>
                    <w:t>45.351183</w:t>
                  </w:r>
                </w:p>
              </w:tc>
              <w:tc>
                <w:tcPr>
                  <w:tcW w:w="305" w:type="pct"/>
                  <w:vMerge w:val="restart"/>
                  <w:vAlign w:val="center"/>
                </w:tcPr>
                <w:p w14:paraId="1D766B1E">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居民</w:t>
                  </w:r>
                </w:p>
              </w:tc>
              <w:tc>
                <w:tcPr>
                  <w:tcW w:w="359" w:type="pct"/>
                  <w:vMerge w:val="restart"/>
                  <w:vAlign w:val="center"/>
                </w:tcPr>
                <w:p w14:paraId="5D79BA9E">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lang w:val="en-US" w:eastAsia="zh-CN"/>
                    </w:rPr>
                    <w:t>群众</w:t>
                  </w:r>
                </w:p>
              </w:tc>
              <w:tc>
                <w:tcPr>
                  <w:tcW w:w="960" w:type="pct"/>
                  <w:vMerge w:val="restart"/>
                  <w:vAlign w:val="center"/>
                </w:tcPr>
                <w:p w14:paraId="2D0C27EF">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GB3096-2008</w:t>
                  </w:r>
                </w:p>
                <w:p w14:paraId="73A4E6D1">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8"/>
                      <w:sz w:val="21"/>
                      <w:szCs w:val="21"/>
                      <w:highlight w:val="none"/>
                      <w:lang w:val="en-US" w:eastAsia="zh-CN"/>
                    </w:rPr>
                  </w:pPr>
                  <w:r>
                    <w:rPr>
                      <w:rFonts w:hint="eastAsia" w:ascii="Times New Roman" w:hAnsi="Times New Roman" w:cs="Times New Roman"/>
                      <w:color w:val="auto"/>
                      <w:spacing w:val="8"/>
                      <w:sz w:val="21"/>
                      <w:szCs w:val="21"/>
                      <w:highlight w:val="none"/>
                      <w:lang w:val="en-US" w:eastAsia="zh-CN"/>
                    </w:rPr>
                    <w:t>2</w:t>
                  </w:r>
                  <w:r>
                    <w:rPr>
                      <w:rFonts w:hint="eastAsia" w:ascii="Times New Roman" w:hAnsi="Times New Roman" w:eastAsia="宋体" w:cs="Times New Roman"/>
                      <w:color w:val="auto"/>
                      <w:spacing w:val="8"/>
                      <w:sz w:val="21"/>
                      <w:szCs w:val="21"/>
                      <w:highlight w:val="none"/>
                      <w:lang w:val="en-US" w:eastAsia="zh-CN"/>
                    </w:rPr>
                    <w:t>类</w:t>
                  </w:r>
                </w:p>
              </w:tc>
              <w:tc>
                <w:tcPr>
                  <w:tcW w:w="503" w:type="pct"/>
                  <w:shd w:val="clear" w:color="auto" w:fill="auto"/>
                  <w:vAlign w:val="center"/>
                </w:tcPr>
                <w:p w14:paraId="4B1545EE">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Cs/>
                      <w:color w:val="auto"/>
                      <w:spacing w:val="8"/>
                      <w:kern w:val="2"/>
                      <w:sz w:val="21"/>
                      <w:szCs w:val="21"/>
                      <w:highlight w:val="none"/>
                      <w:lang w:val="en-US" w:eastAsia="zh-CN" w:bidi="ar-SA"/>
                    </w:rPr>
                  </w:pPr>
                  <w:r>
                    <w:rPr>
                      <w:rFonts w:hint="eastAsia" w:ascii="Times New Roman" w:hAnsi="Times New Roman" w:eastAsia="宋体" w:cs="Times New Roman"/>
                      <w:color w:val="auto"/>
                      <w:spacing w:val="8"/>
                      <w:sz w:val="21"/>
                      <w:szCs w:val="21"/>
                      <w:highlight w:val="none"/>
                      <w:lang w:val="en-US" w:eastAsia="zh-CN"/>
                    </w:rPr>
                    <w:t>N</w:t>
                  </w:r>
                </w:p>
              </w:tc>
              <w:tc>
                <w:tcPr>
                  <w:tcW w:w="424" w:type="pct"/>
                  <w:shd w:val="clear" w:color="auto" w:fill="auto"/>
                  <w:vAlign w:val="center"/>
                </w:tcPr>
                <w:p w14:paraId="6C75700A">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8"/>
                      <w:kern w:val="2"/>
                      <w:sz w:val="21"/>
                      <w:szCs w:val="21"/>
                      <w:highlight w:val="none"/>
                      <w:lang w:val="en-US" w:eastAsia="zh-CN" w:bidi="ar-SA"/>
                    </w:rPr>
                  </w:pPr>
                  <w:r>
                    <w:rPr>
                      <w:rFonts w:hint="eastAsia" w:ascii="Times New Roman" w:hAnsi="Times New Roman" w:eastAsia="宋体" w:cs="Times New Roman"/>
                      <w:color w:val="auto"/>
                      <w:spacing w:val="8"/>
                      <w:sz w:val="21"/>
                      <w:szCs w:val="21"/>
                      <w:highlight w:val="none"/>
                      <w:lang w:val="en-US" w:eastAsia="zh-CN"/>
                    </w:rPr>
                    <w:t>30</w:t>
                  </w:r>
                </w:p>
              </w:tc>
            </w:tr>
            <w:tr w14:paraId="4EF319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2" w:type="pct"/>
                  <w:vMerge w:val="continue"/>
                  <w:vAlign w:val="center"/>
                </w:tcPr>
                <w:p w14:paraId="4EDE8261">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auto"/>
                      <w:spacing w:val="8"/>
                      <w:sz w:val="21"/>
                      <w:szCs w:val="21"/>
                      <w:highlight w:val="none"/>
                      <w:lang w:val="en-US" w:eastAsia="zh-CN"/>
                    </w:rPr>
                  </w:pPr>
                </w:p>
              </w:tc>
              <w:tc>
                <w:tcPr>
                  <w:tcW w:w="585" w:type="pct"/>
                  <w:shd w:val="clear" w:color="auto" w:fill="auto"/>
                  <w:vAlign w:val="center"/>
                </w:tcPr>
                <w:p w14:paraId="35484794">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厂界</w:t>
                  </w:r>
                  <w:r>
                    <w:rPr>
                      <w:rFonts w:hint="eastAsia" w:ascii="Times New Roman" w:hAnsi="Times New Roman" w:cs="Times New Roman"/>
                      <w:color w:val="auto"/>
                      <w:sz w:val="21"/>
                      <w:szCs w:val="21"/>
                      <w:highlight w:val="none"/>
                      <w:lang w:val="en-US" w:eastAsia="zh-CN"/>
                    </w:rPr>
                    <w:t>西</w:t>
                  </w:r>
                  <w:r>
                    <w:rPr>
                      <w:rFonts w:hint="default" w:ascii="Times New Roman" w:hAnsi="Times New Roman" w:cs="Times New Roman"/>
                      <w:color w:val="auto"/>
                      <w:sz w:val="21"/>
                      <w:szCs w:val="21"/>
                      <w:highlight w:val="none"/>
                      <w:lang w:val="en-US" w:eastAsia="zh-CN"/>
                    </w:rPr>
                    <w:t>侧</w:t>
                  </w:r>
                  <w:r>
                    <w:rPr>
                      <w:rFonts w:hint="default" w:ascii="Times New Roman" w:hAnsi="Times New Roman" w:eastAsia="宋体" w:cs="Times New Roman"/>
                      <w:color w:val="auto"/>
                      <w:sz w:val="21"/>
                      <w:szCs w:val="21"/>
                      <w:highlight w:val="none"/>
                      <w:lang w:val="en-US" w:eastAsia="zh-CN"/>
                    </w:rPr>
                    <w:t>部分居民</w:t>
                  </w:r>
                </w:p>
              </w:tc>
              <w:tc>
                <w:tcPr>
                  <w:tcW w:w="825" w:type="pct"/>
                  <w:shd w:val="clear" w:color="auto" w:fill="auto"/>
                  <w:vAlign w:val="center"/>
                </w:tcPr>
                <w:p w14:paraId="3AADDD8E">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8"/>
                      <w:kern w:val="2"/>
                      <w:sz w:val="21"/>
                      <w:szCs w:val="21"/>
                      <w:highlight w:val="none"/>
                      <w:lang w:val="en-US" w:eastAsia="zh-CN" w:bidi="ar-SA"/>
                    </w:rPr>
                  </w:pPr>
                  <w:r>
                    <w:rPr>
                      <w:rFonts w:hint="default" w:ascii="Times New Roman" w:hAnsi="Times New Roman" w:eastAsia="宋体" w:cs="Times New Roman"/>
                      <w:color w:val="auto"/>
                      <w:spacing w:val="8"/>
                      <w:sz w:val="21"/>
                      <w:szCs w:val="21"/>
                      <w:highlight w:val="none"/>
                      <w:lang w:val="en-US" w:eastAsia="zh-CN"/>
                    </w:rPr>
                    <w:t>131.012436</w:t>
                  </w:r>
                </w:p>
              </w:tc>
              <w:tc>
                <w:tcPr>
                  <w:tcW w:w="754" w:type="pct"/>
                  <w:shd w:val="clear" w:color="auto" w:fill="auto"/>
                  <w:vAlign w:val="center"/>
                </w:tcPr>
                <w:p w14:paraId="6912E1B5">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8"/>
                      <w:kern w:val="2"/>
                      <w:sz w:val="21"/>
                      <w:szCs w:val="21"/>
                      <w:highlight w:val="none"/>
                      <w:lang w:val="en-US" w:eastAsia="zh-CN" w:bidi="ar-SA"/>
                    </w:rPr>
                  </w:pPr>
                  <w:r>
                    <w:rPr>
                      <w:rFonts w:hint="eastAsia" w:ascii="Times New Roman" w:hAnsi="Times New Roman" w:eastAsia="宋体" w:cs="Times New Roman"/>
                      <w:color w:val="auto"/>
                      <w:spacing w:val="8"/>
                      <w:sz w:val="21"/>
                      <w:szCs w:val="21"/>
                      <w:highlight w:val="none"/>
                      <w:lang w:val="en-US" w:eastAsia="zh-CN"/>
                    </w:rPr>
                    <w:t>45.348187</w:t>
                  </w:r>
                </w:p>
              </w:tc>
              <w:tc>
                <w:tcPr>
                  <w:tcW w:w="305" w:type="pct"/>
                  <w:vMerge w:val="continue"/>
                  <w:vAlign w:val="center"/>
                </w:tcPr>
                <w:p w14:paraId="1F93E24D">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auto"/>
                      <w:spacing w:val="8"/>
                      <w:sz w:val="21"/>
                      <w:szCs w:val="21"/>
                      <w:highlight w:val="none"/>
                      <w:lang w:val="en-US" w:eastAsia="zh-CN"/>
                    </w:rPr>
                  </w:pPr>
                </w:p>
              </w:tc>
              <w:tc>
                <w:tcPr>
                  <w:tcW w:w="359" w:type="pct"/>
                  <w:vMerge w:val="continue"/>
                  <w:vAlign w:val="center"/>
                </w:tcPr>
                <w:p w14:paraId="7FA050E7">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auto"/>
                      <w:spacing w:val="8"/>
                      <w:sz w:val="21"/>
                      <w:szCs w:val="21"/>
                      <w:highlight w:val="none"/>
                      <w:lang w:val="en-US" w:eastAsia="zh-CN"/>
                    </w:rPr>
                  </w:pPr>
                </w:p>
              </w:tc>
              <w:tc>
                <w:tcPr>
                  <w:tcW w:w="960" w:type="pct"/>
                  <w:vMerge w:val="continue"/>
                  <w:vAlign w:val="center"/>
                </w:tcPr>
                <w:p w14:paraId="1580CB8D">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auto"/>
                      <w:spacing w:val="8"/>
                      <w:sz w:val="21"/>
                      <w:szCs w:val="21"/>
                      <w:highlight w:val="none"/>
                      <w:lang w:val="en-US" w:eastAsia="zh-CN"/>
                    </w:rPr>
                  </w:pPr>
                </w:p>
              </w:tc>
              <w:tc>
                <w:tcPr>
                  <w:tcW w:w="503" w:type="pct"/>
                  <w:shd w:val="clear" w:color="auto" w:fill="auto"/>
                  <w:vAlign w:val="center"/>
                </w:tcPr>
                <w:p w14:paraId="61F89432">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Cs/>
                      <w:color w:val="auto"/>
                      <w:spacing w:val="8"/>
                      <w:kern w:val="2"/>
                      <w:sz w:val="21"/>
                      <w:szCs w:val="21"/>
                      <w:highlight w:val="none"/>
                      <w:lang w:val="en-US" w:eastAsia="zh-CN" w:bidi="ar-SA"/>
                    </w:rPr>
                  </w:pPr>
                  <w:r>
                    <w:rPr>
                      <w:rFonts w:hint="eastAsia" w:ascii="Times New Roman" w:hAnsi="Times New Roman" w:eastAsia="宋体" w:cs="Times New Roman"/>
                      <w:color w:val="auto"/>
                      <w:spacing w:val="8"/>
                      <w:sz w:val="21"/>
                      <w:szCs w:val="21"/>
                      <w:highlight w:val="none"/>
                      <w:lang w:val="en-US" w:eastAsia="zh-CN"/>
                    </w:rPr>
                    <w:t>W</w:t>
                  </w:r>
                </w:p>
              </w:tc>
              <w:tc>
                <w:tcPr>
                  <w:tcW w:w="424" w:type="pct"/>
                  <w:shd w:val="clear" w:color="auto" w:fill="auto"/>
                  <w:vAlign w:val="center"/>
                </w:tcPr>
                <w:p w14:paraId="73ADD4AF">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8"/>
                      <w:kern w:val="2"/>
                      <w:sz w:val="21"/>
                      <w:szCs w:val="21"/>
                      <w:highlight w:val="none"/>
                      <w:lang w:val="en-US" w:eastAsia="zh-CN" w:bidi="ar-SA"/>
                    </w:rPr>
                  </w:pPr>
                  <w:r>
                    <w:rPr>
                      <w:rFonts w:hint="eastAsia" w:ascii="Times New Roman" w:hAnsi="Times New Roman" w:eastAsia="宋体" w:cs="Times New Roman"/>
                      <w:color w:val="auto"/>
                      <w:spacing w:val="8"/>
                      <w:sz w:val="21"/>
                      <w:szCs w:val="21"/>
                      <w:highlight w:val="none"/>
                      <w:lang w:val="en-US" w:eastAsia="zh-CN"/>
                    </w:rPr>
                    <w:t>40</w:t>
                  </w:r>
                </w:p>
              </w:tc>
            </w:tr>
            <w:tr w14:paraId="177852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2" w:type="pct"/>
                  <w:vMerge w:val="continue"/>
                  <w:vAlign w:val="center"/>
                </w:tcPr>
                <w:p w14:paraId="2FE70720">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auto"/>
                      <w:spacing w:val="8"/>
                      <w:sz w:val="21"/>
                      <w:szCs w:val="21"/>
                      <w:highlight w:val="none"/>
                      <w:lang w:val="en-US" w:eastAsia="zh-CN"/>
                    </w:rPr>
                  </w:pPr>
                </w:p>
              </w:tc>
              <w:tc>
                <w:tcPr>
                  <w:tcW w:w="585" w:type="pct"/>
                  <w:shd w:val="clear" w:color="auto" w:fill="auto"/>
                  <w:vAlign w:val="center"/>
                </w:tcPr>
                <w:p w14:paraId="6B4E6CB3">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8"/>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城子河区公安局</w:t>
                  </w:r>
                </w:p>
              </w:tc>
              <w:tc>
                <w:tcPr>
                  <w:tcW w:w="825" w:type="pct"/>
                  <w:shd w:val="clear" w:color="auto" w:fill="auto"/>
                  <w:vAlign w:val="center"/>
                </w:tcPr>
                <w:p w14:paraId="080CCC11">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8"/>
                      <w:kern w:val="2"/>
                      <w:sz w:val="21"/>
                      <w:szCs w:val="21"/>
                      <w:highlight w:val="none"/>
                      <w:lang w:val="en-US" w:eastAsia="zh-CN" w:bidi="ar-SA"/>
                    </w:rPr>
                  </w:pPr>
                  <w:r>
                    <w:rPr>
                      <w:rFonts w:hint="default" w:ascii="Times New Roman" w:hAnsi="Times New Roman" w:eastAsia="宋体" w:cs="Times New Roman"/>
                      <w:color w:val="auto"/>
                      <w:spacing w:val="8"/>
                      <w:sz w:val="21"/>
                      <w:szCs w:val="21"/>
                      <w:highlight w:val="none"/>
                      <w:lang w:val="en-US" w:eastAsia="zh-CN"/>
                    </w:rPr>
                    <w:t>131.012490</w:t>
                  </w:r>
                </w:p>
              </w:tc>
              <w:tc>
                <w:tcPr>
                  <w:tcW w:w="754" w:type="pct"/>
                  <w:shd w:val="clear" w:color="auto" w:fill="auto"/>
                  <w:vAlign w:val="center"/>
                </w:tcPr>
                <w:p w14:paraId="7CF818D5">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8"/>
                      <w:kern w:val="2"/>
                      <w:sz w:val="21"/>
                      <w:szCs w:val="21"/>
                      <w:highlight w:val="none"/>
                      <w:lang w:val="en-US" w:eastAsia="zh-CN" w:bidi="ar-SA"/>
                    </w:rPr>
                  </w:pPr>
                  <w:r>
                    <w:rPr>
                      <w:rFonts w:hint="default" w:ascii="Times New Roman" w:hAnsi="Times New Roman" w:eastAsia="宋体" w:cs="Times New Roman"/>
                      <w:color w:val="auto"/>
                      <w:spacing w:val="8"/>
                      <w:sz w:val="21"/>
                      <w:szCs w:val="21"/>
                      <w:highlight w:val="none"/>
                      <w:lang w:val="en-US" w:eastAsia="zh-CN"/>
                    </w:rPr>
                    <w:t>45.349099</w:t>
                  </w:r>
                </w:p>
              </w:tc>
              <w:tc>
                <w:tcPr>
                  <w:tcW w:w="305" w:type="pct"/>
                  <w:vMerge w:val="restart"/>
                  <w:vAlign w:val="center"/>
                </w:tcPr>
                <w:p w14:paraId="7519788C">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事业单位</w:t>
                  </w:r>
                </w:p>
              </w:tc>
              <w:tc>
                <w:tcPr>
                  <w:tcW w:w="359" w:type="pct"/>
                  <w:vMerge w:val="restart"/>
                  <w:vAlign w:val="center"/>
                </w:tcPr>
                <w:p w14:paraId="65F52B5E">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auto"/>
                      <w:spacing w:val="8"/>
                      <w:sz w:val="21"/>
                      <w:szCs w:val="21"/>
                      <w:highlight w:val="none"/>
                      <w:lang w:val="en-US" w:eastAsia="zh-CN"/>
                    </w:rPr>
                  </w:pPr>
                  <w:r>
                    <w:rPr>
                      <w:rFonts w:hint="eastAsia" w:ascii="Times New Roman" w:hAnsi="Times New Roman" w:eastAsia="宋体" w:cs="Times New Roman"/>
                      <w:color w:val="auto"/>
                      <w:spacing w:val="8"/>
                      <w:sz w:val="21"/>
                      <w:szCs w:val="21"/>
                      <w:highlight w:val="none"/>
                      <w:lang w:val="en-US" w:eastAsia="zh-CN"/>
                    </w:rPr>
                    <w:t>职工</w:t>
                  </w:r>
                </w:p>
              </w:tc>
              <w:tc>
                <w:tcPr>
                  <w:tcW w:w="960" w:type="pct"/>
                  <w:vMerge w:val="continue"/>
                  <w:vAlign w:val="center"/>
                </w:tcPr>
                <w:p w14:paraId="398D2038">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auto"/>
                      <w:spacing w:val="8"/>
                      <w:sz w:val="21"/>
                      <w:szCs w:val="21"/>
                      <w:highlight w:val="none"/>
                      <w:lang w:val="en-US" w:eastAsia="zh-CN"/>
                    </w:rPr>
                  </w:pPr>
                </w:p>
              </w:tc>
              <w:tc>
                <w:tcPr>
                  <w:tcW w:w="503" w:type="pct"/>
                  <w:shd w:val="clear" w:color="auto" w:fill="auto"/>
                  <w:vAlign w:val="center"/>
                </w:tcPr>
                <w:p w14:paraId="720F54C1">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Cs/>
                      <w:color w:val="auto"/>
                      <w:spacing w:val="8"/>
                      <w:kern w:val="2"/>
                      <w:sz w:val="21"/>
                      <w:szCs w:val="21"/>
                      <w:highlight w:val="none"/>
                      <w:lang w:val="en-US" w:eastAsia="zh-CN" w:bidi="ar-SA"/>
                    </w:rPr>
                  </w:pPr>
                  <w:r>
                    <w:rPr>
                      <w:rFonts w:hint="eastAsia" w:ascii="Times New Roman" w:hAnsi="Times New Roman" w:eastAsia="宋体" w:cs="Times New Roman"/>
                      <w:color w:val="auto"/>
                      <w:spacing w:val="8"/>
                      <w:sz w:val="21"/>
                      <w:szCs w:val="21"/>
                      <w:highlight w:val="none"/>
                      <w:lang w:val="en-US" w:eastAsia="zh-CN"/>
                    </w:rPr>
                    <w:t>W</w:t>
                  </w:r>
                </w:p>
              </w:tc>
              <w:tc>
                <w:tcPr>
                  <w:tcW w:w="424" w:type="pct"/>
                  <w:shd w:val="clear" w:color="auto" w:fill="auto"/>
                  <w:vAlign w:val="center"/>
                </w:tcPr>
                <w:p w14:paraId="4A040752">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8"/>
                      <w:kern w:val="2"/>
                      <w:sz w:val="21"/>
                      <w:szCs w:val="21"/>
                      <w:highlight w:val="none"/>
                      <w:lang w:val="en-US" w:eastAsia="zh-CN" w:bidi="ar-SA"/>
                    </w:rPr>
                  </w:pPr>
                  <w:r>
                    <w:rPr>
                      <w:rFonts w:hint="eastAsia" w:ascii="Times New Roman" w:hAnsi="Times New Roman" w:eastAsia="宋体" w:cs="Times New Roman"/>
                      <w:color w:val="auto"/>
                      <w:spacing w:val="8"/>
                      <w:sz w:val="21"/>
                      <w:szCs w:val="21"/>
                      <w:highlight w:val="none"/>
                      <w:lang w:val="en-US" w:eastAsia="zh-CN"/>
                    </w:rPr>
                    <w:t>40</w:t>
                  </w:r>
                </w:p>
              </w:tc>
            </w:tr>
            <w:tr w14:paraId="4CD61A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2" w:type="pct"/>
                  <w:vMerge w:val="continue"/>
                  <w:vAlign w:val="center"/>
                </w:tcPr>
                <w:p w14:paraId="3C69EE52">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auto"/>
                      <w:spacing w:val="8"/>
                      <w:sz w:val="21"/>
                      <w:szCs w:val="21"/>
                      <w:highlight w:val="none"/>
                      <w:lang w:val="en-US" w:eastAsia="zh-CN"/>
                    </w:rPr>
                  </w:pPr>
                </w:p>
              </w:tc>
              <w:tc>
                <w:tcPr>
                  <w:tcW w:w="585" w:type="pct"/>
                  <w:shd w:val="clear" w:color="auto" w:fill="auto"/>
                  <w:vAlign w:val="center"/>
                </w:tcPr>
                <w:p w14:paraId="2FB8EF24">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城子河区纪检委</w:t>
                  </w:r>
                </w:p>
              </w:tc>
              <w:tc>
                <w:tcPr>
                  <w:tcW w:w="825" w:type="pct"/>
                  <w:shd w:val="clear" w:color="auto" w:fill="auto"/>
                  <w:vAlign w:val="center"/>
                </w:tcPr>
                <w:p w14:paraId="747AB0B2">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8"/>
                      <w:kern w:val="2"/>
                      <w:sz w:val="21"/>
                      <w:szCs w:val="21"/>
                      <w:highlight w:val="none"/>
                      <w:lang w:val="en-US" w:eastAsia="zh-CN" w:bidi="ar-SA"/>
                    </w:rPr>
                  </w:pPr>
                  <w:r>
                    <w:rPr>
                      <w:rFonts w:hint="default" w:ascii="Times New Roman" w:hAnsi="Times New Roman" w:eastAsia="宋体" w:cs="Times New Roman"/>
                      <w:color w:val="auto"/>
                      <w:spacing w:val="8"/>
                      <w:sz w:val="21"/>
                      <w:szCs w:val="21"/>
                      <w:highlight w:val="none"/>
                      <w:lang w:val="en-US" w:eastAsia="zh-CN"/>
                    </w:rPr>
                    <w:t>131.012479</w:t>
                  </w:r>
                </w:p>
              </w:tc>
              <w:tc>
                <w:tcPr>
                  <w:tcW w:w="754" w:type="pct"/>
                  <w:shd w:val="clear" w:color="auto" w:fill="auto"/>
                  <w:vAlign w:val="center"/>
                </w:tcPr>
                <w:p w14:paraId="5B270EED">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8"/>
                      <w:kern w:val="2"/>
                      <w:sz w:val="21"/>
                      <w:szCs w:val="21"/>
                      <w:highlight w:val="none"/>
                      <w:lang w:val="en-US" w:eastAsia="zh-CN" w:bidi="ar-SA"/>
                    </w:rPr>
                  </w:pPr>
                  <w:r>
                    <w:rPr>
                      <w:rFonts w:hint="default" w:ascii="Times New Roman" w:hAnsi="Times New Roman" w:eastAsia="宋体" w:cs="Times New Roman"/>
                      <w:color w:val="auto"/>
                      <w:spacing w:val="8"/>
                      <w:sz w:val="21"/>
                      <w:szCs w:val="21"/>
                      <w:highlight w:val="none"/>
                      <w:lang w:val="en-US" w:eastAsia="zh-CN"/>
                    </w:rPr>
                    <w:t>45.348590</w:t>
                  </w:r>
                </w:p>
              </w:tc>
              <w:tc>
                <w:tcPr>
                  <w:tcW w:w="305" w:type="pct"/>
                  <w:vMerge w:val="continue"/>
                  <w:vAlign w:val="center"/>
                </w:tcPr>
                <w:p w14:paraId="55E6D12D">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auto"/>
                      <w:spacing w:val="8"/>
                      <w:sz w:val="21"/>
                      <w:szCs w:val="21"/>
                      <w:highlight w:val="none"/>
                      <w:lang w:val="en-US" w:eastAsia="zh-CN"/>
                    </w:rPr>
                  </w:pPr>
                </w:p>
              </w:tc>
              <w:tc>
                <w:tcPr>
                  <w:tcW w:w="359" w:type="pct"/>
                  <w:vMerge w:val="continue"/>
                  <w:vAlign w:val="center"/>
                </w:tcPr>
                <w:p w14:paraId="3F6D7810">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auto"/>
                      <w:spacing w:val="8"/>
                      <w:sz w:val="21"/>
                      <w:szCs w:val="21"/>
                      <w:highlight w:val="none"/>
                      <w:lang w:val="en-US" w:eastAsia="zh-CN"/>
                    </w:rPr>
                  </w:pPr>
                </w:p>
              </w:tc>
              <w:tc>
                <w:tcPr>
                  <w:tcW w:w="960" w:type="pct"/>
                  <w:vMerge w:val="continue"/>
                  <w:vAlign w:val="center"/>
                </w:tcPr>
                <w:p w14:paraId="003DE274">
                  <w:pPr>
                    <w:pStyle w:val="148"/>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auto"/>
                      <w:spacing w:val="8"/>
                      <w:sz w:val="21"/>
                      <w:szCs w:val="21"/>
                      <w:highlight w:val="none"/>
                      <w:lang w:val="en-US" w:eastAsia="zh-CN"/>
                    </w:rPr>
                  </w:pPr>
                </w:p>
              </w:tc>
              <w:tc>
                <w:tcPr>
                  <w:tcW w:w="503" w:type="pct"/>
                  <w:shd w:val="clear" w:color="auto" w:fill="auto"/>
                  <w:vAlign w:val="center"/>
                </w:tcPr>
                <w:p w14:paraId="3A5A12DD">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Cs/>
                      <w:color w:val="auto"/>
                      <w:spacing w:val="8"/>
                      <w:kern w:val="2"/>
                      <w:sz w:val="21"/>
                      <w:szCs w:val="21"/>
                      <w:highlight w:val="none"/>
                      <w:lang w:val="en-US" w:eastAsia="zh-CN" w:bidi="ar-SA"/>
                    </w:rPr>
                  </w:pPr>
                  <w:r>
                    <w:rPr>
                      <w:rFonts w:hint="eastAsia" w:ascii="Times New Roman" w:hAnsi="Times New Roman" w:eastAsia="宋体" w:cs="Times New Roman"/>
                      <w:color w:val="auto"/>
                      <w:spacing w:val="8"/>
                      <w:sz w:val="21"/>
                      <w:szCs w:val="21"/>
                      <w:highlight w:val="none"/>
                      <w:lang w:val="en-US" w:eastAsia="zh-CN"/>
                    </w:rPr>
                    <w:t>W</w:t>
                  </w:r>
                </w:p>
              </w:tc>
              <w:tc>
                <w:tcPr>
                  <w:tcW w:w="424" w:type="pct"/>
                  <w:shd w:val="clear" w:color="auto" w:fill="auto"/>
                  <w:vAlign w:val="center"/>
                </w:tcPr>
                <w:p w14:paraId="492C4740">
                  <w:pPr>
                    <w:pStyle w:val="148"/>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8"/>
                      <w:kern w:val="2"/>
                      <w:sz w:val="21"/>
                      <w:szCs w:val="21"/>
                      <w:highlight w:val="none"/>
                      <w:lang w:val="en-US" w:eastAsia="zh-CN" w:bidi="ar-SA"/>
                    </w:rPr>
                  </w:pPr>
                  <w:r>
                    <w:rPr>
                      <w:rFonts w:hint="eastAsia" w:ascii="Times New Roman" w:hAnsi="Times New Roman" w:eastAsia="宋体" w:cs="Times New Roman"/>
                      <w:color w:val="auto"/>
                      <w:spacing w:val="8"/>
                      <w:sz w:val="21"/>
                      <w:szCs w:val="21"/>
                      <w:highlight w:val="none"/>
                      <w:lang w:val="en-US" w:eastAsia="zh-CN"/>
                    </w:rPr>
                    <w:t>40</w:t>
                  </w:r>
                </w:p>
              </w:tc>
            </w:tr>
          </w:tbl>
          <w:p w14:paraId="550AD485">
            <w:pPr>
              <w:ind w:left="0" w:leftChars="0" w:firstLine="0" w:firstLineChars="0"/>
              <w:rPr>
                <w:rFonts w:hint="default" w:ascii="Times New Roman" w:hAnsi="Times New Roman" w:cs="Times New Roman"/>
                <w:b/>
                <w:bCs w:val="0"/>
                <w:color w:val="auto"/>
                <w:spacing w:val="0"/>
                <w:sz w:val="24"/>
                <w:szCs w:val="24"/>
                <w:highlight w:val="none"/>
                <w:lang w:val="en-US" w:eastAsia="zh-CN"/>
              </w:rPr>
            </w:pPr>
          </w:p>
          <w:p w14:paraId="5ECA7DD5">
            <w:pPr>
              <w:ind w:left="0" w:leftChars="0" w:firstLine="0" w:firstLineChars="0"/>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2.</w:t>
            </w:r>
            <w:r>
              <w:rPr>
                <w:rFonts w:hint="default" w:ascii="Times New Roman" w:hAnsi="Times New Roman" w:eastAsia="宋体" w:cs="Times New Roman"/>
                <w:b/>
                <w:bCs w:val="0"/>
                <w:color w:val="auto"/>
                <w:spacing w:val="0"/>
                <w:sz w:val="24"/>
                <w:szCs w:val="24"/>
                <w:highlight w:val="none"/>
                <w:lang w:val="en-US" w:eastAsia="zh-CN"/>
              </w:rPr>
              <w:t>地下水环境</w:t>
            </w:r>
          </w:p>
          <w:p w14:paraId="7C01D407">
            <w:pPr>
              <w:numPr>
                <w:ilvl w:val="0"/>
                <w:numId w:val="0"/>
              </w:numPr>
              <w:bidi w:val="0"/>
              <w:ind w:firstLine="480" w:firstLineChars="200"/>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厂界外500米范围内无</w:t>
            </w:r>
            <w:r>
              <w:rPr>
                <w:rFonts w:hint="default" w:ascii="Times New Roman" w:hAnsi="Times New Roman" w:eastAsia="宋体" w:cs="Times New Roman"/>
                <w:color w:val="auto"/>
                <w:spacing w:val="0"/>
                <w:sz w:val="24"/>
                <w:szCs w:val="24"/>
                <w:highlight w:val="none"/>
              </w:rPr>
              <w:t>地下水集中式饮用水水源和热水、矿泉水、温泉等特殊地下水资源</w:t>
            </w:r>
            <w:r>
              <w:rPr>
                <w:rFonts w:hint="default" w:ascii="Times New Roman" w:hAnsi="Times New Roman" w:eastAsia="宋体" w:cs="Times New Roman"/>
                <w:color w:val="auto"/>
                <w:spacing w:val="0"/>
                <w:sz w:val="24"/>
                <w:szCs w:val="24"/>
                <w:highlight w:val="none"/>
                <w:lang w:eastAsia="zh-CN"/>
              </w:rPr>
              <w:t>。</w:t>
            </w:r>
          </w:p>
        </w:tc>
      </w:tr>
      <w:tr w14:paraId="597298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542" w:type="dxa"/>
            <w:noWrap w:val="0"/>
            <w:tcMar>
              <w:left w:w="28" w:type="dxa"/>
              <w:right w:w="28" w:type="dxa"/>
            </w:tcMar>
            <w:vAlign w:val="center"/>
          </w:tcPr>
          <w:p w14:paraId="170C340E">
            <w:pPr>
              <w:spacing w:line="240" w:lineRule="auto"/>
              <w:ind w:firstLine="0" w:firstLineChars="0"/>
              <w:jc w:val="center"/>
              <w:rPr>
                <w:rFonts w:hint="default" w:ascii="Times New Roman" w:hAnsi="Times New Roman" w:eastAsia="宋体" w:cs="Times New Roman"/>
                <w:color w:val="auto"/>
                <w:spacing w:val="0"/>
                <w:kern w:val="0"/>
                <w:highlight w:val="none"/>
              </w:rPr>
            </w:pPr>
            <w:r>
              <w:rPr>
                <w:rFonts w:hint="default" w:ascii="Times New Roman" w:hAnsi="Times New Roman" w:eastAsia="宋体" w:cs="Times New Roman"/>
                <w:color w:val="auto"/>
                <w:spacing w:val="0"/>
                <w:kern w:val="0"/>
                <w:highlight w:val="none"/>
              </w:rPr>
              <w:t>污染</w:t>
            </w:r>
          </w:p>
          <w:p w14:paraId="7A658D75">
            <w:pPr>
              <w:spacing w:line="240" w:lineRule="auto"/>
              <w:ind w:firstLine="0" w:firstLineChars="0"/>
              <w:jc w:val="center"/>
              <w:rPr>
                <w:rFonts w:hint="default" w:ascii="Times New Roman" w:hAnsi="Times New Roman" w:eastAsia="宋体" w:cs="Times New Roman"/>
                <w:color w:val="auto"/>
                <w:spacing w:val="0"/>
                <w:kern w:val="0"/>
                <w:highlight w:val="none"/>
              </w:rPr>
            </w:pPr>
            <w:r>
              <w:rPr>
                <w:rFonts w:hint="default" w:ascii="Times New Roman" w:hAnsi="Times New Roman" w:eastAsia="宋体" w:cs="Times New Roman"/>
                <w:color w:val="auto"/>
                <w:spacing w:val="0"/>
                <w:kern w:val="0"/>
                <w:highlight w:val="none"/>
              </w:rPr>
              <w:t>物排</w:t>
            </w:r>
          </w:p>
          <w:p w14:paraId="2102B231">
            <w:pPr>
              <w:spacing w:line="240" w:lineRule="auto"/>
              <w:ind w:firstLine="0" w:firstLineChars="0"/>
              <w:jc w:val="center"/>
              <w:rPr>
                <w:rFonts w:hint="default" w:ascii="Times New Roman" w:hAnsi="Times New Roman" w:eastAsia="宋体" w:cs="Times New Roman"/>
                <w:color w:val="auto"/>
                <w:spacing w:val="0"/>
                <w:kern w:val="0"/>
                <w:highlight w:val="none"/>
              </w:rPr>
            </w:pPr>
            <w:r>
              <w:rPr>
                <w:rFonts w:hint="default" w:ascii="Times New Roman" w:hAnsi="Times New Roman" w:eastAsia="宋体" w:cs="Times New Roman"/>
                <w:color w:val="auto"/>
                <w:spacing w:val="0"/>
                <w:kern w:val="0"/>
                <w:highlight w:val="none"/>
              </w:rPr>
              <w:t>放控</w:t>
            </w:r>
          </w:p>
          <w:p w14:paraId="480B8A41">
            <w:pPr>
              <w:spacing w:line="240" w:lineRule="auto"/>
              <w:ind w:firstLine="0" w:firstLineChars="0"/>
              <w:jc w:val="center"/>
              <w:rPr>
                <w:rFonts w:hint="default" w:ascii="Times New Roman" w:hAnsi="Times New Roman" w:eastAsia="宋体" w:cs="Times New Roman"/>
                <w:color w:val="auto"/>
                <w:spacing w:val="0"/>
                <w:kern w:val="0"/>
                <w:highlight w:val="none"/>
              </w:rPr>
            </w:pPr>
            <w:r>
              <w:rPr>
                <w:rFonts w:hint="default" w:ascii="Times New Roman" w:hAnsi="Times New Roman" w:eastAsia="宋体" w:cs="Times New Roman"/>
                <w:color w:val="auto"/>
                <w:spacing w:val="0"/>
                <w:kern w:val="0"/>
                <w:highlight w:val="none"/>
              </w:rPr>
              <w:t>制标</w:t>
            </w:r>
          </w:p>
          <w:p w14:paraId="1F58AEC0">
            <w:pPr>
              <w:spacing w:line="240" w:lineRule="auto"/>
              <w:ind w:firstLine="0" w:firstLineChars="0"/>
              <w:jc w:val="center"/>
              <w:rPr>
                <w:rFonts w:hint="default" w:ascii="Times New Roman" w:hAnsi="Times New Roman" w:eastAsia="宋体" w:cs="Times New Roman"/>
                <w:color w:val="auto"/>
                <w:spacing w:val="0"/>
                <w:kern w:val="0"/>
                <w:highlight w:val="none"/>
              </w:rPr>
            </w:pPr>
            <w:r>
              <w:rPr>
                <w:rFonts w:hint="default" w:ascii="Times New Roman" w:hAnsi="Times New Roman" w:eastAsia="宋体" w:cs="Times New Roman"/>
                <w:color w:val="auto"/>
                <w:spacing w:val="0"/>
                <w:kern w:val="0"/>
                <w:highlight w:val="none"/>
              </w:rPr>
              <w:t>准</w:t>
            </w:r>
          </w:p>
        </w:tc>
        <w:tc>
          <w:tcPr>
            <w:tcW w:w="7987" w:type="dxa"/>
            <w:noWrap w:val="0"/>
            <w:vAlign w:val="center"/>
          </w:tcPr>
          <w:p w14:paraId="6210D782">
            <w:pPr>
              <w:spacing w:line="360" w:lineRule="auto"/>
              <w:ind w:left="0" w:leftChars="0" w:firstLine="0" w:firstLineChars="0"/>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1.</w:t>
            </w:r>
            <w:r>
              <w:rPr>
                <w:rFonts w:hint="default" w:ascii="Times New Roman" w:hAnsi="Times New Roman" w:eastAsia="宋体" w:cs="Times New Roman"/>
                <w:b/>
                <w:bCs w:val="0"/>
                <w:color w:val="auto"/>
                <w:spacing w:val="0"/>
                <w:sz w:val="24"/>
                <w:szCs w:val="24"/>
                <w:highlight w:val="none"/>
                <w:lang w:val="en-US" w:eastAsia="zh-CN"/>
              </w:rPr>
              <w:t>废气</w:t>
            </w:r>
          </w:p>
          <w:p w14:paraId="1CEC7ECF">
            <w:pPr>
              <w:pStyle w:val="114"/>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1、施工期</w:t>
            </w:r>
          </w:p>
          <w:p w14:paraId="37C983EC">
            <w:pPr>
              <w:pStyle w:val="114"/>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施工期扬尘执行《大气污染物综合排放标准》（GB16297-1996）表2新污染源大气污染物排放限值中无组织排放监控浓度限值。具体见下表。</w:t>
            </w:r>
          </w:p>
          <w:p w14:paraId="48D6BB7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val="en-GB" w:eastAsia="zh-CN"/>
              </w:rPr>
            </w:pPr>
            <w:r>
              <w:rPr>
                <w:rFonts w:hint="default" w:ascii="Times New Roman" w:hAnsi="Times New Roman" w:eastAsia="宋体" w:cs="Times New Roman"/>
                <w:b/>
                <w:color w:val="auto"/>
                <w:spacing w:val="0"/>
                <w:sz w:val="21"/>
                <w:szCs w:val="21"/>
                <w:highlight w:val="none"/>
                <w:lang w:val="en-GB" w:eastAsia="zh-CN"/>
              </w:rPr>
              <w:t>表3-</w:t>
            </w:r>
            <w:r>
              <w:rPr>
                <w:rFonts w:hint="default" w:ascii="Times New Roman" w:hAnsi="Times New Roman" w:eastAsia="宋体" w:cs="Times New Roman"/>
                <w:b/>
                <w:color w:val="auto"/>
                <w:spacing w:val="0"/>
                <w:sz w:val="21"/>
                <w:szCs w:val="21"/>
                <w:highlight w:val="none"/>
                <w:lang w:val="en-US" w:eastAsia="zh-CN"/>
              </w:rPr>
              <w:t xml:space="preserve">6 </w:t>
            </w:r>
            <w:r>
              <w:rPr>
                <w:rFonts w:hint="default" w:ascii="Times New Roman" w:hAnsi="Times New Roman" w:eastAsia="宋体" w:cs="Times New Roman"/>
                <w:b/>
                <w:color w:val="auto"/>
                <w:spacing w:val="0"/>
                <w:sz w:val="21"/>
                <w:szCs w:val="21"/>
                <w:highlight w:val="none"/>
                <w:lang w:val="en-GB" w:eastAsia="zh-CN"/>
              </w:rPr>
              <w:t>《大气污染物综合排放标准》（GB16297-1996）</w:t>
            </w:r>
          </w:p>
          <w:tbl>
            <w:tblPr>
              <w:tblStyle w:val="36"/>
              <w:tblW w:w="79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16"/>
              <w:gridCol w:w="2364"/>
              <w:gridCol w:w="1791"/>
              <w:gridCol w:w="2366"/>
            </w:tblGrid>
            <w:tr w14:paraId="058755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16" w:type="dxa"/>
                  <w:tcBorders>
                    <w:top w:val="single" w:color="auto" w:sz="12" w:space="0"/>
                    <w:left w:val="nil"/>
                    <w:bottom w:val="single" w:color="auto" w:sz="4" w:space="0"/>
                    <w:right w:val="single" w:color="auto" w:sz="4" w:space="0"/>
                  </w:tcBorders>
                  <w:vAlign w:val="center"/>
                </w:tcPr>
                <w:p w14:paraId="70E2B00D">
                  <w:pPr>
                    <w:pStyle w:val="159"/>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污染物</w:t>
                  </w:r>
                </w:p>
              </w:tc>
              <w:tc>
                <w:tcPr>
                  <w:tcW w:w="2364" w:type="dxa"/>
                  <w:tcBorders>
                    <w:top w:val="single" w:color="auto" w:sz="12" w:space="0"/>
                    <w:left w:val="single" w:color="auto" w:sz="4" w:space="0"/>
                    <w:bottom w:val="single" w:color="auto" w:sz="4" w:space="0"/>
                    <w:right w:val="single" w:color="auto" w:sz="4" w:space="0"/>
                  </w:tcBorders>
                  <w:vAlign w:val="bottom"/>
                </w:tcPr>
                <w:p w14:paraId="4388CB2C">
                  <w:pPr>
                    <w:pStyle w:val="159"/>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限值（mg/m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w:t>
                  </w:r>
                </w:p>
              </w:tc>
              <w:tc>
                <w:tcPr>
                  <w:tcW w:w="1791" w:type="dxa"/>
                  <w:tcBorders>
                    <w:top w:val="single" w:color="auto" w:sz="12" w:space="0"/>
                    <w:left w:val="single" w:color="auto" w:sz="4" w:space="0"/>
                    <w:bottom w:val="single" w:color="auto" w:sz="4" w:space="0"/>
                    <w:right w:val="single" w:color="auto" w:sz="4" w:space="0"/>
                  </w:tcBorders>
                  <w:vAlign w:val="center"/>
                </w:tcPr>
                <w:p w14:paraId="71E738EA">
                  <w:pPr>
                    <w:pStyle w:val="159"/>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rPr>
                    <w:t>限值</w:t>
                  </w:r>
                  <w:r>
                    <w:rPr>
                      <w:rFonts w:hint="default" w:ascii="Times New Roman" w:hAnsi="Times New Roman" w:eastAsia="宋体" w:cs="Times New Roman"/>
                      <w:color w:val="auto"/>
                      <w:kern w:val="0"/>
                      <w:sz w:val="21"/>
                      <w:szCs w:val="21"/>
                      <w:highlight w:val="none"/>
                    </w:rPr>
                    <w:t>含义</w:t>
                  </w:r>
                </w:p>
              </w:tc>
              <w:tc>
                <w:tcPr>
                  <w:tcW w:w="2366" w:type="dxa"/>
                  <w:tcBorders>
                    <w:top w:val="single" w:color="auto" w:sz="12" w:space="0"/>
                    <w:left w:val="single" w:color="auto" w:sz="4" w:space="0"/>
                    <w:bottom w:val="single" w:color="auto" w:sz="4" w:space="0"/>
                    <w:right w:val="nil"/>
                  </w:tcBorders>
                  <w:vAlign w:val="center"/>
                </w:tcPr>
                <w:p w14:paraId="4E7F525B">
                  <w:pPr>
                    <w:pStyle w:val="159"/>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监控位置</w:t>
                  </w:r>
                </w:p>
              </w:tc>
            </w:tr>
            <w:tr w14:paraId="79E1C5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16" w:type="dxa"/>
                  <w:tcBorders>
                    <w:top w:val="single" w:color="auto" w:sz="4" w:space="0"/>
                    <w:left w:val="nil"/>
                    <w:bottom w:val="single" w:color="auto" w:sz="12" w:space="0"/>
                    <w:right w:val="single" w:color="auto" w:sz="4" w:space="0"/>
                  </w:tcBorders>
                  <w:vAlign w:val="center"/>
                </w:tcPr>
                <w:p w14:paraId="33F69D5D">
                  <w:pPr>
                    <w:pStyle w:val="159"/>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颗粒物</w:t>
                  </w:r>
                </w:p>
              </w:tc>
              <w:tc>
                <w:tcPr>
                  <w:tcW w:w="2364" w:type="dxa"/>
                  <w:tcBorders>
                    <w:top w:val="single" w:color="auto" w:sz="4" w:space="0"/>
                    <w:left w:val="single" w:color="auto" w:sz="4" w:space="0"/>
                    <w:bottom w:val="single" w:color="auto" w:sz="12" w:space="0"/>
                    <w:right w:val="single" w:color="auto" w:sz="4" w:space="0"/>
                  </w:tcBorders>
                  <w:vAlign w:val="center"/>
                </w:tcPr>
                <w:p w14:paraId="16FFBF98">
                  <w:pPr>
                    <w:pStyle w:val="159"/>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1.0</w:t>
                  </w:r>
                </w:p>
              </w:tc>
              <w:tc>
                <w:tcPr>
                  <w:tcW w:w="1791" w:type="dxa"/>
                  <w:tcBorders>
                    <w:top w:val="single" w:color="auto" w:sz="4" w:space="0"/>
                    <w:left w:val="single" w:color="auto" w:sz="4" w:space="0"/>
                    <w:bottom w:val="single" w:color="auto" w:sz="12" w:space="0"/>
                    <w:right w:val="single" w:color="auto" w:sz="4" w:space="0"/>
                  </w:tcBorders>
                  <w:vAlign w:val="center"/>
                </w:tcPr>
                <w:p w14:paraId="6C65F6A5">
                  <w:pPr>
                    <w:pStyle w:val="159"/>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无组织排放浓度</w:t>
                  </w:r>
                </w:p>
              </w:tc>
              <w:tc>
                <w:tcPr>
                  <w:tcW w:w="2366" w:type="dxa"/>
                  <w:tcBorders>
                    <w:top w:val="single" w:color="auto" w:sz="4" w:space="0"/>
                    <w:left w:val="single" w:color="auto" w:sz="4" w:space="0"/>
                    <w:bottom w:val="single" w:color="auto" w:sz="12" w:space="0"/>
                    <w:right w:val="nil"/>
                  </w:tcBorders>
                  <w:vAlign w:val="center"/>
                </w:tcPr>
                <w:p w14:paraId="1EB3FC46">
                  <w:pPr>
                    <w:pStyle w:val="159"/>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周界外浓度最高点</w:t>
                  </w:r>
                </w:p>
              </w:tc>
            </w:tr>
          </w:tbl>
          <w:p w14:paraId="009AB8F6">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rPr>
                <w:rFonts w:hint="default" w:ascii="Times New Roman" w:hAnsi="Times New Roman" w:eastAsia="宋体" w:cs="Times New Roman"/>
                <w:color w:val="auto"/>
                <w:spacing w:val="0"/>
                <w:kern w:val="0"/>
                <w:sz w:val="24"/>
                <w:highlight w:val="none"/>
                <w:lang w:val="en-US" w:eastAsia="zh-CN"/>
              </w:rPr>
            </w:pPr>
            <w:r>
              <w:rPr>
                <w:rFonts w:hint="eastAsia" w:ascii="Times New Roman" w:hAnsi="Times New Roman" w:cs="Times New Roman"/>
                <w:color w:val="auto"/>
                <w:spacing w:val="0"/>
                <w:kern w:val="0"/>
                <w:sz w:val="24"/>
                <w:highlight w:val="none"/>
                <w:lang w:val="en-US" w:eastAsia="zh-CN"/>
              </w:rPr>
              <w:t>2、运营期</w:t>
            </w:r>
          </w:p>
          <w:p w14:paraId="4A9560F2">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rPr>
                <w:rFonts w:hint="default" w:ascii="Times New Roman" w:hAnsi="Times New Roman" w:eastAsia="宋体" w:cs="Times New Roman"/>
                <w:color w:val="auto"/>
                <w:spacing w:val="0"/>
                <w:kern w:val="0"/>
                <w:sz w:val="24"/>
                <w:highlight w:val="none"/>
              </w:rPr>
            </w:pPr>
            <w:r>
              <w:rPr>
                <w:rFonts w:hint="default" w:ascii="Times New Roman" w:hAnsi="Times New Roman" w:eastAsia="宋体" w:cs="Times New Roman"/>
                <w:color w:val="auto"/>
                <w:spacing w:val="0"/>
                <w:kern w:val="0"/>
                <w:sz w:val="24"/>
                <w:highlight w:val="none"/>
                <w:lang w:val="en-US" w:eastAsia="zh-CN"/>
              </w:rPr>
              <w:t>运营期锅炉烟气执行《锅炉大气污染物排放标准》（GB13271-2014）表2新建锅炉大气污染物排放浓度限值；运营期</w:t>
            </w:r>
            <w:r>
              <w:rPr>
                <w:rFonts w:hint="default" w:ascii="Times New Roman" w:hAnsi="Times New Roman" w:cs="Times New Roman"/>
                <w:color w:val="auto"/>
                <w:spacing w:val="0"/>
                <w:kern w:val="0"/>
                <w:sz w:val="24"/>
                <w:highlight w:val="none"/>
                <w:lang w:val="en-US" w:eastAsia="zh-CN"/>
              </w:rPr>
              <w:t>生物质燃料</w:t>
            </w:r>
            <w:r>
              <w:rPr>
                <w:rFonts w:hint="default" w:ascii="Times New Roman" w:hAnsi="Times New Roman" w:eastAsia="宋体" w:cs="Times New Roman"/>
                <w:color w:val="auto"/>
                <w:spacing w:val="0"/>
                <w:kern w:val="0"/>
                <w:sz w:val="24"/>
                <w:highlight w:val="none"/>
                <w:lang w:val="en-US" w:eastAsia="zh-CN"/>
              </w:rPr>
              <w:t>无组织颗粒物执行《大气污染物综合排放标准》（GB16297-1996）表2中无组织排放监控浓度限值要求</w:t>
            </w:r>
            <w:r>
              <w:rPr>
                <w:rFonts w:hint="default" w:ascii="Times New Roman" w:hAnsi="Times New Roman" w:cs="Times New Roman"/>
                <w:color w:val="auto"/>
                <w:spacing w:val="0"/>
                <w:kern w:val="0"/>
                <w:sz w:val="24"/>
                <w:highlight w:val="none"/>
                <w:lang w:val="en-US" w:eastAsia="zh-CN"/>
              </w:rPr>
              <w:t>。</w:t>
            </w:r>
          </w:p>
          <w:p w14:paraId="0D5AE2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eastAsia="zh-CN"/>
              </w:rPr>
            </w:pPr>
            <w:r>
              <w:rPr>
                <w:rFonts w:hint="default" w:ascii="Times New Roman" w:hAnsi="Times New Roman" w:eastAsia="宋体" w:cs="Times New Roman"/>
                <w:b/>
                <w:color w:val="auto"/>
                <w:spacing w:val="0"/>
                <w:sz w:val="21"/>
                <w:szCs w:val="21"/>
                <w:highlight w:val="none"/>
              </w:rPr>
              <w:t>表3-</w:t>
            </w:r>
            <w:r>
              <w:rPr>
                <w:rFonts w:hint="eastAsia" w:ascii="Times New Roman" w:hAnsi="Times New Roman" w:cs="Times New Roman"/>
                <w:b/>
                <w:color w:val="auto"/>
                <w:spacing w:val="0"/>
                <w:sz w:val="21"/>
                <w:szCs w:val="21"/>
                <w:highlight w:val="none"/>
                <w:lang w:val="en-US" w:eastAsia="zh-CN"/>
              </w:rPr>
              <w:t>7</w:t>
            </w:r>
            <w:r>
              <w:rPr>
                <w:rFonts w:hint="default" w:ascii="Times New Roman" w:hAnsi="Times New Roman" w:eastAsia="宋体" w:cs="Times New Roman"/>
                <w:b/>
                <w:color w:val="auto"/>
                <w:spacing w:val="0"/>
                <w:sz w:val="21"/>
                <w:szCs w:val="21"/>
                <w:highlight w:val="none"/>
                <w:lang w:val="en-US" w:eastAsia="zh-CN"/>
              </w:rPr>
              <w:t xml:space="preserve"> 《锅炉大气污染物排放标准》（GB13271-2014）</w:t>
            </w:r>
          </w:p>
          <w:tbl>
            <w:tblPr>
              <w:tblStyle w:val="3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73"/>
              <w:gridCol w:w="1770"/>
              <w:gridCol w:w="3316"/>
            </w:tblGrid>
            <w:tr w14:paraId="567ADF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764" w:type="pct"/>
                  <w:vMerge w:val="restart"/>
                  <w:noWrap w:val="0"/>
                  <w:vAlign w:val="center"/>
                </w:tcPr>
                <w:p w14:paraId="708FBC0B">
                  <w:pPr>
                    <w:pStyle w:val="13"/>
                    <w:spacing w:after="0" w:line="240" w:lineRule="auto"/>
                    <w:ind w:left="0" w:leftChars="0" w:firstLine="0" w:firstLineChars="0"/>
                    <w:jc w:val="center"/>
                    <w:rPr>
                      <w:rFonts w:hint="default" w:ascii="Times New Roman" w:hAnsi="Times New Roman" w:eastAsia="宋体" w:cs="Times New Roman"/>
                      <w:bCs w:val="0"/>
                      <w:color w:val="auto"/>
                      <w:spacing w:val="0"/>
                      <w:kern w:val="2"/>
                      <w:sz w:val="21"/>
                      <w:szCs w:val="21"/>
                      <w:highlight w:val="none"/>
                      <w:lang w:val="en-US" w:eastAsia="zh-CN" w:bidi="ar-SA"/>
                    </w:rPr>
                  </w:pPr>
                  <w:r>
                    <w:rPr>
                      <w:rFonts w:hint="default" w:ascii="Times New Roman" w:hAnsi="Times New Roman" w:eastAsia="宋体" w:cs="Times New Roman"/>
                      <w:bCs w:val="0"/>
                      <w:color w:val="auto"/>
                      <w:spacing w:val="0"/>
                      <w:kern w:val="2"/>
                      <w:sz w:val="21"/>
                      <w:szCs w:val="21"/>
                      <w:highlight w:val="none"/>
                      <w:lang w:val="en-US" w:eastAsia="zh-CN" w:bidi="ar-SA"/>
                    </w:rPr>
                    <w:t>污染物项目</w:t>
                  </w:r>
                </w:p>
              </w:tc>
              <w:tc>
                <w:tcPr>
                  <w:tcW w:w="1126" w:type="pct"/>
                  <w:noWrap w:val="0"/>
                  <w:vAlign w:val="center"/>
                </w:tcPr>
                <w:p w14:paraId="78AE2CC3">
                  <w:pPr>
                    <w:pStyle w:val="13"/>
                    <w:spacing w:after="0" w:line="240" w:lineRule="auto"/>
                    <w:ind w:left="0" w:leftChars="0" w:firstLine="0" w:firstLineChars="0"/>
                    <w:jc w:val="center"/>
                    <w:rPr>
                      <w:rFonts w:hint="default" w:ascii="Times New Roman" w:hAnsi="Times New Roman" w:eastAsia="宋体" w:cs="Times New Roman"/>
                      <w:bCs w:val="0"/>
                      <w:color w:val="auto"/>
                      <w:spacing w:val="0"/>
                      <w:kern w:val="2"/>
                      <w:sz w:val="21"/>
                      <w:szCs w:val="21"/>
                      <w:highlight w:val="none"/>
                      <w:lang w:val="en-US" w:eastAsia="zh-CN" w:bidi="ar-SA"/>
                    </w:rPr>
                  </w:pPr>
                  <w:r>
                    <w:rPr>
                      <w:rFonts w:hint="default" w:ascii="Times New Roman" w:hAnsi="Times New Roman" w:eastAsia="宋体" w:cs="Times New Roman"/>
                      <w:bCs w:val="0"/>
                      <w:color w:val="auto"/>
                      <w:spacing w:val="0"/>
                      <w:kern w:val="2"/>
                      <w:sz w:val="21"/>
                      <w:szCs w:val="21"/>
                      <w:highlight w:val="none"/>
                      <w:lang w:val="en-US" w:eastAsia="zh-CN" w:bidi="ar-SA"/>
                    </w:rPr>
                    <w:t>限值mg/m</w:t>
                  </w:r>
                  <w:r>
                    <w:rPr>
                      <w:rFonts w:hint="default" w:ascii="Times New Roman" w:hAnsi="Times New Roman" w:eastAsia="宋体" w:cs="Times New Roman"/>
                      <w:bCs w:val="0"/>
                      <w:color w:val="auto"/>
                      <w:spacing w:val="0"/>
                      <w:kern w:val="2"/>
                      <w:sz w:val="21"/>
                      <w:szCs w:val="21"/>
                      <w:highlight w:val="none"/>
                      <w:vertAlign w:val="superscript"/>
                      <w:lang w:val="en-US" w:eastAsia="zh-CN" w:bidi="ar-SA"/>
                    </w:rPr>
                    <w:t>3</w:t>
                  </w:r>
                </w:p>
              </w:tc>
              <w:tc>
                <w:tcPr>
                  <w:tcW w:w="2109" w:type="pct"/>
                  <w:vMerge w:val="restart"/>
                  <w:noWrap w:val="0"/>
                  <w:vAlign w:val="center"/>
                </w:tcPr>
                <w:p w14:paraId="06103B5A">
                  <w:pPr>
                    <w:pStyle w:val="13"/>
                    <w:spacing w:after="0" w:line="240" w:lineRule="auto"/>
                    <w:ind w:left="0" w:leftChars="0" w:firstLine="0" w:firstLineChars="0"/>
                    <w:jc w:val="center"/>
                    <w:rPr>
                      <w:rFonts w:hint="default" w:ascii="Times New Roman" w:hAnsi="Times New Roman" w:eastAsia="宋体" w:cs="Times New Roman"/>
                      <w:bCs w:val="0"/>
                      <w:color w:val="auto"/>
                      <w:spacing w:val="0"/>
                      <w:kern w:val="2"/>
                      <w:sz w:val="21"/>
                      <w:szCs w:val="21"/>
                      <w:highlight w:val="none"/>
                      <w:lang w:val="en-US" w:eastAsia="zh-CN" w:bidi="ar-SA"/>
                    </w:rPr>
                  </w:pPr>
                  <w:r>
                    <w:rPr>
                      <w:rFonts w:hint="default" w:ascii="Times New Roman" w:hAnsi="Times New Roman" w:eastAsia="宋体" w:cs="Times New Roman"/>
                      <w:bCs w:val="0"/>
                      <w:color w:val="auto"/>
                      <w:spacing w:val="0"/>
                      <w:kern w:val="2"/>
                      <w:sz w:val="21"/>
                      <w:szCs w:val="21"/>
                      <w:highlight w:val="none"/>
                      <w:lang w:val="en-US" w:eastAsia="zh-CN" w:bidi="ar-SA"/>
                    </w:rPr>
                    <w:t>污染物排放监控位置</w:t>
                  </w:r>
                </w:p>
              </w:tc>
            </w:tr>
            <w:tr w14:paraId="024563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764" w:type="pct"/>
                  <w:vMerge w:val="continue"/>
                  <w:noWrap w:val="0"/>
                  <w:vAlign w:val="center"/>
                </w:tcPr>
                <w:p w14:paraId="62343F74">
                  <w:pPr>
                    <w:pStyle w:val="13"/>
                    <w:spacing w:after="0" w:line="240" w:lineRule="auto"/>
                    <w:ind w:left="0" w:leftChars="0" w:firstLine="360"/>
                    <w:jc w:val="center"/>
                    <w:rPr>
                      <w:rFonts w:hint="default" w:ascii="Times New Roman" w:hAnsi="Times New Roman" w:eastAsia="宋体" w:cs="Times New Roman"/>
                      <w:bCs w:val="0"/>
                      <w:color w:val="auto"/>
                      <w:spacing w:val="0"/>
                      <w:kern w:val="2"/>
                      <w:sz w:val="21"/>
                      <w:szCs w:val="21"/>
                      <w:highlight w:val="none"/>
                      <w:lang w:val="en-US" w:eastAsia="zh-CN" w:bidi="ar-SA"/>
                    </w:rPr>
                  </w:pPr>
                </w:p>
              </w:tc>
              <w:tc>
                <w:tcPr>
                  <w:tcW w:w="1126" w:type="pct"/>
                  <w:noWrap w:val="0"/>
                  <w:vAlign w:val="center"/>
                </w:tcPr>
                <w:p w14:paraId="08F07927">
                  <w:pPr>
                    <w:pStyle w:val="13"/>
                    <w:spacing w:after="0" w:line="240" w:lineRule="auto"/>
                    <w:ind w:left="0" w:leftChars="0" w:firstLine="0" w:firstLineChars="0"/>
                    <w:jc w:val="center"/>
                    <w:rPr>
                      <w:rFonts w:hint="default" w:ascii="Times New Roman" w:hAnsi="Times New Roman" w:eastAsia="宋体" w:cs="Times New Roman"/>
                      <w:bCs w:val="0"/>
                      <w:color w:val="auto"/>
                      <w:spacing w:val="0"/>
                      <w:kern w:val="2"/>
                      <w:sz w:val="21"/>
                      <w:szCs w:val="21"/>
                      <w:highlight w:val="none"/>
                      <w:lang w:val="en-US" w:eastAsia="zh-CN" w:bidi="ar-SA"/>
                    </w:rPr>
                  </w:pPr>
                  <w:r>
                    <w:rPr>
                      <w:rFonts w:hint="default" w:ascii="Times New Roman" w:hAnsi="Times New Roman" w:cs="Times New Roman"/>
                      <w:bCs w:val="0"/>
                      <w:color w:val="auto"/>
                      <w:spacing w:val="0"/>
                      <w:kern w:val="2"/>
                      <w:sz w:val="21"/>
                      <w:szCs w:val="21"/>
                      <w:highlight w:val="none"/>
                      <w:lang w:val="en-US" w:eastAsia="zh-CN" w:bidi="ar-SA"/>
                    </w:rPr>
                    <w:t>生物质锅炉</w:t>
                  </w:r>
                </w:p>
              </w:tc>
              <w:tc>
                <w:tcPr>
                  <w:tcW w:w="2109" w:type="pct"/>
                  <w:vMerge w:val="continue"/>
                  <w:noWrap w:val="0"/>
                  <w:vAlign w:val="center"/>
                </w:tcPr>
                <w:p w14:paraId="4549F9BF">
                  <w:pPr>
                    <w:pStyle w:val="13"/>
                    <w:spacing w:after="0" w:line="240" w:lineRule="auto"/>
                    <w:ind w:left="0" w:leftChars="0" w:firstLine="0" w:firstLineChars="0"/>
                    <w:jc w:val="center"/>
                    <w:rPr>
                      <w:rFonts w:hint="default" w:ascii="Times New Roman" w:hAnsi="Times New Roman" w:eastAsia="宋体" w:cs="Times New Roman"/>
                      <w:bCs w:val="0"/>
                      <w:color w:val="auto"/>
                      <w:spacing w:val="0"/>
                      <w:kern w:val="2"/>
                      <w:sz w:val="21"/>
                      <w:szCs w:val="21"/>
                      <w:highlight w:val="none"/>
                      <w:lang w:val="en-US" w:eastAsia="zh-CN" w:bidi="ar-SA"/>
                    </w:rPr>
                  </w:pPr>
                </w:p>
              </w:tc>
            </w:tr>
            <w:tr w14:paraId="15C3FE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764" w:type="pct"/>
                  <w:noWrap w:val="0"/>
                  <w:vAlign w:val="center"/>
                </w:tcPr>
                <w:p w14:paraId="6F0A3E50">
                  <w:pPr>
                    <w:pStyle w:val="13"/>
                    <w:spacing w:after="0" w:line="240" w:lineRule="auto"/>
                    <w:ind w:left="0" w:leftChars="0" w:firstLine="0" w:firstLineChars="0"/>
                    <w:jc w:val="center"/>
                    <w:rPr>
                      <w:rFonts w:hint="default" w:ascii="Times New Roman" w:hAnsi="Times New Roman" w:eastAsia="宋体" w:cs="Times New Roman"/>
                      <w:bCs w:val="0"/>
                      <w:color w:val="auto"/>
                      <w:spacing w:val="0"/>
                      <w:kern w:val="2"/>
                      <w:sz w:val="21"/>
                      <w:szCs w:val="21"/>
                      <w:highlight w:val="none"/>
                      <w:lang w:val="en-US" w:eastAsia="zh-CN" w:bidi="ar-SA"/>
                    </w:rPr>
                  </w:pPr>
                  <w:r>
                    <w:rPr>
                      <w:rFonts w:hint="default" w:ascii="Times New Roman" w:hAnsi="Times New Roman" w:eastAsia="宋体" w:cs="Times New Roman"/>
                      <w:bCs w:val="0"/>
                      <w:color w:val="auto"/>
                      <w:spacing w:val="0"/>
                      <w:kern w:val="2"/>
                      <w:sz w:val="21"/>
                      <w:szCs w:val="21"/>
                      <w:highlight w:val="none"/>
                      <w:lang w:val="en-US" w:eastAsia="zh-CN" w:bidi="ar-SA"/>
                    </w:rPr>
                    <w:t>颗粒物</w:t>
                  </w:r>
                </w:p>
              </w:tc>
              <w:tc>
                <w:tcPr>
                  <w:tcW w:w="1126" w:type="pct"/>
                  <w:noWrap w:val="0"/>
                  <w:vAlign w:val="center"/>
                </w:tcPr>
                <w:p w14:paraId="30DD4E27">
                  <w:pPr>
                    <w:pStyle w:val="13"/>
                    <w:spacing w:after="0" w:line="240" w:lineRule="auto"/>
                    <w:ind w:left="0" w:leftChars="0" w:firstLine="0" w:firstLineChars="0"/>
                    <w:jc w:val="center"/>
                    <w:rPr>
                      <w:rFonts w:hint="default" w:ascii="Times New Roman" w:hAnsi="Times New Roman" w:eastAsia="宋体" w:cs="Times New Roman"/>
                      <w:bCs w:val="0"/>
                      <w:color w:val="auto"/>
                      <w:spacing w:val="0"/>
                      <w:kern w:val="2"/>
                      <w:sz w:val="21"/>
                      <w:szCs w:val="21"/>
                      <w:highlight w:val="none"/>
                      <w:lang w:val="en-US" w:eastAsia="zh-CN" w:bidi="ar-SA"/>
                    </w:rPr>
                  </w:pPr>
                  <w:r>
                    <w:rPr>
                      <w:rFonts w:hint="default" w:ascii="Times New Roman" w:hAnsi="Times New Roman" w:cs="Times New Roman"/>
                      <w:bCs w:val="0"/>
                      <w:color w:val="auto"/>
                      <w:spacing w:val="0"/>
                      <w:kern w:val="2"/>
                      <w:sz w:val="21"/>
                      <w:szCs w:val="21"/>
                      <w:highlight w:val="none"/>
                      <w:lang w:val="en-US" w:eastAsia="zh-CN" w:bidi="ar-SA"/>
                    </w:rPr>
                    <w:t>50</w:t>
                  </w:r>
                </w:p>
              </w:tc>
              <w:tc>
                <w:tcPr>
                  <w:tcW w:w="2109" w:type="pct"/>
                  <w:vMerge w:val="restart"/>
                  <w:noWrap w:val="0"/>
                  <w:vAlign w:val="center"/>
                </w:tcPr>
                <w:p w14:paraId="7A5E8A84">
                  <w:pPr>
                    <w:pStyle w:val="13"/>
                    <w:spacing w:after="0" w:line="240" w:lineRule="auto"/>
                    <w:ind w:left="0" w:leftChars="0" w:firstLine="0" w:firstLineChars="0"/>
                    <w:jc w:val="center"/>
                    <w:rPr>
                      <w:rFonts w:hint="default" w:ascii="Times New Roman" w:hAnsi="Times New Roman" w:eastAsia="宋体" w:cs="Times New Roman"/>
                      <w:bCs w:val="0"/>
                      <w:color w:val="auto"/>
                      <w:spacing w:val="0"/>
                      <w:kern w:val="2"/>
                      <w:sz w:val="21"/>
                      <w:szCs w:val="21"/>
                      <w:highlight w:val="none"/>
                      <w:lang w:val="en-US" w:eastAsia="zh-CN" w:bidi="ar-SA"/>
                    </w:rPr>
                  </w:pPr>
                  <w:r>
                    <w:rPr>
                      <w:rFonts w:hint="default" w:ascii="Times New Roman" w:hAnsi="Times New Roman" w:eastAsia="宋体" w:cs="Times New Roman"/>
                      <w:bCs w:val="0"/>
                      <w:color w:val="auto"/>
                      <w:spacing w:val="0"/>
                      <w:kern w:val="2"/>
                      <w:sz w:val="21"/>
                      <w:szCs w:val="21"/>
                      <w:highlight w:val="none"/>
                      <w:lang w:val="en-US" w:eastAsia="zh-CN" w:bidi="ar-SA"/>
                    </w:rPr>
                    <w:t>烟囱或烟道</w:t>
                  </w:r>
                </w:p>
              </w:tc>
            </w:tr>
            <w:tr w14:paraId="69846E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764" w:type="pct"/>
                  <w:noWrap w:val="0"/>
                  <w:vAlign w:val="center"/>
                </w:tcPr>
                <w:p w14:paraId="45D3569D">
                  <w:pPr>
                    <w:pStyle w:val="13"/>
                    <w:spacing w:after="0" w:line="240" w:lineRule="auto"/>
                    <w:ind w:left="0" w:leftChars="0" w:firstLine="0" w:firstLineChars="0"/>
                    <w:jc w:val="center"/>
                    <w:rPr>
                      <w:rFonts w:hint="default" w:ascii="Times New Roman" w:hAnsi="Times New Roman" w:eastAsia="宋体" w:cs="Times New Roman"/>
                      <w:bCs w:val="0"/>
                      <w:color w:val="auto"/>
                      <w:spacing w:val="0"/>
                      <w:kern w:val="2"/>
                      <w:sz w:val="21"/>
                      <w:szCs w:val="21"/>
                      <w:highlight w:val="none"/>
                      <w:lang w:val="en-US" w:eastAsia="zh-CN" w:bidi="ar-SA"/>
                    </w:rPr>
                  </w:pPr>
                  <w:r>
                    <w:rPr>
                      <w:rFonts w:hint="default" w:ascii="Times New Roman" w:hAnsi="Times New Roman" w:eastAsia="宋体" w:cs="Times New Roman"/>
                      <w:bCs w:val="0"/>
                      <w:color w:val="auto"/>
                      <w:spacing w:val="0"/>
                      <w:kern w:val="2"/>
                      <w:sz w:val="21"/>
                      <w:szCs w:val="21"/>
                      <w:highlight w:val="none"/>
                      <w:lang w:val="en-US" w:eastAsia="zh-CN" w:bidi="ar-SA"/>
                    </w:rPr>
                    <w:t>二氧化硫</w:t>
                  </w:r>
                </w:p>
              </w:tc>
              <w:tc>
                <w:tcPr>
                  <w:tcW w:w="1126" w:type="pct"/>
                  <w:noWrap w:val="0"/>
                  <w:vAlign w:val="center"/>
                </w:tcPr>
                <w:p w14:paraId="3968CE03">
                  <w:pPr>
                    <w:pStyle w:val="13"/>
                    <w:spacing w:after="0" w:line="240" w:lineRule="auto"/>
                    <w:ind w:left="0" w:leftChars="0" w:firstLine="0" w:firstLineChars="0"/>
                    <w:jc w:val="center"/>
                    <w:rPr>
                      <w:rFonts w:hint="default" w:ascii="Times New Roman" w:hAnsi="Times New Roman" w:eastAsia="宋体" w:cs="Times New Roman"/>
                      <w:bCs w:val="0"/>
                      <w:color w:val="auto"/>
                      <w:spacing w:val="0"/>
                      <w:kern w:val="2"/>
                      <w:sz w:val="21"/>
                      <w:szCs w:val="21"/>
                      <w:highlight w:val="none"/>
                      <w:lang w:val="en-US" w:eastAsia="zh-CN" w:bidi="ar-SA"/>
                    </w:rPr>
                  </w:pPr>
                  <w:r>
                    <w:rPr>
                      <w:rFonts w:hint="default" w:ascii="Times New Roman" w:hAnsi="Times New Roman" w:cs="Times New Roman"/>
                      <w:bCs w:val="0"/>
                      <w:color w:val="auto"/>
                      <w:spacing w:val="0"/>
                      <w:kern w:val="2"/>
                      <w:sz w:val="21"/>
                      <w:szCs w:val="21"/>
                      <w:highlight w:val="none"/>
                      <w:lang w:val="en-US" w:eastAsia="zh-CN" w:bidi="ar-SA"/>
                    </w:rPr>
                    <w:t>300</w:t>
                  </w:r>
                </w:p>
              </w:tc>
              <w:tc>
                <w:tcPr>
                  <w:tcW w:w="2109" w:type="pct"/>
                  <w:vMerge w:val="continue"/>
                  <w:noWrap w:val="0"/>
                  <w:vAlign w:val="center"/>
                </w:tcPr>
                <w:p w14:paraId="7007D549">
                  <w:pPr>
                    <w:pStyle w:val="13"/>
                    <w:spacing w:after="0" w:line="240" w:lineRule="auto"/>
                    <w:ind w:left="0" w:leftChars="0" w:firstLine="0" w:firstLineChars="0"/>
                    <w:jc w:val="center"/>
                    <w:rPr>
                      <w:rFonts w:hint="default" w:ascii="Times New Roman" w:hAnsi="Times New Roman" w:eastAsia="宋体" w:cs="Times New Roman"/>
                      <w:bCs w:val="0"/>
                      <w:color w:val="auto"/>
                      <w:spacing w:val="0"/>
                      <w:kern w:val="2"/>
                      <w:sz w:val="21"/>
                      <w:szCs w:val="21"/>
                      <w:highlight w:val="none"/>
                      <w:lang w:val="en-US" w:eastAsia="zh-CN" w:bidi="ar-SA"/>
                    </w:rPr>
                  </w:pPr>
                </w:p>
              </w:tc>
            </w:tr>
            <w:tr w14:paraId="40CCA1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764" w:type="pct"/>
                  <w:noWrap w:val="0"/>
                  <w:vAlign w:val="center"/>
                </w:tcPr>
                <w:p w14:paraId="00AC3409">
                  <w:pPr>
                    <w:pStyle w:val="13"/>
                    <w:spacing w:after="0" w:line="240" w:lineRule="auto"/>
                    <w:ind w:left="0" w:leftChars="0" w:firstLine="0" w:firstLineChars="0"/>
                    <w:jc w:val="center"/>
                    <w:rPr>
                      <w:rFonts w:hint="default" w:ascii="Times New Roman" w:hAnsi="Times New Roman" w:eastAsia="宋体" w:cs="Times New Roman"/>
                      <w:bCs w:val="0"/>
                      <w:color w:val="auto"/>
                      <w:spacing w:val="0"/>
                      <w:kern w:val="2"/>
                      <w:sz w:val="21"/>
                      <w:szCs w:val="21"/>
                      <w:highlight w:val="none"/>
                      <w:lang w:val="en-US" w:eastAsia="zh-CN" w:bidi="ar-SA"/>
                    </w:rPr>
                  </w:pPr>
                  <w:r>
                    <w:rPr>
                      <w:rFonts w:hint="default" w:ascii="Times New Roman" w:hAnsi="Times New Roman" w:eastAsia="宋体" w:cs="Times New Roman"/>
                      <w:bCs w:val="0"/>
                      <w:color w:val="auto"/>
                      <w:spacing w:val="0"/>
                      <w:kern w:val="2"/>
                      <w:sz w:val="21"/>
                      <w:szCs w:val="21"/>
                      <w:highlight w:val="none"/>
                      <w:lang w:val="en-US" w:eastAsia="zh-CN" w:bidi="ar-SA"/>
                    </w:rPr>
                    <w:t>氮氧化物</w:t>
                  </w:r>
                </w:p>
              </w:tc>
              <w:tc>
                <w:tcPr>
                  <w:tcW w:w="1126" w:type="pct"/>
                  <w:noWrap w:val="0"/>
                  <w:vAlign w:val="center"/>
                </w:tcPr>
                <w:p w14:paraId="76F0F0B9">
                  <w:pPr>
                    <w:pStyle w:val="13"/>
                    <w:spacing w:after="0" w:line="240" w:lineRule="auto"/>
                    <w:ind w:left="0" w:leftChars="0" w:firstLine="0" w:firstLineChars="0"/>
                    <w:jc w:val="center"/>
                    <w:rPr>
                      <w:rFonts w:hint="default" w:ascii="Times New Roman" w:hAnsi="Times New Roman" w:eastAsia="宋体" w:cs="Times New Roman"/>
                      <w:bCs w:val="0"/>
                      <w:color w:val="auto"/>
                      <w:spacing w:val="0"/>
                      <w:kern w:val="2"/>
                      <w:sz w:val="21"/>
                      <w:szCs w:val="21"/>
                      <w:highlight w:val="none"/>
                      <w:lang w:val="en-US" w:eastAsia="zh-CN" w:bidi="ar-SA"/>
                    </w:rPr>
                  </w:pPr>
                  <w:r>
                    <w:rPr>
                      <w:rFonts w:hint="default" w:ascii="Times New Roman" w:hAnsi="Times New Roman" w:cs="Times New Roman"/>
                      <w:bCs w:val="0"/>
                      <w:color w:val="auto"/>
                      <w:spacing w:val="0"/>
                      <w:kern w:val="2"/>
                      <w:sz w:val="21"/>
                      <w:szCs w:val="21"/>
                      <w:highlight w:val="none"/>
                      <w:lang w:val="en-US" w:eastAsia="zh-CN" w:bidi="ar-SA"/>
                    </w:rPr>
                    <w:t>300</w:t>
                  </w:r>
                </w:p>
              </w:tc>
              <w:tc>
                <w:tcPr>
                  <w:tcW w:w="2109" w:type="pct"/>
                  <w:vMerge w:val="continue"/>
                  <w:noWrap w:val="0"/>
                  <w:vAlign w:val="center"/>
                </w:tcPr>
                <w:p w14:paraId="53CB1A72">
                  <w:pPr>
                    <w:pStyle w:val="13"/>
                    <w:spacing w:after="0" w:line="240" w:lineRule="auto"/>
                    <w:ind w:left="0" w:leftChars="0" w:firstLine="0" w:firstLineChars="0"/>
                    <w:jc w:val="center"/>
                    <w:rPr>
                      <w:rFonts w:hint="default" w:ascii="Times New Roman" w:hAnsi="Times New Roman" w:eastAsia="宋体" w:cs="Times New Roman"/>
                      <w:bCs w:val="0"/>
                      <w:color w:val="auto"/>
                      <w:spacing w:val="0"/>
                      <w:kern w:val="2"/>
                      <w:sz w:val="21"/>
                      <w:szCs w:val="21"/>
                      <w:highlight w:val="none"/>
                      <w:lang w:val="en-US" w:eastAsia="zh-CN" w:bidi="ar-SA"/>
                    </w:rPr>
                  </w:pPr>
                </w:p>
              </w:tc>
            </w:tr>
            <w:tr w14:paraId="663F30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764" w:type="pct"/>
                  <w:noWrap w:val="0"/>
                  <w:vAlign w:val="center"/>
                </w:tcPr>
                <w:p w14:paraId="2BDEE18C">
                  <w:pPr>
                    <w:pStyle w:val="13"/>
                    <w:spacing w:after="0" w:line="240" w:lineRule="auto"/>
                    <w:ind w:left="0" w:leftChars="0" w:firstLine="0" w:firstLineChars="0"/>
                    <w:jc w:val="center"/>
                    <w:rPr>
                      <w:rFonts w:hint="default" w:ascii="Times New Roman" w:hAnsi="Times New Roman" w:eastAsia="宋体" w:cs="Times New Roman"/>
                      <w:bCs w:val="0"/>
                      <w:color w:val="auto"/>
                      <w:spacing w:val="0"/>
                      <w:kern w:val="2"/>
                      <w:sz w:val="21"/>
                      <w:szCs w:val="21"/>
                      <w:highlight w:val="none"/>
                      <w:lang w:val="en-US" w:eastAsia="zh-CN" w:bidi="ar-SA"/>
                    </w:rPr>
                  </w:pPr>
                  <w:r>
                    <w:rPr>
                      <w:rFonts w:hint="default" w:ascii="Times New Roman" w:hAnsi="Times New Roman" w:cs="Times New Roman"/>
                      <w:bCs w:val="0"/>
                      <w:color w:val="auto"/>
                      <w:spacing w:val="0"/>
                      <w:kern w:val="2"/>
                      <w:sz w:val="21"/>
                      <w:szCs w:val="21"/>
                      <w:highlight w:val="none"/>
                      <w:lang w:val="en-US" w:eastAsia="zh-CN" w:bidi="ar-SA"/>
                    </w:rPr>
                    <w:t>汞及其化合物</w:t>
                  </w:r>
                </w:p>
              </w:tc>
              <w:tc>
                <w:tcPr>
                  <w:tcW w:w="1126" w:type="pct"/>
                  <w:noWrap w:val="0"/>
                  <w:vAlign w:val="center"/>
                </w:tcPr>
                <w:p w14:paraId="61CF01E3">
                  <w:pPr>
                    <w:pStyle w:val="13"/>
                    <w:spacing w:after="0" w:line="240" w:lineRule="auto"/>
                    <w:ind w:left="0" w:leftChars="0" w:firstLine="0" w:firstLineChars="0"/>
                    <w:jc w:val="center"/>
                    <w:rPr>
                      <w:rFonts w:hint="default" w:ascii="Times New Roman" w:hAnsi="Times New Roman" w:eastAsia="宋体" w:cs="Times New Roman"/>
                      <w:bCs w:val="0"/>
                      <w:color w:val="auto"/>
                      <w:spacing w:val="0"/>
                      <w:kern w:val="2"/>
                      <w:sz w:val="21"/>
                      <w:szCs w:val="21"/>
                      <w:highlight w:val="none"/>
                      <w:lang w:val="en-US" w:eastAsia="zh-CN" w:bidi="ar-SA"/>
                    </w:rPr>
                  </w:pPr>
                  <w:r>
                    <w:rPr>
                      <w:rFonts w:hint="default" w:ascii="Times New Roman" w:hAnsi="Times New Roman" w:cs="Times New Roman"/>
                      <w:bCs w:val="0"/>
                      <w:color w:val="auto"/>
                      <w:spacing w:val="0"/>
                      <w:kern w:val="2"/>
                      <w:sz w:val="21"/>
                      <w:szCs w:val="21"/>
                      <w:highlight w:val="none"/>
                      <w:lang w:val="en-US" w:eastAsia="zh-CN" w:bidi="ar-SA"/>
                    </w:rPr>
                    <w:t>0.05</w:t>
                  </w:r>
                </w:p>
              </w:tc>
              <w:tc>
                <w:tcPr>
                  <w:tcW w:w="2109" w:type="pct"/>
                  <w:vMerge w:val="continue"/>
                  <w:noWrap w:val="0"/>
                  <w:vAlign w:val="center"/>
                </w:tcPr>
                <w:p w14:paraId="0418293A">
                  <w:pPr>
                    <w:pStyle w:val="13"/>
                    <w:spacing w:after="0" w:line="240" w:lineRule="auto"/>
                    <w:ind w:left="0" w:leftChars="0" w:firstLine="0" w:firstLineChars="0"/>
                    <w:jc w:val="center"/>
                    <w:rPr>
                      <w:rFonts w:hint="default" w:ascii="Times New Roman" w:hAnsi="Times New Roman" w:eastAsia="宋体" w:cs="Times New Roman"/>
                      <w:bCs w:val="0"/>
                      <w:color w:val="auto"/>
                      <w:spacing w:val="0"/>
                      <w:kern w:val="2"/>
                      <w:sz w:val="21"/>
                      <w:szCs w:val="21"/>
                      <w:highlight w:val="none"/>
                      <w:lang w:val="en-US" w:eastAsia="zh-CN" w:bidi="ar-SA"/>
                    </w:rPr>
                  </w:pPr>
                </w:p>
              </w:tc>
            </w:tr>
            <w:tr w14:paraId="29E8D5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764" w:type="pct"/>
                  <w:noWrap w:val="0"/>
                  <w:vAlign w:val="center"/>
                </w:tcPr>
                <w:p w14:paraId="54753067">
                  <w:pPr>
                    <w:pStyle w:val="13"/>
                    <w:spacing w:after="0" w:line="240" w:lineRule="auto"/>
                    <w:ind w:left="0" w:leftChars="0" w:firstLine="0" w:firstLineChars="0"/>
                    <w:jc w:val="center"/>
                    <w:rPr>
                      <w:rFonts w:hint="default" w:ascii="Times New Roman" w:hAnsi="Times New Roman" w:eastAsia="宋体" w:cs="Times New Roman"/>
                      <w:bCs w:val="0"/>
                      <w:color w:val="auto"/>
                      <w:spacing w:val="0"/>
                      <w:kern w:val="2"/>
                      <w:sz w:val="21"/>
                      <w:szCs w:val="21"/>
                      <w:highlight w:val="none"/>
                      <w:lang w:val="en-US" w:eastAsia="zh-CN" w:bidi="ar-SA"/>
                    </w:rPr>
                  </w:pPr>
                  <w:r>
                    <w:rPr>
                      <w:rFonts w:hint="default" w:ascii="Times New Roman" w:hAnsi="Times New Roman" w:eastAsia="宋体" w:cs="Times New Roman"/>
                      <w:bCs w:val="0"/>
                      <w:color w:val="auto"/>
                      <w:spacing w:val="0"/>
                      <w:kern w:val="2"/>
                      <w:sz w:val="21"/>
                      <w:szCs w:val="21"/>
                      <w:highlight w:val="none"/>
                      <w:lang w:val="en-US" w:eastAsia="zh-CN" w:bidi="ar-SA"/>
                    </w:rPr>
                    <w:t>烟气黑度（林格曼黑度，级）</w:t>
                  </w:r>
                </w:p>
              </w:tc>
              <w:tc>
                <w:tcPr>
                  <w:tcW w:w="1126" w:type="pct"/>
                  <w:noWrap w:val="0"/>
                  <w:vAlign w:val="center"/>
                </w:tcPr>
                <w:p w14:paraId="2A40BDFB">
                  <w:pPr>
                    <w:pStyle w:val="13"/>
                    <w:spacing w:after="0" w:line="240" w:lineRule="auto"/>
                    <w:ind w:left="0" w:leftChars="0" w:firstLine="0" w:firstLineChars="0"/>
                    <w:jc w:val="center"/>
                    <w:rPr>
                      <w:rFonts w:hint="default" w:ascii="Times New Roman" w:hAnsi="Times New Roman" w:eastAsia="宋体" w:cs="Times New Roman"/>
                      <w:bCs w:val="0"/>
                      <w:color w:val="auto"/>
                      <w:spacing w:val="0"/>
                      <w:kern w:val="2"/>
                      <w:sz w:val="21"/>
                      <w:szCs w:val="21"/>
                      <w:highlight w:val="none"/>
                      <w:lang w:val="en-US" w:eastAsia="zh-CN" w:bidi="ar-SA"/>
                    </w:rPr>
                  </w:pPr>
                  <w:r>
                    <w:rPr>
                      <w:rFonts w:hint="default" w:ascii="Times New Roman" w:hAnsi="Times New Roman" w:eastAsia="宋体" w:cs="Times New Roman"/>
                      <w:bCs w:val="0"/>
                      <w:color w:val="auto"/>
                      <w:spacing w:val="0"/>
                      <w:kern w:val="2"/>
                      <w:sz w:val="21"/>
                      <w:szCs w:val="21"/>
                      <w:highlight w:val="none"/>
                      <w:lang w:val="en-US" w:eastAsia="zh-CN" w:bidi="ar-SA"/>
                    </w:rPr>
                    <w:t>≤1</w:t>
                  </w:r>
                </w:p>
              </w:tc>
              <w:tc>
                <w:tcPr>
                  <w:tcW w:w="2109" w:type="pct"/>
                  <w:noWrap w:val="0"/>
                  <w:vAlign w:val="center"/>
                </w:tcPr>
                <w:p w14:paraId="1ECA1C70">
                  <w:pPr>
                    <w:pStyle w:val="13"/>
                    <w:spacing w:after="0" w:line="240" w:lineRule="auto"/>
                    <w:ind w:left="0" w:leftChars="0" w:firstLine="0" w:firstLineChars="0"/>
                    <w:jc w:val="center"/>
                    <w:rPr>
                      <w:rFonts w:hint="default" w:ascii="Times New Roman" w:hAnsi="Times New Roman" w:eastAsia="宋体" w:cs="Times New Roman"/>
                      <w:bCs w:val="0"/>
                      <w:color w:val="auto"/>
                      <w:spacing w:val="0"/>
                      <w:kern w:val="2"/>
                      <w:sz w:val="21"/>
                      <w:szCs w:val="21"/>
                      <w:highlight w:val="none"/>
                      <w:lang w:val="en-US" w:eastAsia="zh-CN" w:bidi="ar-SA"/>
                    </w:rPr>
                  </w:pPr>
                  <w:r>
                    <w:rPr>
                      <w:rFonts w:hint="default" w:ascii="Times New Roman" w:hAnsi="Times New Roman" w:eastAsia="宋体" w:cs="Times New Roman"/>
                      <w:bCs w:val="0"/>
                      <w:color w:val="auto"/>
                      <w:spacing w:val="0"/>
                      <w:kern w:val="2"/>
                      <w:sz w:val="21"/>
                      <w:szCs w:val="21"/>
                      <w:highlight w:val="none"/>
                      <w:lang w:val="en-US" w:eastAsia="zh-CN" w:bidi="ar-SA"/>
                    </w:rPr>
                    <w:t>烟囱排放口</w:t>
                  </w:r>
                </w:p>
              </w:tc>
            </w:tr>
          </w:tbl>
          <w:p w14:paraId="5B697919">
            <w:pPr>
              <w:pStyle w:val="1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contextualSpacing/>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表3-</w:t>
            </w:r>
            <w:r>
              <w:rPr>
                <w:rFonts w:hint="eastAsia" w:cs="Times New Roman"/>
                <w:b/>
                <w:color w:val="auto"/>
                <w:sz w:val="21"/>
                <w:szCs w:val="21"/>
                <w:highlight w:val="none"/>
                <w:lang w:val="en-US" w:eastAsia="zh-CN"/>
              </w:rPr>
              <w:t>8</w:t>
            </w:r>
            <w:r>
              <w:rPr>
                <w:rFonts w:hint="default" w:ascii="Times New Roman" w:hAnsi="Times New Roman" w:eastAsia="宋体" w:cs="Times New Roman"/>
                <w:b/>
                <w:color w:val="auto"/>
                <w:sz w:val="21"/>
                <w:szCs w:val="21"/>
                <w:highlight w:val="none"/>
              </w:rPr>
              <w:t xml:space="preserve"> 《大气污染物综合排放标准》（GB16297-1996）</w:t>
            </w:r>
          </w:p>
          <w:tbl>
            <w:tblPr>
              <w:tblStyle w:val="35"/>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3739"/>
              <w:gridCol w:w="4120"/>
            </w:tblGrid>
            <w:tr w14:paraId="49A4AE6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exact"/>
                <w:jc w:val="center"/>
              </w:trPr>
              <w:tc>
                <w:tcPr>
                  <w:tcW w:w="3697" w:type="dxa"/>
                  <w:noWrap w:val="0"/>
                  <w:vAlign w:val="center"/>
                </w:tcPr>
                <w:p w14:paraId="3D80D5E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4074" w:type="dxa"/>
                  <w:noWrap w:val="0"/>
                  <w:vAlign w:val="center"/>
                </w:tcPr>
                <w:p w14:paraId="571D14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周界外浓度最高点</w:t>
                  </w:r>
                  <w:r>
                    <w:rPr>
                      <w:rFonts w:hint="default" w:ascii="Times New Roman" w:hAnsi="Times New Roman" w:eastAsia="宋体" w:cs="Times New Roman"/>
                      <w:color w:val="auto"/>
                      <w:sz w:val="21"/>
                      <w:szCs w:val="21"/>
                      <w:highlight w:val="none"/>
                      <w:lang w:val="en-US" w:eastAsia="zh-CN"/>
                    </w:rPr>
                    <w:t xml:space="preserve"> mg/m</w:t>
                  </w:r>
                  <w:r>
                    <w:rPr>
                      <w:rFonts w:hint="default" w:ascii="Times New Roman" w:hAnsi="Times New Roman" w:eastAsia="宋体" w:cs="Times New Roman"/>
                      <w:color w:val="auto"/>
                      <w:sz w:val="21"/>
                      <w:szCs w:val="21"/>
                      <w:highlight w:val="none"/>
                      <w:vertAlign w:val="superscript"/>
                      <w:lang w:val="en-US" w:eastAsia="zh-CN"/>
                    </w:rPr>
                    <w:t>3</w:t>
                  </w:r>
                </w:p>
              </w:tc>
            </w:tr>
            <w:tr w14:paraId="2BC0B1D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exact"/>
                <w:jc w:val="center"/>
              </w:trPr>
              <w:tc>
                <w:tcPr>
                  <w:tcW w:w="3697" w:type="dxa"/>
                  <w:noWrap w:val="0"/>
                  <w:vAlign w:val="center"/>
                </w:tcPr>
                <w:p w14:paraId="1384F7D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4074" w:type="dxa"/>
                  <w:noWrap w:val="0"/>
                  <w:vAlign w:val="center"/>
                </w:tcPr>
                <w:p w14:paraId="2593050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r>
          </w:tbl>
          <w:p w14:paraId="32AF9662">
            <w:pPr>
              <w:spacing w:line="360" w:lineRule="auto"/>
              <w:ind w:left="0" w:leftChars="0" w:firstLine="0" w:firstLineChars="0"/>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2.</w:t>
            </w:r>
            <w:r>
              <w:rPr>
                <w:rFonts w:hint="default" w:ascii="Times New Roman" w:hAnsi="Times New Roman" w:eastAsia="宋体" w:cs="Times New Roman"/>
                <w:b/>
                <w:bCs w:val="0"/>
                <w:color w:val="auto"/>
                <w:spacing w:val="0"/>
                <w:sz w:val="24"/>
                <w:szCs w:val="24"/>
                <w:highlight w:val="none"/>
                <w:lang w:val="en-US" w:eastAsia="zh-CN"/>
              </w:rPr>
              <w:t>噪声</w:t>
            </w:r>
          </w:p>
          <w:p w14:paraId="04C2B880">
            <w:pPr>
              <w:adjustRightInd w:val="0"/>
              <w:snapToGrid w:val="0"/>
              <w:spacing w:line="360" w:lineRule="auto"/>
              <w:ind w:firstLine="480" w:firstLineChars="200"/>
              <w:rPr>
                <w:rFonts w:hint="default" w:ascii="Times New Roman" w:hAnsi="Times New Roman" w:eastAsia="宋体" w:cs="Times New Roman"/>
                <w:color w:val="auto"/>
                <w:spacing w:val="0"/>
                <w:kern w:val="0"/>
                <w:sz w:val="24"/>
                <w:highlight w:val="none"/>
              </w:rPr>
            </w:pPr>
            <w:r>
              <w:rPr>
                <w:rFonts w:hint="default" w:ascii="Times New Roman" w:hAnsi="Times New Roman" w:eastAsia="宋体" w:cs="Times New Roman"/>
                <w:color w:val="auto"/>
                <w:spacing w:val="0"/>
                <w:kern w:val="0"/>
                <w:sz w:val="24"/>
                <w:highlight w:val="none"/>
              </w:rPr>
              <w:t>施工期噪声执行</w:t>
            </w:r>
            <w:r>
              <w:rPr>
                <w:rFonts w:hint="default" w:ascii="Times New Roman" w:hAnsi="Times New Roman" w:cs="Times New Roman"/>
                <w:color w:val="auto"/>
                <w:sz w:val="24"/>
                <w:szCs w:val="22"/>
                <w:highlight w:val="none"/>
              </w:rPr>
              <w:t>《</w:t>
            </w:r>
            <w:r>
              <w:rPr>
                <w:rFonts w:hint="default" w:ascii="Times New Roman" w:hAnsi="Times New Roman" w:cs="Times New Roman"/>
                <w:color w:val="auto"/>
                <w:sz w:val="24"/>
                <w:szCs w:val="22"/>
                <w:highlight w:val="none"/>
                <w:lang w:eastAsia="zh-CN"/>
              </w:rPr>
              <w:t>建筑施工噪声排放标准</w:t>
            </w:r>
            <w:r>
              <w:rPr>
                <w:rFonts w:hint="default" w:ascii="Times New Roman" w:hAnsi="Times New Roman" w:cs="Times New Roman"/>
                <w:color w:val="auto"/>
                <w:sz w:val="24"/>
                <w:szCs w:val="22"/>
                <w:highlight w:val="none"/>
              </w:rPr>
              <w:t>》（GB12523-20</w:t>
            </w:r>
            <w:r>
              <w:rPr>
                <w:rFonts w:hint="default" w:ascii="Times New Roman" w:hAnsi="Times New Roman" w:cs="Times New Roman"/>
                <w:color w:val="auto"/>
                <w:sz w:val="24"/>
                <w:szCs w:val="22"/>
                <w:highlight w:val="none"/>
                <w:lang w:val="en-US" w:eastAsia="zh-CN"/>
              </w:rPr>
              <w:t>25</w:t>
            </w:r>
            <w:r>
              <w:rPr>
                <w:rFonts w:hint="default" w:ascii="Times New Roman" w:hAnsi="Times New Roman" w:cs="Times New Roman"/>
                <w:color w:val="auto"/>
                <w:sz w:val="24"/>
                <w:szCs w:val="22"/>
                <w:highlight w:val="none"/>
              </w:rPr>
              <w:t>）</w:t>
            </w:r>
            <w:r>
              <w:rPr>
                <w:rFonts w:hint="default" w:ascii="Times New Roman" w:hAnsi="Times New Roman" w:eastAsia="宋体" w:cs="Times New Roman"/>
                <w:color w:val="auto"/>
                <w:spacing w:val="0"/>
                <w:kern w:val="0"/>
                <w:sz w:val="24"/>
                <w:highlight w:val="none"/>
              </w:rPr>
              <w:t>。</w:t>
            </w:r>
          </w:p>
          <w:p w14:paraId="201EE74A">
            <w:pPr>
              <w:adjustRightInd w:val="0"/>
              <w:snapToGrid w:val="0"/>
              <w:spacing w:line="240" w:lineRule="auto"/>
              <w:ind w:firstLine="0" w:firstLineChars="0"/>
              <w:jc w:val="center"/>
              <w:rPr>
                <w:rFonts w:hint="default" w:ascii="Times New Roman" w:hAnsi="Times New Roman" w:eastAsia="宋体" w:cs="Times New Roman"/>
                <w:b/>
                <w:color w:val="auto"/>
                <w:spacing w:val="0"/>
                <w:kern w:val="0"/>
                <w:sz w:val="21"/>
                <w:szCs w:val="21"/>
                <w:highlight w:val="none"/>
              </w:rPr>
            </w:pPr>
            <w:r>
              <w:rPr>
                <w:rFonts w:hint="default" w:ascii="Times New Roman" w:hAnsi="Times New Roman" w:eastAsia="宋体" w:cs="Times New Roman"/>
                <w:b/>
                <w:color w:val="auto"/>
                <w:spacing w:val="0"/>
                <w:kern w:val="0"/>
                <w:sz w:val="21"/>
                <w:szCs w:val="21"/>
                <w:highlight w:val="none"/>
              </w:rPr>
              <w:t>表3-</w:t>
            </w:r>
            <w:r>
              <w:rPr>
                <w:rFonts w:hint="eastAsia" w:ascii="Times New Roman" w:hAnsi="Times New Roman" w:eastAsia="宋体" w:cs="Times New Roman"/>
                <w:b/>
                <w:color w:val="auto"/>
                <w:spacing w:val="0"/>
                <w:kern w:val="0"/>
                <w:sz w:val="21"/>
                <w:szCs w:val="21"/>
                <w:highlight w:val="none"/>
                <w:lang w:val="en-US" w:eastAsia="zh-CN"/>
              </w:rPr>
              <w:t>9</w:t>
            </w:r>
            <w:r>
              <w:rPr>
                <w:rFonts w:hint="default" w:ascii="Times New Roman" w:hAnsi="Times New Roman" w:eastAsia="宋体" w:cs="Times New Roman"/>
                <w:b/>
                <w:color w:val="auto"/>
                <w:spacing w:val="0"/>
                <w:kern w:val="0"/>
                <w:sz w:val="21"/>
                <w:szCs w:val="21"/>
                <w:highlight w:val="none"/>
              </w:rPr>
              <w:t>《</w:t>
            </w:r>
            <w:r>
              <w:rPr>
                <w:rFonts w:hint="default" w:ascii="Times New Roman" w:hAnsi="Times New Roman" w:eastAsia="宋体" w:cs="Times New Roman"/>
                <w:b/>
                <w:color w:val="auto"/>
                <w:spacing w:val="0"/>
                <w:kern w:val="0"/>
                <w:sz w:val="21"/>
                <w:szCs w:val="21"/>
                <w:highlight w:val="none"/>
                <w:lang w:eastAsia="zh-CN"/>
              </w:rPr>
              <w:t>建筑施工噪声排放标准</w:t>
            </w:r>
            <w:r>
              <w:rPr>
                <w:rFonts w:hint="default" w:ascii="Times New Roman" w:hAnsi="Times New Roman" w:eastAsia="宋体" w:cs="Times New Roman"/>
                <w:b/>
                <w:color w:val="auto"/>
                <w:spacing w:val="0"/>
                <w:kern w:val="0"/>
                <w:sz w:val="21"/>
                <w:szCs w:val="21"/>
                <w:highlight w:val="none"/>
              </w:rPr>
              <w:t>》（GB12523-20</w:t>
            </w:r>
            <w:r>
              <w:rPr>
                <w:rFonts w:hint="eastAsia" w:ascii="Times New Roman" w:hAnsi="Times New Roman" w:cs="Times New Roman"/>
                <w:b/>
                <w:color w:val="auto"/>
                <w:spacing w:val="0"/>
                <w:kern w:val="0"/>
                <w:sz w:val="21"/>
                <w:szCs w:val="21"/>
                <w:highlight w:val="none"/>
                <w:lang w:val="en-US" w:eastAsia="zh-CN"/>
              </w:rPr>
              <w:t>25</w:t>
            </w:r>
            <w:r>
              <w:rPr>
                <w:rFonts w:hint="default" w:ascii="Times New Roman" w:hAnsi="Times New Roman" w:eastAsia="宋体" w:cs="Times New Roman"/>
                <w:b/>
                <w:color w:val="auto"/>
                <w:spacing w:val="0"/>
                <w:kern w:val="0"/>
                <w:sz w:val="21"/>
                <w:szCs w:val="21"/>
                <w:highlight w:val="none"/>
              </w:rPr>
              <w:t>）</w:t>
            </w:r>
          </w:p>
          <w:tbl>
            <w:tblPr>
              <w:tblStyle w:val="3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74"/>
              <w:gridCol w:w="3885"/>
            </w:tblGrid>
            <w:tr w14:paraId="349CBF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528" w:type="pct"/>
                  <w:noWrap w:val="0"/>
                  <w:vAlign w:val="center"/>
                </w:tcPr>
                <w:p w14:paraId="6016D0CD">
                  <w:pPr>
                    <w:pStyle w:val="13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18"/>
                      <w:highlight w:val="none"/>
                    </w:rPr>
                  </w:pPr>
                  <w:r>
                    <w:rPr>
                      <w:rFonts w:hint="default" w:ascii="Times New Roman" w:hAnsi="Times New Roman" w:eastAsia="宋体" w:cs="Times New Roman"/>
                      <w:color w:val="auto"/>
                      <w:spacing w:val="0"/>
                      <w:sz w:val="21"/>
                      <w:szCs w:val="18"/>
                      <w:highlight w:val="none"/>
                    </w:rPr>
                    <w:t>昼间</w:t>
                  </w:r>
                </w:p>
              </w:tc>
              <w:tc>
                <w:tcPr>
                  <w:tcW w:w="2472" w:type="pct"/>
                  <w:noWrap w:val="0"/>
                  <w:vAlign w:val="center"/>
                </w:tcPr>
                <w:p w14:paraId="007F67B2">
                  <w:pPr>
                    <w:pStyle w:val="13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18"/>
                      <w:highlight w:val="none"/>
                    </w:rPr>
                  </w:pPr>
                  <w:r>
                    <w:rPr>
                      <w:rFonts w:hint="default" w:ascii="Times New Roman" w:hAnsi="Times New Roman" w:eastAsia="宋体" w:cs="Times New Roman"/>
                      <w:color w:val="auto"/>
                      <w:spacing w:val="0"/>
                      <w:sz w:val="21"/>
                      <w:szCs w:val="18"/>
                      <w:highlight w:val="none"/>
                    </w:rPr>
                    <w:t>夜间</w:t>
                  </w:r>
                </w:p>
              </w:tc>
            </w:tr>
            <w:tr w14:paraId="3500A2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528" w:type="pct"/>
                  <w:noWrap w:val="0"/>
                  <w:vAlign w:val="center"/>
                </w:tcPr>
                <w:p w14:paraId="6BAF40F2">
                  <w:pPr>
                    <w:pStyle w:val="13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18"/>
                      <w:highlight w:val="none"/>
                    </w:rPr>
                  </w:pPr>
                  <w:r>
                    <w:rPr>
                      <w:rFonts w:hint="default" w:ascii="Times New Roman" w:hAnsi="Times New Roman" w:eastAsia="宋体" w:cs="Times New Roman"/>
                      <w:color w:val="auto"/>
                      <w:spacing w:val="0"/>
                      <w:sz w:val="21"/>
                      <w:szCs w:val="18"/>
                      <w:highlight w:val="none"/>
                    </w:rPr>
                    <w:t>70</w:t>
                  </w:r>
                  <w:r>
                    <w:rPr>
                      <w:rFonts w:hint="default" w:ascii="Times New Roman" w:hAnsi="Times New Roman" w:eastAsia="宋体" w:cs="Times New Roman"/>
                      <w:bCs/>
                      <w:color w:val="auto"/>
                      <w:spacing w:val="0"/>
                      <w:sz w:val="21"/>
                      <w:szCs w:val="18"/>
                      <w:highlight w:val="none"/>
                    </w:rPr>
                    <w:t>dB</w:t>
                  </w:r>
                  <w:r>
                    <w:rPr>
                      <w:rFonts w:hint="default" w:ascii="Times New Roman" w:hAnsi="Times New Roman" w:cs="Times New Roman"/>
                      <w:bCs/>
                      <w:color w:val="auto"/>
                      <w:spacing w:val="0"/>
                      <w:sz w:val="21"/>
                      <w:szCs w:val="18"/>
                      <w:highlight w:val="none"/>
                      <w:lang w:eastAsia="zh-CN"/>
                    </w:rPr>
                    <w:t>(</w:t>
                  </w:r>
                  <w:r>
                    <w:rPr>
                      <w:rFonts w:hint="default" w:ascii="Times New Roman" w:hAnsi="Times New Roman" w:eastAsia="宋体" w:cs="Times New Roman"/>
                      <w:bCs/>
                      <w:color w:val="auto"/>
                      <w:spacing w:val="0"/>
                      <w:sz w:val="21"/>
                      <w:szCs w:val="18"/>
                      <w:highlight w:val="none"/>
                    </w:rPr>
                    <w:t>A</w:t>
                  </w:r>
                  <w:r>
                    <w:rPr>
                      <w:rFonts w:hint="default" w:ascii="Times New Roman" w:hAnsi="Times New Roman" w:cs="Times New Roman"/>
                      <w:bCs/>
                      <w:color w:val="auto"/>
                      <w:spacing w:val="0"/>
                      <w:sz w:val="21"/>
                      <w:szCs w:val="18"/>
                      <w:highlight w:val="none"/>
                      <w:lang w:eastAsia="zh-CN"/>
                    </w:rPr>
                    <w:t>)</w:t>
                  </w:r>
                </w:p>
              </w:tc>
              <w:tc>
                <w:tcPr>
                  <w:tcW w:w="2472" w:type="pct"/>
                  <w:noWrap w:val="0"/>
                  <w:vAlign w:val="center"/>
                </w:tcPr>
                <w:p w14:paraId="48F41A8E">
                  <w:pPr>
                    <w:pStyle w:val="13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18"/>
                      <w:highlight w:val="none"/>
                    </w:rPr>
                  </w:pPr>
                  <w:r>
                    <w:rPr>
                      <w:rFonts w:hint="default" w:ascii="Times New Roman" w:hAnsi="Times New Roman" w:eastAsia="宋体" w:cs="Times New Roman"/>
                      <w:color w:val="auto"/>
                      <w:spacing w:val="0"/>
                      <w:sz w:val="21"/>
                      <w:szCs w:val="18"/>
                      <w:highlight w:val="none"/>
                    </w:rPr>
                    <w:t>55</w:t>
                  </w:r>
                  <w:r>
                    <w:rPr>
                      <w:rFonts w:hint="default" w:ascii="Times New Roman" w:hAnsi="Times New Roman" w:eastAsia="宋体" w:cs="Times New Roman"/>
                      <w:bCs/>
                      <w:color w:val="auto"/>
                      <w:spacing w:val="0"/>
                      <w:sz w:val="21"/>
                      <w:szCs w:val="18"/>
                      <w:highlight w:val="none"/>
                    </w:rPr>
                    <w:t>dB</w:t>
                  </w:r>
                  <w:r>
                    <w:rPr>
                      <w:rFonts w:hint="default" w:ascii="Times New Roman" w:hAnsi="Times New Roman" w:cs="Times New Roman"/>
                      <w:bCs/>
                      <w:color w:val="auto"/>
                      <w:spacing w:val="0"/>
                      <w:sz w:val="21"/>
                      <w:szCs w:val="18"/>
                      <w:highlight w:val="none"/>
                      <w:lang w:eastAsia="zh-CN"/>
                    </w:rPr>
                    <w:t>(</w:t>
                  </w:r>
                  <w:r>
                    <w:rPr>
                      <w:rFonts w:hint="default" w:ascii="Times New Roman" w:hAnsi="Times New Roman" w:eastAsia="宋体" w:cs="Times New Roman"/>
                      <w:bCs/>
                      <w:color w:val="auto"/>
                      <w:spacing w:val="0"/>
                      <w:sz w:val="21"/>
                      <w:szCs w:val="18"/>
                      <w:highlight w:val="none"/>
                    </w:rPr>
                    <w:t>A</w:t>
                  </w:r>
                  <w:r>
                    <w:rPr>
                      <w:rFonts w:hint="default" w:ascii="Times New Roman" w:hAnsi="Times New Roman" w:cs="Times New Roman"/>
                      <w:bCs/>
                      <w:color w:val="auto"/>
                      <w:spacing w:val="0"/>
                      <w:sz w:val="21"/>
                      <w:szCs w:val="18"/>
                      <w:highlight w:val="none"/>
                      <w:lang w:eastAsia="zh-CN"/>
                    </w:rPr>
                    <w:t>)</w:t>
                  </w:r>
                </w:p>
              </w:tc>
            </w:tr>
          </w:tbl>
          <w:p w14:paraId="11D6C34C">
            <w:pPr>
              <w:pStyle w:val="114"/>
              <w:spacing w:line="360" w:lineRule="auto"/>
              <w:ind w:firstLine="480" w:firstLineChars="200"/>
              <w:rPr>
                <w:rFonts w:hint="default" w:ascii="Times New Roman" w:hAnsi="Times New Roman" w:eastAsia="宋体" w:cs="Times New Roman"/>
                <w:b/>
                <w:color w:val="auto"/>
                <w:spacing w:val="0"/>
                <w:kern w:val="2"/>
                <w:sz w:val="24"/>
                <w:szCs w:val="24"/>
                <w:highlight w:val="none"/>
              </w:rPr>
            </w:pPr>
            <w:r>
              <w:rPr>
                <w:rFonts w:hint="eastAsia" w:cs="Times New Roman"/>
                <w:color w:val="auto"/>
                <w:spacing w:val="0"/>
                <w:highlight w:val="none"/>
                <w:lang w:val="en-US" w:eastAsia="zh-CN"/>
              </w:rPr>
              <w:t>运营期</w:t>
            </w:r>
            <w:r>
              <w:rPr>
                <w:rFonts w:hint="default" w:ascii="Times New Roman" w:hAnsi="Times New Roman" w:eastAsia="宋体" w:cs="Times New Roman"/>
                <w:color w:val="auto"/>
                <w:spacing w:val="0"/>
                <w:highlight w:val="none"/>
                <w:lang w:val="en-US" w:eastAsia="zh-CN"/>
              </w:rPr>
              <w:t>本项目</w:t>
            </w:r>
            <w:r>
              <w:rPr>
                <w:rFonts w:hint="default" w:ascii="Times New Roman" w:hAnsi="Times New Roman" w:eastAsia="宋体" w:cs="Times New Roman"/>
                <w:color w:val="auto"/>
                <w:spacing w:val="0"/>
                <w:sz w:val="24"/>
                <w:szCs w:val="24"/>
                <w:highlight w:val="none"/>
              </w:rPr>
              <w:t>厂</w:t>
            </w:r>
            <w:r>
              <w:rPr>
                <w:rFonts w:hint="default" w:ascii="Times New Roman" w:hAnsi="Times New Roman" w:eastAsia="宋体" w:cs="Times New Roman"/>
                <w:color w:val="auto"/>
                <w:spacing w:val="0"/>
                <w:sz w:val="24"/>
                <w:szCs w:val="24"/>
                <w:highlight w:val="none"/>
                <w:lang w:val="en-US" w:eastAsia="zh-CN"/>
              </w:rPr>
              <w:t>界</w:t>
            </w:r>
            <w:r>
              <w:rPr>
                <w:rFonts w:hint="default" w:ascii="Times New Roman" w:hAnsi="Times New Roman" w:cs="Times New Roman"/>
                <w:color w:val="auto"/>
                <w:spacing w:val="0"/>
                <w:sz w:val="24"/>
                <w:szCs w:val="24"/>
                <w:highlight w:val="none"/>
                <w:lang w:val="en-US" w:eastAsia="zh-CN"/>
              </w:rPr>
              <w:t>四</w:t>
            </w:r>
            <w:r>
              <w:rPr>
                <w:rFonts w:hint="default" w:ascii="Times New Roman" w:hAnsi="Times New Roman" w:eastAsia="宋体" w:cs="Times New Roman"/>
                <w:color w:val="auto"/>
                <w:spacing w:val="0"/>
                <w:sz w:val="24"/>
                <w:szCs w:val="24"/>
                <w:highlight w:val="none"/>
                <w:lang w:val="en-US" w:eastAsia="zh-CN"/>
              </w:rPr>
              <w:t>侧</w:t>
            </w:r>
            <w:r>
              <w:rPr>
                <w:rFonts w:hint="default" w:ascii="Times New Roman" w:hAnsi="Times New Roman" w:eastAsia="宋体" w:cs="Times New Roman"/>
                <w:color w:val="auto"/>
                <w:spacing w:val="0"/>
                <w:sz w:val="24"/>
                <w:szCs w:val="24"/>
                <w:highlight w:val="none"/>
              </w:rPr>
              <w:t>噪声执行《工业企业厂界环境噪声排放标准》（GB12348-2008）表1中</w:t>
            </w:r>
            <w:r>
              <w:rPr>
                <w:rFonts w:hint="default" w:ascii="Times New Roman" w:hAnsi="Times New Roman" w:cs="Times New Roman"/>
                <w:color w:val="auto"/>
                <w:spacing w:val="0"/>
                <w:sz w:val="24"/>
                <w:szCs w:val="24"/>
                <w:highlight w:val="none"/>
                <w:lang w:val="en-US" w:eastAsia="zh-CN"/>
              </w:rPr>
              <w:t>2</w:t>
            </w:r>
            <w:r>
              <w:rPr>
                <w:rFonts w:hint="default" w:ascii="Times New Roman" w:hAnsi="Times New Roman" w:eastAsia="宋体" w:cs="Times New Roman"/>
                <w:color w:val="auto"/>
                <w:spacing w:val="0"/>
                <w:sz w:val="24"/>
                <w:szCs w:val="24"/>
                <w:highlight w:val="none"/>
              </w:rPr>
              <w:t>类排放标准。</w:t>
            </w:r>
            <w:r>
              <w:rPr>
                <w:rFonts w:hint="default" w:ascii="Times New Roman" w:hAnsi="Times New Roman" w:eastAsia="宋体" w:cs="Times New Roman"/>
                <w:color w:val="auto"/>
                <w:sz w:val="24"/>
                <w:szCs w:val="24"/>
                <w:highlight w:val="none"/>
                <w:lang w:eastAsia="zh-CN"/>
              </w:rPr>
              <w:t>周围敏感点噪声能够满足</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声环境</w:t>
            </w:r>
            <w:r>
              <w:rPr>
                <w:rFonts w:hint="default" w:ascii="Times New Roman" w:hAnsi="Times New Roman" w:cs="Times New Roman"/>
                <w:color w:val="auto"/>
                <w:sz w:val="24"/>
                <w:szCs w:val="24"/>
                <w:highlight w:val="none"/>
              </w:rPr>
              <w:t>质量标准》（GB309</w:t>
            </w:r>
            <w:r>
              <w:rPr>
                <w:rFonts w:hint="default"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-20</w:t>
            </w:r>
            <w:r>
              <w:rPr>
                <w:rFonts w:hint="default" w:ascii="Times New Roman" w:hAnsi="Times New Roman" w:cs="Times New Roman"/>
                <w:color w:val="auto"/>
                <w:sz w:val="24"/>
                <w:szCs w:val="24"/>
                <w:highlight w:val="none"/>
                <w:lang w:val="en-US" w:eastAsia="zh-CN"/>
              </w:rPr>
              <w:t>08</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2类标准限值</w:t>
            </w:r>
            <w:r>
              <w:rPr>
                <w:rFonts w:hint="eastAsia" w:cs="Times New Roman"/>
                <w:color w:val="auto"/>
                <w:sz w:val="24"/>
                <w:szCs w:val="24"/>
                <w:highlight w:val="none"/>
                <w:lang w:val="en-US" w:eastAsia="zh-CN"/>
              </w:rPr>
              <w:t>。</w:t>
            </w:r>
          </w:p>
          <w:p w14:paraId="48EFDD9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表3-</w:t>
            </w:r>
            <w:r>
              <w:rPr>
                <w:rFonts w:hint="eastAsia" w:ascii="Times New Roman" w:hAnsi="Times New Roman" w:cs="Times New Roman"/>
                <w:b/>
                <w:bCs w:val="0"/>
                <w:color w:val="auto"/>
                <w:spacing w:val="0"/>
                <w:sz w:val="21"/>
                <w:szCs w:val="21"/>
                <w:highlight w:val="none"/>
                <w:lang w:val="en-US" w:eastAsia="zh-CN"/>
              </w:rPr>
              <w:t>10</w:t>
            </w:r>
            <w:r>
              <w:rPr>
                <w:rFonts w:hint="default" w:ascii="Times New Roman" w:hAnsi="Times New Roman" w:eastAsia="宋体" w:cs="Times New Roman"/>
                <w:b/>
                <w:bCs w:val="0"/>
                <w:color w:val="auto"/>
                <w:spacing w:val="0"/>
                <w:sz w:val="21"/>
                <w:szCs w:val="21"/>
                <w:highlight w:val="none"/>
              </w:rPr>
              <w:t>工业企业厂界环境噪声排放标准（GB12348-2008）</w:t>
            </w:r>
          </w:p>
          <w:tbl>
            <w:tblPr>
              <w:tblStyle w:val="3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23"/>
              <w:gridCol w:w="885"/>
              <w:gridCol w:w="1075"/>
              <w:gridCol w:w="1028"/>
              <w:gridCol w:w="1325"/>
              <w:gridCol w:w="2020"/>
            </w:tblGrid>
            <w:tr w14:paraId="3BA3D3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69" w:type="pct"/>
                  <w:noWrap w:val="0"/>
                  <w:vAlign w:val="center"/>
                </w:tcPr>
                <w:p w14:paraId="09E55B71">
                  <w:pPr>
                    <w:spacing w:line="240" w:lineRule="auto"/>
                    <w:ind w:firstLine="0" w:firstLineChars="0"/>
                    <w:jc w:val="center"/>
                    <w:rPr>
                      <w:rFonts w:hint="default" w:ascii="Times New Roman" w:hAnsi="Times New Roman" w:eastAsia="宋体" w:cs="Times New Roman"/>
                      <w:color w:val="auto"/>
                      <w:spacing w:val="0"/>
                      <w:sz w:val="21"/>
                      <w:szCs w:val="18"/>
                      <w:highlight w:val="none"/>
                      <w:lang w:val="en-US" w:eastAsia="zh-CN"/>
                    </w:rPr>
                  </w:pPr>
                  <w:r>
                    <w:rPr>
                      <w:rFonts w:hint="eastAsia" w:ascii="Times New Roman" w:hAnsi="Times New Roman" w:cs="Times New Roman"/>
                      <w:color w:val="auto"/>
                      <w:spacing w:val="0"/>
                      <w:sz w:val="21"/>
                      <w:szCs w:val="18"/>
                      <w:highlight w:val="none"/>
                      <w:lang w:val="en-US" w:eastAsia="zh-CN"/>
                    </w:rPr>
                    <w:t>执行标准</w:t>
                  </w:r>
                </w:p>
              </w:tc>
              <w:tc>
                <w:tcPr>
                  <w:tcW w:w="563" w:type="pct"/>
                  <w:noWrap w:val="0"/>
                  <w:vAlign w:val="center"/>
                </w:tcPr>
                <w:p w14:paraId="623B7D9C">
                  <w:pPr>
                    <w:spacing w:line="240" w:lineRule="auto"/>
                    <w:ind w:firstLine="0" w:firstLineChars="0"/>
                    <w:jc w:val="center"/>
                    <w:rPr>
                      <w:rFonts w:hint="default" w:ascii="Times New Roman" w:hAnsi="Times New Roman" w:eastAsia="宋体" w:cs="Times New Roman"/>
                      <w:color w:val="auto"/>
                      <w:spacing w:val="0"/>
                      <w:sz w:val="21"/>
                      <w:szCs w:val="18"/>
                      <w:highlight w:val="none"/>
                    </w:rPr>
                  </w:pPr>
                  <w:r>
                    <w:rPr>
                      <w:rFonts w:hint="default" w:ascii="Times New Roman" w:hAnsi="Times New Roman" w:eastAsia="宋体" w:cs="Times New Roman"/>
                      <w:color w:val="auto"/>
                      <w:spacing w:val="0"/>
                      <w:sz w:val="21"/>
                      <w:szCs w:val="18"/>
                      <w:highlight w:val="none"/>
                    </w:rPr>
                    <w:t>单位</w:t>
                  </w:r>
                </w:p>
              </w:tc>
              <w:tc>
                <w:tcPr>
                  <w:tcW w:w="684" w:type="pct"/>
                  <w:noWrap w:val="0"/>
                  <w:vAlign w:val="center"/>
                </w:tcPr>
                <w:p w14:paraId="154E079E">
                  <w:pPr>
                    <w:spacing w:line="240" w:lineRule="auto"/>
                    <w:ind w:firstLine="0" w:firstLineChars="0"/>
                    <w:jc w:val="center"/>
                    <w:rPr>
                      <w:rFonts w:hint="default" w:ascii="Times New Roman" w:hAnsi="Times New Roman" w:eastAsia="宋体" w:cs="Times New Roman"/>
                      <w:color w:val="auto"/>
                      <w:spacing w:val="0"/>
                      <w:sz w:val="21"/>
                      <w:szCs w:val="18"/>
                      <w:highlight w:val="none"/>
                    </w:rPr>
                  </w:pPr>
                  <w:r>
                    <w:rPr>
                      <w:rFonts w:hint="default" w:ascii="Times New Roman" w:hAnsi="Times New Roman" w:eastAsia="宋体" w:cs="Times New Roman"/>
                      <w:color w:val="auto"/>
                      <w:spacing w:val="0"/>
                      <w:sz w:val="21"/>
                      <w:szCs w:val="18"/>
                      <w:highlight w:val="none"/>
                    </w:rPr>
                    <w:t>昼间</w:t>
                  </w:r>
                </w:p>
              </w:tc>
              <w:tc>
                <w:tcPr>
                  <w:tcW w:w="654" w:type="pct"/>
                  <w:noWrap w:val="0"/>
                  <w:vAlign w:val="center"/>
                </w:tcPr>
                <w:p w14:paraId="15FDFA53">
                  <w:pPr>
                    <w:spacing w:line="240" w:lineRule="auto"/>
                    <w:ind w:firstLine="0" w:firstLineChars="0"/>
                    <w:jc w:val="center"/>
                    <w:rPr>
                      <w:rFonts w:hint="default" w:ascii="Times New Roman" w:hAnsi="Times New Roman" w:eastAsia="宋体" w:cs="Times New Roman"/>
                      <w:color w:val="auto"/>
                      <w:spacing w:val="0"/>
                      <w:sz w:val="21"/>
                      <w:szCs w:val="18"/>
                      <w:highlight w:val="none"/>
                    </w:rPr>
                  </w:pPr>
                  <w:r>
                    <w:rPr>
                      <w:rFonts w:hint="default" w:ascii="Times New Roman" w:hAnsi="Times New Roman" w:eastAsia="宋体" w:cs="Times New Roman"/>
                      <w:color w:val="auto"/>
                      <w:spacing w:val="0"/>
                      <w:sz w:val="21"/>
                      <w:szCs w:val="18"/>
                      <w:highlight w:val="none"/>
                    </w:rPr>
                    <w:t>夜间</w:t>
                  </w:r>
                </w:p>
              </w:tc>
              <w:tc>
                <w:tcPr>
                  <w:tcW w:w="843" w:type="pct"/>
                  <w:noWrap w:val="0"/>
                  <w:vAlign w:val="center"/>
                </w:tcPr>
                <w:p w14:paraId="29831560">
                  <w:pPr>
                    <w:spacing w:line="240" w:lineRule="auto"/>
                    <w:ind w:firstLine="0" w:firstLineChars="0"/>
                    <w:jc w:val="center"/>
                    <w:rPr>
                      <w:rFonts w:hint="default" w:ascii="Times New Roman" w:hAnsi="Times New Roman" w:eastAsia="宋体" w:cs="Times New Roman"/>
                      <w:color w:val="auto"/>
                      <w:spacing w:val="0"/>
                      <w:sz w:val="21"/>
                      <w:szCs w:val="18"/>
                      <w:highlight w:val="none"/>
                    </w:rPr>
                  </w:pPr>
                  <w:r>
                    <w:rPr>
                      <w:rFonts w:hint="default" w:ascii="Times New Roman" w:hAnsi="Times New Roman" w:eastAsia="宋体" w:cs="Times New Roman"/>
                      <w:color w:val="auto"/>
                      <w:spacing w:val="0"/>
                      <w:sz w:val="21"/>
                      <w:szCs w:val="18"/>
                      <w:highlight w:val="none"/>
                    </w:rPr>
                    <w:t>类别</w:t>
                  </w:r>
                </w:p>
              </w:tc>
              <w:tc>
                <w:tcPr>
                  <w:tcW w:w="1284" w:type="pct"/>
                  <w:noWrap w:val="0"/>
                  <w:vAlign w:val="center"/>
                </w:tcPr>
                <w:p w14:paraId="58516DD3">
                  <w:pPr>
                    <w:spacing w:line="240" w:lineRule="auto"/>
                    <w:ind w:firstLine="0" w:firstLineChars="0"/>
                    <w:jc w:val="center"/>
                    <w:rPr>
                      <w:rFonts w:hint="default" w:ascii="Times New Roman" w:hAnsi="Times New Roman" w:eastAsia="宋体" w:cs="Times New Roman"/>
                      <w:color w:val="auto"/>
                      <w:spacing w:val="0"/>
                      <w:sz w:val="21"/>
                      <w:szCs w:val="18"/>
                      <w:highlight w:val="none"/>
                      <w:lang w:val="en-US" w:eastAsia="zh-CN"/>
                    </w:rPr>
                  </w:pPr>
                  <w:r>
                    <w:rPr>
                      <w:rFonts w:hint="default" w:ascii="Times New Roman" w:hAnsi="Times New Roman" w:eastAsia="宋体" w:cs="Times New Roman"/>
                      <w:color w:val="auto"/>
                      <w:spacing w:val="0"/>
                      <w:sz w:val="21"/>
                      <w:szCs w:val="18"/>
                      <w:highlight w:val="none"/>
                      <w:lang w:val="en-US" w:eastAsia="zh-CN"/>
                    </w:rPr>
                    <w:t>备注</w:t>
                  </w:r>
                </w:p>
              </w:tc>
            </w:tr>
            <w:tr w14:paraId="442BFA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69" w:type="pct"/>
                  <w:noWrap w:val="0"/>
                  <w:vAlign w:val="center"/>
                </w:tcPr>
                <w:p w14:paraId="6921807E">
                  <w:pPr>
                    <w:spacing w:line="240" w:lineRule="auto"/>
                    <w:ind w:firstLine="0" w:firstLineChars="0"/>
                    <w:jc w:val="center"/>
                    <w:rPr>
                      <w:rFonts w:hint="default" w:ascii="Times New Roman" w:hAnsi="Times New Roman" w:eastAsia="宋体" w:cs="Times New Roman"/>
                      <w:color w:val="auto"/>
                      <w:spacing w:val="0"/>
                      <w:sz w:val="21"/>
                      <w:szCs w:val="18"/>
                      <w:highlight w:val="none"/>
                      <w:lang w:val="en-US" w:eastAsia="zh-CN"/>
                    </w:rPr>
                  </w:pPr>
                  <w:r>
                    <w:rPr>
                      <w:rFonts w:hint="default" w:ascii="Times New Roman" w:hAnsi="Times New Roman" w:eastAsia="宋体" w:cs="Times New Roman"/>
                      <w:color w:val="auto"/>
                      <w:spacing w:val="0"/>
                      <w:sz w:val="21"/>
                      <w:szCs w:val="18"/>
                      <w:highlight w:val="none"/>
                    </w:rPr>
                    <w:t>GB12348-2008</w:t>
                  </w:r>
                </w:p>
              </w:tc>
              <w:tc>
                <w:tcPr>
                  <w:tcW w:w="563" w:type="pct"/>
                  <w:noWrap w:val="0"/>
                  <w:vAlign w:val="center"/>
                </w:tcPr>
                <w:p w14:paraId="5F64E9EB">
                  <w:pPr>
                    <w:spacing w:line="240" w:lineRule="auto"/>
                    <w:ind w:firstLine="0" w:firstLineChars="0"/>
                    <w:jc w:val="center"/>
                    <w:rPr>
                      <w:rFonts w:hint="default" w:ascii="Times New Roman" w:hAnsi="Times New Roman" w:eastAsia="宋体" w:cs="Times New Roman"/>
                      <w:bCs/>
                      <w:color w:val="auto"/>
                      <w:spacing w:val="0"/>
                      <w:kern w:val="2"/>
                      <w:sz w:val="21"/>
                      <w:szCs w:val="18"/>
                      <w:highlight w:val="none"/>
                      <w:lang w:val="en-US" w:eastAsia="zh-CN" w:bidi="ar-SA"/>
                    </w:rPr>
                  </w:pPr>
                  <w:r>
                    <w:rPr>
                      <w:rFonts w:hint="default" w:ascii="Times New Roman" w:hAnsi="Times New Roman" w:eastAsia="宋体" w:cs="Times New Roman"/>
                      <w:color w:val="auto"/>
                      <w:spacing w:val="0"/>
                      <w:sz w:val="21"/>
                      <w:szCs w:val="18"/>
                      <w:highlight w:val="none"/>
                    </w:rPr>
                    <w:t>dB(A)</w:t>
                  </w:r>
                </w:p>
              </w:tc>
              <w:tc>
                <w:tcPr>
                  <w:tcW w:w="684" w:type="pct"/>
                  <w:noWrap w:val="0"/>
                  <w:vAlign w:val="center"/>
                </w:tcPr>
                <w:p w14:paraId="74FFEA32">
                  <w:pPr>
                    <w:spacing w:line="240" w:lineRule="auto"/>
                    <w:ind w:firstLine="0" w:firstLineChars="0"/>
                    <w:jc w:val="center"/>
                    <w:rPr>
                      <w:rFonts w:hint="default" w:ascii="Times New Roman" w:hAnsi="Times New Roman" w:eastAsia="宋体" w:cs="Times New Roman"/>
                      <w:color w:val="auto"/>
                      <w:spacing w:val="0"/>
                      <w:sz w:val="21"/>
                      <w:szCs w:val="18"/>
                      <w:highlight w:val="none"/>
                      <w:lang w:val="en-US" w:eastAsia="zh-CN"/>
                    </w:rPr>
                  </w:pPr>
                  <w:r>
                    <w:rPr>
                      <w:rFonts w:hint="default" w:ascii="Times New Roman" w:hAnsi="Times New Roman" w:cs="Times New Roman"/>
                      <w:color w:val="auto"/>
                      <w:spacing w:val="0"/>
                      <w:sz w:val="21"/>
                      <w:szCs w:val="18"/>
                      <w:highlight w:val="none"/>
                      <w:lang w:val="en-US" w:eastAsia="zh-CN"/>
                    </w:rPr>
                    <w:t>60</w:t>
                  </w:r>
                </w:p>
              </w:tc>
              <w:tc>
                <w:tcPr>
                  <w:tcW w:w="654" w:type="pct"/>
                  <w:noWrap w:val="0"/>
                  <w:vAlign w:val="center"/>
                </w:tcPr>
                <w:p w14:paraId="07D30D0C">
                  <w:pPr>
                    <w:spacing w:line="240" w:lineRule="auto"/>
                    <w:ind w:firstLine="0" w:firstLineChars="0"/>
                    <w:jc w:val="center"/>
                    <w:rPr>
                      <w:rFonts w:hint="default" w:ascii="Times New Roman" w:hAnsi="Times New Roman" w:eastAsia="宋体" w:cs="Times New Roman"/>
                      <w:color w:val="auto"/>
                      <w:spacing w:val="0"/>
                      <w:sz w:val="21"/>
                      <w:szCs w:val="18"/>
                      <w:highlight w:val="none"/>
                      <w:lang w:val="en-US" w:eastAsia="zh-CN"/>
                    </w:rPr>
                  </w:pPr>
                  <w:r>
                    <w:rPr>
                      <w:rFonts w:hint="default" w:ascii="Times New Roman" w:hAnsi="Times New Roman" w:eastAsia="宋体" w:cs="Times New Roman"/>
                      <w:color w:val="auto"/>
                      <w:spacing w:val="0"/>
                      <w:sz w:val="21"/>
                      <w:szCs w:val="18"/>
                      <w:highlight w:val="none"/>
                      <w:lang w:val="en-US" w:eastAsia="zh-CN"/>
                    </w:rPr>
                    <w:t>5</w:t>
                  </w:r>
                  <w:r>
                    <w:rPr>
                      <w:rFonts w:hint="default" w:ascii="Times New Roman" w:hAnsi="Times New Roman" w:cs="Times New Roman"/>
                      <w:color w:val="auto"/>
                      <w:spacing w:val="0"/>
                      <w:sz w:val="21"/>
                      <w:szCs w:val="18"/>
                      <w:highlight w:val="none"/>
                      <w:lang w:val="en-US" w:eastAsia="zh-CN"/>
                    </w:rPr>
                    <w:t>0</w:t>
                  </w:r>
                </w:p>
              </w:tc>
              <w:tc>
                <w:tcPr>
                  <w:tcW w:w="843" w:type="pct"/>
                  <w:noWrap w:val="0"/>
                  <w:vAlign w:val="center"/>
                </w:tcPr>
                <w:p w14:paraId="0C56A453">
                  <w:pPr>
                    <w:spacing w:line="240" w:lineRule="auto"/>
                    <w:ind w:firstLine="0" w:firstLineChars="0"/>
                    <w:jc w:val="center"/>
                    <w:rPr>
                      <w:rFonts w:hint="default" w:ascii="Times New Roman" w:hAnsi="Times New Roman" w:eastAsia="宋体" w:cs="Times New Roman"/>
                      <w:color w:val="auto"/>
                      <w:spacing w:val="0"/>
                      <w:sz w:val="21"/>
                      <w:szCs w:val="18"/>
                      <w:highlight w:val="none"/>
                      <w:lang w:val="en-US" w:eastAsia="zh-CN"/>
                    </w:rPr>
                  </w:pPr>
                  <w:r>
                    <w:rPr>
                      <w:rFonts w:hint="default" w:ascii="Times New Roman" w:hAnsi="Times New Roman" w:cs="Times New Roman"/>
                      <w:color w:val="auto"/>
                      <w:spacing w:val="0"/>
                      <w:sz w:val="21"/>
                      <w:szCs w:val="18"/>
                      <w:highlight w:val="none"/>
                      <w:lang w:val="en-US" w:eastAsia="zh-CN"/>
                    </w:rPr>
                    <w:t>2</w:t>
                  </w:r>
                  <w:r>
                    <w:rPr>
                      <w:rFonts w:hint="default" w:ascii="Times New Roman" w:hAnsi="Times New Roman" w:eastAsia="宋体" w:cs="Times New Roman"/>
                      <w:color w:val="auto"/>
                      <w:spacing w:val="0"/>
                      <w:sz w:val="21"/>
                      <w:szCs w:val="18"/>
                      <w:highlight w:val="none"/>
                      <w:lang w:val="en-US" w:eastAsia="zh-CN"/>
                    </w:rPr>
                    <w:t>类</w:t>
                  </w:r>
                </w:p>
              </w:tc>
              <w:tc>
                <w:tcPr>
                  <w:tcW w:w="1284" w:type="pct"/>
                  <w:noWrap w:val="0"/>
                  <w:vAlign w:val="center"/>
                </w:tcPr>
                <w:p w14:paraId="498C75E8">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厂界四周</w:t>
                  </w:r>
                </w:p>
              </w:tc>
            </w:tr>
            <w:tr w14:paraId="184159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69" w:type="pct"/>
                  <w:noWrap w:val="0"/>
                  <w:vAlign w:val="center"/>
                </w:tcPr>
                <w:p w14:paraId="0C1B87AA">
                  <w:pPr>
                    <w:spacing w:line="240" w:lineRule="auto"/>
                    <w:ind w:firstLine="0" w:firstLineChars="0"/>
                    <w:jc w:val="center"/>
                    <w:rPr>
                      <w:rFonts w:hint="default" w:ascii="Times New Roman" w:hAnsi="Times New Roman" w:eastAsia="宋体" w:cs="Times New Roman"/>
                      <w:color w:val="auto"/>
                      <w:spacing w:val="0"/>
                      <w:sz w:val="21"/>
                      <w:szCs w:val="18"/>
                      <w:highlight w:val="none"/>
                    </w:rPr>
                  </w:pPr>
                  <w:r>
                    <w:rPr>
                      <w:rFonts w:hint="default" w:ascii="Times New Roman" w:hAnsi="Times New Roman" w:eastAsia="宋体" w:cs="Times New Roman"/>
                      <w:color w:val="auto"/>
                      <w:spacing w:val="0"/>
                      <w:sz w:val="21"/>
                      <w:szCs w:val="18"/>
                      <w:highlight w:val="none"/>
                    </w:rPr>
                    <w:t>GB309</w:t>
                  </w:r>
                  <w:r>
                    <w:rPr>
                      <w:rFonts w:hint="default" w:ascii="Times New Roman" w:hAnsi="Times New Roman" w:eastAsia="宋体" w:cs="Times New Roman"/>
                      <w:color w:val="auto"/>
                      <w:spacing w:val="0"/>
                      <w:sz w:val="21"/>
                      <w:szCs w:val="18"/>
                      <w:highlight w:val="none"/>
                      <w:lang w:val="en-US" w:eastAsia="zh-CN"/>
                    </w:rPr>
                    <w:t>6</w:t>
                  </w:r>
                  <w:r>
                    <w:rPr>
                      <w:rFonts w:hint="default" w:ascii="Times New Roman" w:hAnsi="Times New Roman" w:eastAsia="宋体" w:cs="Times New Roman"/>
                      <w:color w:val="auto"/>
                      <w:spacing w:val="0"/>
                      <w:sz w:val="21"/>
                      <w:szCs w:val="18"/>
                      <w:highlight w:val="none"/>
                    </w:rPr>
                    <w:t>-20</w:t>
                  </w:r>
                  <w:r>
                    <w:rPr>
                      <w:rFonts w:hint="default" w:ascii="Times New Roman" w:hAnsi="Times New Roman" w:eastAsia="宋体" w:cs="Times New Roman"/>
                      <w:color w:val="auto"/>
                      <w:spacing w:val="0"/>
                      <w:sz w:val="21"/>
                      <w:szCs w:val="18"/>
                      <w:highlight w:val="none"/>
                      <w:lang w:val="en-US" w:eastAsia="zh-CN"/>
                    </w:rPr>
                    <w:t>08</w:t>
                  </w:r>
                </w:p>
              </w:tc>
              <w:tc>
                <w:tcPr>
                  <w:tcW w:w="563" w:type="pct"/>
                  <w:shd w:val="clear" w:color="auto" w:fill="auto"/>
                  <w:noWrap w:val="0"/>
                  <w:vAlign w:val="center"/>
                </w:tcPr>
                <w:p w14:paraId="7B8CEF70">
                  <w:pPr>
                    <w:spacing w:line="240" w:lineRule="auto"/>
                    <w:ind w:firstLine="0" w:firstLineChars="0"/>
                    <w:jc w:val="center"/>
                    <w:rPr>
                      <w:rFonts w:hint="default" w:ascii="Times New Roman" w:hAnsi="Times New Roman" w:eastAsia="宋体" w:cs="Times New Roman"/>
                      <w:bCs/>
                      <w:color w:val="auto"/>
                      <w:spacing w:val="0"/>
                      <w:kern w:val="2"/>
                      <w:sz w:val="21"/>
                      <w:szCs w:val="18"/>
                      <w:highlight w:val="none"/>
                      <w:lang w:val="en-US" w:eastAsia="zh-CN" w:bidi="ar-SA"/>
                    </w:rPr>
                  </w:pPr>
                  <w:r>
                    <w:rPr>
                      <w:rFonts w:hint="default" w:ascii="Times New Roman" w:hAnsi="Times New Roman" w:eastAsia="宋体" w:cs="Times New Roman"/>
                      <w:color w:val="auto"/>
                      <w:spacing w:val="0"/>
                      <w:sz w:val="21"/>
                      <w:szCs w:val="18"/>
                      <w:highlight w:val="none"/>
                    </w:rPr>
                    <w:t>dB(A)</w:t>
                  </w:r>
                </w:p>
              </w:tc>
              <w:tc>
                <w:tcPr>
                  <w:tcW w:w="684" w:type="pct"/>
                  <w:shd w:val="clear" w:color="auto" w:fill="auto"/>
                  <w:noWrap w:val="0"/>
                  <w:vAlign w:val="center"/>
                </w:tcPr>
                <w:p w14:paraId="61479D81">
                  <w:pPr>
                    <w:spacing w:line="240" w:lineRule="auto"/>
                    <w:ind w:firstLine="0" w:firstLineChars="0"/>
                    <w:jc w:val="center"/>
                    <w:rPr>
                      <w:rFonts w:hint="default" w:ascii="Times New Roman" w:hAnsi="Times New Roman" w:eastAsia="宋体" w:cs="Times New Roman"/>
                      <w:bCs/>
                      <w:color w:val="auto"/>
                      <w:spacing w:val="0"/>
                      <w:kern w:val="2"/>
                      <w:sz w:val="21"/>
                      <w:szCs w:val="18"/>
                      <w:highlight w:val="none"/>
                      <w:lang w:val="en-US" w:eastAsia="zh-CN" w:bidi="ar-SA"/>
                    </w:rPr>
                  </w:pPr>
                  <w:r>
                    <w:rPr>
                      <w:rFonts w:hint="default" w:ascii="Times New Roman" w:hAnsi="Times New Roman" w:cs="Times New Roman"/>
                      <w:color w:val="auto"/>
                      <w:spacing w:val="0"/>
                      <w:sz w:val="21"/>
                      <w:szCs w:val="18"/>
                      <w:highlight w:val="none"/>
                      <w:lang w:val="en-US" w:eastAsia="zh-CN"/>
                    </w:rPr>
                    <w:t>60</w:t>
                  </w:r>
                </w:p>
              </w:tc>
              <w:tc>
                <w:tcPr>
                  <w:tcW w:w="654" w:type="pct"/>
                  <w:shd w:val="clear" w:color="auto" w:fill="auto"/>
                  <w:noWrap w:val="0"/>
                  <w:vAlign w:val="center"/>
                </w:tcPr>
                <w:p w14:paraId="2899E85B">
                  <w:pPr>
                    <w:spacing w:line="240" w:lineRule="auto"/>
                    <w:ind w:firstLine="0" w:firstLineChars="0"/>
                    <w:jc w:val="center"/>
                    <w:rPr>
                      <w:rFonts w:hint="default" w:ascii="Times New Roman" w:hAnsi="Times New Roman" w:eastAsia="宋体" w:cs="Times New Roman"/>
                      <w:bCs/>
                      <w:color w:val="auto"/>
                      <w:spacing w:val="0"/>
                      <w:kern w:val="2"/>
                      <w:sz w:val="21"/>
                      <w:szCs w:val="18"/>
                      <w:highlight w:val="none"/>
                      <w:lang w:val="en-US" w:eastAsia="zh-CN" w:bidi="ar-SA"/>
                    </w:rPr>
                  </w:pPr>
                  <w:r>
                    <w:rPr>
                      <w:rFonts w:hint="default" w:ascii="Times New Roman" w:hAnsi="Times New Roman" w:eastAsia="宋体" w:cs="Times New Roman"/>
                      <w:color w:val="auto"/>
                      <w:spacing w:val="0"/>
                      <w:sz w:val="21"/>
                      <w:szCs w:val="18"/>
                      <w:highlight w:val="none"/>
                      <w:lang w:val="en-US" w:eastAsia="zh-CN"/>
                    </w:rPr>
                    <w:t>5</w:t>
                  </w:r>
                  <w:r>
                    <w:rPr>
                      <w:rFonts w:hint="default" w:ascii="Times New Roman" w:hAnsi="Times New Roman" w:cs="Times New Roman"/>
                      <w:color w:val="auto"/>
                      <w:spacing w:val="0"/>
                      <w:sz w:val="21"/>
                      <w:szCs w:val="18"/>
                      <w:highlight w:val="none"/>
                      <w:lang w:val="en-US" w:eastAsia="zh-CN"/>
                    </w:rPr>
                    <w:t>0</w:t>
                  </w:r>
                </w:p>
              </w:tc>
              <w:tc>
                <w:tcPr>
                  <w:tcW w:w="843" w:type="pct"/>
                  <w:shd w:val="clear" w:color="auto" w:fill="auto"/>
                  <w:noWrap w:val="0"/>
                  <w:vAlign w:val="center"/>
                </w:tcPr>
                <w:p w14:paraId="7B3E92B4">
                  <w:pPr>
                    <w:spacing w:line="240" w:lineRule="auto"/>
                    <w:ind w:firstLine="0" w:firstLineChars="0"/>
                    <w:jc w:val="center"/>
                    <w:rPr>
                      <w:rFonts w:hint="default" w:ascii="Times New Roman" w:hAnsi="Times New Roman" w:eastAsia="宋体" w:cs="Times New Roman"/>
                      <w:bCs/>
                      <w:color w:val="auto"/>
                      <w:spacing w:val="0"/>
                      <w:kern w:val="2"/>
                      <w:sz w:val="21"/>
                      <w:szCs w:val="18"/>
                      <w:highlight w:val="none"/>
                      <w:lang w:val="en-US" w:eastAsia="zh-CN" w:bidi="ar-SA"/>
                    </w:rPr>
                  </w:pPr>
                  <w:r>
                    <w:rPr>
                      <w:rFonts w:hint="default" w:ascii="Times New Roman" w:hAnsi="Times New Roman" w:cs="Times New Roman"/>
                      <w:color w:val="auto"/>
                      <w:spacing w:val="0"/>
                      <w:sz w:val="21"/>
                      <w:szCs w:val="18"/>
                      <w:highlight w:val="none"/>
                      <w:lang w:val="en-US" w:eastAsia="zh-CN"/>
                    </w:rPr>
                    <w:t>2</w:t>
                  </w:r>
                  <w:r>
                    <w:rPr>
                      <w:rFonts w:hint="default" w:ascii="Times New Roman" w:hAnsi="Times New Roman" w:eastAsia="宋体" w:cs="Times New Roman"/>
                      <w:color w:val="auto"/>
                      <w:spacing w:val="0"/>
                      <w:sz w:val="21"/>
                      <w:szCs w:val="18"/>
                      <w:highlight w:val="none"/>
                      <w:lang w:val="en-US" w:eastAsia="zh-CN"/>
                    </w:rPr>
                    <w:t>类</w:t>
                  </w:r>
                </w:p>
              </w:tc>
              <w:tc>
                <w:tcPr>
                  <w:tcW w:w="1284" w:type="pct"/>
                  <w:noWrap w:val="0"/>
                  <w:vAlign w:val="center"/>
                </w:tcPr>
                <w:p w14:paraId="1627FDA5">
                  <w:pPr>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敏感点</w:t>
                  </w:r>
                </w:p>
              </w:tc>
            </w:tr>
          </w:tbl>
          <w:p w14:paraId="061371A5">
            <w:pPr>
              <w:numPr>
                <w:ilvl w:val="0"/>
                <w:numId w:val="0"/>
              </w:numPr>
              <w:ind w:leftChars="0"/>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3.</w:t>
            </w:r>
            <w:r>
              <w:rPr>
                <w:rFonts w:hint="default" w:ascii="Times New Roman" w:hAnsi="Times New Roman" w:eastAsia="宋体" w:cs="Times New Roman"/>
                <w:b/>
                <w:bCs w:val="0"/>
                <w:color w:val="auto"/>
                <w:spacing w:val="0"/>
                <w:sz w:val="24"/>
                <w:szCs w:val="24"/>
                <w:highlight w:val="none"/>
                <w:lang w:val="en-US" w:eastAsia="zh-CN"/>
              </w:rPr>
              <w:t>废水</w:t>
            </w:r>
          </w:p>
          <w:p w14:paraId="39ED6E89">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eastAsia="宋体" w:cs="Times New Roman"/>
                <w:color w:val="auto"/>
                <w:spacing w:val="0"/>
                <w:sz w:val="24"/>
                <w:szCs w:val="24"/>
                <w:highlight w:val="none"/>
                <w:lang w:val="en-US" w:eastAsia="zh-CN"/>
              </w:rPr>
              <w:t>运营期</w:t>
            </w:r>
            <w:r>
              <w:rPr>
                <w:rFonts w:hint="default" w:ascii="Times New Roman" w:hAnsi="Times New Roman" w:cs="Times New Roman"/>
                <w:b w:val="0"/>
                <w:bCs/>
                <w:color w:val="auto"/>
                <w:spacing w:val="0"/>
                <w:sz w:val="24"/>
                <w:szCs w:val="24"/>
                <w:highlight w:val="none"/>
                <w:lang w:val="en-US" w:eastAsia="zh-CN"/>
              </w:rPr>
              <w:t>锅炉排污水和软水制备废水</w:t>
            </w:r>
            <w:r>
              <w:rPr>
                <w:rFonts w:hint="eastAsia" w:ascii="Times New Roman" w:hAnsi="Times New Roman" w:cs="Times New Roman"/>
                <w:b w:val="0"/>
                <w:bCs/>
                <w:color w:val="auto"/>
                <w:spacing w:val="0"/>
                <w:sz w:val="24"/>
                <w:szCs w:val="24"/>
                <w:highlight w:val="none"/>
                <w:lang w:val="en-US" w:eastAsia="zh-CN"/>
              </w:rPr>
              <w:t>，少量</w:t>
            </w:r>
            <w:r>
              <w:rPr>
                <w:rFonts w:hint="default" w:ascii="Times New Roman" w:hAnsi="Times New Roman" w:cs="Times New Roman"/>
                <w:b w:val="0"/>
                <w:bCs/>
                <w:color w:val="auto"/>
                <w:spacing w:val="0"/>
                <w:sz w:val="24"/>
                <w:szCs w:val="24"/>
                <w:highlight w:val="none"/>
                <w:lang w:val="en-US" w:eastAsia="zh-CN"/>
              </w:rPr>
              <w:t>收集后用于灰渣</w:t>
            </w:r>
            <w:r>
              <w:rPr>
                <w:rFonts w:hint="eastAsia" w:ascii="Times New Roman" w:hAnsi="Times New Roman" w:cs="Times New Roman"/>
                <w:b w:val="0"/>
                <w:bCs/>
                <w:color w:val="auto"/>
                <w:spacing w:val="0"/>
                <w:sz w:val="24"/>
                <w:szCs w:val="24"/>
                <w:highlight w:val="none"/>
                <w:lang w:val="en-US" w:eastAsia="zh-CN"/>
              </w:rPr>
              <w:t>加湿其余锅炉污水通过院区污水总排口进入市政管网，排入城子河区污水处理厂进行处理</w:t>
            </w:r>
            <w:r>
              <w:rPr>
                <w:rFonts w:hint="default" w:ascii="Times New Roman" w:hAnsi="Times New Roman" w:cs="Times New Roman"/>
                <w:color w:val="auto"/>
                <w:sz w:val="24"/>
                <w:highlight w:val="none"/>
              </w:rPr>
              <w:t>，执行</w:t>
            </w:r>
            <w:r>
              <w:rPr>
                <w:rFonts w:hint="default" w:ascii="Times New Roman" w:hAnsi="Times New Roman" w:eastAsia="宋体" w:cs="Times New Roman"/>
                <w:bCs w:val="0"/>
                <w:color w:val="auto"/>
                <w:kern w:val="0"/>
                <w:sz w:val="24"/>
                <w:szCs w:val="32"/>
                <w:highlight w:val="none"/>
                <w:lang w:val="en-US" w:eastAsia="zh-CN" w:bidi="ar-SA"/>
              </w:rPr>
              <w:t>《医疗机构水污染物排放标准》(GB18466-2005)中表2预处理标准限值</w:t>
            </w:r>
            <w:r>
              <w:rPr>
                <w:rFonts w:hint="eastAsia" w:ascii="Times New Roman" w:hAnsi="Times New Roman" w:cs="Times New Roman"/>
                <w:bCs w:val="0"/>
                <w:color w:val="auto"/>
                <w:kern w:val="0"/>
                <w:sz w:val="24"/>
                <w:szCs w:val="32"/>
                <w:highlight w:val="none"/>
                <w:lang w:val="en-US" w:eastAsia="zh-CN" w:bidi="ar-SA"/>
              </w:rPr>
              <w:t>要求</w:t>
            </w:r>
            <w:r>
              <w:rPr>
                <w:rFonts w:hint="default" w:ascii="Times New Roman" w:hAnsi="Times New Roman" w:cs="Times New Roman"/>
                <w:color w:val="auto"/>
                <w:sz w:val="24"/>
                <w:highlight w:val="none"/>
              </w:rPr>
              <w:t>，具体见下表。</w:t>
            </w:r>
          </w:p>
          <w:p w14:paraId="64B65C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表3-</w:t>
            </w:r>
            <w:r>
              <w:rPr>
                <w:rFonts w:hint="default" w:ascii="Times New Roman" w:hAnsi="Times New Roman" w:eastAsia="宋体" w:cs="Times New Roman"/>
                <w:b/>
                <w:bCs w:val="0"/>
                <w:color w:val="auto"/>
                <w:spacing w:val="0"/>
                <w:sz w:val="21"/>
                <w:szCs w:val="21"/>
                <w:highlight w:val="none"/>
                <w:lang w:val="en-US" w:eastAsia="zh-CN"/>
              </w:rPr>
              <w:t>1</w:t>
            </w:r>
            <w:r>
              <w:rPr>
                <w:rFonts w:hint="eastAsia" w:ascii="Times New Roman" w:hAnsi="Times New Roman" w:cs="Times New Roman"/>
                <w:b/>
                <w:bCs w:val="0"/>
                <w:color w:val="auto"/>
                <w:spacing w:val="0"/>
                <w:sz w:val="21"/>
                <w:szCs w:val="21"/>
                <w:highlight w:val="none"/>
                <w:lang w:val="en-US" w:eastAsia="zh-CN"/>
              </w:rPr>
              <w:t>1</w:t>
            </w:r>
            <w:r>
              <w:rPr>
                <w:rFonts w:hint="eastAsia" w:ascii="Times New Roman" w:hAnsi="Times New Roman" w:eastAsia="宋体" w:cs="Times New Roman"/>
                <w:b/>
                <w:bCs w:val="0"/>
                <w:color w:val="auto"/>
                <w:spacing w:val="0"/>
                <w:sz w:val="21"/>
                <w:szCs w:val="21"/>
                <w:highlight w:val="none"/>
                <w:lang w:val="en-US" w:eastAsia="zh-CN"/>
              </w:rPr>
              <w:t xml:space="preserve"> </w:t>
            </w:r>
            <w:r>
              <w:rPr>
                <w:rFonts w:hint="default" w:ascii="Times New Roman" w:hAnsi="Times New Roman" w:eastAsia="宋体" w:cs="Times New Roman"/>
                <w:b/>
                <w:bCs w:val="0"/>
                <w:color w:val="auto"/>
                <w:spacing w:val="0"/>
                <w:sz w:val="21"/>
                <w:szCs w:val="21"/>
                <w:highlight w:val="none"/>
              </w:rPr>
              <w:t>运营期废水污染物排放标准排放限值</w:t>
            </w:r>
          </w:p>
          <w:tbl>
            <w:tblPr>
              <w:tblStyle w:val="35"/>
              <w:tblW w:w="48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60"/>
              <w:gridCol w:w="3585"/>
              <w:gridCol w:w="2600"/>
            </w:tblGrid>
            <w:tr w14:paraId="55B95F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1" w:type="pct"/>
                  <w:tcBorders>
                    <w:tl2br w:val="nil"/>
                    <w:tr2bl w:val="nil"/>
                  </w:tcBorders>
                  <w:vAlign w:val="center"/>
                </w:tcPr>
                <w:p w14:paraId="42F84596">
                  <w:pPr>
                    <w:spacing w:line="240" w:lineRule="auto"/>
                    <w:ind w:firstLine="0" w:firstLineChars="0"/>
                    <w:jc w:val="center"/>
                    <w:rPr>
                      <w:rFonts w:hint="default" w:ascii="Times New Roman" w:hAnsi="Times New Roman" w:eastAsia="宋体" w:cs="Times New Roman"/>
                      <w:color w:val="auto"/>
                      <w:spacing w:val="0"/>
                      <w:sz w:val="21"/>
                      <w:szCs w:val="18"/>
                      <w:highlight w:val="none"/>
                    </w:rPr>
                  </w:pPr>
                  <w:r>
                    <w:rPr>
                      <w:rFonts w:hint="default" w:ascii="Times New Roman" w:hAnsi="Times New Roman" w:eastAsia="宋体" w:cs="Times New Roman"/>
                      <w:color w:val="auto"/>
                      <w:spacing w:val="0"/>
                      <w:sz w:val="21"/>
                      <w:szCs w:val="18"/>
                      <w:highlight w:val="none"/>
                    </w:rPr>
                    <w:t>污染物名称</w:t>
                  </w:r>
                </w:p>
              </w:tc>
              <w:tc>
                <w:tcPr>
                  <w:tcW w:w="2375" w:type="pct"/>
                  <w:tcBorders>
                    <w:tl2br w:val="nil"/>
                    <w:tr2bl w:val="nil"/>
                  </w:tcBorders>
                  <w:vAlign w:val="center"/>
                </w:tcPr>
                <w:p w14:paraId="499253CC">
                  <w:pPr>
                    <w:spacing w:line="240" w:lineRule="auto"/>
                    <w:ind w:firstLine="0" w:firstLineChars="0"/>
                    <w:jc w:val="center"/>
                    <w:rPr>
                      <w:rFonts w:hint="default" w:ascii="Times New Roman" w:hAnsi="Times New Roman" w:eastAsia="宋体" w:cs="Times New Roman"/>
                      <w:color w:val="auto"/>
                      <w:spacing w:val="0"/>
                      <w:sz w:val="21"/>
                      <w:szCs w:val="18"/>
                      <w:highlight w:val="none"/>
                      <w:lang w:val="en-US" w:eastAsia="zh-CN"/>
                    </w:rPr>
                  </w:pPr>
                  <w:r>
                    <w:rPr>
                      <w:rFonts w:hint="default" w:ascii="Times New Roman" w:hAnsi="Times New Roman" w:eastAsia="宋体" w:cs="Times New Roman"/>
                      <w:color w:val="auto"/>
                      <w:spacing w:val="0"/>
                      <w:sz w:val="21"/>
                      <w:szCs w:val="18"/>
                      <w:highlight w:val="none"/>
                      <w:lang w:val="en-US" w:eastAsia="zh-CN"/>
                    </w:rPr>
                    <w:t>浓度</w:t>
                  </w:r>
                </w:p>
              </w:tc>
              <w:tc>
                <w:tcPr>
                  <w:tcW w:w="1722" w:type="pct"/>
                  <w:vMerge w:val="restart"/>
                  <w:tcBorders>
                    <w:tl2br w:val="nil"/>
                    <w:tr2bl w:val="nil"/>
                  </w:tcBorders>
                  <w:vAlign w:val="center"/>
                </w:tcPr>
                <w:p w14:paraId="2D13D85D">
                  <w:pPr>
                    <w:spacing w:line="240" w:lineRule="auto"/>
                    <w:ind w:firstLine="0" w:firstLineChars="0"/>
                    <w:jc w:val="center"/>
                    <w:rPr>
                      <w:rFonts w:hint="default" w:ascii="Times New Roman" w:hAnsi="Times New Roman" w:eastAsia="宋体" w:cs="Times New Roman"/>
                      <w:color w:val="auto"/>
                      <w:spacing w:val="0"/>
                      <w:sz w:val="21"/>
                      <w:szCs w:val="18"/>
                      <w:highlight w:val="none"/>
                    </w:rPr>
                  </w:pPr>
                  <w:r>
                    <w:rPr>
                      <w:rFonts w:hint="default" w:ascii="Times New Roman" w:hAnsi="Times New Roman" w:eastAsia="宋体" w:cs="Times New Roman"/>
                      <w:color w:val="auto"/>
                      <w:spacing w:val="0"/>
                      <w:sz w:val="21"/>
                      <w:szCs w:val="18"/>
                      <w:highlight w:val="none"/>
                      <w:lang w:val="en-US" w:eastAsia="zh-CN"/>
                    </w:rPr>
                    <w:t>《医疗机构水污染物排放标准》(GB18466-2005)中表2预处理标准限值</w:t>
                  </w:r>
                </w:p>
              </w:tc>
            </w:tr>
            <w:tr w14:paraId="18672E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1" w:type="pct"/>
                  <w:tcBorders>
                    <w:tl2br w:val="nil"/>
                    <w:tr2bl w:val="nil"/>
                  </w:tcBorders>
                  <w:vAlign w:val="center"/>
                </w:tcPr>
                <w:p w14:paraId="439B0897">
                  <w:pPr>
                    <w:spacing w:line="240" w:lineRule="auto"/>
                    <w:ind w:firstLine="0" w:firstLineChars="0"/>
                    <w:jc w:val="center"/>
                    <w:rPr>
                      <w:rFonts w:hint="default" w:ascii="Times New Roman" w:hAnsi="Times New Roman" w:eastAsia="宋体" w:cs="Times New Roman"/>
                      <w:color w:val="auto"/>
                      <w:spacing w:val="0"/>
                      <w:sz w:val="21"/>
                      <w:szCs w:val="18"/>
                      <w:highlight w:val="none"/>
                    </w:rPr>
                  </w:pPr>
                  <w:r>
                    <w:rPr>
                      <w:rFonts w:hint="default" w:ascii="Times New Roman" w:hAnsi="Times New Roman" w:eastAsia="宋体" w:cs="Times New Roman"/>
                      <w:color w:val="auto"/>
                      <w:spacing w:val="0"/>
                      <w:sz w:val="21"/>
                      <w:szCs w:val="18"/>
                      <w:highlight w:val="none"/>
                    </w:rPr>
                    <w:t>pH（无量纲）</w:t>
                  </w:r>
                </w:p>
              </w:tc>
              <w:tc>
                <w:tcPr>
                  <w:tcW w:w="2375" w:type="pct"/>
                  <w:tcBorders>
                    <w:tl2br w:val="nil"/>
                    <w:tr2bl w:val="nil"/>
                  </w:tcBorders>
                  <w:vAlign w:val="center"/>
                </w:tcPr>
                <w:p w14:paraId="2DA55968">
                  <w:pPr>
                    <w:spacing w:line="240" w:lineRule="auto"/>
                    <w:ind w:firstLine="0" w:firstLineChars="0"/>
                    <w:jc w:val="center"/>
                    <w:rPr>
                      <w:rFonts w:hint="default" w:ascii="Times New Roman" w:hAnsi="Times New Roman" w:eastAsia="宋体" w:cs="Times New Roman"/>
                      <w:color w:val="auto"/>
                      <w:spacing w:val="0"/>
                      <w:sz w:val="21"/>
                      <w:szCs w:val="18"/>
                      <w:highlight w:val="none"/>
                    </w:rPr>
                  </w:pPr>
                  <w:r>
                    <w:rPr>
                      <w:rFonts w:hint="default" w:ascii="Times New Roman" w:hAnsi="Times New Roman" w:eastAsia="宋体" w:cs="Times New Roman"/>
                      <w:color w:val="auto"/>
                      <w:spacing w:val="0"/>
                      <w:sz w:val="21"/>
                      <w:szCs w:val="18"/>
                      <w:highlight w:val="none"/>
                    </w:rPr>
                    <w:t>6~9</w:t>
                  </w:r>
                </w:p>
              </w:tc>
              <w:tc>
                <w:tcPr>
                  <w:tcW w:w="1722" w:type="pct"/>
                  <w:vMerge w:val="continue"/>
                  <w:tcBorders>
                    <w:tl2br w:val="nil"/>
                    <w:tr2bl w:val="nil"/>
                  </w:tcBorders>
                  <w:vAlign w:val="center"/>
                </w:tcPr>
                <w:p w14:paraId="07425FF0">
                  <w:pPr>
                    <w:spacing w:line="240" w:lineRule="auto"/>
                    <w:ind w:firstLine="0" w:firstLineChars="0"/>
                    <w:jc w:val="center"/>
                    <w:rPr>
                      <w:rFonts w:hint="default" w:ascii="Times New Roman" w:hAnsi="Times New Roman" w:eastAsia="宋体" w:cs="Times New Roman"/>
                      <w:color w:val="auto"/>
                      <w:spacing w:val="0"/>
                      <w:sz w:val="21"/>
                      <w:szCs w:val="18"/>
                      <w:highlight w:val="none"/>
                    </w:rPr>
                  </w:pPr>
                </w:p>
              </w:tc>
            </w:tr>
            <w:tr w14:paraId="6EB1DB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1" w:type="pct"/>
                  <w:tcBorders>
                    <w:tl2br w:val="nil"/>
                    <w:tr2bl w:val="nil"/>
                  </w:tcBorders>
                  <w:vAlign w:val="center"/>
                </w:tcPr>
                <w:p w14:paraId="4966A365">
                  <w:pPr>
                    <w:spacing w:line="240" w:lineRule="auto"/>
                    <w:ind w:firstLine="0" w:firstLineChars="0"/>
                    <w:jc w:val="center"/>
                    <w:rPr>
                      <w:rFonts w:hint="default" w:ascii="Times New Roman" w:hAnsi="Times New Roman" w:eastAsia="宋体" w:cs="Times New Roman"/>
                      <w:color w:val="auto"/>
                      <w:spacing w:val="0"/>
                      <w:sz w:val="21"/>
                      <w:szCs w:val="18"/>
                      <w:highlight w:val="none"/>
                    </w:rPr>
                  </w:pPr>
                  <w:r>
                    <w:rPr>
                      <w:rFonts w:hint="default" w:ascii="Times New Roman" w:hAnsi="Times New Roman" w:eastAsia="宋体" w:cs="Times New Roman"/>
                      <w:color w:val="auto"/>
                      <w:spacing w:val="0"/>
                      <w:sz w:val="21"/>
                      <w:szCs w:val="18"/>
                      <w:highlight w:val="none"/>
                    </w:rPr>
                    <w:t>COD</w:t>
                  </w:r>
                </w:p>
              </w:tc>
              <w:tc>
                <w:tcPr>
                  <w:tcW w:w="2375" w:type="pct"/>
                  <w:tcBorders>
                    <w:tl2br w:val="nil"/>
                    <w:tr2bl w:val="nil"/>
                  </w:tcBorders>
                  <w:vAlign w:val="center"/>
                </w:tcPr>
                <w:p w14:paraId="0197387B">
                  <w:pPr>
                    <w:spacing w:line="240" w:lineRule="auto"/>
                    <w:ind w:firstLine="0" w:firstLineChars="0"/>
                    <w:jc w:val="center"/>
                    <w:rPr>
                      <w:rFonts w:hint="default" w:ascii="Times New Roman" w:hAnsi="Times New Roman" w:eastAsia="宋体" w:cs="Times New Roman"/>
                      <w:color w:val="auto"/>
                      <w:spacing w:val="0"/>
                      <w:sz w:val="21"/>
                      <w:szCs w:val="18"/>
                      <w:highlight w:val="none"/>
                    </w:rPr>
                  </w:pPr>
                  <w:r>
                    <w:rPr>
                      <w:rFonts w:hint="eastAsia" w:ascii="Times New Roman" w:hAnsi="Times New Roman" w:cs="Times New Roman"/>
                      <w:color w:val="auto"/>
                      <w:spacing w:val="0"/>
                      <w:sz w:val="21"/>
                      <w:szCs w:val="18"/>
                      <w:highlight w:val="none"/>
                      <w:lang w:val="en-US" w:eastAsia="zh-CN"/>
                    </w:rPr>
                    <w:t>250</w:t>
                  </w:r>
                  <w:r>
                    <w:rPr>
                      <w:rFonts w:hint="default" w:ascii="Times New Roman" w:hAnsi="Times New Roman" w:eastAsia="宋体" w:cs="Times New Roman"/>
                      <w:color w:val="auto"/>
                      <w:spacing w:val="0"/>
                      <w:sz w:val="21"/>
                      <w:szCs w:val="18"/>
                      <w:highlight w:val="none"/>
                    </w:rPr>
                    <w:t>mg/L</w:t>
                  </w:r>
                </w:p>
              </w:tc>
              <w:tc>
                <w:tcPr>
                  <w:tcW w:w="1722" w:type="pct"/>
                  <w:vMerge w:val="continue"/>
                  <w:tcBorders>
                    <w:tl2br w:val="nil"/>
                    <w:tr2bl w:val="nil"/>
                  </w:tcBorders>
                  <w:vAlign w:val="center"/>
                </w:tcPr>
                <w:p w14:paraId="31283624">
                  <w:pPr>
                    <w:spacing w:line="240" w:lineRule="auto"/>
                    <w:ind w:firstLine="0" w:firstLineChars="0"/>
                    <w:jc w:val="center"/>
                    <w:rPr>
                      <w:rFonts w:hint="default" w:ascii="Times New Roman" w:hAnsi="Times New Roman" w:eastAsia="宋体" w:cs="Times New Roman"/>
                      <w:color w:val="auto"/>
                      <w:spacing w:val="0"/>
                      <w:sz w:val="21"/>
                      <w:szCs w:val="18"/>
                      <w:highlight w:val="none"/>
                    </w:rPr>
                  </w:pPr>
                </w:p>
              </w:tc>
            </w:tr>
            <w:tr w14:paraId="008B1F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1" w:type="pct"/>
                  <w:tcBorders>
                    <w:tl2br w:val="nil"/>
                    <w:tr2bl w:val="nil"/>
                  </w:tcBorders>
                  <w:vAlign w:val="center"/>
                </w:tcPr>
                <w:p w14:paraId="3832D805">
                  <w:pPr>
                    <w:spacing w:line="240" w:lineRule="auto"/>
                    <w:ind w:firstLine="0" w:firstLineChars="0"/>
                    <w:jc w:val="center"/>
                    <w:rPr>
                      <w:rFonts w:hint="default" w:ascii="Times New Roman" w:hAnsi="Times New Roman" w:eastAsia="宋体" w:cs="Times New Roman"/>
                      <w:color w:val="auto"/>
                      <w:spacing w:val="0"/>
                      <w:sz w:val="21"/>
                      <w:szCs w:val="18"/>
                      <w:highlight w:val="none"/>
                      <w:lang w:val="en-US" w:eastAsia="zh-CN"/>
                    </w:rPr>
                  </w:pPr>
                  <w:r>
                    <w:rPr>
                      <w:rFonts w:hint="eastAsia" w:ascii="Times New Roman" w:hAnsi="Times New Roman" w:cs="Times New Roman"/>
                      <w:color w:val="auto"/>
                      <w:spacing w:val="0"/>
                      <w:sz w:val="21"/>
                      <w:szCs w:val="18"/>
                      <w:highlight w:val="none"/>
                      <w:lang w:val="en-US" w:eastAsia="zh-CN"/>
                    </w:rPr>
                    <w:t>TDS</w:t>
                  </w:r>
                </w:p>
              </w:tc>
              <w:tc>
                <w:tcPr>
                  <w:tcW w:w="2375" w:type="pct"/>
                  <w:tcBorders>
                    <w:tl2br w:val="nil"/>
                    <w:tr2bl w:val="nil"/>
                  </w:tcBorders>
                  <w:vAlign w:val="center"/>
                </w:tcPr>
                <w:p w14:paraId="1195FCFA">
                  <w:pPr>
                    <w:spacing w:line="240" w:lineRule="auto"/>
                    <w:ind w:firstLine="0" w:firstLineChars="0"/>
                    <w:jc w:val="center"/>
                    <w:rPr>
                      <w:rFonts w:hint="default" w:ascii="Times New Roman" w:hAnsi="Times New Roman" w:eastAsia="宋体" w:cs="Times New Roman"/>
                      <w:color w:val="auto"/>
                      <w:spacing w:val="0"/>
                      <w:sz w:val="21"/>
                      <w:szCs w:val="18"/>
                      <w:highlight w:val="none"/>
                    </w:rPr>
                  </w:pPr>
                  <w:r>
                    <w:rPr>
                      <w:rFonts w:hint="eastAsia" w:ascii="Times New Roman" w:hAnsi="Times New Roman" w:cs="Times New Roman"/>
                      <w:color w:val="auto"/>
                      <w:spacing w:val="0"/>
                      <w:sz w:val="21"/>
                      <w:szCs w:val="18"/>
                      <w:highlight w:val="none"/>
                      <w:lang w:val="en-US" w:eastAsia="zh-CN"/>
                    </w:rPr>
                    <w:t>/</w:t>
                  </w:r>
                </w:p>
              </w:tc>
              <w:tc>
                <w:tcPr>
                  <w:tcW w:w="1722" w:type="pct"/>
                  <w:vMerge w:val="continue"/>
                  <w:tcBorders>
                    <w:tl2br w:val="nil"/>
                    <w:tr2bl w:val="nil"/>
                  </w:tcBorders>
                  <w:vAlign w:val="center"/>
                </w:tcPr>
                <w:p w14:paraId="4B185BEB">
                  <w:pPr>
                    <w:spacing w:line="240" w:lineRule="auto"/>
                    <w:ind w:firstLine="0" w:firstLineChars="0"/>
                    <w:jc w:val="center"/>
                    <w:rPr>
                      <w:rFonts w:hint="default" w:ascii="Times New Roman" w:hAnsi="Times New Roman" w:eastAsia="宋体" w:cs="Times New Roman"/>
                      <w:color w:val="auto"/>
                      <w:spacing w:val="0"/>
                      <w:sz w:val="21"/>
                      <w:szCs w:val="18"/>
                      <w:highlight w:val="none"/>
                    </w:rPr>
                  </w:pPr>
                </w:p>
              </w:tc>
            </w:tr>
          </w:tbl>
          <w:p w14:paraId="6F3088B5">
            <w:pPr>
              <w:ind w:left="0" w:leftChars="0" w:firstLine="0" w:firstLineChars="0"/>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4.</w:t>
            </w:r>
            <w:r>
              <w:rPr>
                <w:rFonts w:hint="default" w:ascii="Times New Roman" w:hAnsi="Times New Roman" w:eastAsia="宋体" w:cs="Times New Roman"/>
                <w:b/>
                <w:bCs w:val="0"/>
                <w:color w:val="auto"/>
                <w:spacing w:val="0"/>
                <w:sz w:val="24"/>
                <w:szCs w:val="24"/>
                <w:highlight w:val="none"/>
                <w:lang w:val="en-US" w:eastAsia="zh-CN"/>
              </w:rPr>
              <w:t>固体废物</w:t>
            </w:r>
          </w:p>
          <w:p w14:paraId="07365E52">
            <w:pPr>
              <w:pStyle w:val="46"/>
              <w:spacing w:line="360" w:lineRule="auto"/>
              <w:ind w:firstLine="480" w:firstLineChars="200"/>
              <w:jc w:val="both"/>
              <w:rPr>
                <w:rFonts w:hint="default" w:ascii="Times New Roman" w:hAnsi="Times New Roman" w:eastAsia="宋体" w:cs="Times New Roman"/>
                <w:color w:val="auto"/>
                <w:spacing w:val="0"/>
                <w:highlight w:val="none"/>
                <w:lang w:val="en-US"/>
              </w:rPr>
            </w:pPr>
            <w:r>
              <w:rPr>
                <w:rFonts w:hint="default" w:ascii="Times New Roman" w:hAnsi="Times New Roman" w:cs="Times New Roman"/>
                <w:color w:val="auto"/>
                <w:sz w:val="24"/>
                <w:szCs w:val="24"/>
                <w:highlight w:val="none"/>
                <w:lang w:val="en-US" w:eastAsia="zh-CN"/>
              </w:rPr>
              <w:t>本项目</w:t>
            </w:r>
            <w:r>
              <w:rPr>
                <w:rFonts w:hint="default" w:ascii="Times New Roman" w:hAnsi="Times New Roman" w:cs="Times New Roman"/>
                <w:color w:val="auto"/>
                <w:sz w:val="24"/>
                <w:szCs w:val="24"/>
                <w:highlight w:val="none"/>
              </w:rPr>
              <w:t>一般固废分类执行《固体废物分类与代码</w:t>
            </w:r>
            <w:r>
              <w:rPr>
                <w:rFonts w:hint="default" w:ascii="Times New Roman" w:hAnsi="Times New Roman" w:cs="Times New Roman"/>
                <w:color w:val="auto"/>
                <w:sz w:val="24"/>
                <w:szCs w:val="24"/>
                <w:highlight w:val="none"/>
                <w:lang w:val="en-US" w:eastAsia="zh-CN"/>
              </w:rPr>
              <w:t>名录</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2024年第4号</w:t>
            </w:r>
            <w:r>
              <w:rPr>
                <w:rFonts w:hint="default" w:ascii="Times New Roman" w:hAnsi="Times New Roman" w:cs="Times New Roman"/>
                <w:color w:val="auto"/>
                <w:sz w:val="24"/>
                <w:szCs w:val="24"/>
                <w:highlight w:val="none"/>
              </w:rPr>
              <w:t>）的有关规定</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一般固体废物贮存执行《一般工业固体废物贮存和填埋污染控制标准》（GB18599-2020）的有关规定</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危险固体废物执行《危险废物贮存污染控制标准》（GB18597-2023）。</w:t>
            </w:r>
          </w:p>
        </w:tc>
      </w:tr>
      <w:tr w14:paraId="426E71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23" w:hRule="atLeast"/>
          <w:jc w:val="center"/>
        </w:trPr>
        <w:tc>
          <w:tcPr>
            <w:tcW w:w="542" w:type="dxa"/>
            <w:noWrap w:val="0"/>
            <w:vAlign w:val="center"/>
          </w:tcPr>
          <w:p w14:paraId="3EC7A196">
            <w:pPr>
              <w:spacing w:line="240" w:lineRule="auto"/>
              <w:ind w:firstLine="0" w:firstLineChars="0"/>
              <w:jc w:val="center"/>
              <w:rPr>
                <w:rFonts w:hint="default" w:ascii="Times New Roman" w:hAnsi="Times New Roman" w:eastAsia="宋体" w:cs="Times New Roman"/>
                <w:color w:val="auto"/>
                <w:spacing w:val="0"/>
                <w:kern w:val="0"/>
                <w:highlight w:val="none"/>
              </w:rPr>
            </w:pPr>
            <w:r>
              <w:rPr>
                <w:rFonts w:hint="default" w:ascii="Times New Roman" w:hAnsi="Times New Roman" w:eastAsia="宋体" w:cs="Times New Roman"/>
                <w:color w:val="auto"/>
                <w:spacing w:val="0"/>
                <w:kern w:val="0"/>
                <w:highlight w:val="none"/>
              </w:rPr>
              <w:t>总量</w:t>
            </w:r>
          </w:p>
          <w:p w14:paraId="429FCD45">
            <w:pPr>
              <w:spacing w:line="240" w:lineRule="auto"/>
              <w:ind w:firstLine="0" w:firstLineChars="0"/>
              <w:jc w:val="center"/>
              <w:rPr>
                <w:rFonts w:hint="default" w:ascii="Times New Roman" w:hAnsi="Times New Roman" w:eastAsia="宋体" w:cs="Times New Roman"/>
                <w:color w:val="auto"/>
                <w:spacing w:val="0"/>
                <w:kern w:val="0"/>
                <w:highlight w:val="none"/>
              </w:rPr>
            </w:pPr>
            <w:r>
              <w:rPr>
                <w:rFonts w:hint="default" w:ascii="Times New Roman" w:hAnsi="Times New Roman" w:eastAsia="宋体" w:cs="Times New Roman"/>
                <w:color w:val="auto"/>
                <w:spacing w:val="0"/>
                <w:kern w:val="0"/>
                <w:highlight w:val="none"/>
              </w:rPr>
              <w:t>控制</w:t>
            </w:r>
          </w:p>
          <w:p w14:paraId="30A47AF3">
            <w:pPr>
              <w:spacing w:line="240" w:lineRule="auto"/>
              <w:ind w:firstLine="0" w:firstLineChars="0"/>
              <w:jc w:val="center"/>
              <w:rPr>
                <w:rFonts w:hint="default" w:ascii="Times New Roman" w:hAnsi="Times New Roman" w:eastAsia="宋体" w:cs="Times New Roman"/>
                <w:color w:val="auto"/>
                <w:spacing w:val="0"/>
                <w:kern w:val="0"/>
                <w:highlight w:val="none"/>
              </w:rPr>
            </w:pPr>
            <w:r>
              <w:rPr>
                <w:rFonts w:hint="default" w:ascii="Times New Roman" w:hAnsi="Times New Roman" w:eastAsia="宋体" w:cs="Times New Roman"/>
                <w:color w:val="auto"/>
                <w:spacing w:val="0"/>
                <w:kern w:val="0"/>
                <w:highlight w:val="none"/>
              </w:rPr>
              <w:t>指标</w:t>
            </w:r>
          </w:p>
        </w:tc>
        <w:tc>
          <w:tcPr>
            <w:tcW w:w="7987" w:type="dxa"/>
            <w:noWrap w:val="0"/>
            <w:vAlign w:val="center"/>
          </w:tcPr>
          <w:p w14:paraId="546ACBCC">
            <w:pPr>
              <w:pStyle w:val="90"/>
              <w:spacing w:before="0" w:beforeLines="0" w:after="0" w:afterLines="0" w:line="360" w:lineRule="auto"/>
              <w:ind w:firstLine="48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en-US" w:eastAsia="zh-CN"/>
              </w:rPr>
              <w:t>本项目污染物核定排放量见下表</w:t>
            </w:r>
            <w:r>
              <w:rPr>
                <w:rFonts w:hint="default" w:ascii="Times New Roman" w:hAnsi="Times New Roman" w:eastAsia="宋体" w:cs="Times New Roman"/>
                <w:color w:val="auto"/>
                <w:spacing w:val="0"/>
                <w:sz w:val="21"/>
                <w:szCs w:val="21"/>
                <w:highlight w:val="none"/>
              </w:rPr>
              <w:t>：</w:t>
            </w:r>
          </w:p>
          <w:p w14:paraId="1D8C2744">
            <w:pPr>
              <w:pStyle w:val="91"/>
              <w:spacing w:line="240" w:lineRule="auto"/>
              <w:ind w:firstLine="0" w:firstLineChars="0"/>
              <w:jc w:val="center"/>
              <w:rPr>
                <w:rFonts w:hint="default" w:ascii="Times New Roman" w:hAnsi="Times New Roman" w:eastAsia="宋体" w:cs="Times New Roman"/>
                <w:b/>
                <w:bCs w:val="0"/>
                <w:color w:val="auto"/>
                <w:spacing w:val="0"/>
                <w:kern w:val="2"/>
                <w:sz w:val="21"/>
                <w:szCs w:val="21"/>
                <w:highlight w:val="none"/>
                <w:lang w:val="en-US" w:eastAsia="zh-CN" w:bidi="ar-SA"/>
              </w:rPr>
            </w:pPr>
            <w:r>
              <w:rPr>
                <w:rFonts w:hint="default" w:ascii="Times New Roman" w:hAnsi="Times New Roman" w:eastAsia="宋体" w:cs="Times New Roman"/>
                <w:b/>
                <w:bCs w:val="0"/>
                <w:color w:val="auto"/>
                <w:spacing w:val="0"/>
                <w:kern w:val="2"/>
                <w:sz w:val="21"/>
                <w:szCs w:val="21"/>
                <w:highlight w:val="none"/>
                <w:lang w:val="en-US" w:eastAsia="zh-CN" w:bidi="ar-SA"/>
              </w:rPr>
              <w:t>表3-</w:t>
            </w:r>
            <w:r>
              <w:rPr>
                <w:rFonts w:hint="default" w:ascii="Times New Roman" w:hAnsi="Times New Roman" w:cs="Times New Roman"/>
                <w:b/>
                <w:bCs w:val="0"/>
                <w:color w:val="auto"/>
                <w:spacing w:val="0"/>
                <w:kern w:val="2"/>
                <w:sz w:val="21"/>
                <w:szCs w:val="21"/>
                <w:highlight w:val="none"/>
                <w:lang w:val="en-US" w:eastAsia="zh-CN" w:bidi="ar-SA"/>
              </w:rPr>
              <w:t>1</w:t>
            </w:r>
            <w:r>
              <w:rPr>
                <w:rFonts w:hint="eastAsia" w:ascii="Times New Roman" w:hAnsi="Times New Roman" w:cs="Times New Roman"/>
                <w:b/>
                <w:bCs w:val="0"/>
                <w:color w:val="auto"/>
                <w:spacing w:val="0"/>
                <w:kern w:val="2"/>
                <w:sz w:val="21"/>
                <w:szCs w:val="21"/>
                <w:highlight w:val="none"/>
                <w:lang w:val="en-US" w:eastAsia="zh-CN" w:bidi="ar-SA"/>
              </w:rPr>
              <w:t>2</w:t>
            </w:r>
            <w:r>
              <w:rPr>
                <w:rFonts w:hint="default" w:ascii="Times New Roman" w:hAnsi="Times New Roman" w:eastAsia="宋体" w:cs="Times New Roman"/>
                <w:b/>
                <w:bCs w:val="0"/>
                <w:color w:val="auto"/>
                <w:spacing w:val="0"/>
                <w:kern w:val="2"/>
                <w:sz w:val="21"/>
                <w:szCs w:val="21"/>
                <w:highlight w:val="none"/>
                <w:lang w:val="en-US" w:eastAsia="zh-CN" w:bidi="ar-SA"/>
              </w:rPr>
              <w:t>总量控制指标</w:t>
            </w:r>
          </w:p>
          <w:tbl>
            <w:tblPr>
              <w:tblStyle w:val="3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48"/>
              <w:gridCol w:w="1306"/>
              <w:gridCol w:w="2801"/>
              <w:gridCol w:w="2801"/>
            </w:tblGrid>
            <w:tr w14:paraId="498E89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949" w:type="dxa"/>
                  <w:noWrap w:val="0"/>
                  <w:vAlign w:val="center"/>
                </w:tcPr>
                <w:p w14:paraId="39F62CAF">
                  <w:pPr>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项目</w:t>
                  </w:r>
                </w:p>
              </w:tc>
              <w:tc>
                <w:tcPr>
                  <w:tcW w:w="1306" w:type="dxa"/>
                  <w:noWrap w:val="0"/>
                  <w:vAlign w:val="center"/>
                </w:tcPr>
                <w:p w14:paraId="7512C4B8">
                  <w:pPr>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名称</w:t>
                  </w:r>
                </w:p>
              </w:tc>
              <w:tc>
                <w:tcPr>
                  <w:tcW w:w="2801" w:type="dxa"/>
                  <w:noWrap w:val="0"/>
                  <w:vAlign w:val="center"/>
                </w:tcPr>
                <w:p w14:paraId="3D4EDC1B">
                  <w:pPr>
                    <w:spacing w:line="240" w:lineRule="auto"/>
                    <w:ind w:firstLine="0" w:firstLineChars="0"/>
                    <w:jc w:val="center"/>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本工程预测排放量</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t/a</w:t>
                  </w:r>
                  <w:r>
                    <w:rPr>
                      <w:rFonts w:hint="default" w:ascii="Times New Roman" w:hAnsi="Times New Roman" w:eastAsia="宋体" w:cs="Times New Roman"/>
                      <w:color w:val="auto"/>
                      <w:spacing w:val="0"/>
                      <w:sz w:val="21"/>
                      <w:szCs w:val="21"/>
                      <w:highlight w:val="none"/>
                      <w:lang w:eastAsia="zh-CN"/>
                    </w:rPr>
                    <w:t>）</w:t>
                  </w:r>
                </w:p>
              </w:tc>
              <w:tc>
                <w:tcPr>
                  <w:tcW w:w="2801" w:type="dxa"/>
                  <w:noWrap w:val="0"/>
                  <w:vAlign w:val="center"/>
                </w:tcPr>
                <w:p w14:paraId="74F64B3F">
                  <w:pPr>
                    <w:spacing w:line="240" w:lineRule="auto"/>
                    <w:ind w:firstLine="0" w:firstLineChars="0"/>
                    <w:jc w:val="center"/>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核定排放量</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t/a</w:t>
                  </w:r>
                  <w:r>
                    <w:rPr>
                      <w:rFonts w:hint="default" w:ascii="Times New Roman" w:hAnsi="Times New Roman" w:eastAsia="宋体" w:cs="Times New Roman"/>
                      <w:color w:val="auto"/>
                      <w:spacing w:val="0"/>
                      <w:sz w:val="21"/>
                      <w:szCs w:val="21"/>
                      <w:highlight w:val="none"/>
                      <w:lang w:eastAsia="zh-CN"/>
                    </w:rPr>
                    <w:t>）</w:t>
                  </w:r>
                </w:p>
              </w:tc>
            </w:tr>
            <w:tr w14:paraId="4E99A2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exact"/>
                <w:jc w:val="center"/>
              </w:trPr>
              <w:tc>
                <w:tcPr>
                  <w:tcW w:w="949" w:type="dxa"/>
                  <w:vMerge w:val="restart"/>
                  <w:noWrap w:val="0"/>
                  <w:vAlign w:val="center"/>
                </w:tcPr>
                <w:p w14:paraId="263858AA">
                  <w:pPr>
                    <w:spacing w:line="240" w:lineRule="auto"/>
                    <w:ind w:firstLine="0" w:firstLineChars="0"/>
                    <w:jc w:val="center"/>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val="en-US" w:eastAsia="zh-CN"/>
                    </w:rPr>
                    <w:t>废气</w:t>
                  </w:r>
                </w:p>
              </w:tc>
              <w:tc>
                <w:tcPr>
                  <w:tcW w:w="1306" w:type="dxa"/>
                  <w:shd w:val="clear" w:color="auto" w:fill="auto"/>
                  <w:noWrap w:val="0"/>
                  <w:vAlign w:val="center"/>
                </w:tcPr>
                <w:p w14:paraId="1F8DF6ED">
                  <w:pPr>
                    <w:spacing w:line="240" w:lineRule="auto"/>
                    <w:ind w:firstLine="0" w:firstLineChars="0"/>
                    <w:jc w:val="center"/>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color w:val="auto"/>
                      <w:spacing w:val="0"/>
                      <w:sz w:val="21"/>
                      <w:szCs w:val="21"/>
                      <w:highlight w:val="none"/>
                      <w:lang w:val="en-US" w:eastAsia="zh-CN"/>
                    </w:rPr>
                    <w:t>颗粒物</w:t>
                  </w:r>
                </w:p>
              </w:tc>
              <w:tc>
                <w:tcPr>
                  <w:tcW w:w="2801" w:type="dxa"/>
                  <w:noWrap w:val="0"/>
                  <w:vAlign w:val="center"/>
                </w:tcPr>
                <w:p w14:paraId="06BF68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eastAsia" w:ascii="Times New Roman" w:hAnsi="Times New Roman" w:cs="Times New Roman"/>
                      <w:color w:val="auto"/>
                      <w:spacing w:val="0"/>
                      <w:kern w:val="0"/>
                      <w:sz w:val="21"/>
                      <w:szCs w:val="21"/>
                      <w:highlight w:val="none"/>
                      <w:lang w:val="en-US" w:eastAsia="zh-CN"/>
                    </w:rPr>
                    <w:t>0.081</w:t>
                  </w:r>
                </w:p>
              </w:tc>
              <w:tc>
                <w:tcPr>
                  <w:tcW w:w="2801" w:type="dxa"/>
                  <w:noWrap w:val="0"/>
                  <w:vAlign w:val="center"/>
                </w:tcPr>
                <w:p w14:paraId="3AF78D4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1.165</w:t>
                  </w:r>
                </w:p>
              </w:tc>
            </w:tr>
            <w:tr w14:paraId="312392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949" w:type="dxa"/>
                  <w:vMerge w:val="continue"/>
                  <w:noWrap w:val="0"/>
                  <w:vAlign w:val="center"/>
                </w:tcPr>
                <w:p w14:paraId="07188887">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p>
              </w:tc>
              <w:tc>
                <w:tcPr>
                  <w:tcW w:w="1306" w:type="dxa"/>
                  <w:shd w:val="clear" w:color="auto" w:fill="auto"/>
                  <w:noWrap w:val="0"/>
                  <w:vAlign w:val="center"/>
                </w:tcPr>
                <w:p w14:paraId="5547F015">
                  <w:pPr>
                    <w:spacing w:line="240" w:lineRule="auto"/>
                    <w:ind w:firstLine="0" w:firstLineChars="0"/>
                    <w:jc w:val="center"/>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color w:val="auto"/>
                      <w:spacing w:val="0"/>
                      <w:sz w:val="21"/>
                      <w:szCs w:val="21"/>
                      <w:highlight w:val="none"/>
                      <w:lang w:val="en-US" w:eastAsia="zh-CN"/>
                    </w:rPr>
                    <w:t>二氧化硫</w:t>
                  </w:r>
                </w:p>
              </w:tc>
              <w:tc>
                <w:tcPr>
                  <w:tcW w:w="2801" w:type="dxa"/>
                  <w:noWrap w:val="0"/>
                  <w:vAlign w:val="center"/>
                </w:tcPr>
                <w:p w14:paraId="67AFB8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eastAsia" w:ascii="Times New Roman" w:hAnsi="Times New Roman" w:cs="Times New Roman"/>
                      <w:bCs/>
                      <w:i w:val="0"/>
                      <w:color w:val="auto"/>
                      <w:spacing w:val="0"/>
                      <w:kern w:val="2"/>
                      <w:sz w:val="21"/>
                      <w:szCs w:val="21"/>
                      <w:highlight w:val="none"/>
                      <w:u w:val="none"/>
                      <w:lang w:val="en-US" w:eastAsia="zh-CN" w:bidi="ar-SA"/>
                    </w:rPr>
                    <w:t>0.544</w:t>
                  </w:r>
                </w:p>
              </w:tc>
              <w:tc>
                <w:tcPr>
                  <w:tcW w:w="2801" w:type="dxa"/>
                  <w:noWrap w:val="0"/>
                  <w:vAlign w:val="center"/>
                </w:tcPr>
                <w:p w14:paraId="12C208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5.594</w:t>
                  </w:r>
                </w:p>
              </w:tc>
            </w:tr>
            <w:tr w14:paraId="3630EB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949" w:type="dxa"/>
                  <w:vMerge w:val="continue"/>
                  <w:noWrap w:val="0"/>
                  <w:vAlign w:val="center"/>
                </w:tcPr>
                <w:p w14:paraId="506AFA47">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p>
              </w:tc>
              <w:tc>
                <w:tcPr>
                  <w:tcW w:w="1306" w:type="dxa"/>
                  <w:shd w:val="clear" w:color="auto" w:fill="auto"/>
                  <w:noWrap w:val="0"/>
                  <w:vAlign w:val="center"/>
                </w:tcPr>
                <w:p w14:paraId="29ABB7B8">
                  <w:pPr>
                    <w:pStyle w:val="70"/>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color w:val="auto"/>
                      <w:spacing w:val="0"/>
                      <w:sz w:val="21"/>
                      <w:szCs w:val="21"/>
                      <w:highlight w:val="none"/>
                      <w:lang w:val="en-US" w:eastAsia="zh-CN"/>
                    </w:rPr>
                    <w:t>氮氧化物</w:t>
                  </w:r>
                </w:p>
              </w:tc>
              <w:tc>
                <w:tcPr>
                  <w:tcW w:w="2801" w:type="dxa"/>
                  <w:noWrap w:val="0"/>
                  <w:vAlign w:val="center"/>
                </w:tcPr>
                <w:p w14:paraId="29FA7E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eastAsia" w:ascii="Times New Roman" w:hAnsi="Times New Roman" w:cs="Times New Roman"/>
                      <w:bCs/>
                      <w:i w:val="0"/>
                      <w:color w:val="auto"/>
                      <w:spacing w:val="0"/>
                      <w:kern w:val="0"/>
                      <w:sz w:val="21"/>
                      <w:szCs w:val="21"/>
                      <w:highlight w:val="none"/>
                      <w:u w:val="none"/>
                      <w:lang w:val="en-US" w:eastAsia="zh-CN" w:bidi="ar"/>
                    </w:rPr>
                    <w:t>3.50</w:t>
                  </w:r>
                </w:p>
              </w:tc>
              <w:tc>
                <w:tcPr>
                  <w:tcW w:w="2801" w:type="dxa"/>
                  <w:noWrap w:val="0"/>
                  <w:vAlign w:val="center"/>
                </w:tcPr>
                <w:p w14:paraId="6C0513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6.993</w:t>
                  </w:r>
                </w:p>
              </w:tc>
            </w:tr>
          </w:tbl>
          <w:p w14:paraId="0F1428EA">
            <w:pPr>
              <w:ind w:firstLine="0" w:firstLineChars="0"/>
              <w:jc w:val="center"/>
              <w:rPr>
                <w:rFonts w:hint="default" w:ascii="Times New Roman" w:hAnsi="Times New Roman" w:eastAsia="宋体" w:cs="Times New Roman"/>
                <w:color w:val="auto"/>
                <w:spacing w:val="0"/>
                <w:sz w:val="21"/>
                <w:szCs w:val="21"/>
                <w:highlight w:val="none"/>
                <w:lang w:val="en-US" w:eastAsia="zh-CN"/>
              </w:rPr>
            </w:pPr>
          </w:p>
        </w:tc>
      </w:tr>
    </w:tbl>
    <w:p w14:paraId="03A04BEC">
      <w:pPr>
        <w:pStyle w:val="2"/>
        <w:rPr>
          <w:rFonts w:hint="default" w:ascii="Times New Roman" w:hAnsi="Times New Roman" w:eastAsia="宋体" w:cs="Times New Roman"/>
          <w:color w:val="auto"/>
          <w:spacing w:val="0"/>
          <w:highlight w:val="none"/>
        </w:rPr>
        <w:sectPr>
          <w:pgSz w:w="11907" w:h="16840"/>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bookmarkEnd w:id="8"/>
    <w:bookmarkEnd w:id="9"/>
    <w:p w14:paraId="492CAD04">
      <w:pPr>
        <w:pStyle w:val="2"/>
        <w:spacing w:line="360" w:lineRule="auto"/>
        <w:jc w:val="center"/>
        <w:rPr>
          <w:rFonts w:hint="default" w:ascii="Times New Roman" w:hAnsi="Times New Roman" w:eastAsia="宋体" w:cs="Times New Roman"/>
          <w:bCs w:val="0"/>
          <w:color w:val="auto"/>
          <w:spacing w:val="0"/>
          <w:highlight w:val="none"/>
        </w:rPr>
      </w:pPr>
      <w:bookmarkStart w:id="10" w:name="_Toc20438"/>
      <w:bookmarkStart w:id="11" w:name="_Toc71191480"/>
      <w:r>
        <w:rPr>
          <w:rFonts w:hint="default" w:ascii="Times New Roman" w:hAnsi="Times New Roman" w:eastAsia="宋体" w:cs="Times New Roman"/>
          <w:bCs w:val="0"/>
          <w:color w:val="auto"/>
          <w:spacing w:val="0"/>
          <w:highlight w:val="none"/>
        </w:rPr>
        <w:t>四、主要环境影响和保护措施</w:t>
      </w:r>
      <w:bookmarkEnd w:id="10"/>
    </w:p>
    <w:tbl>
      <w:tblPr>
        <w:tblStyle w:val="35"/>
        <w:tblW w:w="50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97"/>
        <w:gridCol w:w="8067"/>
      </w:tblGrid>
      <w:tr w14:paraId="2CF86A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4" w:hRule="atLeast"/>
          <w:jc w:val="center"/>
        </w:trPr>
        <w:tc>
          <w:tcPr>
            <w:tcW w:w="492" w:type="dxa"/>
            <w:noWrap w:val="0"/>
            <w:tcMar>
              <w:left w:w="28" w:type="dxa"/>
              <w:right w:w="28" w:type="dxa"/>
            </w:tcMar>
            <w:vAlign w:val="center"/>
          </w:tcPr>
          <w:p w14:paraId="0B392928">
            <w:pPr>
              <w:spacing w:line="240" w:lineRule="auto"/>
              <w:ind w:firstLine="0" w:firstLineChars="0"/>
              <w:jc w:val="center"/>
              <w:rPr>
                <w:rFonts w:hint="default" w:ascii="Times New Roman" w:hAnsi="Times New Roman" w:eastAsia="宋体" w:cs="Times New Roman"/>
                <w:bCs w:val="0"/>
                <w:color w:val="auto"/>
                <w:spacing w:val="0"/>
                <w:kern w:val="2"/>
                <w:sz w:val="21"/>
                <w:szCs w:val="21"/>
                <w:highlight w:val="none"/>
              </w:rPr>
            </w:pPr>
            <w:r>
              <w:rPr>
                <w:rFonts w:hint="default" w:ascii="Times New Roman" w:hAnsi="Times New Roman" w:eastAsia="宋体" w:cs="Times New Roman"/>
                <w:bCs/>
                <w:color w:val="auto"/>
                <w:spacing w:val="0"/>
                <w:sz w:val="22"/>
                <w:szCs w:val="22"/>
                <w:highlight w:val="none"/>
                <w:lang w:eastAsia="zh-CN"/>
              </w:rPr>
              <w:t>施工</w:t>
            </w:r>
            <w:r>
              <w:rPr>
                <w:rFonts w:hint="default" w:ascii="Times New Roman" w:hAnsi="Times New Roman" w:eastAsia="宋体" w:cs="Times New Roman"/>
                <w:bCs/>
                <w:color w:val="auto"/>
                <w:spacing w:val="0"/>
                <w:sz w:val="22"/>
                <w:szCs w:val="22"/>
                <w:highlight w:val="none"/>
              </w:rPr>
              <w:t>期环境影响和保护措施</w:t>
            </w:r>
          </w:p>
        </w:tc>
        <w:tc>
          <w:tcPr>
            <w:tcW w:w="7992" w:type="dxa"/>
            <w:tcBorders>
              <w:bottom w:val="single" w:color="auto" w:sz="4" w:space="0"/>
            </w:tcBorders>
            <w:noWrap w:val="0"/>
            <w:vAlign w:val="center"/>
          </w:tcPr>
          <w:p w14:paraId="1DD02D21">
            <w:pPr>
              <w:keepNext w:val="0"/>
              <w:keepLines w:val="0"/>
              <w:pageBreakBefore w:val="0"/>
              <w:widowControl w:val="0"/>
              <w:numPr>
                <w:ilvl w:val="0"/>
                <w:numId w:val="0"/>
              </w:numPr>
              <w:tabs>
                <w:tab w:val="left" w:pos="87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（一）废气</w:t>
            </w:r>
          </w:p>
          <w:p w14:paraId="53130FDB">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项目施工过程中造成大气污染的主要产生源有：</w:t>
            </w:r>
            <w:r>
              <w:rPr>
                <w:rFonts w:hint="eastAsia" w:ascii="Times New Roman" w:hAnsi="Times New Roman" w:cs="Times New Roman"/>
                <w:color w:val="auto"/>
                <w:highlight w:val="none"/>
                <w:lang w:val="en-US" w:eastAsia="zh-CN"/>
              </w:rPr>
              <w:t>锅炉及除尘器等安装</w:t>
            </w:r>
            <w:r>
              <w:rPr>
                <w:rFonts w:hint="default" w:ascii="Times New Roman" w:hAnsi="Times New Roman" w:cs="Times New Roman"/>
                <w:color w:val="auto"/>
                <w:highlight w:val="none"/>
              </w:rPr>
              <w:t>材料的装卸、运输、以及运输过程中产生扬尘等。</w:t>
            </w:r>
          </w:p>
          <w:p w14:paraId="3B405309">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建设单位应在施工期采取以下相应措施：</w:t>
            </w:r>
          </w:p>
          <w:p w14:paraId="2CAAE103">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（1）封闭施工现场，既可有效防止粉尘及扬尘的污染，又可起到隔声的作用。</w:t>
            </w:r>
          </w:p>
          <w:p w14:paraId="0E61554D">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（2）施工中所用粉状材料运输时应对车辆加盖篷布，并在经过居民区运输时减速慢行。</w:t>
            </w:r>
          </w:p>
          <w:p w14:paraId="2F104390">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（3）施工过程中所用建筑材料，必须设固定堆放场，特别是水泥在堆放过程中应用苫布盖好，防止二次扬尘污染，不得随意堆放。</w:t>
            </w:r>
          </w:p>
          <w:p w14:paraId="220DC2B4">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通过以上措施处理后，施工期对环境空气影响较小。</w:t>
            </w:r>
          </w:p>
          <w:p w14:paraId="2B8D1367">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（二）废水</w:t>
            </w:r>
          </w:p>
          <w:p w14:paraId="6696CB6F">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施工期产生的废水主要为施工员工生活污水</w:t>
            </w:r>
            <w:r>
              <w:rPr>
                <w:rFonts w:hint="default" w:ascii="Times New Roman" w:hAnsi="Times New Roman" w:cs="Times New Roman"/>
                <w:color w:val="auto"/>
                <w:highlight w:val="none"/>
                <w:lang w:val="en-US" w:eastAsia="zh-CN"/>
              </w:rPr>
              <w:t>及施工过程产生的车辆冲洗废水与降尘用水</w:t>
            </w:r>
            <w:r>
              <w:rPr>
                <w:rFonts w:hint="default" w:ascii="Times New Roman" w:hAnsi="Times New Roman" w:cs="Times New Roman"/>
                <w:color w:val="auto"/>
                <w:highlight w:val="none"/>
              </w:rPr>
              <w:t>。</w:t>
            </w:r>
          </w:p>
          <w:p w14:paraId="0E60E3D2">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施工阶段生活污水</w:t>
            </w:r>
            <w:r>
              <w:rPr>
                <w:rFonts w:hint="default" w:ascii="Times New Roman" w:hAnsi="Times New Roman" w:cs="Times New Roman"/>
                <w:color w:val="auto"/>
                <w:highlight w:val="none"/>
                <w:lang w:val="en-US" w:eastAsia="zh-CN"/>
              </w:rPr>
              <w:t>依托医院现有公共卫生间；车辆冲洗水通过隔油沉淀处理后回用洒水降尘，不外排放</w:t>
            </w:r>
            <w:r>
              <w:rPr>
                <w:rFonts w:hint="default" w:ascii="Times New Roman" w:hAnsi="Times New Roman" w:cs="Times New Roman"/>
                <w:color w:val="auto"/>
                <w:highlight w:val="none"/>
              </w:rPr>
              <w:t>。隔油沉淀池为临时设施，施工结束后将予以拆除，恢复场地原貌。</w:t>
            </w:r>
          </w:p>
          <w:p w14:paraId="1E315848">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（三）噪声</w:t>
            </w:r>
          </w:p>
          <w:p w14:paraId="5CD223D9">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施工期间噪声主要来源于施工现场的各类机械设备和物料运输的交通噪声。在5米范围内一般为70~85dB(A</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w:t>
            </w:r>
          </w:p>
          <w:p w14:paraId="78BA91FB">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（1）合理安排施工时间，严禁夜间施工。</w:t>
            </w:r>
          </w:p>
          <w:p w14:paraId="0E98D0BF">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降低设备声级。设备选型上尽量采用低噪声设备，如以液压机械代替燃油机械，低频振捣器采用高频振捣器等；高噪声、高振动设备采取减振措施；维护不良的设备常因松动部件的振动或消声器的损坏而增加其工作噪声级，因此要对动力机械设备进行定期的维修、养护；闲置不用的设备应立即关闭。</w:t>
            </w:r>
          </w:p>
          <w:p w14:paraId="210298AB">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（3）工地周围设立围护屏障，尽可能减少设备噪声对环境的影响。</w:t>
            </w:r>
          </w:p>
          <w:p w14:paraId="09378550">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（4）降低人为噪声。按照规定操作机械设备，在挡板、支架拆卸过程中，应遵守作业规定，减少碰撞噪声。</w:t>
            </w:r>
          </w:p>
          <w:p w14:paraId="32518462">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选用低噪声施工机械设备，采取减振、隔声措施，夜间禁止施工，场界噪声符合</w:t>
            </w:r>
            <w:r>
              <w:rPr>
                <w:rFonts w:hint="default" w:ascii="Times New Roman" w:hAnsi="Times New Roman" w:cs="Times New Roman"/>
                <w:color w:val="auto"/>
                <w:sz w:val="24"/>
                <w:szCs w:val="22"/>
                <w:highlight w:val="none"/>
              </w:rPr>
              <w:t>《</w:t>
            </w:r>
            <w:r>
              <w:rPr>
                <w:rFonts w:hint="default" w:ascii="Times New Roman" w:hAnsi="Times New Roman" w:cs="Times New Roman"/>
                <w:color w:val="auto"/>
                <w:sz w:val="24"/>
                <w:szCs w:val="22"/>
                <w:highlight w:val="none"/>
                <w:lang w:eastAsia="zh-CN"/>
              </w:rPr>
              <w:t>建筑施工噪声排放标准</w:t>
            </w:r>
            <w:r>
              <w:rPr>
                <w:rFonts w:hint="default" w:ascii="Times New Roman" w:hAnsi="Times New Roman" w:cs="Times New Roman"/>
                <w:color w:val="auto"/>
                <w:sz w:val="24"/>
                <w:szCs w:val="22"/>
                <w:highlight w:val="none"/>
              </w:rPr>
              <w:t>》（GB12523-20</w:t>
            </w:r>
            <w:r>
              <w:rPr>
                <w:rFonts w:hint="default" w:ascii="Times New Roman" w:hAnsi="Times New Roman" w:cs="Times New Roman"/>
                <w:color w:val="auto"/>
                <w:sz w:val="24"/>
                <w:szCs w:val="22"/>
                <w:highlight w:val="none"/>
                <w:lang w:val="en-US" w:eastAsia="zh-CN"/>
              </w:rPr>
              <w:t>25</w:t>
            </w:r>
            <w:r>
              <w:rPr>
                <w:rFonts w:hint="default" w:ascii="Times New Roman" w:hAnsi="Times New Roman" w:cs="Times New Roman"/>
                <w:color w:val="auto"/>
                <w:sz w:val="24"/>
                <w:szCs w:val="22"/>
                <w:highlight w:val="none"/>
              </w:rPr>
              <w:t>）</w:t>
            </w:r>
            <w:r>
              <w:rPr>
                <w:rFonts w:hint="default" w:ascii="Times New Roman" w:hAnsi="Times New Roman" w:cs="Times New Roman"/>
                <w:color w:val="auto"/>
                <w:highlight w:val="none"/>
              </w:rPr>
              <w:t>要求。对声环境影响较小。</w:t>
            </w:r>
          </w:p>
          <w:p w14:paraId="59305F3C">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（四）固体废物</w:t>
            </w:r>
          </w:p>
          <w:p w14:paraId="6FD98488">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项目施工过程中产生的固体废物主要是施工人员的生活垃圾和建筑垃圾等。</w:t>
            </w:r>
          </w:p>
          <w:p w14:paraId="69967529">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施工人员产生的生活垃圾量较少，可设置固定垃圾箱存放，由市政部门统一清运，不得随意丢弃。对外环境影响较小。</w:t>
            </w:r>
          </w:p>
          <w:p w14:paraId="7D617A75">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沉淀处理过程中产生的污泥、浮油等固体废物，将交由有资质的单位进行清运和处置，严禁随意倾倒。</w:t>
            </w:r>
          </w:p>
          <w:p w14:paraId="152C574D">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highlight w:val="none"/>
              </w:rPr>
            </w:pPr>
            <w:r>
              <w:rPr>
                <w:rFonts w:hint="default" w:ascii="Times New Roman" w:hAnsi="Times New Roman" w:cs="Times New Roman"/>
                <w:color w:val="auto"/>
                <w:highlight w:val="none"/>
              </w:rPr>
              <w:t>施工过程中产生的建筑垃圾及施工弃土应及时清运，运出废物应使用苫布遮盖，不得沿街洒落泥土，并按照市政部门批准的地点倾倒。</w:t>
            </w:r>
          </w:p>
        </w:tc>
      </w:tr>
      <w:tr w14:paraId="1C31EC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76" w:hRule="atLeast"/>
          <w:jc w:val="center"/>
        </w:trPr>
        <w:tc>
          <w:tcPr>
            <w:tcW w:w="492" w:type="dxa"/>
            <w:noWrap w:val="0"/>
            <w:tcMar>
              <w:left w:w="28" w:type="dxa"/>
              <w:right w:w="28" w:type="dxa"/>
            </w:tcMar>
            <w:vAlign w:val="center"/>
          </w:tcPr>
          <w:p w14:paraId="29FD5F1C">
            <w:pPr>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运营</w:t>
            </w:r>
          </w:p>
          <w:p w14:paraId="70749AC5">
            <w:pPr>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期环</w:t>
            </w:r>
          </w:p>
          <w:p w14:paraId="235E2CA1">
            <w:pPr>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境影</w:t>
            </w:r>
          </w:p>
          <w:p w14:paraId="59AF0CEF">
            <w:pPr>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响和</w:t>
            </w:r>
          </w:p>
          <w:p w14:paraId="3C418B9B">
            <w:pPr>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保护</w:t>
            </w:r>
          </w:p>
          <w:p w14:paraId="33849EDD">
            <w:pPr>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措施</w:t>
            </w:r>
          </w:p>
        </w:tc>
        <w:tc>
          <w:tcPr>
            <w:tcW w:w="7992" w:type="dxa"/>
            <w:tcBorders>
              <w:top w:val="single" w:color="auto" w:sz="4" w:space="0"/>
              <w:bottom w:val="single" w:color="auto" w:sz="4" w:space="0"/>
            </w:tcBorders>
            <w:noWrap w:val="0"/>
            <w:vAlign w:val="center"/>
          </w:tcPr>
          <w:p w14:paraId="7FAF532A">
            <w:pPr>
              <w:numPr>
                <w:ilvl w:val="0"/>
                <w:numId w:val="5"/>
              </w:numPr>
              <w:ind w:left="0" w:leftChars="0" w:firstLine="0" w:firstLineChars="0"/>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eastAsia="宋体" w:cs="Times New Roman"/>
                <w:b/>
                <w:bCs w:val="0"/>
                <w:color w:val="auto"/>
                <w:spacing w:val="0"/>
                <w:sz w:val="24"/>
                <w:szCs w:val="24"/>
                <w:highlight w:val="none"/>
                <w:lang w:val="en-US" w:eastAsia="zh-CN"/>
              </w:rPr>
              <w:t>废气</w:t>
            </w:r>
          </w:p>
          <w:p w14:paraId="4EA5F4F2">
            <w:pPr>
              <w:adjustRightInd w:val="0"/>
              <w:snapToGrid w:val="0"/>
              <w:spacing w:line="360" w:lineRule="auto"/>
              <w:ind w:firstLine="482" w:firstLineChars="200"/>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b/>
                <w:color w:val="auto"/>
                <w:spacing w:val="0"/>
                <w:sz w:val="24"/>
                <w:highlight w:val="none"/>
                <w:lang w:val="en-US" w:eastAsia="zh-CN"/>
              </w:rPr>
              <w:t>1.1</w:t>
            </w:r>
            <w:r>
              <w:rPr>
                <w:rFonts w:hint="default" w:ascii="Times New Roman" w:hAnsi="Times New Roman" w:eastAsia="宋体" w:cs="Times New Roman"/>
                <w:b/>
                <w:color w:val="auto"/>
                <w:spacing w:val="0"/>
                <w:sz w:val="24"/>
                <w:highlight w:val="none"/>
                <w:lang w:bidi="ar"/>
              </w:rPr>
              <w:t>源强核算分析</w:t>
            </w:r>
          </w:p>
          <w:p w14:paraId="58D8AD22">
            <w:pPr>
              <w:pStyle w:val="11"/>
              <w:keepNext w:val="0"/>
              <w:keepLines w:val="0"/>
              <w:pageBreakBefore w:val="0"/>
              <w:widowControl/>
              <w:numPr>
                <w:ilvl w:val="0"/>
                <w:numId w:val="0"/>
              </w:numPr>
              <w:kinsoku/>
              <w:wordWrap/>
              <w:overflowPunct/>
              <w:topLinePunct w:val="0"/>
              <w:autoSpaceDE/>
              <w:autoSpaceDN/>
              <w:bidi w:val="0"/>
              <w:adjustRightInd w:val="0"/>
              <w:snapToGrid w:val="0"/>
              <w:spacing w:before="0" w:after="0" w:line="360" w:lineRule="auto"/>
              <w:ind w:right="0" w:rightChars="0" w:firstLine="480" w:firstLineChars="200"/>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（1）源强分析</w:t>
            </w:r>
          </w:p>
          <w:p w14:paraId="192AC759">
            <w:pPr>
              <w:pStyle w:val="11"/>
              <w:keepNext w:val="0"/>
              <w:keepLines w:val="0"/>
              <w:pageBreakBefore w:val="0"/>
              <w:widowControl/>
              <w:numPr>
                <w:ilvl w:val="0"/>
                <w:numId w:val="0"/>
              </w:numPr>
              <w:kinsoku/>
              <w:wordWrap/>
              <w:overflowPunct/>
              <w:topLinePunct w:val="0"/>
              <w:autoSpaceDE/>
              <w:autoSpaceDN/>
              <w:bidi w:val="0"/>
              <w:adjustRightInd w:val="0"/>
              <w:snapToGrid w:val="0"/>
              <w:spacing w:before="0" w:after="0" w:line="520" w:lineRule="atLeast"/>
              <w:ind w:right="0" w:rightChars="0" w:firstLine="480" w:firstLineChars="200"/>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本项目产生的废气主要</w:t>
            </w:r>
            <w:r>
              <w:rPr>
                <w:rFonts w:hint="eastAsia" w:cs="Times New Roman"/>
                <w:color w:val="auto"/>
                <w:spacing w:val="0"/>
                <w:sz w:val="24"/>
                <w:szCs w:val="24"/>
                <w:highlight w:val="none"/>
                <w:lang w:val="en-US" w:eastAsia="zh-CN"/>
              </w:rPr>
              <w:t>为</w:t>
            </w:r>
            <w:r>
              <w:rPr>
                <w:rFonts w:hint="default" w:ascii="Times New Roman" w:hAnsi="Times New Roman" w:eastAsia="宋体" w:cs="Times New Roman"/>
                <w:color w:val="auto"/>
                <w:spacing w:val="0"/>
                <w:sz w:val="24"/>
                <w:szCs w:val="24"/>
                <w:highlight w:val="none"/>
                <w:lang w:val="en-US" w:eastAsia="zh-CN"/>
              </w:rPr>
              <w:t>锅炉产生的废气，主要污染物为颗粒物、二氧化硫、氮氧化物。</w:t>
            </w:r>
          </w:p>
          <w:p w14:paraId="15DA0A7A">
            <w:pPr>
              <w:keepNext w:val="0"/>
              <w:keepLines w:val="0"/>
              <w:pageBreakBefore w:val="0"/>
              <w:kinsoku/>
              <w:wordWrap/>
              <w:overflowPunct/>
              <w:topLinePunct w:val="0"/>
              <w:autoSpaceDE/>
              <w:autoSpaceDN/>
              <w:bidi w:val="0"/>
              <w:snapToGrid w:val="0"/>
              <w:spacing w:line="520" w:lineRule="atLeast"/>
              <w:ind w:firstLine="480" w:firstLineChars="200"/>
              <w:textAlignment w:val="auto"/>
              <w:rPr>
                <w:rFonts w:hint="default" w:ascii="Times New Roman" w:hAnsi="Times New Roman" w:eastAsia="宋体" w:cs="Times New Roman"/>
                <w:color w:val="auto"/>
                <w:spacing w:val="0"/>
                <w:kern w:val="0"/>
                <w:sz w:val="24"/>
                <w:highlight w:val="none"/>
              </w:rPr>
            </w:pPr>
            <w:r>
              <w:rPr>
                <w:rFonts w:hint="default" w:ascii="Times New Roman" w:hAnsi="Times New Roman" w:cs="Times New Roman"/>
                <w:color w:val="auto"/>
                <w:spacing w:val="0"/>
                <w:kern w:val="0"/>
                <w:sz w:val="24"/>
                <w:highlight w:val="none"/>
                <w:lang w:val="en-US" w:eastAsia="zh-CN"/>
              </w:rPr>
              <w:t>（一）生物质</w:t>
            </w:r>
            <w:r>
              <w:rPr>
                <w:rFonts w:hint="default" w:ascii="Times New Roman" w:hAnsi="Times New Roman" w:eastAsia="宋体" w:cs="Times New Roman"/>
                <w:color w:val="auto"/>
                <w:spacing w:val="0"/>
                <w:kern w:val="0"/>
                <w:sz w:val="24"/>
                <w:highlight w:val="none"/>
              </w:rPr>
              <w:t>锅炉大气污染物产生及排放量</w:t>
            </w:r>
          </w:p>
          <w:p w14:paraId="493A8DB9">
            <w:pPr>
              <w:keepNext w:val="0"/>
              <w:keepLines w:val="0"/>
              <w:pageBreakBefore w:val="0"/>
              <w:widowControl w:val="0"/>
              <w:kinsoku/>
              <w:wordWrap/>
              <w:overflowPunct/>
              <w:topLinePunct w:val="0"/>
              <w:autoSpaceDE/>
              <w:autoSpaceDN/>
              <w:bidi w:val="0"/>
              <w:adjustRightInd/>
              <w:snapToGrid/>
              <w:spacing w:line="520" w:lineRule="atLeast"/>
              <w:ind w:left="0" w:right="0" w:firstLine="472" w:firstLineChars="200"/>
              <w:textAlignment w:val="auto"/>
              <w:rPr>
                <w:rFonts w:hint="default" w:ascii="Times New Roman" w:hAnsi="Times New Roman" w:eastAsia="宋体" w:cs="Times New Roman"/>
                <w:color w:val="auto"/>
                <w:spacing w:val="-2"/>
                <w:sz w:val="24"/>
                <w:szCs w:val="24"/>
                <w:highlight w:val="none"/>
                <w:lang w:val="en-US" w:eastAsia="zh-CN"/>
              </w:rPr>
            </w:pPr>
            <w:r>
              <w:rPr>
                <w:rFonts w:hint="default" w:ascii="Times New Roman" w:hAnsi="Times New Roman" w:eastAsia="宋体" w:cs="Times New Roman"/>
                <w:color w:val="auto"/>
                <w:spacing w:val="-2"/>
                <w:sz w:val="24"/>
                <w:szCs w:val="24"/>
                <w:highlight w:val="none"/>
                <w:lang w:val="en-US" w:eastAsia="zh-CN"/>
              </w:rPr>
              <w:t>①烟气量</w:t>
            </w:r>
          </w:p>
          <w:p w14:paraId="1FF0831C">
            <w:pPr>
              <w:pStyle w:val="11"/>
              <w:keepNext w:val="0"/>
              <w:keepLines w:val="0"/>
              <w:pageBreakBefore w:val="0"/>
              <w:widowControl/>
              <w:kinsoku/>
              <w:wordWrap/>
              <w:overflowPunct/>
              <w:topLinePunct w:val="0"/>
              <w:autoSpaceDE/>
              <w:autoSpaceDN/>
              <w:bidi w:val="0"/>
              <w:adjustRightInd w:val="0"/>
              <w:snapToGrid w:val="0"/>
              <w:spacing w:before="0" w:after="0" w:line="520" w:lineRule="atLeast"/>
              <w:ind w:right="0"/>
              <w:textAlignment w:val="auto"/>
              <w:rPr>
                <w:rFonts w:hint="default" w:ascii="Times New Roman" w:hAnsi="Times New Roman" w:eastAsia="宋体" w:cs="Times New Roman"/>
                <w:bCs/>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eastAsia="zh-CN"/>
              </w:rPr>
              <w:t>根据《</w:t>
            </w:r>
            <w:r>
              <w:rPr>
                <w:rFonts w:hint="default" w:ascii="Times New Roman" w:hAnsi="Times New Roman" w:eastAsia="宋体" w:cs="Times New Roman"/>
                <w:color w:val="auto"/>
                <w:spacing w:val="0"/>
                <w:sz w:val="24"/>
                <w:szCs w:val="24"/>
                <w:highlight w:val="none"/>
                <w:lang w:val="en-US" w:eastAsia="zh-CN"/>
              </w:rPr>
              <w:t>排污许可证申请与核发技术规范 锅炉》（HJ953-2018）中基准烟气量核算方法，本项目为</w:t>
            </w:r>
            <w:r>
              <w:rPr>
                <w:rFonts w:hint="eastAsia" w:cs="Times New Roman"/>
                <w:color w:val="auto"/>
                <w:spacing w:val="0"/>
                <w:sz w:val="24"/>
                <w:szCs w:val="24"/>
                <w:highlight w:val="none"/>
                <w:lang w:val="en-US" w:eastAsia="zh-CN"/>
              </w:rPr>
              <w:t>燃</w:t>
            </w:r>
            <w:r>
              <w:rPr>
                <w:rFonts w:hint="default" w:ascii="Times New Roman" w:hAnsi="Times New Roman" w:cs="Times New Roman"/>
                <w:color w:val="auto"/>
                <w:spacing w:val="0"/>
                <w:sz w:val="24"/>
                <w:szCs w:val="24"/>
                <w:highlight w:val="none"/>
                <w:lang w:val="en-US" w:eastAsia="zh-CN"/>
              </w:rPr>
              <w:t>生物质锅炉</w:t>
            </w:r>
            <w:r>
              <w:rPr>
                <w:rFonts w:hint="default" w:ascii="Times New Roman" w:hAnsi="Times New Roman" w:eastAsia="宋体" w:cs="Times New Roman"/>
                <w:color w:val="auto"/>
                <w:spacing w:val="0"/>
                <w:sz w:val="24"/>
                <w:szCs w:val="24"/>
                <w:highlight w:val="none"/>
                <w:lang w:val="en-US" w:eastAsia="zh-CN"/>
              </w:rPr>
              <w:t>，</w:t>
            </w:r>
            <w:r>
              <w:rPr>
                <w:rFonts w:hint="eastAsia" w:cs="Times New Roman"/>
                <w:color w:val="auto"/>
                <w:spacing w:val="0"/>
                <w:sz w:val="24"/>
                <w:szCs w:val="24"/>
                <w:highlight w:val="none"/>
                <w:lang w:val="en-US" w:eastAsia="zh-CN"/>
              </w:rPr>
              <w:t>通过燃料分析报告（附件3），料收到基低位发热量</w:t>
            </w:r>
            <w:r>
              <w:rPr>
                <w:rFonts w:hint="default" w:ascii="Times New Roman" w:hAnsi="Times New Roman" w:eastAsia="宋体" w:cs="Times New Roman"/>
                <w:color w:val="auto"/>
                <w:spacing w:val="0"/>
                <w:sz w:val="24"/>
                <w:szCs w:val="24"/>
                <w:highlight w:val="none"/>
                <w:lang w:val="en-US" w:eastAsia="zh-CN"/>
              </w:rPr>
              <w:t>Qnet</w:t>
            </w:r>
            <w:r>
              <w:rPr>
                <w:rFonts w:hint="eastAsia" w:cs="Times New Roman"/>
                <w:color w:val="auto"/>
                <w:spacing w:val="0"/>
                <w:sz w:val="24"/>
                <w:szCs w:val="24"/>
                <w:highlight w:val="none"/>
                <w:lang w:val="en-US" w:eastAsia="zh-CN"/>
              </w:rPr>
              <w:t>为17.41MJ/kg＞12.54MJ/kg；燃料干燥无灰基挥发分Vdaf为85.25%＞15%，故采用</w:t>
            </w:r>
            <w:r>
              <w:rPr>
                <w:rFonts w:hint="default" w:ascii="Times New Roman" w:hAnsi="Times New Roman" w:eastAsia="宋体" w:cs="Times New Roman"/>
                <w:color w:val="auto"/>
                <w:spacing w:val="0"/>
                <w:sz w:val="24"/>
                <w:szCs w:val="24"/>
                <w:highlight w:val="none"/>
                <w:lang w:val="en-US" w:eastAsia="zh-CN"/>
              </w:rPr>
              <w:t>Vgy=</w:t>
            </w:r>
            <w:r>
              <w:rPr>
                <w:rFonts w:hint="default" w:ascii="Times New Roman" w:hAnsi="Times New Roman" w:cs="Times New Roman"/>
                <w:color w:val="auto"/>
                <w:spacing w:val="0"/>
                <w:sz w:val="24"/>
                <w:szCs w:val="24"/>
                <w:highlight w:val="none"/>
                <w:lang w:val="en-US" w:eastAsia="zh-CN"/>
              </w:rPr>
              <w:t>0.393</w:t>
            </w:r>
            <w:r>
              <w:rPr>
                <w:rFonts w:hint="default" w:ascii="Times New Roman" w:hAnsi="Times New Roman" w:eastAsia="宋体" w:cs="Times New Roman"/>
                <w:color w:val="auto"/>
                <w:spacing w:val="0"/>
                <w:sz w:val="24"/>
                <w:szCs w:val="24"/>
                <w:highlight w:val="none"/>
                <w:lang w:val="en-US" w:eastAsia="zh-CN"/>
              </w:rPr>
              <w:t>Qnet+0.</w:t>
            </w:r>
            <w:r>
              <w:rPr>
                <w:rFonts w:hint="default" w:ascii="Times New Roman" w:hAnsi="Times New Roman" w:cs="Times New Roman"/>
                <w:color w:val="auto"/>
                <w:spacing w:val="0"/>
                <w:sz w:val="24"/>
                <w:szCs w:val="24"/>
                <w:highlight w:val="none"/>
                <w:lang w:val="en-US" w:eastAsia="zh-CN"/>
              </w:rPr>
              <w:t>876</w:t>
            </w:r>
            <w:r>
              <w:rPr>
                <w:rFonts w:hint="default" w:ascii="Times New Roman" w:hAnsi="Times New Roman" w:eastAsia="宋体" w:cs="Times New Roman"/>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lang w:val="en-US" w:eastAsia="zh-CN"/>
              </w:rPr>
              <w:t>7.71813N</w:t>
            </w:r>
            <w:r>
              <w:rPr>
                <w:rFonts w:hint="default" w:ascii="Times New Roman" w:hAnsi="Times New Roman" w:eastAsia="宋体" w:cs="Times New Roman"/>
                <w:color w:val="auto"/>
                <w:spacing w:val="0"/>
                <w:sz w:val="24"/>
                <w:szCs w:val="24"/>
                <w:highlight w:val="none"/>
                <w:lang w:val="en-US" w:eastAsia="zh-CN"/>
              </w:rPr>
              <w:t>m</w:t>
            </w:r>
            <w:r>
              <w:rPr>
                <w:rFonts w:hint="default" w:ascii="Times New Roman" w:hAnsi="Times New Roman" w:eastAsia="宋体" w:cs="Times New Roman"/>
                <w:caps w:val="0"/>
                <w:smallCaps w:val="0"/>
                <w:strike w:val="0"/>
                <w:dstrike w:val="0"/>
                <w:vanish w:val="0"/>
                <w:color w:val="auto"/>
                <w:spacing w:val="0"/>
                <w:sz w:val="24"/>
                <w:szCs w:val="24"/>
                <w:highlight w:val="none"/>
                <w:vertAlign w:val="superscript"/>
                <w:lang w:val="en-US" w:eastAsia="zh-CN"/>
              </w:rPr>
              <w:t>3</w:t>
            </w:r>
            <w:r>
              <w:rPr>
                <w:rFonts w:hint="default" w:ascii="Times New Roman" w:hAnsi="Times New Roman" w:eastAsia="宋体" w:cs="Times New Roman"/>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lang w:val="en-US" w:eastAsia="zh-CN"/>
              </w:rPr>
              <w:t>kg</w:t>
            </w:r>
            <w:r>
              <w:rPr>
                <w:rFonts w:hint="default" w:ascii="Times New Roman" w:hAnsi="Times New Roman" w:eastAsia="宋体" w:cs="Times New Roman"/>
                <w:color w:val="auto"/>
                <w:spacing w:val="0"/>
                <w:sz w:val="24"/>
                <w:szCs w:val="24"/>
                <w:highlight w:val="none"/>
                <w:lang w:val="en-US" w:eastAsia="zh-CN"/>
              </w:rPr>
              <w:t>原料</w:t>
            </w:r>
            <w:r>
              <w:rPr>
                <w:rFonts w:hint="eastAsia" w:cs="Times New Roman"/>
                <w:color w:val="auto"/>
                <w:spacing w:val="0"/>
                <w:sz w:val="24"/>
                <w:szCs w:val="24"/>
                <w:highlight w:val="none"/>
                <w:lang w:val="en-US" w:eastAsia="zh-CN"/>
              </w:rPr>
              <w:t>计算</w:t>
            </w:r>
            <w:r>
              <w:rPr>
                <w:rFonts w:hint="default" w:ascii="Times New Roman" w:hAnsi="Times New Roman" w:eastAsia="宋体" w:cs="Times New Roman"/>
                <w:color w:val="auto"/>
                <w:spacing w:val="0"/>
                <w:sz w:val="24"/>
                <w:szCs w:val="24"/>
                <w:highlight w:val="none"/>
                <w:lang w:val="en-US" w:eastAsia="zh-CN"/>
              </w:rPr>
              <w:t>。本项目</w:t>
            </w:r>
            <w:r>
              <w:rPr>
                <w:rFonts w:hint="default" w:ascii="Times New Roman" w:hAnsi="Times New Roman" w:cs="Times New Roman"/>
                <w:color w:val="auto"/>
                <w:spacing w:val="0"/>
                <w:sz w:val="24"/>
                <w:szCs w:val="24"/>
                <w:highlight w:val="none"/>
                <w:lang w:val="en-US" w:eastAsia="zh-CN"/>
              </w:rPr>
              <w:t>生物质燃料</w:t>
            </w:r>
            <w:r>
              <w:rPr>
                <w:rFonts w:hint="default" w:ascii="Times New Roman" w:hAnsi="Times New Roman" w:eastAsia="宋体" w:cs="Times New Roman"/>
                <w:color w:val="auto"/>
                <w:spacing w:val="0"/>
                <w:sz w:val="24"/>
                <w:szCs w:val="24"/>
                <w:highlight w:val="none"/>
                <w:lang w:val="en-US" w:eastAsia="zh-CN"/>
              </w:rPr>
              <w:t>消耗量</w:t>
            </w:r>
            <w:r>
              <w:rPr>
                <w:rFonts w:hint="eastAsia" w:cs="Times New Roman"/>
                <w:color w:val="auto"/>
                <w:spacing w:val="0"/>
                <w:sz w:val="24"/>
                <w:szCs w:val="24"/>
                <w:highlight w:val="none"/>
                <w:lang w:val="en-US" w:eastAsia="zh-CN"/>
              </w:rPr>
              <w:t>3020.16</w:t>
            </w:r>
            <w:r>
              <w:rPr>
                <w:rFonts w:hint="default" w:ascii="Times New Roman" w:hAnsi="Times New Roman" w:cs="Times New Roman"/>
                <w:color w:val="auto"/>
                <w:spacing w:val="0"/>
                <w:sz w:val="24"/>
                <w:szCs w:val="24"/>
                <w:highlight w:val="none"/>
                <w:lang w:val="en-US" w:eastAsia="zh-CN"/>
              </w:rPr>
              <w:t>t/a=</w:t>
            </w:r>
            <w:r>
              <w:rPr>
                <w:rFonts w:hint="eastAsia" w:cs="Times New Roman"/>
                <w:color w:val="auto"/>
                <w:spacing w:val="0"/>
                <w:sz w:val="24"/>
                <w:szCs w:val="24"/>
                <w:highlight w:val="none"/>
                <w:lang w:val="en-US" w:eastAsia="zh-CN"/>
              </w:rPr>
              <w:t>3020160</w:t>
            </w:r>
            <w:r>
              <w:rPr>
                <w:rFonts w:hint="default" w:ascii="Times New Roman" w:hAnsi="Times New Roman" w:cs="Times New Roman"/>
                <w:color w:val="auto"/>
                <w:spacing w:val="0"/>
                <w:sz w:val="24"/>
                <w:szCs w:val="24"/>
                <w:highlight w:val="none"/>
                <w:lang w:val="en-US" w:eastAsia="zh-CN"/>
              </w:rPr>
              <w:t>kg/a；0.52t/h=520kg/h</w:t>
            </w:r>
          </w:p>
          <w:p w14:paraId="5C7BCE4D">
            <w:pPr>
              <w:pStyle w:val="11"/>
              <w:keepNext w:val="0"/>
              <w:keepLines w:val="0"/>
              <w:pageBreakBefore w:val="0"/>
              <w:widowControl/>
              <w:kinsoku/>
              <w:wordWrap/>
              <w:overflowPunct/>
              <w:topLinePunct w:val="0"/>
              <w:autoSpaceDE/>
              <w:autoSpaceDN/>
              <w:bidi w:val="0"/>
              <w:adjustRightInd w:val="0"/>
              <w:snapToGrid w:val="0"/>
              <w:spacing w:before="0" w:after="0" w:line="520" w:lineRule="atLeast"/>
              <w:ind w:right="0"/>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aps w:val="0"/>
                <w:snapToGrid w:val="0"/>
                <w:color w:val="auto"/>
                <w:spacing w:val="0"/>
                <w:kern w:val="0"/>
                <w:sz w:val="24"/>
                <w:highlight w:val="none"/>
                <w:lang w:val="en-US" w:eastAsia="zh-CN"/>
              </w:rPr>
              <w:t>锅炉工业废气量：</w:t>
            </w:r>
            <w:r>
              <w:rPr>
                <w:rFonts w:hint="eastAsia" w:cs="Times New Roman"/>
                <w:color w:val="auto"/>
                <w:spacing w:val="0"/>
                <w:sz w:val="24"/>
                <w:szCs w:val="24"/>
                <w:highlight w:val="none"/>
                <w:lang w:val="en-US" w:eastAsia="zh-CN"/>
              </w:rPr>
              <w:t>3020160</w:t>
            </w:r>
            <w:r>
              <w:rPr>
                <w:rFonts w:hint="default" w:ascii="Times New Roman" w:hAnsi="Times New Roman" w:cs="Times New Roman"/>
                <w:color w:val="auto"/>
                <w:spacing w:val="0"/>
                <w:sz w:val="24"/>
                <w:szCs w:val="24"/>
                <w:highlight w:val="none"/>
                <w:lang w:val="en-US" w:eastAsia="zh-CN"/>
              </w:rPr>
              <w:t>kg</w:t>
            </w:r>
            <w:r>
              <w:rPr>
                <w:rFonts w:hint="default" w:ascii="Times New Roman" w:hAnsi="Times New Roman" w:eastAsia="宋体" w:cs="Times New Roman"/>
                <w:bCs/>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lang w:val="en-US" w:eastAsia="zh-CN"/>
              </w:rPr>
              <w:t>7.71813N</w:t>
            </w:r>
            <w:r>
              <w:rPr>
                <w:rFonts w:hint="default" w:ascii="Times New Roman" w:hAnsi="Times New Roman" w:eastAsia="宋体" w:cs="Times New Roman"/>
                <w:color w:val="auto"/>
                <w:spacing w:val="0"/>
                <w:sz w:val="24"/>
                <w:szCs w:val="24"/>
                <w:highlight w:val="none"/>
                <w:lang w:val="en-US" w:eastAsia="zh-CN"/>
              </w:rPr>
              <w:t>m</w:t>
            </w:r>
            <w:r>
              <w:rPr>
                <w:rFonts w:hint="default" w:ascii="Times New Roman" w:hAnsi="Times New Roman" w:eastAsia="宋体" w:cs="Times New Roman"/>
                <w:caps w:val="0"/>
                <w:smallCaps w:val="0"/>
                <w:strike w:val="0"/>
                <w:dstrike w:val="0"/>
                <w:vanish w:val="0"/>
                <w:color w:val="auto"/>
                <w:spacing w:val="0"/>
                <w:sz w:val="24"/>
                <w:szCs w:val="24"/>
                <w:highlight w:val="none"/>
                <w:vertAlign w:val="superscript"/>
                <w:lang w:val="en-US" w:eastAsia="zh-CN"/>
              </w:rPr>
              <w:t>3</w:t>
            </w:r>
            <w:r>
              <w:rPr>
                <w:rFonts w:hint="default" w:ascii="Times New Roman" w:hAnsi="Times New Roman" w:eastAsia="宋体" w:cs="Times New Roman"/>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lang w:val="en-US" w:eastAsia="zh-CN"/>
              </w:rPr>
              <w:t>kg</w:t>
            </w:r>
            <w:r>
              <w:rPr>
                <w:rFonts w:hint="default" w:ascii="Times New Roman" w:hAnsi="Times New Roman" w:eastAsia="宋体" w:cs="Times New Roman"/>
                <w:color w:val="auto"/>
                <w:spacing w:val="0"/>
                <w:sz w:val="24"/>
                <w:szCs w:val="24"/>
                <w:highlight w:val="none"/>
                <w:lang w:val="en-US" w:eastAsia="zh-CN"/>
              </w:rPr>
              <w:t>原料=</w:t>
            </w:r>
            <w:r>
              <w:rPr>
                <w:rFonts w:hint="eastAsia" w:cs="Times New Roman"/>
                <w:color w:val="auto"/>
                <w:spacing w:val="0"/>
                <w:sz w:val="24"/>
                <w:szCs w:val="24"/>
                <w:highlight w:val="none"/>
                <w:lang w:val="en-US" w:eastAsia="zh-CN"/>
              </w:rPr>
              <w:t>23309987.5</w:t>
            </w:r>
            <w:r>
              <w:rPr>
                <w:rFonts w:hint="default" w:ascii="Times New Roman" w:hAnsi="Times New Roman" w:eastAsia="宋体" w:cs="Times New Roman"/>
                <w:color w:val="auto"/>
                <w:spacing w:val="0"/>
                <w:sz w:val="24"/>
                <w:szCs w:val="24"/>
                <w:highlight w:val="none"/>
              </w:rPr>
              <w:t>N</w:t>
            </w:r>
            <w:r>
              <w:rPr>
                <w:rFonts w:hint="default" w:ascii="Times New Roman" w:hAnsi="Times New Roman" w:eastAsia="宋体" w:cs="Times New Roman"/>
                <w:color w:val="auto"/>
                <w:spacing w:val="0"/>
                <w:sz w:val="24"/>
                <w:szCs w:val="24"/>
                <w:highlight w:val="none"/>
                <w:lang w:eastAsia="zh-CN"/>
              </w:rPr>
              <w:t>m</w:t>
            </w:r>
            <w:r>
              <w:rPr>
                <w:rFonts w:hint="default" w:ascii="Times New Roman" w:hAnsi="Times New Roman" w:eastAsia="宋体" w:cs="Times New Roman"/>
                <w:caps w:val="0"/>
                <w:smallCaps w:val="0"/>
                <w:strike w:val="0"/>
                <w:dstrike w:val="0"/>
                <w:vanish w:val="0"/>
                <w:color w:val="auto"/>
                <w:spacing w:val="0"/>
                <w:sz w:val="24"/>
                <w:szCs w:val="24"/>
                <w:highlight w:val="none"/>
                <w:vertAlign w:val="superscript"/>
                <w:lang w:eastAsia="zh-CN"/>
              </w:rPr>
              <w:t>3</w:t>
            </w:r>
            <w:r>
              <w:rPr>
                <w:rFonts w:hint="default" w:ascii="Times New Roman" w:hAnsi="Times New Roman" w:eastAsia="宋体" w:cs="Times New Roman"/>
                <w:color w:val="auto"/>
                <w:spacing w:val="0"/>
                <w:sz w:val="24"/>
                <w:szCs w:val="24"/>
                <w:highlight w:val="none"/>
              </w:rPr>
              <w:t>/a</w:t>
            </w:r>
          </w:p>
          <w:p w14:paraId="6DD10CCB">
            <w:pPr>
              <w:pStyle w:val="42"/>
              <w:keepNext w:val="0"/>
              <w:keepLines w:val="0"/>
              <w:pageBreakBefore w:val="0"/>
              <w:widowControl/>
              <w:kinsoku/>
              <w:wordWrap/>
              <w:overflowPunct/>
              <w:topLinePunct w:val="0"/>
              <w:autoSpaceDE/>
              <w:autoSpaceDN/>
              <w:bidi w:val="0"/>
              <w:adjustRightInd w:val="0"/>
              <w:snapToGrid w:val="0"/>
              <w:spacing w:line="520" w:lineRule="atLeas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pacing w:val="0"/>
                <w:sz w:val="24"/>
                <w:szCs w:val="24"/>
                <w:highlight w:val="none"/>
                <w:lang w:val="en-US" w:eastAsia="zh-CN"/>
              </w:rPr>
              <w:t>520kg</w:t>
            </w:r>
            <w:r>
              <w:rPr>
                <w:rFonts w:hint="default" w:ascii="Times New Roman" w:hAnsi="Times New Roman" w:eastAsia="宋体" w:cs="Times New Roman"/>
                <w:bCs w:val="0"/>
                <w:color w:val="auto"/>
                <w:spacing w:val="0"/>
                <w:kern w:val="0"/>
                <w:sz w:val="24"/>
                <w:szCs w:val="24"/>
                <w:highlight w:val="none"/>
                <w:lang w:val="en-US" w:eastAsia="zh-CN" w:bidi="ar-SA"/>
              </w:rPr>
              <w:t>×7.71813</w:t>
            </w:r>
            <w:r>
              <w:rPr>
                <w:rFonts w:hint="default" w:ascii="Times New Roman" w:hAnsi="Times New Roman" w:cs="Times New Roman"/>
                <w:bCs w:val="0"/>
                <w:color w:val="auto"/>
                <w:spacing w:val="0"/>
                <w:kern w:val="0"/>
                <w:sz w:val="24"/>
                <w:szCs w:val="24"/>
                <w:highlight w:val="none"/>
                <w:lang w:val="en-US" w:eastAsia="zh-CN" w:bidi="ar-SA"/>
              </w:rPr>
              <w:t>N</w:t>
            </w:r>
            <w:r>
              <w:rPr>
                <w:rFonts w:hint="default" w:ascii="Times New Roman" w:hAnsi="Times New Roman" w:eastAsia="宋体" w:cs="Times New Roman"/>
                <w:bCs w:val="0"/>
                <w:color w:val="auto"/>
                <w:spacing w:val="0"/>
                <w:kern w:val="0"/>
                <w:sz w:val="24"/>
                <w:szCs w:val="24"/>
                <w:highlight w:val="none"/>
                <w:lang w:val="en-US" w:eastAsia="zh-CN" w:bidi="ar-SA"/>
              </w:rPr>
              <w:t>m</w:t>
            </w:r>
            <w:r>
              <w:rPr>
                <w:rFonts w:hint="default" w:ascii="Times New Roman" w:hAnsi="Times New Roman" w:eastAsia="宋体" w:cs="Times New Roman"/>
                <w:caps w:val="0"/>
                <w:smallCaps w:val="0"/>
                <w:strike w:val="0"/>
                <w:dstrike w:val="0"/>
                <w:vanish w:val="0"/>
                <w:color w:val="auto"/>
                <w:spacing w:val="0"/>
                <w:sz w:val="24"/>
                <w:szCs w:val="24"/>
                <w:highlight w:val="none"/>
                <w:vertAlign w:val="superscript"/>
                <w:lang w:val="en-US" w:eastAsia="zh-CN"/>
              </w:rPr>
              <w:t>3</w:t>
            </w:r>
            <w:r>
              <w:rPr>
                <w:rFonts w:hint="default" w:ascii="Times New Roman" w:hAnsi="Times New Roman" w:eastAsia="宋体" w:cs="Times New Roman"/>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lang w:val="en-US" w:eastAsia="zh-CN"/>
              </w:rPr>
              <w:t>kg</w:t>
            </w:r>
            <w:r>
              <w:rPr>
                <w:rFonts w:hint="default" w:ascii="Times New Roman" w:hAnsi="Times New Roman" w:eastAsia="宋体" w:cs="Times New Roman"/>
                <w:color w:val="auto"/>
                <w:spacing w:val="0"/>
                <w:sz w:val="24"/>
                <w:szCs w:val="24"/>
                <w:highlight w:val="none"/>
                <w:lang w:val="en-US" w:eastAsia="zh-CN"/>
              </w:rPr>
              <w:t>原料=</w:t>
            </w:r>
            <w:r>
              <w:rPr>
                <w:rFonts w:hint="default" w:ascii="Times New Roman" w:hAnsi="Times New Roman" w:cs="Times New Roman"/>
                <w:color w:val="auto"/>
                <w:spacing w:val="0"/>
                <w:sz w:val="24"/>
                <w:szCs w:val="24"/>
                <w:highlight w:val="none"/>
                <w:lang w:val="en-US" w:eastAsia="zh-CN"/>
              </w:rPr>
              <w:t>4013.4276</w:t>
            </w:r>
            <w:r>
              <w:rPr>
                <w:rFonts w:hint="default" w:ascii="Times New Roman" w:hAnsi="Times New Roman" w:eastAsia="宋体" w:cs="Times New Roman"/>
                <w:color w:val="auto"/>
                <w:spacing w:val="0"/>
                <w:sz w:val="24"/>
                <w:szCs w:val="24"/>
                <w:highlight w:val="none"/>
              </w:rPr>
              <w:t>N</w:t>
            </w:r>
            <w:r>
              <w:rPr>
                <w:rFonts w:hint="default" w:ascii="Times New Roman" w:hAnsi="Times New Roman" w:eastAsia="宋体" w:cs="Times New Roman"/>
                <w:color w:val="auto"/>
                <w:spacing w:val="0"/>
                <w:sz w:val="24"/>
                <w:szCs w:val="24"/>
                <w:highlight w:val="none"/>
                <w:lang w:eastAsia="zh-CN"/>
              </w:rPr>
              <w:t>m</w:t>
            </w:r>
            <w:r>
              <w:rPr>
                <w:rFonts w:hint="default" w:ascii="Times New Roman" w:hAnsi="Times New Roman" w:eastAsia="宋体" w:cs="Times New Roman"/>
                <w:caps w:val="0"/>
                <w:smallCaps w:val="0"/>
                <w:strike w:val="0"/>
                <w:dstrike w:val="0"/>
                <w:vanish w:val="0"/>
                <w:color w:val="auto"/>
                <w:spacing w:val="0"/>
                <w:sz w:val="24"/>
                <w:szCs w:val="24"/>
                <w:highlight w:val="none"/>
                <w:vertAlign w:val="superscript"/>
                <w:lang w:eastAsia="zh-CN"/>
              </w:rPr>
              <w:t>3</w:t>
            </w:r>
            <w:r>
              <w:rPr>
                <w:rFonts w:hint="default" w:ascii="Times New Roman" w:hAnsi="Times New Roman" w:eastAsia="宋体" w:cs="Times New Roman"/>
                <w:color w:val="auto"/>
                <w:spacing w:val="0"/>
                <w:sz w:val="24"/>
                <w:szCs w:val="24"/>
                <w:highlight w:val="none"/>
              </w:rPr>
              <w:t>/</w:t>
            </w:r>
            <w:r>
              <w:rPr>
                <w:rFonts w:hint="default" w:ascii="Times New Roman" w:hAnsi="Times New Roman" w:eastAsia="宋体" w:cs="Times New Roman"/>
                <w:color w:val="auto"/>
                <w:spacing w:val="0"/>
                <w:sz w:val="24"/>
                <w:szCs w:val="24"/>
                <w:highlight w:val="none"/>
                <w:lang w:val="en-US" w:eastAsia="zh-CN"/>
              </w:rPr>
              <w:t>h</w:t>
            </w:r>
          </w:p>
          <w:p w14:paraId="7ADB7198">
            <w:pPr>
              <w:pStyle w:val="42"/>
              <w:keepNext w:val="0"/>
              <w:keepLines w:val="0"/>
              <w:pageBreakBefore w:val="0"/>
              <w:widowControl/>
              <w:kinsoku/>
              <w:wordWrap/>
              <w:overflowPunct/>
              <w:topLinePunct w:val="0"/>
              <w:autoSpaceDE/>
              <w:autoSpaceDN/>
              <w:bidi w:val="0"/>
              <w:adjustRightInd w:val="0"/>
              <w:snapToGrid w:val="0"/>
              <w:spacing w:line="520" w:lineRule="atLeas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根据《污染源源强核算技术指南 锅炉》（HJ991-2018）源强核算方法选取优先次序为1.物料衡算法2.类比法3.产污系数法，因此本项目采取物料衡算法进行源强核算。</w:t>
            </w:r>
          </w:p>
          <w:p w14:paraId="70AE827A">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highlight w:val="none"/>
                <w:lang w:val="en-US" w:eastAsia="zh-CN"/>
              </w:rPr>
            </w:pPr>
            <w:r>
              <w:rPr>
                <w:rFonts w:hint="default" w:ascii="Times New Roman" w:hAnsi="Times New Roman" w:eastAsia="宋体" w:cs="Times New Roman"/>
                <w:color w:val="auto"/>
                <w:spacing w:val="-2"/>
                <w:sz w:val="24"/>
                <w:szCs w:val="24"/>
                <w:highlight w:val="none"/>
                <w:lang w:val="en-US" w:eastAsia="zh-CN"/>
              </w:rPr>
              <w:t>②颗粒物</w:t>
            </w:r>
          </w:p>
          <w:p w14:paraId="677BB1E2">
            <w:pPr>
              <w:pStyle w:val="4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pacing w:val="-2"/>
                <w:sz w:val="24"/>
                <w:szCs w:val="24"/>
                <w:highlight w:val="none"/>
                <w:lang w:val="en-US" w:eastAsia="zh-CN"/>
              </w:rPr>
              <w:t>根据《污染源源强核算技术指南锅炉》（HJ991-2018）5.1物料衡算法计算颗粒物排放量，计算公式如下</w:t>
            </w:r>
          </w:p>
          <w:p w14:paraId="2A5FFA1F">
            <w:pPr>
              <w:pStyle w:val="11"/>
              <w:keepNext w:val="0"/>
              <w:keepLines w:val="0"/>
              <w:pageBreakBefore w:val="0"/>
              <w:widowControl/>
              <w:kinsoku/>
              <w:wordWrap/>
              <w:overflowPunct/>
              <w:topLinePunct w:val="0"/>
              <w:autoSpaceDE/>
              <w:autoSpaceDN/>
              <w:bidi w:val="0"/>
              <w:adjustRightInd w:val="0"/>
              <w:snapToGrid w:val="0"/>
              <w:spacing w:before="0" w:after="0" w:line="360" w:lineRule="auto"/>
              <w:ind w:right="0"/>
              <w:jc w:val="center"/>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highlight w:val="none"/>
              </w:rPr>
              <w:drawing>
                <wp:inline distT="0" distB="0" distL="114300" distR="114300">
                  <wp:extent cx="2238375" cy="714375"/>
                  <wp:effectExtent l="0" t="0" r="0" b="9525"/>
                  <wp:docPr id="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
                          <pic:cNvPicPr>
                            <a:picLocks noChangeAspect="1"/>
                          </pic:cNvPicPr>
                        </pic:nvPicPr>
                        <pic:blipFill>
                          <a:blip r:embed="rId25">
                            <a:clrChange>
                              <a:clrFrom>
                                <a:srgbClr val="FFFFFF">
                                  <a:alpha val="100000"/>
                                </a:srgbClr>
                              </a:clrFrom>
                              <a:clrTo>
                                <a:srgbClr val="FFFFFF">
                                  <a:alpha val="100000"/>
                                  <a:alpha val="0"/>
                                </a:srgbClr>
                              </a:clrTo>
                            </a:clrChange>
                          </a:blip>
                          <a:stretch>
                            <a:fillRect/>
                          </a:stretch>
                        </pic:blipFill>
                        <pic:spPr>
                          <a:xfrm>
                            <a:off x="0" y="0"/>
                            <a:ext cx="2238375" cy="714375"/>
                          </a:xfrm>
                          <a:prstGeom prst="rect">
                            <a:avLst/>
                          </a:prstGeom>
                          <a:noFill/>
                          <a:ln>
                            <a:noFill/>
                          </a:ln>
                        </pic:spPr>
                      </pic:pic>
                    </a:graphicData>
                  </a:graphic>
                </wp:inline>
              </w:drawing>
            </w:r>
          </w:p>
          <w:p w14:paraId="79411BF7">
            <w:pPr>
              <w:keepNext w:val="0"/>
              <w:keepLines w:val="0"/>
              <w:pageBreakBefore w:val="0"/>
              <w:widowControl w:val="0"/>
              <w:kinsoku/>
              <w:wordWrap/>
              <w:overflowPunct/>
              <w:topLinePunct w:val="0"/>
              <w:autoSpaceDE/>
              <w:autoSpaceDN/>
              <w:bidi w:val="0"/>
              <w:adjustRightInd/>
              <w:snapToGrid/>
              <w:spacing w:line="360" w:lineRule="auto"/>
              <w:ind w:left="0" w:right="0" w:firstLine="1190" w:firstLineChars="5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pacing w:val="-1"/>
                <w:sz w:val="24"/>
                <w:szCs w:val="24"/>
                <w:highlight w:val="none"/>
              </w:rPr>
              <w:t>式中：EA——核算时段内颗粒物（烟尘）排放量，t；</w:t>
            </w:r>
          </w:p>
          <w:p w14:paraId="30F843F0">
            <w:pPr>
              <w:keepNext w:val="0"/>
              <w:keepLines w:val="0"/>
              <w:pageBreakBefore w:val="0"/>
              <w:widowControl w:val="0"/>
              <w:kinsoku/>
              <w:wordWrap/>
              <w:overflowPunct/>
              <w:topLinePunct w:val="0"/>
              <w:autoSpaceDE/>
              <w:autoSpaceDN/>
              <w:bidi w:val="0"/>
              <w:adjustRightInd/>
              <w:snapToGrid/>
              <w:spacing w:line="360" w:lineRule="auto"/>
              <w:ind w:left="0" w:right="0" w:firstLine="1180" w:firstLineChars="500"/>
              <w:textAlignment w:val="auto"/>
              <w:rPr>
                <w:rFonts w:hint="default" w:ascii="Times New Roman" w:hAnsi="Times New Roman" w:eastAsia="宋体" w:cs="Times New Roman"/>
                <w:color w:val="auto"/>
                <w:sz w:val="24"/>
                <w:szCs w:val="24"/>
                <w:highlight w:val="none"/>
                <w:lang w:val="en-US"/>
              </w:rPr>
            </w:pPr>
            <w:r>
              <w:rPr>
                <w:rFonts w:hint="default" w:ascii="Times New Roman" w:hAnsi="Times New Roman" w:eastAsia="宋体" w:cs="Times New Roman"/>
                <w:color w:val="auto"/>
                <w:spacing w:val="-2"/>
                <w:sz w:val="24"/>
                <w:szCs w:val="24"/>
                <w:highlight w:val="none"/>
              </w:rPr>
              <w:t>R——核算时段内锅炉燃料耗量，本项目</w:t>
            </w:r>
            <w:r>
              <w:rPr>
                <w:rFonts w:hint="default" w:ascii="Times New Roman" w:hAnsi="Times New Roman" w:cs="Times New Roman"/>
                <w:color w:val="auto"/>
                <w:spacing w:val="-2"/>
                <w:sz w:val="24"/>
                <w:szCs w:val="24"/>
                <w:highlight w:val="none"/>
                <w:lang w:val="en-US" w:eastAsia="zh-CN"/>
              </w:rPr>
              <w:t>0.52</w:t>
            </w:r>
            <w:r>
              <w:rPr>
                <w:rFonts w:hint="default" w:ascii="Times New Roman" w:hAnsi="Times New Roman" w:eastAsia="宋体" w:cs="Times New Roman"/>
                <w:color w:val="auto"/>
                <w:spacing w:val="-2"/>
                <w:sz w:val="24"/>
                <w:szCs w:val="24"/>
                <w:highlight w:val="none"/>
              </w:rPr>
              <w:t>t/h；</w:t>
            </w:r>
            <w:r>
              <w:rPr>
                <w:rFonts w:hint="eastAsia" w:ascii="Times New Roman" w:hAnsi="Times New Roman" w:cs="Times New Roman"/>
                <w:bCs/>
                <w:color w:val="auto"/>
                <w:spacing w:val="0"/>
                <w:sz w:val="24"/>
                <w:szCs w:val="24"/>
                <w:highlight w:val="none"/>
                <w:lang w:val="en-US" w:eastAsia="zh-CN"/>
              </w:rPr>
              <w:t>3020.16</w:t>
            </w:r>
            <w:r>
              <w:rPr>
                <w:rFonts w:hint="default" w:ascii="Times New Roman" w:hAnsi="Times New Roman" w:eastAsia="宋体" w:cs="Times New Roman"/>
                <w:b w:val="0"/>
                <w:bCs/>
                <w:color w:val="auto"/>
                <w:spacing w:val="0"/>
                <w:kern w:val="2"/>
                <w:sz w:val="24"/>
                <w:szCs w:val="24"/>
                <w:highlight w:val="none"/>
                <w:lang w:val="en-US" w:eastAsia="zh-CN" w:bidi="ar-SA"/>
              </w:rPr>
              <w:t>t/a</w:t>
            </w:r>
          </w:p>
          <w:p w14:paraId="4281BE94">
            <w:pPr>
              <w:keepNext w:val="0"/>
              <w:keepLines w:val="0"/>
              <w:pageBreakBefore w:val="0"/>
              <w:widowControl w:val="0"/>
              <w:kinsoku/>
              <w:wordWrap/>
              <w:overflowPunct/>
              <w:topLinePunct w:val="0"/>
              <w:autoSpaceDE/>
              <w:autoSpaceDN/>
              <w:bidi w:val="0"/>
              <w:adjustRightInd/>
              <w:snapToGrid/>
              <w:spacing w:line="360" w:lineRule="auto"/>
              <w:ind w:left="0" w:right="0" w:firstLine="1200" w:firstLineChars="5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Aar</w:t>
            </w:r>
            <w:r>
              <w:rPr>
                <w:rFonts w:hint="default" w:ascii="Times New Roman" w:hAnsi="Times New Roman" w:eastAsia="宋体" w:cs="Times New Roman"/>
                <w:color w:val="auto"/>
                <w:spacing w:val="4"/>
                <w:sz w:val="24"/>
                <w:szCs w:val="24"/>
                <w:highlight w:val="none"/>
              </w:rPr>
              <w:t>——收到基灰分的质量分数</w:t>
            </w:r>
            <w:r>
              <w:rPr>
                <w:rFonts w:hint="default" w:ascii="Times New Roman" w:hAnsi="Times New Roman" w:eastAsia="宋体" w:cs="Times New Roman"/>
                <w:color w:val="auto"/>
                <w:spacing w:val="-10"/>
                <w:sz w:val="24"/>
                <w:szCs w:val="24"/>
                <w:highlight w:val="none"/>
              </w:rPr>
              <w:t>，</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根据生物质成型燃料分析一览表，干燥基灰分为0.70%，收到基全水分为7.3%，则</w:t>
            </w:r>
            <w:r>
              <w:rPr>
                <w:rFonts w:hint="default" w:ascii="Times New Roman" w:hAnsi="Times New Roman" w:eastAsia="宋体" w:cs="Times New Roman"/>
                <w:color w:val="auto"/>
                <w:sz w:val="24"/>
                <w:szCs w:val="24"/>
                <w:highlight w:val="none"/>
              </w:rPr>
              <w:t>Aar</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0.7</w:t>
            </w:r>
            <w:r>
              <w:rPr>
                <w:rFonts w:hint="default" w:ascii="Times New Roman" w:hAnsi="Times New Roman" w:eastAsia="宋体" w:cs="Times New Roman"/>
                <w:color w:val="auto"/>
                <w:sz w:val="24"/>
                <w:szCs w:val="24"/>
                <w:highlight w:val="none"/>
                <w:lang w:val="en-US" w:eastAsia="zh-CN"/>
              </w:rPr>
              <w:t>×{（100-</w:t>
            </w:r>
            <w:r>
              <w:rPr>
                <w:rFonts w:hint="default" w:ascii="Times New Roman" w:hAnsi="Times New Roman" w:cs="Times New Roman"/>
                <w:color w:val="auto"/>
                <w:sz w:val="24"/>
                <w:szCs w:val="24"/>
                <w:highlight w:val="none"/>
                <w:lang w:val="en-US" w:eastAsia="zh-CN"/>
              </w:rPr>
              <w:t>7.3</w:t>
            </w:r>
            <w:r>
              <w:rPr>
                <w:rFonts w:hint="default" w:ascii="Times New Roman" w:hAnsi="Times New Roman" w:eastAsia="宋体" w:cs="Times New Roman"/>
                <w:color w:val="auto"/>
                <w:sz w:val="24"/>
                <w:szCs w:val="24"/>
                <w:highlight w:val="none"/>
                <w:lang w:val="en-US" w:eastAsia="zh-CN"/>
              </w:rPr>
              <w:t>）/100}=</w:t>
            </w:r>
            <w:r>
              <w:rPr>
                <w:rFonts w:hint="eastAsia" w:ascii="Times New Roman" w:hAnsi="Times New Roman" w:cs="Times New Roman"/>
                <w:color w:val="auto"/>
                <w:sz w:val="24"/>
                <w:szCs w:val="24"/>
                <w:highlight w:val="none"/>
                <w:lang w:val="en-US" w:eastAsia="zh-CN"/>
              </w:rPr>
              <w:t>0.6489</w:t>
            </w:r>
            <w:r>
              <w:rPr>
                <w:rFonts w:hint="default" w:ascii="Times New Roman" w:hAnsi="Times New Roman" w:eastAsia="宋体" w:cs="Times New Roman"/>
                <w:color w:val="auto"/>
                <w:sz w:val="24"/>
                <w:szCs w:val="24"/>
                <w:highlight w:val="none"/>
                <w:lang w:val="en-US" w:eastAsia="zh-CN"/>
              </w:rPr>
              <w:t>，则</w:t>
            </w:r>
            <w:r>
              <w:rPr>
                <w:rFonts w:hint="default" w:ascii="Times New Roman" w:hAnsi="Times New Roman" w:eastAsia="宋体" w:cs="Times New Roman"/>
                <w:color w:val="auto"/>
                <w:sz w:val="24"/>
                <w:szCs w:val="24"/>
                <w:highlight w:val="none"/>
              </w:rPr>
              <w:t>Aar</w:t>
            </w:r>
            <w:r>
              <w:rPr>
                <w:rFonts w:hint="default" w:ascii="Times New Roman" w:hAnsi="Times New Roman" w:cs="Times New Roman"/>
                <w:color w:val="auto"/>
                <w:sz w:val="24"/>
                <w:szCs w:val="24"/>
                <w:highlight w:val="none"/>
              </w:rPr>
              <w:t>取</w:t>
            </w:r>
            <w:r>
              <w:rPr>
                <w:rFonts w:hint="default" w:ascii="Times New Roman" w:hAnsi="Times New Roman" w:cs="Times New Roman"/>
                <w:color w:val="auto"/>
                <w:sz w:val="24"/>
                <w:szCs w:val="24"/>
                <w:highlight w:val="none"/>
                <w:lang w:val="en-US" w:eastAsia="zh-CN"/>
              </w:rPr>
              <w:t>0.65%</w:t>
            </w:r>
            <w:r>
              <w:rPr>
                <w:rFonts w:hint="default" w:ascii="Times New Roman" w:hAnsi="Times New Roman" w:cs="Times New Roman"/>
                <w:color w:val="auto"/>
                <w:sz w:val="24"/>
                <w:szCs w:val="24"/>
                <w:highlight w:val="none"/>
              </w:rPr>
              <w:t>；</w:t>
            </w:r>
          </w:p>
          <w:p w14:paraId="6594F776">
            <w:pPr>
              <w:keepNext w:val="0"/>
              <w:keepLines w:val="0"/>
              <w:pageBreakBefore w:val="0"/>
              <w:widowControl w:val="0"/>
              <w:kinsoku/>
              <w:wordWrap/>
              <w:overflowPunct/>
              <w:topLinePunct w:val="0"/>
              <w:autoSpaceDE/>
              <w:autoSpaceDN/>
              <w:bidi w:val="0"/>
              <w:adjustRightInd/>
              <w:snapToGrid/>
              <w:spacing w:line="360" w:lineRule="auto"/>
              <w:ind w:left="0" w:right="0" w:firstLine="1180" w:firstLineChars="5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pacing w:val="-2"/>
                <w:sz w:val="24"/>
                <w:szCs w:val="24"/>
                <w:highlight w:val="none"/>
              </w:rPr>
              <w:t>d</w:t>
            </w:r>
            <w:r>
              <w:rPr>
                <w:rFonts w:hint="default" w:ascii="Times New Roman" w:hAnsi="Times New Roman" w:eastAsia="宋体" w:cs="Times New Roman"/>
                <w:color w:val="auto"/>
                <w:spacing w:val="-2"/>
                <w:position w:val="-1"/>
                <w:sz w:val="16"/>
                <w:szCs w:val="16"/>
                <w:highlight w:val="none"/>
              </w:rPr>
              <w:t>fh</w:t>
            </w:r>
            <w:r>
              <w:rPr>
                <w:rFonts w:hint="default" w:ascii="Times New Roman" w:hAnsi="Times New Roman" w:eastAsia="宋体" w:cs="Times New Roman"/>
                <w:color w:val="auto"/>
                <w:spacing w:val="-2"/>
                <w:sz w:val="24"/>
                <w:szCs w:val="24"/>
                <w:highlight w:val="none"/>
              </w:rPr>
              <w:t>——锅炉烟气带出的飞灰份额，本次取值为</w:t>
            </w:r>
            <w:r>
              <w:rPr>
                <w:rFonts w:hint="eastAsia" w:ascii="Times New Roman" w:hAnsi="Times New Roman" w:cs="Times New Roman"/>
                <w:color w:val="auto"/>
                <w:spacing w:val="-3"/>
                <w:sz w:val="24"/>
                <w:szCs w:val="24"/>
                <w:highlight w:val="none"/>
                <w:lang w:val="en-US" w:eastAsia="zh-CN"/>
              </w:rPr>
              <w:t>45</w:t>
            </w:r>
            <w:r>
              <w:rPr>
                <w:rFonts w:hint="default" w:ascii="Times New Roman" w:hAnsi="Times New Roman" w:eastAsia="宋体" w:cs="Times New Roman"/>
                <w:color w:val="auto"/>
                <w:spacing w:val="-3"/>
                <w:sz w:val="24"/>
                <w:szCs w:val="24"/>
                <w:highlight w:val="none"/>
              </w:rPr>
              <w:t>%</w:t>
            </w:r>
            <w:r>
              <w:rPr>
                <w:rFonts w:hint="default" w:ascii="Times New Roman" w:hAnsi="Times New Roman" w:eastAsia="宋体" w:cs="Times New Roman"/>
                <w:color w:val="auto"/>
                <w:spacing w:val="-20"/>
                <w:sz w:val="24"/>
                <w:szCs w:val="24"/>
                <w:highlight w:val="none"/>
              </w:rPr>
              <w:t>，（</w:t>
            </w:r>
            <w:r>
              <w:rPr>
                <w:rFonts w:hint="default" w:ascii="Times New Roman" w:hAnsi="Times New Roman" w:eastAsia="宋体" w:cs="Times New Roman"/>
                <w:color w:val="auto"/>
                <w:spacing w:val="-3"/>
                <w:sz w:val="24"/>
                <w:szCs w:val="24"/>
                <w:highlight w:val="none"/>
              </w:rPr>
              <w:t>数据来源《污</w:t>
            </w:r>
            <w:r>
              <w:rPr>
                <w:rFonts w:hint="default" w:ascii="Times New Roman" w:hAnsi="Times New Roman" w:eastAsia="宋体" w:cs="Times New Roman"/>
                <w:color w:val="auto"/>
                <w:spacing w:val="-1"/>
                <w:sz w:val="24"/>
                <w:szCs w:val="24"/>
                <w:highlight w:val="none"/>
              </w:rPr>
              <w:t>染源源强核算技术指南锅炉》</w:t>
            </w:r>
            <w:r>
              <w:rPr>
                <w:rFonts w:hint="default" w:ascii="Times New Roman" w:hAnsi="Times New Roman"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rPr>
              <w:t>H 991—2018</w:t>
            </w:r>
            <w:r>
              <w:rPr>
                <w:rFonts w:hint="default" w:ascii="Times New Roman" w:hAnsi="Times New Roman"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rPr>
              <w:t>附录</w:t>
            </w:r>
            <w:r>
              <w:rPr>
                <w:rFonts w:hint="default" w:ascii="Times New Roman" w:hAnsi="Times New Roman" w:eastAsia="宋体" w:cs="Times New Roman"/>
                <w:color w:val="auto"/>
                <w:spacing w:val="-2"/>
                <w:sz w:val="24"/>
                <w:szCs w:val="24"/>
                <w:highlight w:val="none"/>
              </w:rPr>
              <w:t>B表B.2</w:t>
            </w:r>
            <w:r>
              <w:rPr>
                <w:rFonts w:hint="eastAsia" w:ascii="Times New Roman" w:hAnsi="Times New Roman" w:cs="Times New Roman"/>
                <w:color w:val="auto"/>
                <w:spacing w:val="-2"/>
                <w:sz w:val="24"/>
                <w:szCs w:val="24"/>
                <w:highlight w:val="none"/>
                <w:lang w:val="en-US" w:eastAsia="zh-CN"/>
              </w:rPr>
              <w:t>往复</w:t>
            </w:r>
            <w:r>
              <w:rPr>
                <w:rFonts w:hint="default" w:ascii="Times New Roman" w:hAnsi="Times New Roman" w:eastAsia="宋体" w:cs="Times New Roman"/>
                <w:color w:val="auto"/>
                <w:spacing w:val="-2"/>
                <w:sz w:val="24"/>
                <w:szCs w:val="24"/>
                <w:highlight w:val="none"/>
                <w:lang w:val="en-US" w:eastAsia="zh-CN"/>
              </w:rPr>
              <w:t>炉排炉</w:t>
            </w:r>
            <w:r>
              <w:rPr>
                <w:rFonts w:hint="eastAsia" w:ascii="Times New Roman" w:hAnsi="Times New Roman" w:cs="Times New Roman"/>
                <w:color w:val="auto"/>
                <w:spacing w:val="-2"/>
                <w:sz w:val="24"/>
                <w:szCs w:val="24"/>
                <w:highlight w:val="none"/>
                <w:lang w:val="en-US" w:eastAsia="zh-CN"/>
              </w:rPr>
              <w:t>，</w:t>
            </w:r>
            <w:r>
              <w:rPr>
                <w:rFonts w:hint="default" w:ascii="Times New Roman" w:hAnsi="Times New Roman" w:eastAsia="宋体" w:cs="Times New Roman"/>
                <w:color w:val="auto"/>
                <w:spacing w:val="-2"/>
                <w:sz w:val="24"/>
                <w:szCs w:val="24"/>
                <w:highlight w:val="none"/>
              </w:rPr>
              <w:t>d</w:t>
            </w:r>
            <w:r>
              <w:rPr>
                <w:rFonts w:hint="default" w:ascii="Times New Roman" w:hAnsi="Times New Roman" w:eastAsia="宋体" w:cs="Times New Roman"/>
                <w:color w:val="auto"/>
                <w:spacing w:val="-2"/>
                <w:position w:val="-1"/>
                <w:sz w:val="16"/>
                <w:szCs w:val="16"/>
                <w:highlight w:val="none"/>
              </w:rPr>
              <w:t>fh</w:t>
            </w:r>
            <w:r>
              <w:rPr>
                <w:rFonts w:hint="eastAsia" w:ascii="Times New Roman" w:hAnsi="Times New Roman" w:cs="Times New Roman"/>
                <w:color w:val="auto"/>
                <w:spacing w:val="-2"/>
                <w:position w:val="-1"/>
                <w:sz w:val="24"/>
                <w:szCs w:val="24"/>
                <w:highlight w:val="none"/>
                <w:vertAlign w:val="baseline"/>
                <w:lang w:val="en-US" w:eastAsia="zh-CN"/>
              </w:rPr>
              <w:t>15%~20%，本次取15%，注2：燃用生物质时，飞灰份额加30%。</w:t>
            </w:r>
            <w:r>
              <w:rPr>
                <w:rFonts w:hint="default" w:ascii="Times New Roman" w:hAnsi="Times New Roman" w:eastAsia="宋体" w:cs="Times New Roman"/>
                <w:color w:val="auto"/>
                <w:spacing w:val="-7"/>
                <w:sz w:val="24"/>
                <w:szCs w:val="24"/>
                <w:highlight w:val="none"/>
              </w:rPr>
              <w:t>）；</w:t>
            </w:r>
          </w:p>
          <w:p w14:paraId="16E1F163">
            <w:pPr>
              <w:keepNext w:val="0"/>
              <w:keepLines w:val="0"/>
              <w:pageBreakBefore w:val="0"/>
              <w:widowControl w:val="0"/>
              <w:kinsoku/>
              <w:wordWrap/>
              <w:overflowPunct/>
              <w:topLinePunct w:val="0"/>
              <w:autoSpaceDE/>
              <w:autoSpaceDN/>
              <w:bidi w:val="0"/>
              <w:adjustRightInd/>
              <w:snapToGrid/>
              <w:spacing w:line="360" w:lineRule="auto"/>
              <w:ind w:left="0" w:right="0" w:firstLine="1190" w:firstLineChars="5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pacing w:val="-1"/>
                <w:sz w:val="24"/>
                <w:szCs w:val="24"/>
                <w:highlight w:val="none"/>
              </w:rPr>
              <w:t>Ƞc——除尘效率，</w:t>
            </w:r>
            <w:r>
              <w:rPr>
                <w:rFonts w:hint="default" w:ascii="Times New Roman" w:hAnsi="Times New Roman" w:cs="Times New Roman"/>
                <w:color w:val="auto"/>
                <w:spacing w:val="-1"/>
                <w:sz w:val="24"/>
                <w:szCs w:val="24"/>
                <w:highlight w:val="none"/>
                <w:lang w:val="en-US" w:eastAsia="zh-CN"/>
              </w:rPr>
              <w:t>本项目除尘为</w:t>
            </w:r>
            <w:r>
              <w:rPr>
                <w:rFonts w:hint="eastAsia" w:ascii="Times New Roman" w:hAnsi="Times New Roman" w:cs="Times New Roman"/>
                <w:color w:val="auto"/>
                <w:spacing w:val="-1"/>
                <w:sz w:val="24"/>
                <w:szCs w:val="24"/>
                <w:highlight w:val="none"/>
                <w:lang w:val="en-US" w:eastAsia="zh-CN"/>
              </w:rPr>
              <w:t>旋风+布</w:t>
            </w:r>
            <w:r>
              <w:rPr>
                <w:rFonts w:hint="default" w:ascii="Times New Roman" w:hAnsi="Times New Roman" w:eastAsia="宋体" w:cs="Times New Roman"/>
                <w:color w:val="auto"/>
                <w:spacing w:val="-1"/>
                <w:sz w:val="24"/>
                <w:szCs w:val="24"/>
                <w:highlight w:val="none"/>
                <w:lang w:val="en-US" w:eastAsia="zh-CN"/>
              </w:rPr>
              <w:t>袋式除尘器</w:t>
            </w:r>
            <w:r>
              <w:rPr>
                <w:rFonts w:hint="default" w:ascii="Times New Roman" w:hAnsi="Times New Roman" w:cs="Times New Roman"/>
                <w:color w:val="auto"/>
                <w:spacing w:val="-1"/>
                <w:sz w:val="24"/>
                <w:szCs w:val="24"/>
                <w:highlight w:val="none"/>
                <w:lang w:val="en-US" w:eastAsia="zh-CN"/>
              </w:rPr>
              <w:t>，</w:t>
            </w:r>
            <w:r>
              <w:rPr>
                <w:rFonts w:hint="eastAsia" w:ascii="Times New Roman" w:hAnsi="Times New Roman" w:cs="Times New Roman"/>
                <w:color w:val="auto"/>
                <w:spacing w:val="-1"/>
                <w:sz w:val="24"/>
                <w:szCs w:val="24"/>
                <w:highlight w:val="none"/>
                <w:lang w:val="en-US" w:eastAsia="zh-CN"/>
              </w:rPr>
              <w:t>经与企业核实，旋风+</w:t>
            </w:r>
            <w:r>
              <w:rPr>
                <w:rFonts w:hint="default" w:ascii="Times New Roman" w:hAnsi="Times New Roman" w:cs="Times New Roman"/>
                <w:color w:val="auto"/>
                <w:spacing w:val="-1"/>
                <w:sz w:val="24"/>
                <w:szCs w:val="24"/>
                <w:highlight w:val="none"/>
                <w:lang w:val="en-US" w:eastAsia="zh-CN"/>
              </w:rPr>
              <w:t>布袋除尘器除尘</w:t>
            </w:r>
            <w:r>
              <w:rPr>
                <w:rFonts w:hint="default" w:ascii="Times New Roman" w:hAnsi="Times New Roman" w:eastAsia="宋体" w:cs="Times New Roman"/>
                <w:color w:val="auto"/>
                <w:spacing w:val="-1"/>
                <w:sz w:val="24"/>
                <w:szCs w:val="24"/>
                <w:highlight w:val="none"/>
                <w:lang w:val="en-US" w:eastAsia="zh-CN"/>
              </w:rPr>
              <w:t>效率为</w:t>
            </w:r>
            <w:r>
              <w:rPr>
                <w:rFonts w:hint="default" w:ascii="Times New Roman" w:hAnsi="Times New Roman" w:eastAsia="宋体" w:cs="Times New Roman"/>
                <w:color w:val="auto"/>
                <w:spacing w:val="-1"/>
                <w:sz w:val="24"/>
                <w:szCs w:val="24"/>
                <w:highlight w:val="none"/>
              </w:rPr>
              <w:t>99</w:t>
            </w:r>
            <w:r>
              <w:rPr>
                <w:rFonts w:hint="eastAsia" w:ascii="Times New Roman" w:hAnsi="Times New Roman" w:cs="Times New Roman"/>
                <w:color w:val="auto"/>
                <w:spacing w:val="-1"/>
                <w:sz w:val="24"/>
                <w:szCs w:val="24"/>
                <w:highlight w:val="none"/>
                <w:lang w:val="en-US" w:eastAsia="zh-CN"/>
              </w:rPr>
              <w:t>.2</w:t>
            </w:r>
            <w:r>
              <w:rPr>
                <w:rFonts w:hint="default" w:ascii="Times New Roman" w:hAnsi="Times New Roman" w:eastAsia="宋体" w:cs="Times New Roman"/>
                <w:color w:val="auto"/>
                <w:spacing w:val="-1"/>
                <w:sz w:val="24"/>
                <w:szCs w:val="24"/>
                <w:highlight w:val="none"/>
              </w:rPr>
              <w:t>%</w:t>
            </w:r>
            <w:r>
              <w:rPr>
                <w:rFonts w:hint="default" w:ascii="Times New Roman" w:hAnsi="Times New Roman" w:eastAsia="宋体" w:cs="Times New Roman"/>
                <w:color w:val="auto"/>
                <w:spacing w:val="-1"/>
                <w:sz w:val="24"/>
                <w:szCs w:val="24"/>
                <w:highlight w:val="none"/>
                <w:lang w:val="en-US" w:eastAsia="zh-CN"/>
              </w:rPr>
              <w:t>。</w:t>
            </w:r>
          </w:p>
          <w:p w14:paraId="055B67F2">
            <w:pPr>
              <w:keepNext w:val="0"/>
              <w:keepLines w:val="0"/>
              <w:pageBreakBefore w:val="0"/>
              <w:widowControl w:val="0"/>
              <w:kinsoku/>
              <w:wordWrap/>
              <w:overflowPunct/>
              <w:topLinePunct w:val="0"/>
              <w:autoSpaceDE/>
              <w:autoSpaceDN/>
              <w:bidi w:val="0"/>
              <w:adjustRightInd/>
              <w:snapToGrid/>
              <w:spacing w:line="360" w:lineRule="auto"/>
              <w:ind w:left="0" w:right="0" w:firstLine="1200" w:firstLineChars="500"/>
              <w:textAlignment w:val="auto"/>
              <w:rPr>
                <w:rFonts w:hint="default" w:ascii="Times New Roman" w:hAnsi="Times New Roman" w:eastAsia="宋体" w:cs="Times New Roman"/>
                <w:color w:val="auto"/>
                <w:spacing w:val="-2"/>
                <w:sz w:val="24"/>
                <w:szCs w:val="24"/>
                <w:highlight w:val="none"/>
                <w:lang w:val="en-US" w:eastAsia="zh-CN"/>
              </w:rPr>
            </w:pPr>
            <w:r>
              <w:rPr>
                <w:rFonts w:hint="default" w:ascii="Times New Roman" w:hAnsi="Times New Roman" w:eastAsia="宋体" w:cs="Times New Roman"/>
                <w:color w:val="auto"/>
                <w:sz w:val="24"/>
                <w:szCs w:val="24"/>
                <w:highlight w:val="none"/>
              </w:rPr>
              <w:t>C</w:t>
            </w:r>
            <w:r>
              <w:rPr>
                <w:rFonts w:hint="default" w:ascii="Times New Roman" w:hAnsi="Times New Roman" w:eastAsia="宋体" w:cs="Times New Roman"/>
                <w:color w:val="auto"/>
                <w:position w:val="-1"/>
                <w:sz w:val="16"/>
                <w:szCs w:val="16"/>
                <w:highlight w:val="none"/>
              </w:rPr>
              <w:t>fh</w:t>
            </w:r>
            <w:r>
              <w:rPr>
                <w:rFonts w:hint="default" w:ascii="Times New Roman" w:hAnsi="Times New Roman" w:eastAsia="宋体" w:cs="Times New Roman"/>
                <w:color w:val="auto"/>
                <w:spacing w:val="1"/>
                <w:sz w:val="24"/>
                <w:szCs w:val="24"/>
                <w:highlight w:val="none"/>
              </w:rPr>
              <w:t>——飞灰中的可燃物含量，本次取</w:t>
            </w:r>
            <w:r>
              <w:rPr>
                <w:rFonts w:hint="default" w:ascii="Times New Roman" w:hAnsi="Times New Roman" w:eastAsia="宋体" w:cs="Times New Roman"/>
                <w:color w:val="auto"/>
                <w:spacing w:val="1"/>
                <w:sz w:val="24"/>
                <w:szCs w:val="24"/>
                <w:highlight w:val="none"/>
                <w:lang w:val="en-US" w:eastAsia="zh-CN"/>
              </w:rPr>
              <w:t>13</w:t>
            </w:r>
            <w:r>
              <w:rPr>
                <w:rFonts w:hint="default" w:ascii="Times New Roman" w:hAnsi="Times New Roman" w:eastAsia="宋体" w:cs="Times New Roman"/>
                <w:color w:val="auto"/>
                <w:spacing w:val="1"/>
                <w:sz w:val="24"/>
                <w:szCs w:val="24"/>
                <w:highlight w:val="none"/>
              </w:rPr>
              <w:t>%</w:t>
            </w:r>
            <w:r>
              <w:rPr>
                <w:rFonts w:hint="default" w:ascii="Times New Roman" w:hAnsi="Times New Roman" w:eastAsia="宋体" w:cs="Times New Roman"/>
                <w:color w:val="auto"/>
                <w:spacing w:val="-13"/>
                <w:sz w:val="24"/>
                <w:szCs w:val="24"/>
                <w:highlight w:val="none"/>
              </w:rPr>
              <w:t>，（</w:t>
            </w:r>
            <w:r>
              <w:rPr>
                <w:rFonts w:hint="default" w:ascii="Times New Roman" w:hAnsi="Times New Roman" w:cs="Times New Roman"/>
                <w:bCs/>
                <w:color w:val="auto"/>
                <w:highlight w:val="none"/>
              </w:rPr>
              <w:t>飞灰、炉渣中可燃物含量</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含碳量</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可在《工业锅炉经济运行》</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GB/T17954-2007</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表4-1内选取</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13%</w:t>
            </w:r>
            <w:r>
              <w:rPr>
                <w:rFonts w:hint="default" w:ascii="Times New Roman" w:hAnsi="Times New Roman" w:cs="Times New Roman"/>
                <w:bCs/>
                <w:color w:val="auto"/>
                <w:highlight w:val="none"/>
                <w:lang w:eastAsia="zh-CN"/>
              </w:rPr>
              <w:t>）</w:t>
            </w:r>
            <w:r>
              <w:rPr>
                <w:rFonts w:hint="default" w:ascii="Times New Roman" w:hAnsi="Times New Roman" w:eastAsia="宋体" w:cs="Times New Roman"/>
                <w:color w:val="auto"/>
                <w:spacing w:val="-3"/>
                <w:sz w:val="24"/>
                <w:szCs w:val="24"/>
                <w:highlight w:val="none"/>
              </w:rPr>
              <w:t>）</w:t>
            </w:r>
          </w:p>
          <w:p w14:paraId="05377EE9">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highlight w:val="none"/>
                <w:lang w:val="en-US" w:eastAsia="zh-CN"/>
              </w:rPr>
            </w:pPr>
            <w:r>
              <w:rPr>
                <w:rFonts w:hint="default" w:ascii="Times New Roman" w:hAnsi="Times New Roman" w:eastAsia="宋体" w:cs="Times New Roman"/>
                <w:color w:val="auto"/>
                <w:spacing w:val="-2"/>
                <w:sz w:val="24"/>
                <w:szCs w:val="24"/>
                <w:highlight w:val="none"/>
                <w:lang w:val="en-US" w:eastAsia="zh-CN"/>
              </w:rPr>
              <w:t>本项目小时颗粒物排放量=</w:t>
            </w:r>
            <w:r>
              <w:rPr>
                <w:rFonts w:hint="default" w:ascii="Times New Roman" w:hAnsi="Times New Roman" w:cs="Times New Roman"/>
                <w:color w:val="auto"/>
                <w:spacing w:val="-2"/>
                <w:sz w:val="24"/>
                <w:szCs w:val="24"/>
                <w:highlight w:val="none"/>
                <w:lang w:val="en-US" w:eastAsia="zh-CN"/>
              </w:rPr>
              <w:t>0.52</w:t>
            </w:r>
            <w:r>
              <w:rPr>
                <w:rFonts w:hint="default" w:ascii="Times New Roman" w:hAnsi="Times New Roman" w:eastAsia="宋体" w:cs="Times New Roman"/>
                <w:color w:val="auto"/>
                <w:spacing w:val="-2"/>
                <w:sz w:val="24"/>
                <w:szCs w:val="24"/>
                <w:highlight w:val="none"/>
                <w:lang w:val="en-US" w:eastAsia="zh-CN"/>
              </w:rPr>
              <w:t>×</w:t>
            </w:r>
            <w:r>
              <w:rPr>
                <w:rFonts w:hint="default" w:ascii="Times New Roman" w:hAnsi="Times New Roman" w:cs="Times New Roman"/>
                <w:color w:val="auto"/>
                <w:spacing w:val="-2"/>
                <w:sz w:val="24"/>
                <w:szCs w:val="24"/>
                <w:highlight w:val="none"/>
                <w:lang w:val="en-US" w:eastAsia="zh-CN"/>
              </w:rPr>
              <w:t>0.65</w:t>
            </w:r>
            <w:r>
              <w:rPr>
                <w:rFonts w:hint="default" w:ascii="Times New Roman" w:hAnsi="Times New Roman" w:eastAsia="宋体" w:cs="Times New Roman"/>
                <w:color w:val="auto"/>
                <w:spacing w:val="-2"/>
                <w:sz w:val="24"/>
                <w:szCs w:val="24"/>
                <w:highlight w:val="none"/>
                <w:lang w:val="en-US" w:eastAsia="zh-CN"/>
              </w:rPr>
              <w:t>%×</w:t>
            </w:r>
            <w:r>
              <w:rPr>
                <w:rFonts w:hint="eastAsia" w:ascii="Times New Roman" w:hAnsi="Times New Roman" w:cs="Times New Roman"/>
                <w:color w:val="auto"/>
                <w:spacing w:val="-2"/>
                <w:sz w:val="24"/>
                <w:szCs w:val="24"/>
                <w:highlight w:val="none"/>
                <w:lang w:val="en-US" w:eastAsia="zh-CN"/>
              </w:rPr>
              <w:t>45</w:t>
            </w:r>
            <w:r>
              <w:rPr>
                <w:rFonts w:hint="default" w:ascii="Times New Roman" w:hAnsi="Times New Roman" w:eastAsia="宋体" w:cs="Times New Roman"/>
                <w:color w:val="auto"/>
                <w:spacing w:val="-2"/>
                <w:sz w:val="24"/>
                <w:szCs w:val="24"/>
                <w:highlight w:val="none"/>
                <w:lang w:val="en-US" w:eastAsia="zh-CN"/>
              </w:rPr>
              <w:t>%×（1-99.</w:t>
            </w:r>
            <w:r>
              <w:rPr>
                <w:rFonts w:hint="default" w:ascii="Times New Roman" w:hAnsi="Times New Roman" w:cs="Times New Roman"/>
                <w:color w:val="auto"/>
                <w:spacing w:val="-2"/>
                <w:sz w:val="24"/>
                <w:szCs w:val="24"/>
                <w:highlight w:val="none"/>
                <w:lang w:val="en-US" w:eastAsia="zh-CN"/>
              </w:rPr>
              <w:t>2</w:t>
            </w:r>
            <w:r>
              <w:rPr>
                <w:rFonts w:hint="default" w:ascii="Times New Roman" w:hAnsi="Times New Roman" w:eastAsia="宋体" w:cs="Times New Roman"/>
                <w:color w:val="auto"/>
                <w:spacing w:val="-2"/>
                <w:sz w:val="24"/>
                <w:szCs w:val="24"/>
                <w:highlight w:val="none"/>
                <w:lang w:val="en-US" w:eastAsia="zh-CN"/>
              </w:rPr>
              <w:t>%）/（1-13%）=</w:t>
            </w:r>
            <w:r>
              <w:rPr>
                <w:rFonts w:hint="default" w:ascii="Times New Roman" w:hAnsi="Times New Roman" w:cs="Times New Roman"/>
                <w:color w:val="auto"/>
                <w:spacing w:val="-2"/>
                <w:sz w:val="24"/>
                <w:szCs w:val="24"/>
                <w:highlight w:val="none"/>
                <w:lang w:val="en-US" w:eastAsia="zh-CN"/>
              </w:rPr>
              <w:t>0.0000</w:t>
            </w:r>
            <w:r>
              <w:rPr>
                <w:rFonts w:hint="eastAsia" w:ascii="Times New Roman" w:hAnsi="Times New Roman" w:cs="Times New Roman"/>
                <w:color w:val="auto"/>
                <w:spacing w:val="-2"/>
                <w:sz w:val="24"/>
                <w:szCs w:val="24"/>
                <w:highlight w:val="none"/>
                <w:lang w:val="en-US" w:eastAsia="zh-CN"/>
              </w:rPr>
              <w:t>1399</w:t>
            </w:r>
            <w:r>
              <w:rPr>
                <w:rFonts w:hint="default" w:ascii="Times New Roman" w:hAnsi="Times New Roman" w:eastAsia="宋体" w:cs="Times New Roman"/>
                <w:color w:val="auto"/>
                <w:spacing w:val="-2"/>
                <w:sz w:val="24"/>
                <w:szCs w:val="24"/>
                <w:highlight w:val="none"/>
                <w:lang w:val="en-US" w:eastAsia="zh-CN"/>
              </w:rPr>
              <w:t>t/h，</w:t>
            </w:r>
            <w:r>
              <w:rPr>
                <w:rFonts w:hint="eastAsia" w:ascii="Times New Roman" w:hAnsi="Times New Roman" w:cs="Times New Roman"/>
                <w:color w:val="auto"/>
                <w:spacing w:val="-2"/>
                <w:sz w:val="24"/>
                <w:szCs w:val="24"/>
                <w:highlight w:val="none"/>
                <w:lang w:val="en-US" w:eastAsia="zh-CN"/>
              </w:rPr>
              <w:t>0.01399</w:t>
            </w:r>
            <w:r>
              <w:rPr>
                <w:rFonts w:hint="default" w:ascii="Times New Roman" w:hAnsi="Times New Roman" w:eastAsia="宋体" w:cs="Times New Roman"/>
                <w:color w:val="auto"/>
                <w:spacing w:val="-2"/>
                <w:sz w:val="24"/>
                <w:szCs w:val="24"/>
                <w:highlight w:val="none"/>
                <w:lang w:val="en-US" w:eastAsia="zh-CN"/>
              </w:rPr>
              <w:t>kg/h。排放浓度为</w:t>
            </w:r>
            <w:r>
              <w:rPr>
                <w:rFonts w:hint="eastAsia" w:ascii="Times New Roman" w:hAnsi="Times New Roman" w:cs="Times New Roman"/>
                <w:color w:val="auto"/>
                <w:spacing w:val="-2"/>
                <w:sz w:val="24"/>
                <w:szCs w:val="24"/>
                <w:highlight w:val="none"/>
                <w:lang w:val="en-US" w:eastAsia="zh-CN"/>
              </w:rPr>
              <w:t>3.48</w:t>
            </w:r>
            <w:r>
              <w:rPr>
                <w:rFonts w:hint="default" w:ascii="Times New Roman" w:hAnsi="Times New Roman" w:eastAsia="宋体" w:cs="Times New Roman"/>
                <w:color w:val="auto"/>
                <w:spacing w:val="-2"/>
                <w:sz w:val="24"/>
                <w:szCs w:val="24"/>
                <w:highlight w:val="none"/>
                <w:lang w:val="en-US" w:eastAsia="zh-CN"/>
              </w:rPr>
              <w:t>mg/m</w:t>
            </w:r>
            <w:r>
              <w:rPr>
                <w:rFonts w:hint="default" w:ascii="Times New Roman" w:hAnsi="Times New Roman" w:eastAsia="宋体" w:cs="Times New Roman"/>
                <w:color w:val="auto"/>
                <w:spacing w:val="-2"/>
                <w:sz w:val="24"/>
                <w:szCs w:val="24"/>
                <w:highlight w:val="none"/>
                <w:vertAlign w:val="superscript"/>
                <w:lang w:val="en-US" w:eastAsia="zh-CN"/>
              </w:rPr>
              <w:t>3</w:t>
            </w:r>
            <w:r>
              <w:rPr>
                <w:rFonts w:hint="default" w:ascii="Times New Roman" w:hAnsi="Times New Roman" w:eastAsia="宋体" w:cs="Times New Roman"/>
                <w:color w:val="auto"/>
                <w:spacing w:val="-2"/>
                <w:sz w:val="24"/>
                <w:szCs w:val="24"/>
                <w:highlight w:val="none"/>
                <w:lang w:val="en-US" w:eastAsia="zh-CN"/>
              </w:rPr>
              <w:t>。产生浓度为</w:t>
            </w:r>
            <w:r>
              <w:rPr>
                <w:rFonts w:hint="eastAsia" w:ascii="Times New Roman" w:hAnsi="Times New Roman" w:cs="Times New Roman"/>
                <w:color w:val="auto"/>
                <w:spacing w:val="-2"/>
                <w:sz w:val="24"/>
                <w:szCs w:val="24"/>
                <w:highlight w:val="none"/>
                <w:lang w:val="en-US" w:eastAsia="zh-CN"/>
              </w:rPr>
              <w:t>435.73</w:t>
            </w:r>
            <w:r>
              <w:rPr>
                <w:rFonts w:hint="default" w:ascii="Times New Roman" w:hAnsi="Times New Roman" w:eastAsia="宋体" w:cs="Times New Roman"/>
                <w:color w:val="auto"/>
                <w:spacing w:val="-2"/>
                <w:sz w:val="24"/>
                <w:szCs w:val="24"/>
                <w:highlight w:val="none"/>
                <w:lang w:val="en-US" w:eastAsia="zh-CN"/>
              </w:rPr>
              <w:t>mg/m</w:t>
            </w:r>
            <w:r>
              <w:rPr>
                <w:rFonts w:hint="default" w:ascii="Times New Roman" w:hAnsi="Times New Roman" w:eastAsia="宋体" w:cs="Times New Roman"/>
                <w:color w:val="auto"/>
                <w:spacing w:val="-2"/>
                <w:sz w:val="24"/>
                <w:szCs w:val="24"/>
                <w:highlight w:val="none"/>
                <w:vertAlign w:val="superscript"/>
                <w:lang w:val="en-US" w:eastAsia="zh-CN"/>
              </w:rPr>
              <w:t>3</w:t>
            </w:r>
            <w:r>
              <w:rPr>
                <w:rFonts w:hint="default" w:ascii="Times New Roman" w:hAnsi="Times New Roman" w:eastAsia="宋体" w:cs="Times New Roman"/>
                <w:color w:val="auto"/>
                <w:spacing w:val="-2"/>
                <w:sz w:val="24"/>
                <w:szCs w:val="24"/>
                <w:highlight w:val="none"/>
                <w:lang w:val="en-US" w:eastAsia="zh-CN"/>
              </w:rPr>
              <w:t>，产生速率</w:t>
            </w:r>
            <w:r>
              <w:rPr>
                <w:rFonts w:hint="eastAsia" w:ascii="Times New Roman" w:hAnsi="Times New Roman" w:cs="Times New Roman"/>
                <w:color w:val="auto"/>
                <w:spacing w:val="-2"/>
                <w:sz w:val="24"/>
                <w:szCs w:val="24"/>
                <w:highlight w:val="none"/>
                <w:lang w:val="en-US" w:eastAsia="zh-CN"/>
              </w:rPr>
              <w:t>1.749</w:t>
            </w:r>
            <w:r>
              <w:rPr>
                <w:rFonts w:hint="default" w:ascii="Times New Roman" w:hAnsi="Times New Roman" w:eastAsia="宋体" w:cs="Times New Roman"/>
                <w:color w:val="auto"/>
                <w:spacing w:val="-2"/>
                <w:sz w:val="24"/>
                <w:szCs w:val="24"/>
                <w:highlight w:val="none"/>
                <w:lang w:val="en-US" w:eastAsia="zh-CN"/>
              </w:rPr>
              <w:t>kg/h。</w:t>
            </w:r>
          </w:p>
          <w:p w14:paraId="6AA9E4BB">
            <w:pPr>
              <w:pStyle w:val="11"/>
              <w:keepNext w:val="0"/>
              <w:keepLines w:val="0"/>
              <w:pageBreakBefore w:val="0"/>
              <w:widowControl/>
              <w:kinsoku/>
              <w:wordWrap/>
              <w:overflowPunct/>
              <w:topLinePunct w:val="0"/>
              <w:autoSpaceDE/>
              <w:autoSpaceDN/>
              <w:bidi w:val="0"/>
              <w:adjustRightInd/>
              <w:snapToGrid w:val="0"/>
              <w:spacing w:before="0" w:after="0" w:line="360" w:lineRule="auto"/>
              <w:ind w:right="0" w:firstLine="472" w:firstLineChars="200"/>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2"/>
                <w:sz w:val="24"/>
                <w:szCs w:val="24"/>
                <w:highlight w:val="none"/>
                <w:lang w:val="en-US" w:eastAsia="zh-CN"/>
              </w:rPr>
              <w:t>年颗粒物排放量=</w:t>
            </w:r>
            <w:r>
              <w:rPr>
                <w:rFonts w:hint="eastAsia" w:cs="Times New Roman"/>
                <w:bCs/>
                <w:color w:val="auto"/>
                <w:spacing w:val="0"/>
                <w:sz w:val="24"/>
                <w:szCs w:val="24"/>
                <w:highlight w:val="none"/>
                <w:lang w:val="en-US" w:eastAsia="zh-CN"/>
              </w:rPr>
              <w:t>3020.16</w:t>
            </w:r>
            <w:r>
              <w:rPr>
                <w:rFonts w:hint="default" w:ascii="Times New Roman" w:hAnsi="Times New Roman" w:eastAsia="宋体" w:cs="Times New Roman"/>
                <w:color w:val="auto"/>
                <w:spacing w:val="-2"/>
                <w:sz w:val="24"/>
                <w:szCs w:val="24"/>
                <w:highlight w:val="none"/>
                <w:lang w:val="en-US" w:eastAsia="zh-CN"/>
              </w:rPr>
              <w:t>×</w:t>
            </w:r>
            <w:r>
              <w:rPr>
                <w:rFonts w:hint="default" w:ascii="Times New Roman" w:hAnsi="Times New Roman" w:cs="Times New Roman"/>
                <w:color w:val="auto"/>
                <w:spacing w:val="-2"/>
                <w:sz w:val="24"/>
                <w:szCs w:val="24"/>
                <w:highlight w:val="none"/>
                <w:lang w:val="en-US" w:eastAsia="zh-CN"/>
              </w:rPr>
              <w:t>0.65</w:t>
            </w:r>
            <w:r>
              <w:rPr>
                <w:rFonts w:hint="default" w:ascii="Times New Roman" w:hAnsi="Times New Roman" w:eastAsia="宋体" w:cs="Times New Roman"/>
                <w:color w:val="auto"/>
                <w:spacing w:val="-2"/>
                <w:sz w:val="24"/>
                <w:szCs w:val="24"/>
                <w:highlight w:val="none"/>
                <w:lang w:val="en-US" w:eastAsia="zh-CN"/>
              </w:rPr>
              <w:t>%×</w:t>
            </w:r>
            <w:r>
              <w:rPr>
                <w:rFonts w:hint="eastAsia" w:cs="Times New Roman"/>
                <w:color w:val="auto"/>
                <w:spacing w:val="-2"/>
                <w:sz w:val="24"/>
                <w:szCs w:val="24"/>
                <w:highlight w:val="none"/>
                <w:lang w:val="en-US" w:eastAsia="zh-CN"/>
              </w:rPr>
              <w:t>45</w:t>
            </w:r>
            <w:r>
              <w:rPr>
                <w:rFonts w:hint="default" w:ascii="Times New Roman" w:hAnsi="Times New Roman" w:eastAsia="宋体" w:cs="Times New Roman"/>
                <w:color w:val="auto"/>
                <w:spacing w:val="-2"/>
                <w:sz w:val="24"/>
                <w:szCs w:val="24"/>
                <w:highlight w:val="none"/>
                <w:lang w:val="en-US" w:eastAsia="zh-CN"/>
              </w:rPr>
              <w:t>%×（1-99.</w:t>
            </w:r>
            <w:r>
              <w:rPr>
                <w:rFonts w:hint="default" w:ascii="Times New Roman" w:hAnsi="Times New Roman" w:cs="Times New Roman"/>
                <w:color w:val="auto"/>
                <w:spacing w:val="-2"/>
                <w:sz w:val="24"/>
                <w:szCs w:val="24"/>
                <w:highlight w:val="none"/>
                <w:lang w:val="en-US" w:eastAsia="zh-CN"/>
              </w:rPr>
              <w:t>2</w:t>
            </w:r>
            <w:r>
              <w:rPr>
                <w:rFonts w:hint="default" w:ascii="Times New Roman" w:hAnsi="Times New Roman" w:eastAsia="宋体" w:cs="Times New Roman"/>
                <w:color w:val="auto"/>
                <w:spacing w:val="-2"/>
                <w:sz w:val="24"/>
                <w:szCs w:val="24"/>
                <w:highlight w:val="none"/>
                <w:lang w:val="en-US" w:eastAsia="zh-CN"/>
              </w:rPr>
              <w:t>%）/（1-13%）=</w:t>
            </w:r>
            <w:r>
              <w:rPr>
                <w:rFonts w:hint="default" w:ascii="Times New Roman" w:hAnsi="Times New Roman" w:cs="Times New Roman"/>
                <w:color w:val="auto"/>
                <w:spacing w:val="-2"/>
                <w:sz w:val="24"/>
                <w:szCs w:val="24"/>
                <w:highlight w:val="none"/>
                <w:lang w:val="en-US" w:eastAsia="zh-CN"/>
              </w:rPr>
              <w:t>0.0</w:t>
            </w:r>
            <w:r>
              <w:rPr>
                <w:rFonts w:hint="eastAsia" w:cs="Times New Roman"/>
                <w:color w:val="auto"/>
                <w:spacing w:val="-2"/>
                <w:sz w:val="24"/>
                <w:szCs w:val="24"/>
                <w:highlight w:val="none"/>
                <w:lang w:val="en-US" w:eastAsia="zh-CN"/>
              </w:rPr>
              <w:t>81</w:t>
            </w:r>
            <w:r>
              <w:rPr>
                <w:rFonts w:hint="default" w:ascii="Times New Roman" w:hAnsi="Times New Roman" w:eastAsia="宋体" w:cs="Times New Roman"/>
                <w:color w:val="auto"/>
                <w:spacing w:val="-2"/>
                <w:sz w:val="24"/>
                <w:szCs w:val="24"/>
                <w:highlight w:val="none"/>
                <w:lang w:val="en-US" w:eastAsia="zh-CN"/>
              </w:rPr>
              <w:t>t/a</w:t>
            </w:r>
          </w:p>
          <w:p w14:paraId="53D7C003">
            <w:pPr>
              <w:pStyle w:val="46"/>
              <w:adjustRightInd/>
              <w:spacing w:line="360" w:lineRule="auto"/>
              <w:ind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③二氧化硫</w:t>
            </w:r>
          </w:p>
          <w:p w14:paraId="73F2BBA1">
            <w:pPr>
              <w:pStyle w:val="11"/>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bCs/>
                <w:color w:val="auto"/>
                <w:kern w:val="28"/>
                <w:sz w:val="24"/>
                <w:highlight w:val="none"/>
              </w:rPr>
              <w:t>根据《污染源源强核算技术指南 锅炉》（HJ991-2018）5.1.1式（4），二氧化硫排放量计算公式如下：</w:t>
            </w:r>
          </w:p>
          <w:p w14:paraId="47202445">
            <w:pPr>
              <w:pStyle w:val="11"/>
              <w:keepNext w:val="0"/>
              <w:keepLines w:val="0"/>
              <w:pageBreakBefore w:val="0"/>
              <w:widowControl/>
              <w:kinsoku/>
              <w:wordWrap/>
              <w:overflowPunct/>
              <w:topLinePunct w:val="0"/>
              <w:autoSpaceDE/>
              <w:autoSpaceDN/>
              <w:bidi w:val="0"/>
              <w:adjustRightInd/>
              <w:snapToGrid w:val="0"/>
              <w:spacing w:before="0" w:after="0" w:line="360" w:lineRule="auto"/>
              <w:ind w:right="0" w:firstLine="0" w:firstLineChars="0"/>
              <w:jc w:val="center"/>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position w:val="-14"/>
                <w:highlight w:val="none"/>
              </w:rPr>
              <w:drawing>
                <wp:inline distT="0" distB="0" distL="0" distR="0">
                  <wp:extent cx="2991485" cy="457200"/>
                  <wp:effectExtent l="0" t="0" r="18415" b="0"/>
                  <wp:docPr id="96" name="IM 4"/>
                  <wp:cNvGraphicFramePr/>
                  <a:graphic xmlns:a="http://schemas.openxmlformats.org/drawingml/2006/main">
                    <a:graphicData uri="http://schemas.openxmlformats.org/drawingml/2006/picture">
                      <pic:pic xmlns:pic="http://schemas.openxmlformats.org/drawingml/2006/picture">
                        <pic:nvPicPr>
                          <pic:cNvPr id="96" name="IM 4"/>
                          <pic:cNvPicPr/>
                        </pic:nvPicPr>
                        <pic:blipFill>
                          <a:blip r:embed="rId26"/>
                          <a:stretch>
                            <a:fillRect/>
                          </a:stretch>
                        </pic:blipFill>
                        <pic:spPr>
                          <a:xfrm>
                            <a:off x="0" y="0"/>
                            <a:ext cx="2991611" cy="457200"/>
                          </a:xfrm>
                          <a:prstGeom prst="rect">
                            <a:avLst/>
                          </a:prstGeom>
                        </pic:spPr>
                      </pic:pic>
                    </a:graphicData>
                  </a:graphic>
                </wp:inline>
              </w:drawing>
            </w:r>
          </w:p>
          <w:p w14:paraId="4B0661B5">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式中：E</w:t>
            </w:r>
            <w:r>
              <w:rPr>
                <w:rFonts w:hint="default" w:ascii="Times New Roman" w:hAnsi="Times New Roman" w:cs="Times New Roman"/>
                <w:bCs/>
                <w:color w:val="auto"/>
                <w:sz w:val="24"/>
                <w:szCs w:val="24"/>
                <w:highlight w:val="none"/>
                <w:vertAlign w:val="subscript"/>
              </w:rPr>
              <w:t>SO2</w:t>
            </w:r>
            <w:r>
              <w:rPr>
                <w:rFonts w:hint="default" w:ascii="Times New Roman" w:hAnsi="Times New Roman" w:cs="Times New Roman"/>
                <w:color w:val="auto"/>
                <w:sz w:val="24"/>
                <w:szCs w:val="24"/>
                <w:highlight w:val="none"/>
              </w:rPr>
              <w:t>—核算时段内</w:t>
            </w:r>
            <w:r>
              <w:rPr>
                <w:rFonts w:hint="default" w:ascii="Times New Roman" w:hAnsi="Times New Roman" w:cs="Times New Roman"/>
                <w:bCs/>
                <w:color w:val="auto"/>
                <w:sz w:val="24"/>
                <w:szCs w:val="24"/>
                <w:highlight w:val="none"/>
              </w:rPr>
              <w:t>SO</w:t>
            </w:r>
            <w:r>
              <w:rPr>
                <w:rFonts w:hint="default" w:ascii="Times New Roman" w:hAnsi="Times New Roman" w:cs="Times New Roman"/>
                <w:bCs/>
                <w:color w:val="auto"/>
                <w:sz w:val="24"/>
                <w:szCs w:val="24"/>
                <w:highlight w:val="none"/>
                <w:vertAlign w:val="subscript"/>
              </w:rPr>
              <w:t>2</w:t>
            </w:r>
            <w:r>
              <w:rPr>
                <w:rFonts w:hint="default" w:ascii="Times New Roman" w:hAnsi="Times New Roman" w:cs="Times New Roman"/>
                <w:bCs/>
                <w:color w:val="auto"/>
                <w:sz w:val="24"/>
                <w:szCs w:val="24"/>
                <w:highlight w:val="none"/>
              </w:rPr>
              <w:t>排放量</w:t>
            </w:r>
            <w:r>
              <w:rPr>
                <w:rFonts w:hint="default" w:ascii="Times New Roman" w:hAnsi="Times New Roman" w:cs="Times New Roman"/>
                <w:color w:val="auto"/>
                <w:sz w:val="24"/>
                <w:szCs w:val="24"/>
                <w:highlight w:val="none"/>
              </w:rPr>
              <w:t>，t；</w:t>
            </w:r>
          </w:p>
          <w:p w14:paraId="6C4EFB6B">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R—核算时段内锅炉燃料消耗量，t，生物质成型颗粒</w:t>
            </w:r>
            <w:r>
              <w:rPr>
                <w:rFonts w:hint="default" w:ascii="Times New Roman" w:hAnsi="Times New Roman" w:cs="Times New Roman"/>
                <w:bCs/>
                <w:color w:val="auto"/>
                <w:sz w:val="24"/>
                <w:szCs w:val="24"/>
                <w:highlight w:val="none"/>
              </w:rPr>
              <w:t>取</w:t>
            </w:r>
            <w:r>
              <w:rPr>
                <w:rFonts w:hint="eastAsia" w:ascii="Times New Roman" w:hAnsi="Times New Roman" w:cs="Times New Roman"/>
                <w:bCs/>
                <w:color w:val="auto"/>
                <w:spacing w:val="0"/>
                <w:sz w:val="24"/>
                <w:szCs w:val="24"/>
                <w:highlight w:val="none"/>
                <w:lang w:val="en-US" w:eastAsia="zh-CN"/>
              </w:rPr>
              <w:t>3020.16</w:t>
            </w:r>
            <w:r>
              <w:rPr>
                <w:rFonts w:hint="default" w:ascii="Times New Roman" w:hAnsi="Times New Roman" w:cs="Times New Roman"/>
                <w:color w:val="auto"/>
                <w:sz w:val="24"/>
                <w:szCs w:val="24"/>
                <w:highlight w:val="none"/>
              </w:rPr>
              <w:t>t；</w:t>
            </w:r>
          </w:p>
          <w:p w14:paraId="5063B591">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b/>
                <w:color w:val="auto"/>
                <w:sz w:val="24"/>
                <w:szCs w:val="24"/>
                <w:highlight w:val="none"/>
              </w:rPr>
            </w:pPr>
            <w:r>
              <w:rPr>
                <w:rFonts w:hint="default" w:ascii="Times New Roman" w:hAnsi="Times New Roman" w:cs="Times New Roman"/>
                <w:color w:val="auto"/>
                <w:sz w:val="24"/>
                <w:szCs w:val="24"/>
                <w:highlight w:val="none"/>
              </w:rPr>
              <w:t>S</w:t>
            </w:r>
            <w:r>
              <w:rPr>
                <w:rFonts w:hint="default" w:ascii="Times New Roman" w:hAnsi="Times New Roman" w:cs="Times New Roman"/>
                <w:color w:val="auto"/>
                <w:sz w:val="24"/>
                <w:szCs w:val="24"/>
                <w:highlight w:val="none"/>
                <w:vertAlign w:val="subscript"/>
              </w:rPr>
              <w:t>ar</w:t>
            </w:r>
            <w:r>
              <w:rPr>
                <w:rFonts w:hint="default" w:ascii="Times New Roman" w:hAnsi="Times New Roman" w:cs="Times New Roman"/>
                <w:color w:val="auto"/>
                <w:sz w:val="24"/>
                <w:szCs w:val="24"/>
                <w:highlight w:val="none"/>
              </w:rPr>
              <w:t>—燃料收到基硫含量，%，取0.0</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w:t>
            </w:r>
          </w:p>
          <w:p w14:paraId="682CE09C">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b/>
                <w:color w:val="auto"/>
                <w:sz w:val="24"/>
                <w:szCs w:val="24"/>
                <w:highlight w:val="none"/>
              </w:rPr>
            </w:pPr>
            <w:r>
              <w:rPr>
                <w:rFonts w:hint="default" w:ascii="Times New Roman" w:hAnsi="Times New Roman" w:cs="Times New Roman"/>
                <w:color w:val="auto"/>
                <w:sz w:val="24"/>
                <w:szCs w:val="24"/>
                <w:highlight w:val="none"/>
              </w:rPr>
              <w:t>q</w:t>
            </w:r>
            <w:r>
              <w:rPr>
                <w:rFonts w:hint="default" w:ascii="Times New Roman" w:hAnsi="Times New Roman" w:cs="Times New Roman"/>
                <w:color w:val="auto"/>
                <w:sz w:val="24"/>
                <w:szCs w:val="24"/>
                <w:highlight w:val="none"/>
                <w:vertAlign w:val="subscript"/>
              </w:rPr>
              <w:t>4</w:t>
            </w:r>
            <w:r>
              <w:rPr>
                <w:rFonts w:hint="default" w:ascii="Times New Roman" w:hAnsi="Times New Roman" w:cs="Times New Roman"/>
                <w:color w:val="auto"/>
                <w:sz w:val="24"/>
                <w:szCs w:val="24"/>
                <w:highlight w:val="none"/>
              </w:rPr>
              <w:t>—锅炉机械不完全燃烧热损失，%，取1</w:t>
            </w:r>
            <w:r>
              <w:rPr>
                <w:rFonts w:hint="default" w:ascii="Times New Roman" w:hAnsi="Times New Roman" w:cs="Times New Roman"/>
                <w:color w:val="auto"/>
                <w:sz w:val="24"/>
                <w:szCs w:val="24"/>
                <w:highlight w:val="none"/>
                <w:lang w:val="en-US" w:eastAsia="zh-CN"/>
              </w:rPr>
              <w:t>0</w:t>
            </w:r>
            <w:r>
              <w:rPr>
                <w:rFonts w:hint="default" w:ascii="Times New Roman" w:hAnsi="Times New Roman" w:cs="Times New Roman"/>
                <w:color w:val="auto"/>
                <w:sz w:val="24"/>
                <w:szCs w:val="24"/>
                <w:highlight w:val="none"/>
              </w:rPr>
              <w:t>；</w:t>
            </w:r>
          </w:p>
          <w:p w14:paraId="51746BFF">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i/>
                <w:iCs/>
                <w:color w:val="auto"/>
                <w:sz w:val="24"/>
                <w:szCs w:val="24"/>
                <w:highlight w:val="none"/>
                <w:lang w:eastAsia="zh-CN"/>
              </w:rPr>
              <w:t>η</w:t>
            </w:r>
            <w:r>
              <w:rPr>
                <w:rFonts w:hint="default" w:ascii="Times New Roman" w:hAnsi="Times New Roman" w:cs="Times New Roman"/>
                <w:i/>
                <w:iCs/>
                <w:color w:val="auto"/>
                <w:sz w:val="24"/>
                <w:szCs w:val="24"/>
                <w:highlight w:val="none"/>
                <w:vertAlign w:val="subscript"/>
                <w:lang w:val="en-US" w:eastAsia="zh-CN"/>
              </w:rPr>
              <w:t>s</w:t>
            </w:r>
            <w:r>
              <w:rPr>
                <w:rFonts w:hint="default" w:ascii="Times New Roman" w:hAnsi="Times New Roman" w:cs="Times New Roman"/>
                <w:color w:val="auto"/>
                <w:sz w:val="24"/>
                <w:szCs w:val="24"/>
                <w:highlight w:val="none"/>
              </w:rPr>
              <w:t>—脱硫效率，%，</w:t>
            </w:r>
            <w:r>
              <w:rPr>
                <w:rFonts w:hint="eastAsia" w:ascii="Times New Roman" w:hAnsi="Times New Roman" w:cs="Times New Roman"/>
                <w:color w:val="auto"/>
                <w:sz w:val="24"/>
                <w:szCs w:val="24"/>
                <w:highlight w:val="none"/>
                <w:lang w:val="en-US" w:eastAsia="zh-CN"/>
              </w:rPr>
              <w:t>取</w:t>
            </w:r>
            <w:r>
              <w:rPr>
                <w:rFonts w:hint="default" w:ascii="Times New Roman" w:hAnsi="Times New Roman" w:cs="Times New Roman"/>
                <w:color w:val="auto"/>
                <w:sz w:val="24"/>
                <w:szCs w:val="24"/>
                <w:highlight w:val="none"/>
                <w:lang w:val="en-US" w:eastAsia="zh-CN"/>
              </w:rPr>
              <w:t>0%；</w:t>
            </w:r>
          </w:p>
          <w:p w14:paraId="43C82378">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Times New Roman"/>
                <w:color w:val="auto"/>
                <w:spacing w:val="-2"/>
                <w:sz w:val="24"/>
                <w:szCs w:val="24"/>
                <w:highlight w:val="none"/>
              </w:rPr>
            </w:pPr>
            <w:r>
              <w:rPr>
                <w:rFonts w:hint="default" w:ascii="Times New Roman" w:hAnsi="Times New Roman" w:cs="Times New Roman"/>
                <w:color w:val="auto"/>
                <w:sz w:val="24"/>
                <w:szCs w:val="24"/>
                <w:highlight w:val="none"/>
                <w:lang w:val="en-US" w:eastAsia="zh-CN"/>
              </w:rPr>
              <w:t>K—燃料中的硫燃烧后氧化成二氧化硫的</w:t>
            </w:r>
            <w:r>
              <w:rPr>
                <w:rFonts w:hint="default" w:ascii="Times New Roman" w:hAnsi="Times New Roman" w:cs="Times New Roman"/>
                <w:color w:val="auto"/>
                <w:sz w:val="24"/>
                <w:szCs w:val="24"/>
                <w:highlight w:val="none"/>
              </w:rPr>
              <w:t>份额，量纲一的量，本项目取0.50。</w:t>
            </w:r>
          </w:p>
          <w:p w14:paraId="7FD0400B">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本项目二氧化硫年排放量为</w:t>
            </w:r>
          </w:p>
          <w:p w14:paraId="21B2B694">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E</w:t>
            </w:r>
            <w:r>
              <w:rPr>
                <w:rFonts w:hint="default" w:ascii="Times New Roman" w:hAnsi="Times New Roman" w:eastAsia="宋体" w:cs="Times New Roman"/>
                <w:color w:val="auto"/>
                <w:sz w:val="24"/>
                <w:szCs w:val="24"/>
                <w:highlight w:val="none"/>
                <w:vertAlign w:val="subscript"/>
              </w:rPr>
              <w:t>SO</w:t>
            </w:r>
            <w:r>
              <w:rPr>
                <w:rFonts w:hint="default" w:ascii="Times New Roman" w:hAnsi="Times New Roman" w:eastAsia="宋体" w:cs="Times New Roman"/>
                <w:color w:val="auto"/>
                <w:position w:val="-1"/>
                <w:sz w:val="16"/>
                <w:szCs w:val="16"/>
                <w:highlight w:val="none"/>
                <w:vertAlign w:val="subscript"/>
                <w:lang w:val="en-US" w:eastAsia="zh-CN"/>
              </w:rPr>
              <w:t>2</w:t>
            </w:r>
            <w:r>
              <w:rPr>
                <w:rFonts w:hint="default" w:ascii="Times New Roman" w:hAnsi="Times New Roman" w:eastAsia="宋体" w:cs="Times New Roman"/>
                <w:color w:val="auto"/>
                <w:sz w:val="24"/>
                <w:szCs w:val="24"/>
                <w:highlight w:val="none"/>
              </w:rPr>
              <w:t>=2×</w:t>
            </w:r>
            <w:r>
              <w:rPr>
                <w:rFonts w:hint="eastAsia" w:ascii="Times New Roman" w:hAnsi="Times New Roman" w:cs="Times New Roman"/>
                <w:color w:val="auto"/>
                <w:spacing w:val="-2"/>
                <w:sz w:val="24"/>
                <w:szCs w:val="24"/>
                <w:highlight w:val="none"/>
                <w:lang w:val="en-US" w:eastAsia="zh-CN"/>
              </w:rPr>
              <w:t>3020.16</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pacing w:val="-2"/>
                <w:sz w:val="24"/>
                <w:szCs w:val="24"/>
                <w:highlight w:val="none"/>
                <w:lang w:val="en-US" w:eastAsia="zh-CN"/>
              </w:rPr>
              <w:t>0.0</w:t>
            </w:r>
            <w:r>
              <w:rPr>
                <w:rFonts w:hint="default" w:ascii="Times New Roman" w:hAnsi="Times New Roman" w:cs="Times New Roman"/>
                <w:color w:val="auto"/>
                <w:spacing w:val="-2"/>
                <w:sz w:val="24"/>
                <w:szCs w:val="24"/>
                <w:highlight w:val="none"/>
                <w:lang w:val="en-US" w:eastAsia="zh-CN"/>
              </w:rPr>
              <w:t>2</w:t>
            </w:r>
            <w:r>
              <w:rPr>
                <w:rFonts w:hint="default" w:ascii="Times New Roman" w:hAnsi="Times New Roman" w:eastAsia="宋体" w:cs="Times New Roman"/>
                <w:color w:val="auto"/>
                <w:spacing w:val="-2"/>
                <w:sz w:val="24"/>
                <w:szCs w:val="24"/>
                <w:highlight w:val="none"/>
                <w:lang w:val="en-US" w:eastAsia="zh-CN"/>
              </w:rPr>
              <w:t>%</w:t>
            </w:r>
            <w:r>
              <w:rPr>
                <w:rFonts w:hint="default" w:ascii="Times New Roman" w:hAnsi="Times New Roman" w:eastAsia="宋体" w:cs="Times New Roman"/>
                <w:color w:val="auto"/>
                <w:spacing w:val="-1"/>
                <w:sz w:val="24"/>
                <w:szCs w:val="24"/>
                <w:highlight w:val="none"/>
              </w:rPr>
              <w:t>×(</w:t>
            </w:r>
            <w:r>
              <w:rPr>
                <w:rFonts w:hint="default" w:ascii="Times New Roman" w:hAnsi="Times New Roman" w:eastAsia="宋体" w:cs="Times New Roman"/>
                <w:color w:val="auto"/>
                <w:spacing w:val="-1"/>
                <w:sz w:val="24"/>
                <w:szCs w:val="24"/>
                <w:highlight w:val="none"/>
                <w:lang w:val="en-US" w:eastAsia="zh-CN"/>
              </w:rPr>
              <w:t>1-1</w:t>
            </w:r>
            <w:r>
              <w:rPr>
                <w:rFonts w:hint="default" w:ascii="Times New Roman" w:hAnsi="Times New Roman" w:cs="Times New Roman"/>
                <w:color w:val="auto"/>
                <w:spacing w:val="-1"/>
                <w:sz w:val="24"/>
                <w:szCs w:val="24"/>
                <w:highlight w:val="none"/>
                <w:lang w:val="en-US" w:eastAsia="zh-CN"/>
              </w:rPr>
              <w:t>0</w:t>
            </w:r>
            <w:r>
              <w:rPr>
                <w:rFonts w:hint="default" w:ascii="Times New Roman" w:hAnsi="Times New Roman" w:eastAsia="宋体" w:cs="Times New Roman"/>
                <w:color w:val="auto"/>
                <w:spacing w:val="-1"/>
                <w:sz w:val="24"/>
                <w:szCs w:val="24"/>
                <w:highlight w:val="none"/>
                <w:lang w:val="en-US" w:eastAsia="zh-CN"/>
              </w:rPr>
              <w:t>%</w:t>
            </w:r>
            <w:r>
              <w:rPr>
                <w:rFonts w:hint="default" w:ascii="Times New Roman" w:hAnsi="Times New Roman" w:eastAsia="宋体" w:cs="Times New Roman"/>
                <w:color w:val="auto"/>
                <w:spacing w:val="-1"/>
                <w:sz w:val="24"/>
                <w:szCs w:val="24"/>
                <w:highlight w:val="none"/>
              </w:rPr>
              <w:t>)×(1-</w:t>
            </w:r>
            <w:r>
              <w:rPr>
                <w:rFonts w:hint="eastAsia" w:ascii="Times New Roman" w:hAnsi="Times New Roman" w:cs="Times New Roman"/>
                <w:color w:val="auto"/>
                <w:spacing w:val="-1"/>
                <w:sz w:val="24"/>
                <w:szCs w:val="24"/>
                <w:highlight w:val="none"/>
                <w:lang w:val="en-US" w:eastAsia="zh-CN"/>
              </w:rPr>
              <w:t>0</w:t>
            </w:r>
            <w:r>
              <w:rPr>
                <w:rFonts w:hint="default" w:ascii="Times New Roman" w:hAnsi="Times New Roman" w:eastAsia="宋体" w:cs="Times New Roman"/>
                <w:color w:val="auto"/>
                <w:spacing w:val="-1"/>
                <w:sz w:val="24"/>
                <w:szCs w:val="24"/>
                <w:highlight w:val="none"/>
              </w:rPr>
              <w:t>)×0.</w:t>
            </w:r>
            <w:r>
              <w:rPr>
                <w:rFonts w:hint="default" w:ascii="Times New Roman" w:hAnsi="Times New Roman" w:cs="Times New Roman"/>
                <w:color w:val="auto"/>
                <w:spacing w:val="-1"/>
                <w:sz w:val="24"/>
                <w:szCs w:val="24"/>
                <w:highlight w:val="none"/>
                <w:lang w:val="en-US" w:eastAsia="zh-CN"/>
              </w:rPr>
              <w:t>5</w:t>
            </w:r>
            <w:r>
              <w:rPr>
                <w:rFonts w:hint="default" w:ascii="Times New Roman" w:hAnsi="Times New Roman" w:eastAsia="宋体" w:cs="Times New Roman"/>
                <w:color w:val="auto"/>
                <w:spacing w:val="-1"/>
                <w:sz w:val="24"/>
                <w:szCs w:val="24"/>
                <w:highlight w:val="none"/>
                <w:lang w:val="en-US" w:eastAsia="zh-CN"/>
              </w:rPr>
              <w:t>=</w:t>
            </w:r>
            <w:r>
              <w:rPr>
                <w:rFonts w:hint="eastAsia" w:ascii="Times New Roman" w:hAnsi="Times New Roman" w:cs="Times New Roman"/>
                <w:color w:val="auto"/>
                <w:spacing w:val="-1"/>
                <w:sz w:val="24"/>
                <w:szCs w:val="24"/>
                <w:highlight w:val="none"/>
                <w:lang w:val="en-US" w:eastAsia="zh-CN"/>
              </w:rPr>
              <w:t>0.544</w:t>
            </w:r>
            <w:r>
              <w:rPr>
                <w:rFonts w:hint="default" w:ascii="Times New Roman" w:hAnsi="Times New Roman" w:eastAsia="宋体" w:cs="Times New Roman"/>
                <w:color w:val="auto"/>
                <w:spacing w:val="-1"/>
                <w:sz w:val="24"/>
                <w:szCs w:val="24"/>
                <w:highlight w:val="none"/>
                <w:lang w:val="en-US" w:eastAsia="zh-CN"/>
              </w:rPr>
              <w:t>t/a</w:t>
            </w:r>
          </w:p>
          <w:p w14:paraId="616B36DB">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最大排放速率为</w:t>
            </w:r>
          </w:p>
          <w:p w14:paraId="58878809">
            <w:pPr>
              <w:pStyle w:val="11"/>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eastAsia="宋体" w:cs="Times New Roman"/>
                <w:color w:val="auto"/>
                <w:spacing w:val="-1"/>
                <w:sz w:val="24"/>
                <w:szCs w:val="24"/>
                <w:highlight w:val="none"/>
              </w:rPr>
            </w:pPr>
            <w:r>
              <w:rPr>
                <w:rFonts w:hint="default" w:ascii="Times New Roman" w:hAnsi="Times New Roman" w:eastAsia="宋体" w:cs="Times New Roman"/>
                <w:color w:val="auto"/>
                <w:sz w:val="24"/>
                <w:szCs w:val="24"/>
                <w:highlight w:val="none"/>
              </w:rPr>
              <w:t>E</w:t>
            </w:r>
            <w:r>
              <w:rPr>
                <w:rFonts w:hint="default" w:ascii="Times New Roman" w:hAnsi="Times New Roman" w:eastAsia="宋体" w:cs="Times New Roman"/>
                <w:color w:val="auto"/>
                <w:sz w:val="24"/>
                <w:szCs w:val="24"/>
                <w:highlight w:val="none"/>
                <w:vertAlign w:val="subscript"/>
              </w:rPr>
              <w:t>SO</w:t>
            </w:r>
            <w:r>
              <w:rPr>
                <w:rFonts w:hint="default" w:ascii="Times New Roman" w:hAnsi="Times New Roman" w:eastAsia="宋体" w:cs="Times New Roman"/>
                <w:color w:val="auto"/>
                <w:position w:val="-1"/>
                <w:sz w:val="16"/>
                <w:szCs w:val="16"/>
                <w:highlight w:val="none"/>
                <w:vertAlign w:val="subscript"/>
              </w:rPr>
              <w:t>2</w:t>
            </w:r>
            <w:r>
              <w:rPr>
                <w:rFonts w:hint="default" w:ascii="Times New Roman" w:hAnsi="Times New Roman" w:eastAsia="宋体" w:cs="Times New Roman"/>
                <w:color w:val="auto"/>
                <w:sz w:val="24"/>
                <w:szCs w:val="24"/>
                <w:highlight w:val="none"/>
              </w:rPr>
              <w:t>=2×</w:t>
            </w:r>
            <w:r>
              <w:rPr>
                <w:rFonts w:hint="default" w:ascii="Times New Roman" w:hAnsi="Times New Roman" w:cs="Times New Roman"/>
                <w:color w:val="auto"/>
                <w:spacing w:val="-2"/>
                <w:sz w:val="24"/>
                <w:szCs w:val="24"/>
                <w:highlight w:val="none"/>
                <w:lang w:val="en-US" w:eastAsia="zh-CN"/>
              </w:rPr>
              <w:t>0.52</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pacing w:val="-2"/>
                <w:sz w:val="24"/>
                <w:szCs w:val="24"/>
                <w:highlight w:val="none"/>
                <w:lang w:val="en-US" w:eastAsia="zh-CN"/>
              </w:rPr>
              <w:t>0.0</w:t>
            </w:r>
            <w:r>
              <w:rPr>
                <w:rFonts w:hint="default" w:ascii="Times New Roman" w:hAnsi="Times New Roman" w:cs="Times New Roman"/>
                <w:color w:val="auto"/>
                <w:spacing w:val="-2"/>
                <w:sz w:val="24"/>
                <w:szCs w:val="24"/>
                <w:highlight w:val="none"/>
                <w:lang w:val="en-US" w:eastAsia="zh-CN"/>
              </w:rPr>
              <w:t>2</w:t>
            </w:r>
            <w:r>
              <w:rPr>
                <w:rFonts w:hint="default" w:ascii="Times New Roman" w:hAnsi="Times New Roman" w:eastAsia="宋体" w:cs="Times New Roman"/>
                <w:color w:val="auto"/>
                <w:spacing w:val="-2"/>
                <w:sz w:val="24"/>
                <w:szCs w:val="24"/>
                <w:highlight w:val="none"/>
                <w:lang w:val="en-US" w:eastAsia="zh-CN"/>
              </w:rPr>
              <w:t>%</w:t>
            </w:r>
            <w:r>
              <w:rPr>
                <w:rFonts w:hint="default" w:ascii="Times New Roman" w:hAnsi="Times New Roman" w:eastAsia="宋体" w:cs="Times New Roman"/>
                <w:color w:val="auto"/>
                <w:spacing w:val="-1"/>
                <w:sz w:val="24"/>
                <w:szCs w:val="24"/>
                <w:highlight w:val="none"/>
              </w:rPr>
              <w:t>×(</w:t>
            </w:r>
            <w:r>
              <w:rPr>
                <w:rFonts w:hint="default" w:ascii="Times New Roman" w:hAnsi="Times New Roman" w:eastAsia="宋体" w:cs="Times New Roman"/>
                <w:color w:val="auto"/>
                <w:spacing w:val="-1"/>
                <w:sz w:val="24"/>
                <w:szCs w:val="24"/>
                <w:highlight w:val="none"/>
                <w:lang w:val="en-US" w:eastAsia="zh-CN"/>
              </w:rPr>
              <w:t>1-1</w:t>
            </w:r>
            <w:r>
              <w:rPr>
                <w:rFonts w:hint="default" w:ascii="Times New Roman" w:hAnsi="Times New Roman" w:cs="Times New Roman"/>
                <w:color w:val="auto"/>
                <w:spacing w:val="-1"/>
                <w:sz w:val="24"/>
                <w:szCs w:val="24"/>
                <w:highlight w:val="none"/>
                <w:lang w:val="en-US" w:eastAsia="zh-CN"/>
              </w:rPr>
              <w:t>0</w:t>
            </w:r>
            <w:r>
              <w:rPr>
                <w:rFonts w:hint="default" w:ascii="Times New Roman" w:hAnsi="Times New Roman" w:eastAsia="宋体" w:cs="Times New Roman"/>
                <w:color w:val="auto"/>
                <w:spacing w:val="-1"/>
                <w:sz w:val="24"/>
                <w:szCs w:val="24"/>
                <w:highlight w:val="none"/>
                <w:lang w:val="en-US" w:eastAsia="zh-CN"/>
              </w:rPr>
              <w:t>%</w:t>
            </w:r>
            <w:r>
              <w:rPr>
                <w:rFonts w:hint="default" w:ascii="Times New Roman" w:hAnsi="Times New Roman" w:eastAsia="宋体" w:cs="Times New Roman"/>
                <w:color w:val="auto"/>
                <w:spacing w:val="-1"/>
                <w:sz w:val="24"/>
                <w:szCs w:val="24"/>
                <w:highlight w:val="none"/>
              </w:rPr>
              <w:t>)×(1-</w:t>
            </w:r>
            <w:r>
              <w:rPr>
                <w:rFonts w:hint="eastAsia" w:cs="Times New Roman"/>
                <w:color w:val="auto"/>
                <w:spacing w:val="-1"/>
                <w:sz w:val="24"/>
                <w:szCs w:val="24"/>
                <w:highlight w:val="none"/>
                <w:lang w:val="en-US" w:eastAsia="zh-CN"/>
              </w:rPr>
              <w:t>0</w:t>
            </w:r>
            <w:r>
              <w:rPr>
                <w:rFonts w:hint="default" w:ascii="Times New Roman" w:hAnsi="Times New Roman" w:eastAsia="宋体" w:cs="Times New Roman"/>
                <w:color w:val="auto"/>
                <w:spacing w:val="-1"/>
                <w:sz w:val="24"/>
                <w:szCs w:val="24"/>
                <w:highlight w:val="none"/>
              </w:rPr>
              <w:t>)×0.</w:t>
            </w:r>
            <w:r>
              <w:rPr>
                <w:rFonts w:hint="default" w:ascii="Times New Roman" w:hAnsi="Times New Roman" w:cs="Times New Roman"/>
                <w:color w:val="auto"/>
                <w:spacing w:val="-1"/>
                <w:sz w:val="24"/>
                <w:szCs w:val="24"/>
                <w:highlight w:val="none"/>
                <w:lang w:val="en-US" w:eastAsia="zh-CN"/>
              </w:rPr>
              <w:t>5</w:t>
            </w:r>
            <w:r>
              <w:rPr>
                <w:rFonts w:hint="default" w:ascii="Times New Roman" w:hAnsi="Times New Roman" w:eastAsia="宋体" w:cs="Times New Roman"/>
                <w:color w:val="auto"/>
                <w:spacing w:val="-1"/>
                <w:sz w:val="24"/>
                <w:szCs w:val="24"/>
                <w:highlight w:val="none"/>
              </w:rPr>
              <w:t>×</w:t>
            </w:r>
            <w:r>
              <w:rPr>
                <w:rFonts w:hint="default" w:ascii="Times New Roman" w:hAnsi="Times New Roman" w:eastAsia="宋体" w:cs="Times New Roman"/>
                <w:color w:val="auto"/>
                <w:spacing w:val="-1"/>
                <w:sz w:val="24"/>
                <w:szCs w:val="24"/>
                <w:highlight w:val="none"/>
                <w:lang w:val="en-US" w:eastAsia="zh-CN"/>
              </w:rPr>
              <w:t>1000</w:t>
            </w:r>
            <w:r>
              <w:rPr>
                <w:rFonts w:hint="default" w:ascii="Times New Roman" w:hAnsi="Times New Roman" w:eastAsia="宋体" w:cs="Times New Roman"/>
                <w:color w:val="auto"/>
                <w:spacing w:val="-1"/>
                <w:sz w:val="24"/>
                <w:szCs w:val="24"/>
                <w:highlight w:val="none"/>
              </w:rPr>
              <w:t>=</w:t>
            </w:r>
            <w:r>
              <w:rPr>
                <w:rFonts w:hint="default" w:ascii="Times New Roman" w:hAnsi="Times New Roman" w:cs="Times New Roman"/>
                <w:color w:val="auto"/>
                <w:spacing w:val="-1"/>
                <w:sz w:val="24"/>
                <w:szCs w:val="24"/>
                <w:highlight w:val="none"/>
                <w:lang w:val="en-US" w:eastAsia="zh-CN"/>
              </w:rPr>
              <w:t>0.0</w:t>
            </w:r>
            <w:r>
              <w:rPr>
                <w:rFonts w:hint="eastAsia" w:cs="Times New Roman"/>
                <w:color w:val="auto"/>
                <w:spacing w:val="-1"/>
                <w:sz w:val="24"/>
                <w:szCs w:val="24"/>
                <w:highlight w:val="none"/>
                <w:lang w:val="en-US" w:eastAsia="zh-CN"/>
              </w:rPr>
              <w:t>94</w:t>
            </w:r>
            <w:r>
              <w:rPr>
                <w:rFonts w:hint="default" w:ascii="Times New Roman" w:hAnsi="Times New Roman" w:eastAsia="宋体" w:cs="Times New Roman"/>
                <w:color w:val="auto"/>
                <w:spacing w:val="-1"/>
                <w:sz w:val="24"/>
                <w:szCs w:val="24"/>
                <w:highlight w:val="none"/>
              </w:rPr>
              <w:t>kg/h</w:t>
            </w:r>
          </w:p>
          <w:p w14:paraId="5F3C8BEE">
            <w:pPr>
              <w:pStyle w:val="4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pacing w:val="-1"/>
                <w:sz w:val="24"/>
                <w:szCs w:val="24"/>
                <w:highlight w:val="none"/>
                <w:lang w:val="en-US" w:eastAsia="zh-CN"/>
              </w:rPr>
              <w:t>最大排放浓度为</w:t>
            </w:r>
            <w:r>
              <w:rPr>
                <w:rFonts w:hint="eastAsia" w:ascii="Times New Roman" w:hAnsi="Times New Roman" w:cs="Times New Roman"/>
                <w:color w:val="auto"/>
                <w:spacing w:val="-1"/>
                <w:sz w:val="24"/>
                <w:szCs w:val="24"/>
                <w:highlight w:val="none"/>
                <w:lang w:val="en-US" w:eastAsia="zh-CN"/>
              </w:rPr>
              <w:t>23.42</w:t>
            </w:r>
            <w:r>
              <w:rPr>
                <w:rFonts w:hint="default" w:ascii="Times New Roman" w:hAnsi="Times New Roman" w:eastAsia="宋体" w:cs="Times New Roman"/>
                <w:color w:val="auto"/>
                <w:spacing w:val="-1"/>
                <w:sz w:val="24"/>
                <w:szCs w:val="24"/>
                <w:highlight w:val="none"/>
                <w:lang w:val="en-US" w:eastAsia="zh-CN"/>
              </w:rPr>
              <w:t>mg/m</w:t>
            </w:r>
            <w:r>
              <w:rPr>
                <w:rFonts w:hint="default" w:ascii="Times New Roman" w:hAnsi="Times New Roman" w:eastAsia="宋体" w:cs="Times New Roman"/>
                <w:color w:val="auto"/>
                <w:spacing w:val="-1"/>
                <w:sz w:val="24"/>
                <w:szCs w:val="24"/>
                <w:highlight w:val="none"/>
                <w:vertAlign w:val="superscript"/>
                <w:lang w:val="en-US" w:eastAsia="zh-CN"/>
              </w:rPr>
              <w:t>3</w:t>
            </w:r>
            <w:r>
              <w:rPr>
                <w:rFonts w:hint="default" w:ascii="Times New Roman" w:hAnsi="Times New Roman" w:eastAsia="宋体" w:cs="Times New Roman"/>
                <w:color w:val="auto"/>
                <w:spacing w:val="-1"/>
                <w:sz w:val="24"/>
                <w:szCs w:val="24"/>
                <w:highlight w:val="none"/>
                <w:lang w:val="en-US" w:eastAsia="zh-CN"/>
              </w:rPr>
              <w:t>。</w:t>
            </w:r>
          </w:p>
          <w:p w14:paraId="2FC686B5">
            <w:pPr>
              <w:pStyle w:val="11"/>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④氮氧化物</w:t>
            </w:r>
          </w:p>
          <w:p w14:paraId="5794253C">
            <w:pPr>
              <w:pStyle w:val="11"/>
              <w:keepNext w:val="0"/>
              <w:keepLines w:val="0"/>
              <w:pageBreakBefore w:val="0"/>
              <w:widowControl/>
              <w:kinsoku/>
              <w:wordWrap/>
              <w:overflowPunct/>
              <w:topLinePunct w:val="0"/>
              <w:autoSpaceDE/>
              <w:autoSpaceDN/>
              <w:bidi w:val="0"/>
              <w:adjustRightInd/>
              <w:snapToGrid w:val="0"/>
              <w:spacing w:before="0" w:after="0" w:line="360" w:lineRule="auto"/>
              <w:ind w:right="0" w:firstLine="0" w:firstLineChars="0"/>
              <w:jc w:val="center"/>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position w:val="-14"/>
                <w:highlight w:val="none"/>
              </w:rPr>
              <w:drawing>
                <wp:inline distT="0" distB="0" distL="0" distR="0">
                  <wp:extent cx="2705100" cy="457200"/>
                  <wp:effectExtent l="0" t="0" r="0" b="0"/>
                  <wp:docPr id="97" name="IM 6"/>
                  <wp:cNvGraphicFramePr/>
                  <a:graphic xmlns:a="http://schemas.openxmlformats.org/drawingml/2006/main">
                    <a:graphicData uri="http://schemas.openxmlformats.org/drawingml/2006/picture">
                      <pic:pic xmlns:pic="http://schemas.openxmlformats.org/drawingml/2006/picture">
                        <pic:nvPicPr>
                          <pic:cNvPr id="97" name="IM 6"/>
                          <pic:cNvPicPr/>
                        </pic:nvPicPr>
                        <pic:blipFill>
                          <a:blip r:embed="rId27"/>
                          <a:stretch>
                            <a:fillRect/>
                          </a:stretch>
                        </pic:blipFill>
                        <pic:spPr>
                          <a:xfrm>
                            <a:off x="0" y="0"/>
                            <a:ext cx="2705100" cy="457200"/>
                          </a:xfrm>
                          <a:prstGeom prst="rect">
                            <a:avLst/>
                          </a:prstGeom>
                        </pic:spPr>
                      </pic:pic>
                    </a:graphicData>
                  </a:graphic>
                </wp:inline>
              </w:drawing>
            </w:r>
          </w:p>
          <w:p w14:paraId="33E5115E">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highlight w:val="none"/>
                <w:lang w:val="en-US" w:eastAsia="zh-CN"/>
              </w:rPr>
            </w:pPr>
            <w:r>
              <w:rPr>
                <w:rFonts w:hint="default" w:ascii="Times New Roman" w:hAnsi="Times New Roman" w:eastAsia="宋体" w:cs="Times New Roman"/>
                <w:color w:val="auto"/>
                <w:spacing w:val="-2"/>
                <w:sz w:val="24"/>
                <w:szCs w:val="24"/>
                <w:highlight w:val="none"/>
                <w:lang w:val="en-US" w:eastAsia="zh-CN"/>
              </w:rPr>
              <w:t>根据《污染源源强核算技术指南锅炉》（HJ991-2018）5.1物料衡算法计算氮氧化物排放量：</w:t>
            </w:r>
          </w:p>
          <w:p w14:paraId="153D052F">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pacing w:val="-1"/>
                <w:sz w:val="24"/>
                <w:szCs w:val="24"/>
                <w:highlight w:val="none"/>
              </w:rPr>
              <w:t>式中：</w:t>
            </w:r>
            <w:r>
              <w:rPr>
                <w:rFonts w:hint="default" w:ascii="Times New Roman" w:hAnsi="Times New Roman" w:eastAsia="宋体" w:cs="Times New Roman"/>
                <w:i/>
                <w:iCs/>
                <w:color w:val="auto"/>
                <w:spacing w:val="-1"/>
                <w:sz w:val="24"/>
                <w:szCs w:val="24"/>
                <w:highlight w:val="none"/>
              </w:rPr>
              <w:t>E</w:t>
            </w:r>
            <w:r>
              <w:rPr>
                <w:rFonts w:hint="default" w:ascii="Times New Roman" w:hAnsi="Times New Roman" w:eastAsia="宋体" w:cs="Times New Roman"/>
                <w:i/>
                <w:iCs/>
                <w:color w:val="auto"/>
                <w:spacing w:val="-1"/>
                <w:position w:val="-1"/>
                <w:sz w:val="24"/>
                <w:szCs w:val="24"/>
                <w:highlight w:val="none"/>
                <w:vertAlign w:val="subscript"/>
              </w:rPr>
              <w:t>NOx</w:t>
            </w:r>
            <w:r>
              <w:rPr>
                <w:rFonts w:hint="default" w:ascii="Times New Roman" w:hAnsi="Times New Roman" w:eastAsia="宋体" w:cs="Times New Roman"/>
                <w:color w:val="auto"/>
                <w:spacing w:val="-1"/>
                <w:sz w:val="24"/>
                <w:szCs w:val="24"/>
                <w:highlight w:val="none"/>
              </w:rPr>
              <w:t>——核算时段内氮氧化物排放量，t；</w:t>
            </w:r>
          </w:p>
          <w:p w14:paraId="21016ACA">
            <w:pPr>
              <w:keepNext w:val="0"/>
              <w:keepLines w:val="0"/>
              <w:pageBreakBefore w:val="0"/>
              <w:widowControl w:val="0"/>
              <w:kinsoku/>
              <w:wordWrap/>
              <w:overflowPunct/>
              <w:topLinePunct w:val="0"/>
              <w:autoSpaceDE/>
              <w:autoSpaceDN/>
              <w:bidi w:val="0"/>
              <w:adjustRightInd/>
              <w:snapToGrid/>
              <w:spacing w:line="360" w:lineRule="auto"/>
              <w:ind w:left="0" w:right="0" w:firstLine="944" w:firstLineChars="4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i/>
                <w:iCs/>
                <w:color w:val="auto"/>
                <w:spacing w:val="-2"/>
                <w:sz w:val="24"/>
                <w:szCs w:val="24"/>
                <w:highlight w:val="none"/>
              </w:rPr>
              <w:t>ρ</w:t>
            </w:r>
            <w:r>
              <w:rPr>
                <w:rFonts w:hint="default" w:ascii="Times New Roman" w:hAnsi="Times New Roman" w:eastAsia="宋体" w:cs="Times New Roman"/>
                <w:color w:val="auto"/>
                <w:spacing w:val="-2"/>
                <w:position w:val="-1"/>
                <w:sz w:val="11"/>
                <w:szCs w:val="11"/>
                <w:highlight w:val="none"/>
              </w:rPr>
              <w:t>NOx</w:t>
            </w:r>
            <w:r>
              <w:rPr>
                <w:rFonts w:hint="default" w:ascii="Times New Roman" w:hAnsi="Times New Roman" w:eastAsia="宋体" w:cs="Times New Roman"/>
                <w:color w:val="auto"/>
                <w:spacing w:val="-2"/>
                <w:sz w:val="24"/>
                <w:szCs w:val="24"/>
                <w:highlight w:val="none"/>
              </w:rPr>
              <w:t>——</w:t>
            </w:r>
            <w:r>
              <w:rPr>
                <w:rFonts w:hint="default" w:ascii="Times New Roman" w:hAnsi="Times New Roman" w:eastAsia="宋体" w:cs="Times New Roman"/>
                <w:color w:val="auto"/>
                <w:sz w:val="24"/>
                <w:szCs w:val="24"/>
                <w:highlight w:val="none"/>
                <w:lang w:val="en-US" w:eastAsia="zh-CN"/>
              </w:rPr>
              <w:t>锅炉炉膛出口氮氧化物质量浓度，mg/m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，根据《污染源源强核算技术指南 锅炉》（HJ991-2018）表B.4，本次评价取150；</w:t>
            </w:r>
          </w:p>
          <w:p w14:paraId="2EC21276">
            <w:pPr>
              <w:keepNext w:val="0"/>
              <w:keepLines w:val="0"/>
              <w:pageBreakBefore w:val="0"/>
              <w:widowControl w:val="0"/>
              <w:kinsoku/>
              <w:wordWrap/>
              <w:overflowPunct/>
              <w:topLinePunct w:val="0"/>
              <w:autoSpaceDE/>
              <w:autoSpaceDN/>
              <w:bidi w:val="0"/>
              <w:adjustRightInd/>
              <w:snapToGrid/>
              <w:spacing w:line="360" w:lineRule="auto"/>
              <w:ind w:left="0" w:right="0" w:firstLine="1040" w:firstLineChars="4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pacing w:val="10"/>
                <w:sz w:val="24"/>
                <w:szCs w:val="24"/>
                <w:highlight w:val="none"/>
              </w:rPr>
              <w:t>Q——核算时段内标态干烟气排放量，本项目</w:t>
            </w:r>
            <w:r>
              <w:rPr>
                <w:rFonts w:hint="default" w:ascii="Times New Roman" w:hAnsi="Times New Roman" w:cs="Times New Roman"/>
                <w:color w:val="auto"/>
                <w:spacing w:val="0"/>
                <w:sz w:val="24"/>
                <w:szCs w:val="24"/>
                <w:highlight w:val="none"/>
                <w:lang w:val="en-US" w:eastAsia="zh-CN"/>
              </w:rPr>
              <w:t>4013.4276N</w:t>
            </w:r>
            <w:r>
              <w:rPr>
                <w:rFonts w:hint="default" w:ascii="Times New Roman" w:hAnsi="Times New Roman" w:eastAsia="宋体" w:cs="Times New Roman"/>
                <w:color w:val="auto"/>
                <w:spacing w:val="9"/>
                <w:sz w:val="24"/>
                <w:szCs w:val="24"/>
                <w:highlight w:val="none"/>
              </w:rPr>
              <w:t>m</w:t>
            </w:r>
            <w:r>
              <w:rPr>
                <w:rFonts w:hint="default" w:ascii="Times New Roman" w:hAnsi="Times New Roman" w:eastAsia="宋体" w:cs="Times New Roman"/>
                <w:color w:val="auto"/>
                <w:spacing w:val="9"/>
                <w:position w:val="8"/>
                <w:sz w:val="16"/>
                <w:szCs w:val="16"/>
                <w:highlight w:val="none"/>
              </w:rPr>
              <w:t>3</w:t>
            </w:r>
            <w:r>
              <w:rPr>
                <w:rFonts w:hint="default" w:ascii="Times New Roman" w:hAnsi="Times New Roman" w:eastAsia="宋体" w:cs="Times New Roman"/>
                <w:color w:val="auto"/>
                <w:spacing w:val="9"/>
                <w:sz w:val="24"/>
                <w:szCs w:val="24"/>
                <w:highlight w:val="none"/>
              </w:rPr>
              <w:t>/h</w:t>
            </w:r>
            <w:r>
              <w:rPr>
                <w:rFonts w:hint="default" w:ascii="Times New Roman" w:hAnsi="Times New Roman" w:eastAsia="宋体" w:cs="Times New Roman"/>
                <w:color w:val="auto"/>
                <w:spacing w:val="-2"/>
                <w:sz w:val="24"/>
                <w:szCs w:val="24"/>
                <w:highlight w:val="none"/>
              </w:rPr>
              <w:t>；</w:t>
            </w:r>
          </w:p>
          <w:p w14:paraId="57B71899">
            <w:pPr>
              <w:keepNext w:val="0"/>
              <w:keepLines w:val="0"/>
              <w:pageBreakBefore w:val="0"/>
              <w:widowControl w:val="0"/>
              <w:kinsoku/>
              <w:wordWrap/>
              <w:overflowPunct/>
              <w:topLinePunct w:val="0"/>
              <w:autoSpaceDE/>
              <w:autoSpaceDN/>
              <w:bidi w:val="0"/>
              <w:adjustRightInd/>
              <w:snapToGrid/>
              <w:spacing w:line="360" w:lineRule="auto"/>
              <w:ind w:left="0" w:right="0" w:firstLine="952" w:firstLineChars="400"/>
              <w:textAlignment w:val="auto"/>
              <w:rPr>
                <w:rFonts w:hint="default" w:ascii="Times New Roman" w:hAnsi="Times New Roman" w:eastAsia="宋体" w:cs="Times New Roman"/>
                <w:color w:val="auto"/>
                <w:spacing w:val="-2"/>
                <w:sz w:val="24"/>
                <w:szCs w:val="24"/>
                <w:highlight w:val="none"/>
                <w:lang w:val="en-US" w:eastAsia="zh-CN"/>
              </w:rPr>
            </w:pPr>
            <w:r>
              <w:rPr>
                <w:rFonts w:hint="default" w:ascii="Times New Roman" w:hAnsi="Times New Roman" w:eastAsia="宋体" w:cs="Times New Roman"/>
                <w:i/>
                <w:iCs/>
                <w:color w:val="auto"/>
                <w:spacing w:val="-1"/>
                <w:sz w:val="24"/>
                <w:szCs w:val="24"/>
                <w:highlight w:val="none"/>
              </w:rPr>
              <w:t>Ƞ</w:t>
            </w:r>
            <w:r>
              <w:rPr>
                <w:rFonts w:hint="default" w:ascii="Times New Roman" w:hAnsi="Times New Roman" w:eastAsia="宋体" w:cs="Times New Roman"/>
                <w:i/>
                <w:iCs/>
                <w:color w:val="auto"/>
                <w:spacing w:val="-1"/>
                <w:position w:val="-1"/>
                <w:sz w:val="24"/>
                <w:szCs w:val="24"/>
                <w:highlight w:val="none"/>
                <w:vertAlign w:val="subscript"/>
              </w:rPr>
              <w:t>NOx</w:t>
            </w:r>
            <w:r>
              <w:rPr>
                <w:rFonts w:hint="default" w:ascii="Times New Roman" w:hAnsi="Times New Roman" w:eastAsia="宋体" w:cs="Times New Roman"/>
                <w:color w:val="auto"/>
                <w:spacing w:val="-1"/>
                <w:sz w:val="24"/>
                <w:szCs w:val="24"/>
                <w:highlight w:val="none"/>
              </w:rPr>
              <w:t>——脱硝效率，</w:t>
            </w:r>
            <w:r>
              <w:rPr>
                <w:rFonts w:hint="default" w:ascii="Times New Roman" w:hAnsi="Times New Roman" w:eastAsia="宋体" w:cs="Times New Roman"/>
                <w:color w:val="auto"/>
                <w:spacing w:val="-1"/>
                <w:sz w:val="24"/>
                <w:szCs w:val="24"/>
                <w:highlight w:val="none"/>
                <w:lang w:val="en-US" w:eastAsia="zh-CN"/>
              </w:rPr>
              <w:t>本项目</w:t>
            </w:r>
            <w:r>
              <w:rPr>
                <w:rFonts w:hint="default" w:ascii="Times New Roman" w:hAnsi="Times New Roman" w:cs="Times New Roman"/>
                <w:color w:val="auto"/>
                <w:spacing w:val="-1"/>
                <w:sz w:val="24"/>
                <w:szCs w:val="24"/>
                <w:highlight w:val="none"/>
                <w:lang w:val="en-US" w:eastAsia="zh-CN"/>
              </w:rPr>
              <w:t>脱硝</w:t>
            </w:r>
            <w:r>
              <w:rPr>
                <w:rFonts w:hint="default" w:ascii="Times New Roman" w:hAnsi="Times New Roman" w:eastAsia="宋体" w:cs="Times New Roman"/>
                <w:color w:val="auto"/>
                <w:spacing w:val="-1"/>
                <w:sz w:val="24"/>
                <w:szCs w:val="24"/>
                <w:highlight w:val="none"/>
                <w:lang w:val="en-US" w:eastAsia="zh-CN"/>
              </w:rPr>
              <w:t>效率为0</w:t>
            </w:r>
            <w:r>
              <w:rPr>
                <w:rFonts w:hint="default" w:ascii="Times New Roman" w:hAnsi="Times New Roman" w:eastAsia="宋体" w:cs="Times New Roman"/>
                <w:color w:val="auto"/>
                <w:spacing w:val="-1"/>
                <w:sz w:val="24"/>
                <w:szCs w:val="24"/>
                <w:highlight w:val="none"/>
              </w:rPr>
              <w:t>。</w:t>
            </w:r>
          </w:p>
          <w:p w14:paraId="2F2E12E7">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5"/>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最大排放速率为</w:t>
            </w:r>
            <w:r>
              <w:rPr>
                <w:rFonts w:hint="default" w:ascii="Times New Roman" w:hAnsi="Times New Roman" w:eastAsia="宋体" w:cs="Times New Roman"/>
                <w:color w:val="auto"/>
                <w:spacing w:val="-4"/>
                <w:sz w:val="24"/>
                <w:szCs w:val="24"/>
                <w:highlight w:val="none"/>
              </w:rPr>
              <w:t>E</w:t>
            </w:r>
            <w:r>
              <w:rPr>
                <w:rFonts w:hint="default" w:ascii="Times New Roman" w:hAnsi="Times New Roman" w:eastAsia="宋体" w:cs="Times New Roman"/>
                <w:color w:val="auto"/>
                <w:spacing w:val="-4"/>
                <w:sz w:val="24"/>
                <w:szCs w:val="24"/>
                <w:highlight w:val="none"/>
                <w:vertAlign w:val="subscript"/>
              </w:rPr>
              <w:t>NO</w:t>
            </w:r>
            <w:r>
              <w:rPr>
                <w:rFonts w:hint="default" w:ascii="Times New Roman" w:hAnsi="Times New Roman" w:eastAsia="宋体" w:cs="Times New Roman"/>
                <w:color w:val="auto"/>
                <w:spacing w:val="-4"/>
                <w:position w:val="-1"/>
                <w:sz w:val="16"/>
                <w:szCs w:val="16"/>
                <w:highlight w:val="none"/>
                <w:vertAlign w:val="subscript"/>
              </w:rPr>
              <w:t>X</w:t>
            </w:r>
            <w:r>
              <w:rPr>
                <w:rFonts w:hint="default" w:ascii="Times New Roman" w:hAnsi="Times New Roman" w:eastAsia="宋体" w:cs="Times New Roman"/>
                <w:color w:val="auto"/>
                <w:spacing w:val="-4"/>
                <w:sz w:val="24"/>
                <w:szCs w:val="24"/>
                <w:highlight w:val="none"/>
              </w:rPr>
              <w:t>=</w:t>
            </w:r>
            <w:r>
              <w:rPr>
                <w:rFonts w:hint="default" w:ascii="Times New Roman" w:hAnsi="Times New Roman" w:cs="Times New Roman"/>
                <w:color w:val="auto"/>
                <w:spacing w:val="-4"/>
                <w:sz w:val="24"/>
                <w:szCs w:val="24"/>
                <w:highlight w:val="none"/>
                <w:lang w:val="en-US" w:eastAsia="zh-CN"/>
              </w:rPr>
              <w:t>150</w:t>
            </w:r>
            <w:r>
              <w:rPr>
                <w:rFonts w:hint="default" w:ascii="Times New Roman" w:hAnsi="Times New Roman" w:eastAsia="宋体" w:cs="Times New Roman"/>
                <w:color w:val="auto"/>
                <w:spacing w:val="-4"/>
                <w:sz w:val="24"/>
                <w:szCs w:val="24"/>
                <w:highlight w:val="none"/>
              </w:rPr>
              <w:t>×</w:t>
            </w:r>
            <w:r>
              <w:rPr>
                <w:rFonts w:hint="default" w:ascii="Times New Roman" w:hAnsi="Times New Roman" w:cs="Times New Roman"/>
                <w:color w:val="auto"/>
                <w:spacing w:val="0"/>
                <w:sz w:val="24"/>
                <w:szCs w:val="24"/>
                <w:highlight w:val="none"/>
                <w:lang w:val="en-US" w:eastAsia="zh-CN"/>
              </w:rPr>
              <w:t>4013.4276</w:t>
            </w:r>
            <w:r>
              <w:rPr>
                <w:rFonts w:hint="default" w:ascii="Times New Roman" w:hAnsi="Times New Roman" w:eastAsia="宋体" w:cs="Times New Roman"/>
                <w:color w:val="auto"/>
                <w:spacing w:val="-5"/>
                <w:sz w:val="24"/>
                <w:szCs w:val="24"/>
                <w:highlight w:val="none"/>
              </w:rPr>
              <w:t>×（1-</w:t>
            </w:r>
            <w:r>
              <w:rPr>
                <w:rFonts w:hint="default" w:ascii="Times New Roman" w:hAnsi="Times New Roman" w:eastAsia="宋体" w:cs="Times New Roman"/>
                <w:color w:val="auto"/>
                <w:spacing w:val="-5"/>
                <w:sz w:val="24"/>
                <w:szCs w:val="24"/>
                <w:highlight w:val="none"/>
                <w:lang w:val="en-US" w:eastAsia="zh-CN"/>
              </w:rPr>
              <w:t>0</w:t>
            </w:r>
            <w:r>
              <w:rPr>
                <w:rFonts w:hint="default" w:ascii="Times New Roman" w:hAnsi="Times New Roman" w:eastAsia="宋体" w:cs="Times New Roman"/>
                <w:color w:val="auto"/>
                <w:spacing w:val="-5"/>
                <w:sz w:val="24"/>
                <w:szCs w:val="24"/>
                <w:highlight w:val="none"/>
              </w:rPr>
              <w:t>）×10</w:t>
            </w:r>
            <w:r>
              <w:rPr>
                <w:rFonts w:hint="default" w:ascii="Times New Roman" w:hAnsi="Times New Roman" w:eastAsia="宋体" w:cs="Times New Roman"/>
                <w:color w:val="auto"/>
                <w:spacing w:val="-5"/>
                <w:position w:val="9"/>
                <w:sz w:val="16"/>
                <w:szCs w:val="16"/>
                <w:highlight w:val="none"/>
              </w:rPr>
              <w:t>-9</w:t>
            </w:r>
            <w:r>
              <w:rPr>
                <w:rFonts w:hint="default" w:ascii="Times New Roman" w:hAnsi="Times New Roman" w:eastAsia="宋体" w:cs="Times New Roman"/>
                <w:color w:val="auto"/>
                <w:spacing w:val="-5"/>
                <w:sz w:val="24"/>
                <w:szCs w:val="24"/>
                <w:highlight w:val="none"/>
              </w:rPr>
              <w:t>=</w:t>
            </w:r>
            <w:r>
              <w:rPr>
                <w:rFonts w:hint="default" w:ascii="Times New Roman" w:hAnsi="Times New Roman" w:cs="Times New Roman"/>
                <w:color w:val="auto"/>
                <w:spacing w:val="-5"/>
                <w:sz w:val="24"/>
                <w:szCs w:val="24"/>
                <w:highlight w:val="none"/>
                <w:lang w:val="en-US" w:eastAsia="zh-CN"/>
              </w:rPr>
              <w:t>0.000602</w:t>
            </w:r>
            <w:r>
              <w:rPr>
                <w:rFonts w:hint="default" w:ascii="Times New Roman" w:hAnsi="Times New Roman" w:eastAsia="宋体" w:cs="Times New Roman"/>
                <w:color w:val="auto"/>
                <w:spacing w:val="-5"/>
                <w:sz w:val="24"/>
                <w:szCs w:val="24"/>
                <w:highlight w:val="none"/>
                <w:lang w:val="en-US" w:eastAsia="zh-CN"/>
              </w:rPr>
              <w:t>t</w:t>
            </w:r>
            <w:r>
              <w:rPr>
                <w:rFonts w:hint="default" w:ascii="Times New Roman" w:hAnsi="Times New Roman" w:eastAsia="宋体" w:cs="Times New Roman"/>
                <w:color w:val="auto"/>
                <w:spacing w:val="-5"/>
                <w:sz w:val="24"/>
                <w:szCs w:val="24"/>
                <w:highlight w:val="none"/>
              </w:rPr>
              <w:t>/h</w:t>
            </w:r>
            <w:r>
              <w:rPr>
                <w:rFonts w:hint="default" w:ascii="Times New Roman" w:hAnsi="Times New Roman" w:eastAsia="宋体" w:cs="Times New Roman"/>
                <w:color w:val="auto"/>
                <w:spacing w:val="-5"/>
                <w:sz w:val="24"/>
                <w:szCs w:val="24"/>
                <w:highlight w:val="none"/>
                <w:lang w:val="en-US" w:eastAsia="zh-CN"/>
              </w:rPr>
              <w:t>=</w:t>
            </w:r>
            <w:r>
              <w:rPr>
                <w:rFonts w:hint="default" w:ascii="Times New Roman" w:hAnsi="Times New Roman" w:cs="Times New Roman"/>
                <w:color w:val="auto"/>
                <w:spacing w:val="-5"/>
                <w:sz w:val="24"/>
                <w:szCs w:val="24"/>
                <w:highlight w:val="none"/>
                <w:lang w:val="en-US" w:eastAsia="zh-CN"/>
              </w:rPr>
              <w:t>0.602</w:t>
            </w:r>
            <w:r>
              <w:rPr>
                <w:rFonts w:hint="default" w:ascii="Times New Roman" w:hAnsi="Times New Roman" w:eastAsia="宋体" w:cs="Times New Roman"/>
                <w:color w:val="auto"/>
                <w:spacing w:val="-5"/>
                <w:sz w:val="24"/>
                <w:szCs w:val="24"/>
                <w:highlight w:val="none"/>
                <w:lang w:val="en-US" w:eastAsia="zh-CN"/>
              </w:rPr>
              <w:t>kg/h</w:t>
            </w:r>
          </w:p>
          <w:p w14:paraId="064911BD">
            <w:pPr>
              <w:pStyle w:val="11"/>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eastAsia="宋体" w:cs="Times New Roman"/>
                <w:color w:val="auto"/>
                <w:spacing w:val="-5"/>
                <w:sz w:val="24"/>
                <w:szCs w:val="24"/>
                <w:highlight w:val="none"/>
                <w:lang w:val="en-US" w:eastAsia="zh-CN"/>
              </w:rPr>
            </w:pPr>
            <w:r>
              <w:rPr>
                <w:rFonts w:hint="default" w:ascii="Times New Roman" w:hAnsi="Times New Roman" w:eastAsia="宋体" w:cs="Times New Roman"/>
                <w:color w:val="auto"/>
                <w:sz w:val="24"/>
                <w:szCs w:val="24"/>
                <w:highlight w:val="none"/>
              </w:rPr>
              <w:t>年排放量为</w:t>
            </w:r>
            <w:r>
              <w:rPr>
                <w:rFonts w:hint="default" w:ascii="Times New Roman" w:hAnsi="Times New Roman" w:eastAsia="宋体" w:cs="Times New Roman"/>
                <w:color w:val="auto"/>
                <w:spacing w:val="-4"/>
                <w:sz w:val="24"/>
                <w:szCs w:val="24"/>
                <w:highlight w:val="none"/>
              </w:rPr>
              <w:t>E</w:t>
            </w:r>
            <w:r>
              <w:rPr>
                <w:rFonts w:hint="default" w:ascii="Times New Roman" w:hAnsi="Times New Roman" w:eastAsia="宋体" w:cs="Times New Roman"/>
                <w:color w:val="auto"/>
                <w:spacing w:val="-4"/>
                <w:sz w:val="24"/>
                <w:szCs w:val="24"/>
                <w:highlight w:val="none"/>
                <w:vertAlign w:val="subscript"/>
              </w:rPr>
              <w:t>NO</w:t>
            </w:r>
            <w:r>
              <w:rPr>
                <w:rFonts w:hint="default" w:ascii="Times New Roman" w:hAnsi="Times New Roman" w:eastAsia="宋体" w:cs="Times New Roman"/>
                <w:color w:val="auto"/>
                <w:spacing w:val="-4"/>
                <w:position w:val="-1"/>
                <w:sz w:val="16"/>
                <w:szCs w:val="16"/>
                <w:highlight w:val="none"/>
                <w:vertAlign w:val="subscript"/>
              </w:rPr>
              <w:t>X</w:t>
            </w:r>
            <w:r>
              <w:rPr>
                <w:rFonts w:hint="default" w:ascii="Times New Roman" w:hAnsi="Times New Roman" w:eastAsia="宋体" w:cs="Times New Roman"/>
                <w:color w:val="auto"/>
                <w:spacing w:val="-4"/>
                <w:sz w:val="24"/>
                <w:szCs w:val="24"/>
                <w:highlight w:val="none"/>
              </w:rPr>
              <w:t>=</w:t>
            </w:r>
            <w:r>
              <w:rPr>
                <w:rFonts w:hint="default" w:ascii="Times New Roman" w:hAnsi="Times New Roman" w:cs="Times New Roman"/>
                <w:color w:val="auto"/>
                <w:spacing w:val="-4"/>
                <w:sz w:val="24"/>
                <w:szCs w:val="24"/>
                <w:highlight w:val="none"/>
                <w:lang w:val="en-US" w:eastAsia="zh-CN"/>
              </w:rPr>
              <w:t>150</w:t>
            </w:r>
            <w:r>
              <w:rPr>
                <w:rFonts w:hint="default" w:ascii="Times New Roman" w:hAnsi="Times New Roman" w:eastAsia="宋体" w:cs="Times New Roman"/>
                <w:color w:val="auto"/>
                <w:spacing w:val="-4"/>
                <w:sz w:val="24"/>
                <w:szCs w:val="24"/>
                <w:highlight w:val="none"/>
              </w:rPr>
              <w:t>×</w:t>
            </w:r>
            <w:r>
              <w:rPr>
                <w:rFonts w:hint="eastAsia" w:cs="Times New Roman"/>
                <w:color w:val="auto"/>
                <w:spacing w:val="0"/>
                <w:sz w:val="24"/>
                <w:szCs w:val="24"/>
                <w:highlight w:val="none"/>
                <w:lang w:val="en-US" w:eastAsia="zh-CN"/>
              </w:rPr>
              <w:t>23309987.5</w:t>
            </w:r>
            <w:r>
              <w:rPr>
                <w:rFonts w:hint="default" w:ascii="Times New Roman" w:hAnsi="Times New Roman" w:eastAsia="宋体" w:cs="Times New Roman"/>
                <w:color w:val="auto"/>
                <w:spacing w:val="-5"/>
                <w:sz w:val="24"/>
                <w:szCs w:val="24"/>
                <w:highlight w:val="none"/>
              </w:rPr>
              <w:t>×（1-</w:t>
            </w:r>
            <w:r>
              <w:rPr>
                <w:rFonts w:hint="default" w:ascii="Times New Roman" w:hAnsi="Times New Roman" w:eastAsia="宋体" w:cs="Times New Roman"/>
                <w:color w:val="auto"/>
                <w:spacing w:val="-5"/>
                <w:sz w:val="24"/>
                <w:szCs w:val="24"/>
                <w:highlight w:val="none"/>
                <w:lang w:val="en-US" w:eastAsia="zh-CN"/>
              </w:rPr>
              <w:t>0</w:t>
            </w:r>
            <w:r>
              <w:rPr>
                <w:rFonts w:hint="default" w:ascii="Times New Roman" w:hAnsi="Times New Roman" w:eastAsia="宋体" w:cs="Times New Roman"/>
                <w:color w:val="auto"/>
                <w:spacing w:val="-5"/>
                <w:sz w:val="24"/>
                <w:szCs w:val="24"/>
                <w:highlight w:val="none"/>
              </w:rPr>
              <w:t>）×10</w:t>
            </w:r>
            <w:r>
              <w:rPr>
                <w:rFonts w:hint="default" w:ascii="Times New Roman" w:hAnsi="Times New Roman" w:eastAsia="宋体" w:cs="Times New Roman"/>
                <w:color w:val="auto"/>
                <w:spacing w:val="-5"/>
                <w:position w:val="9"/>
                <w:sz w:val="16"/>
                <w:szCs w:val="16"/>
                <w:highlight w:val="none"/>
              </w:rPr>
              <w:t>-9</w:t>
            </w:r>
            <w:r>
              <w:rPr>
                <w:rFonts w:hint="default" w:ascii="Times New Roman" w:hAnsi="Times New Roman" w:eastAsia="宋体" w:cs="Times New Roman"/>
                <w:color w:val="auto"/>
                <w:spacing w:val="-5"/>
                <w:sz w:val="24"/>
                <w:szCs w:val="24"/>
                <w:highlight w:val="none"/>
              </w:rPr>
              <w:t>=</w:t>
            </w:r>
            <w:r>
              <w:rPr>
                <w:rFonts w:hint="default" w:ascii="Times New Roman" w:hAnsi="Times New Roman" w:cs="Times New Roman"/>
                <w:color w:val="auto"/>
                <w:spacing w:val="-5"/>
                <w:sz w:val="24"/>
                <w:szCs w:val="24"/>
                <w:highlight w:val="none"/>
                <w:lang w:val="en-US" w:eastAsia="zh-CN"/>
              </w:rPr>
              <w:t>3.</w:t>
            </w:r>
            <w:r>
              <w:rPr>
                <w:rFonts w:hint="eastAsia" w:cs="Times New Roman"/>
                <w:color w:val="auto"/>
                <w:spacing w:val="-5"/>
                <w:sz w:val="24"/>
                <w:szCs w:val="24"/>
                <w:highlight w:val="none"/>
                <w:lang w:val="en-US" w:eastAsia="zh-CN"/>
              </w:rPr>
              <w:t>50</w:t>
            </w:r>
            <w:r>
              <w:rPr>
                <w:rFonts w:hint="default" w:ascii="Times New Roman" w:hAnsi="Times New Roman" w:eastAsia="宋体" w:cs="Times New Roman"/>
                <w:color w:val="auto"/>
                <w:spacing w:val="-5"/>
                <w:sz w:val="24"/>
                <w:szCs w:val="24"/>
                <w:highlight w:val="none"/>
                <w:lang w:val="en-US" w:eastAsia="zh-CN"/>
              </w:rPr>
              <w:t>t/a</w:t>
            </w:r>
          </w:p>
          <w:p w14:paraId="4915D639">
            <w:pPr>
              <w:pStyle w:val="11"/>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⑤汞及其化合物</w:t>
            </w:r>
          </w:p>
          <w:p w14:paraId="578B0F61">
            <w:pPr>
              <w:pStyle w:val="42"/>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燃料分析报告中未给出汞的含量（附件3），根据《直接法测定固体生物质燃料中汞的试验研究》(煤质技术，2020年)可知，生物质汞含量为15.47ng</w:t>
            </w:r>
            <w:r>
              <w:rPr>
                <w:rFonts w:hint="default" w:ascii="Times New Roman" w:hAnsi="Times New Roman"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g</w:t>
            </w:r>
            <w:r>
              <w:rPr>
                <w:rFonts w:hint="eastAsia" w:ascii="Times New Roman" w:hAnsi="Times New Roman" w:cs="Times New Roman"/>
                <w:color w:val="auto"/>
                <w:sz w:val="24"/>
                <w:highlight w:val="none"/>
                <w:vertAlign w:val="superscript"/>
                <w:lang w:val="en-US" w:eastAsia="zh-CN"/>
              </w:rPr>
              <w:t>-1</w:t>
            </w:r>
            <w:r>
              <w:rPr>
                <w:rFonts w:hint="eastAsia" w:ascii="Times New Roman" w:hAnsi="Times New Roman" w:cs="Times New Roman"/>
                <w:color w:val="auto"/>
                <w:sz w:val="24"/>
                <w:highlight w:val="none"/>
                <w:lang w:val="en-US" w:eastAsia="zh-CN"/>
              </w:rPr>
              <w:t>，生物质燃料汞合量极低，故本次不考虑汞的排放。</w:t>
            </w:r>
          </w:p>
          <w:p w14:paraId="5B886742">
            <w:pPr>
              <w:pStyle w:val="11"/>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（二）</w:t>
            </w:r>
            <w:r>
              <w:rPr>
                <w:rFonts w:hint="default" w:ascii="Times New Roman" w:hAnsi="Times New Roman" w:cs="Times New Roman"/>
                <w:color w:val="auto"/>
                <w:sz w:val="24"/>
                <w:highlight w:val="none"/>
              </w:rPr>
              <w:t>灰渣储存过程中粉尘</w:t>
            </w:r>
          </w:p>
          <w:p w14:paraId="43B061C3">
            <w:pPr>
              <w:pStyle w:val="42"/>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val="en-US" w:eastAsia="zh-CN"/>
              </w:rPr>
              <w:t>产生的灰渣储存于锅炉北侧</w:t>
            </w:r>
            <w:r>
              <w:rPr>
                <w:rFonts w:hint="default" w:ascii="Times New Roman" w:hAnsi="Times New Roman" w:cs="Times New Roman"/>
                <w:color w:val="auto"/>
                <w:highlight w:val="none"/>
                <w:lang w:val="en-US" w:eastAsia="zh-CN"/>
              </w:rPr>
              <w:t>灰渣</w:t>
            </w:r>
            <w:r>
              <w:rPr>
                <w:rFonts w:hint="eastAsia" w:cs="Times New Roman"/>
                <w:color w:val="auto"/>
                <w:highlight w:val="none"/>
                <w:lang w:val="en-US" w:eastAsia="zh-CN"/>
              </w:rPr>
              <w:t>贮存间</w:t>
            </w:r>
            <w:r>
              <w:rPr>
                <w:rFonts w:hint="default" w:ascii="Times New Roman" w:hAnsi="Times New Roman" w:cs="Times New Roman"/>
                <w:color w:val="auto"/>
                <w:sz w:val="24"/>
                <w:highlight w:val="none"/>
                <w:lang w:val="en-US" w:eastAsia="zh-CN"/>
              </w:rPr>
              <w:t>内，容积为2m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rPr>
              <w:t>，</w:t>
            </w:r>
            <w:r>
              <w:rPr>
                <w:rFonts w:hint="default" w:ascii="Times New Roman" w:hAnsi="Times New Roman" w:cs="Times New Roman"/>
                <w:color w:val="auto"/>
                <w:highlight w:val="none"/>
                <w:lang w:val="en-US" w:eastAsia="zh-CN"/>
              </w:rPr>
              <w:t>灰渣</w:t>
            </w:r>
            <w:r>
              <w:rPr>
                <w:rFonts w:hint="eastAsia" w:cs="Times New Roman"/>
                <w:color w:val="auto"/>
                <w:highlight w:val="none"/>
                <w:lang w:val="en-US" w:eastAsia="zh-CN"/>
              </w:rPr>
              <w:t>贮存间</w:t>
            </w:r>
            <w:r>
              <w:rPr>
                <w:rFonts w:hint="default" w:ascii="Times New Roman" w:hAnsi="Times New Roman" w:cs="Times New Roman"/>
                <w:color w:val="auto"/>
                <w:sz w:val="24"/>
                <w:highlight w:val="none"/>
                <w:lang w:val="en-US" w:eastAsia="zh-CN"/>
              </w:rPr>
              <w:t>为密闭储存</w:t>
            </w:r>
            <w:r>
              <w:rPr>
                <w:rFonts w:hint="default" w:ascii="Times New Roman" w:hAnsi="Times New Roman" w:cs="Times New Roman"/>
                <w:color w:val="auto"/>
                <w:sz w:val="24"/>
                <w:highlight w:val="none"/>
              </w:rPr>
              <w:t>，定期外运。灰渣间采用</w:t>
            </w:r>
            <w:r>
              <w:rPr>
                <w:rFonts w:hint="default" w:ascii="Times New Roman" w:hAnsi="Times New Roman" w:cs="Times New Roman"/>
                <w:color w:val="auto"/>
                <w:sz w:val="24"/>
                <w:highlight w:val="none"/>
                <w:lang w:val="en-US" w:eastAsia="zh-CN"/>
              </w:rPr>
              <w:t>密闭措施并使用锅炉</w:t>
            </w:r>
            <w:r>
              <w:rPr>
                <w:rFonts w:hint="eastAsia" w:ascii="Times New Roman" w:hAnsi="Times New Roman" w:cs="Times New Roman"/>
                <w:color w:val="auto"/>
                <w:sz w:val="24"/>
                <w:highlight w:val="none"/>
                <w:lang w:val="en-US" w:eastAsia="zh-CN"/>
              </w:rPr>
              <w:t>废水</w:t>
            </w:r>
            <w:r>
              <w:rPr>
                <w:rFonts w:hint="default" w:ascii="Times New Roman" w:hAnsi="Times New Roman" w:cs="Times New Roman"/>
                <w:color w:val="auto"/>
                <w:sz w:val="24"/>
                <w:highlight w:val="none"/>
                <w:lang w:val="en-US" w:eastAsia="zh-CN"/>
              </w:rPr>
              <w:t>对灰渣进行冲洗，</w:t>
            </w:r>
            <w:r>
              <w:rPr>
                <w:rFonts w:hint="default" w:ascii="Times New Roman" w:hAnsi="Times New Roman" w:cs="Times New Roman"/>
                <w:color w:val="auto"/>
                <w:highlight w:val="none"/>
                <w:lang w:val="en-US" w:eastAsia="zh-CN"/>
              </w:rPr>
              <w:t>灰渣</w:t>
            </w:r>
            <w:r>
              <w:rPr>
                <w:rFonts w:hint="eastAsia" w:cs="Times New Roman"/>
                <w:color w:val="auto"/>
                <w:highlight w:val="none"/>
                <w:lang w:val="en-US" w:eastAsia="zh-CN"/>
              </w:rPr>
              <w:t>贮存间</w:t>
            </w:r>
            <w:r>
              <w:rPr>
                <w:rFonts w:hint="default" w:ascii="Times New Roman" w:hAnsi="Times New Roman" w:cs="Times New Roman"/>
                <w:color w:val="auto"/>
                <w:sz w:val="24"/>
                <w:highlight w:val="none"/>
                <w:lang w:val="en-US" w:eastAsia="zh-CN"/>
              </w:rPr>
              <w:t>周边洒水降尘</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抑尘</w:t>
            </w:r>
            <w:r>
              <w:rPr>
                <w:rFonts w:hint="default" w:ascii="Times New Roman" w:hAnsi="Times New Roman" w:cs="Times New Roman"/>
                <w:color w:val="auto"/>
                <w:sz w:val="24"/>
                <w:highlight w:val="none"/>
              </w:rPr>
              <w:t>效率</w:t>
            </w:r>
            <w:r>
              <w:rPr>
                <w:rFonts w:hint="default" w:ascii="Times New Roman" w:hAnsi="Times New Roman" w:cs="Times New Roman"/>
                <w:color w:val="auto"/>
                <w:sz w:val="24"/>
                <w:highlight w:val="none"/>
                <w:lang w:val="en-US" w:eastAsia="zh-CN"/>
              </w:rPr>
              <w:t>7</w:t>
            </w:r>
            <w:r>
              <w:rPr>
                <w:rFonts w:hint="default" w:ascii="Times New Roman" w:hAnsi="Times New Roman" w:cs="Times New Roman"/>
                <w:color w:val="auto"/>
                <w:sz w:val="24"/>
                <w:highlight w:val="none"/>
              </w:rPr>
              <w:t>0%。参照《逸散性工业粉尘控制技术》电厂转运及运输过程中粉尘产生情况，即0</w:t>
            </w:r>
            <w:r>
              <w:rPr>
                <w:rFonts w:hint="default" w:ascii="Times New Roman" w:hAnsi="Times New Roman" w:eastAsia="宋体" w:cs="Times New Roman"/>
                <w:color w:val="auto"/>
                <w:sz w:val="24"/>
                <w:highlight w:val="none"/>
              </w:rPr>
              <w:t>.</w:t>
            </w:r>
            <w:r>
              <w:rPr>
                <w:rFonts w:hint="default" w:ascii="Times New Roman" w:hAnsi="Times New Roman" w:cs="Times New Roman"/>
                <w:color w:val="auto"/>
                <w:sz w:val="24"/>
                <w:highlight w:val="none"/>
              </w:rPr>
              <w:t>02kg/t转运量～0</w:t>
            </w:r>
            <w:r>
              <w:rPr>
                <w:rFonts w:hint="default" w:ascii="Times New Roman" w:hAnsi="Times New Roman" w:eastAsia="宋体" w:cs="Times New Roman"/>
                <w:color w:val="auto"/>
                <w:sz w:val="24"/>
                <w:highlight w:val="none"/>
              </w:rPr>
              <w:t>.</w:t>
            </w:r>
            <w:r>
              <w:rPr>
                <w:rFonts w:hint="default" w:ascii="Times New Roman" w:hAnsi="Times New Roman" w:cs="Times New Roman"/>
                <w:color w:val="auto"/>
                <w:sz w:val="24"/>
                <w:highlight w:val="none"/>
              </w:rPr>
              <w:t>5kg/t转运量，本项目以0</w:t>
            </w:r>
            <w:r>
              <w:rPr>
                <w:rFonts w:hint="default" w:ascii="Times New Roman" w:hAnsi="Times New Roman" w:eastAsia="宋体" w:cs="Times New Roman"/>
                <w:color w:val="auto"/>
                <w:sz w:val="24"/>
                <w:highlight w:val="none"/>
              </w:rPr>
              <w:t>.</w:t>
            </w:r>
            <w:r>
              <w:rPr>
                <w:rFonts w:hint="default" w:ascii="Times New Roman" w:hAnsi="Times New Roman" w:cs="Times New Roman"/>
                <w:color w:val="auto"/>
                <w:sz w:val="24"/>
                <w:highlight w:val="none"/>
              </w:rPr>
              <w:t>5kg/t转运量估算。</w:t>
            </w:r>
            <w:r>
              <w:rPr>
                <w:rFonts w:hint="default" w:ascii="Times New Roman" w:hAnsi="Times New Roman" w:cs="Times New Roman"/>
                <w:color w:val="auto"/>
                <w:sz w:val="24"/>
                <w:highlight w:val="none"/>
                <w:lang w:val="en-US" w:eastAsia="zh-CN"/>
              </w:rPr>
              <w:t>依据燃料检测报告，</w:t>
            </w: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val="en-US" w:eastAsia="zh-CN"/>
              </w:rPr>
              <w:t>收到基灰分检测值为0.64%，则</w:t>
            </w:r>
            <w:r>
              <w:rPr>
                <w:rFonts w:hint="default" w:ascii="Times New Roman" w:hAnsi="Times New Roman" w:cs="Times New Roman"/>
                <w:color w:val="auto"/>
                <w:sz w:val="24"/>
                <w:highlight w:val="none"/>
              </w:rPr>
              <w:t>灰渣产生量为</w:t>
            </w:r>
            <w:r>
              <w:rPr>
                <w:rFonts w:hint="eastAsia" w:ascii="Times New Roman" w:hAnsi="Times New Roman" w:cs="Times New Roman"/>
                <w:color w:val="auto"/>
                <w:sz w:val="24"/>
                <w:highlight w:val="none"/>
                <w:lang w:val="en-US" w:eastAsia="zh-CN"/>
              </w:rPr>
              <w:t>19.33</w:t>
            </w:r>
            <w:r>
              <w:rPr>
                <w:rFonts w:hint="default" w:ascii="Times New Roman" w:hAnsi="Times New Roman" w:cs="Times New Roman"/>
                <w:color w:val="auto"/>
                <w:kern w:val="0"/>
                <w:sz w:val="24"/>
                <w:highlight w:val="none"/>
              </w:rPr>
              <w:t>t/a</w:t>
            </w:r>
            <w:r>
              <w:rPr>
                <w:rFonts w:hint="default" w:ascii="Times New Roman" w:hAnsi="Times New Roman" w:cs="Times New Roman"/>
                <w:color w:val="auto"/>
                <w:sz w:val="24"/>
                <w:highlight w:val="none"/>
              </w:rPr>
              <w:t>，灰渣</w:t>
            </w:r>
            <w:r>
              <w:rPr>
                <w:rFonts w:hint="eastAsia" w:ascii="Times New Roman" w:hAnsi="Times New Roman" w:cs="Times New Roman"/>
                <w:color w:val="auto"/>
                <w:sz w:val="24"/>
                <w:highlight w:val="none"/>
                <w:lang w:val="en-US" w:eastAsia="zh-CN"/>
              </w:rPr>
              <w:t>转运</w:t>
            </w:r>
            <w:r>
              <w:rPr>
                <w:rFonts w:hint="default" w:ascii="Times New Roman" w:hAnsi="Times New Roman" w:cs="Times New Roman"/>
                <w:color w:val="auto"/>
                <w:sz w:val="24"/>
                <w:highlight w:val="none"/>
              </w:rPr>
              <w:t>过程中粉尘产生量为</w:t>
            </w:r>
            <w:r>
              <w:rPr>
                <w:rFonts w:hint="eastAsia" w:ascii="Times New Roman" w:hAnsi="Times New Roman" w:cs="Times New Roman"/>
                <w:color w:val="auto"/>
                <w:sz w:val="24"/>
                <w:highlight w:val="none"/>
                <w:lang w:val="en-US" w:eastAsia="zh-CN"/>
              </w:rPr>
              <w:t>9.67</w:t>
            </w:r>
            <w:r>
              <w:rPr>
                <w:rFonts w:hint="default" w:ascii="Times New Roman" w:hAnsi="Times New Roman" w:cs="Times New Roman"/>
                <w:color w:val="auto"/>
                <w:sz w:val="24"/>
                <w:highlight w:val="none"/>
                <w:lang w:val="en-US" w:eastAsia="zh-CN"/>
              </w:rPr>
              <w:t>kg</w:t>
            </w:r>
            <w:r>
              <w:rPr>
                <w:rFonts w:hint="default" w:ascii="Times New Roman" w:hAnsi="Times New Roman" w:cs="Times New Roman"/>
                <w:color w:val="auto"/>
                <w:sz w:val="24"/>
                <w:highlight w:val="none"/>
              </w:rPr>
              <w:t>/a</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经</w:t>
            </w:r>
            <w:r>
              <w:rPr>
                <w:rFonts w:hint="default" w:ascii="Times New Roman" w:hAnsi="Times New Roman" w:cs="Times New Roman"/>
                <w:color w:val="auto"/>
                <w:sz w:val="24"/>
                <w:highlight w:val="none"/>
                <w:lang w:val="en-US" w:eastAsia="zh-CN"/>
              </w:rPr>
              <w:t>密闭措施+</w:t>
            </w:r>
            <w:r>
              <w:rPr>
                <w:rFonts w:hint="eastAsia" w:ascii="Times New Roman" w:hAnsi="Times New Roman" w:cs="Times New Roman"/>
                <w:color w:val="auto"/>
                <w:sz w:val="24"/>
                <w:highlight w:val="none"/>
                <w:lang w:val="en-US" w:eastAsia="zh-CN"/>
              </w:rPr>
              <w:t>洒水降尘</w:t>
            </w:r>
            <w:r>
              <w:rPr>
                <w:rFonts w:hint="default" w:ascii="Times New Roman" w:hAnsi="Times New Roman" w:cs="Times New Roman"/>
                <w:color w:val="auto"/>
                <w:sz w:val="24"/>
                <w:highlight w:val="none"/>
                <w:lang w:val="en-US" w:eastAsia="zh-CN"/>
              </w:rPr>
              <w:t>措施</w:t>
            </w:r>
            <w:r>
              <w:rPr>
                <w:rFonts w:hint="default" w:ascii="Times New Roman" w:hAnsi="Times New Roman" w:cs="Times New Roman"/>
                <w:color w:val="auto"/>
                <w:sz w:val="24"/>
                <w:highlight w:val="none"/>
              </w:rPr>
              <w:t>处理后粉尘排放量为</w:t>
            </w:r>
            <w:r>
              <w:rPr>
                <w:rFonts w:hint="default" w:ascii="Times New Roman" w:hAnsi="Times New Roman" w:cs="Times New Roman"/>
                <w:color w:val="auto"/>
                <w:sz w:val="24"/>
                <w:highlight w:val="none"/>
                <w:lang w:val="en-US" w:eastAsia="zh-CN"/>
              </w:rPr>
              <w:t>0.002</w:t>
            </w:r>
            <w:r>
              <w:rPr>
                <w:rFonts w:hint="eastAsia" w:ascii="Times New Roman" w:hAnsi="Times New Roman" w:cs="Times New Roman"/>
                <w:color w:val="auto"/>
                <w:sz w:val="24"/>
                <w:highlight w:val="none"/>
                <w:lang w:val="en-US" w:eastAsia="zh-CN"/>
              </w:rPr>
              <w:t>9</w:t>
            </w:r>
            <w:r>
              <w:rPr>
                <w:rFonts w:hint="default" w:ascii="Times New Roman" w:hAnsi="Times New Roman" w:cs="Times New Roman"/>
                <w:color w:val="auto"/>
                <w:sz w:val="24"/>
                <w:highlight w:val="none"/>
                <w:lang w:val="en-US" w:eastAsia="zh-CN"/>
              </w:rPr>
              <w:t>t</w:t>
            </w:r>
            <w:r>
              <w:rPr>
                <w:rFonts w:hint="default" w:ascii="Times New Roman" w:hAnsi="Times New Roman" w:cs="Times New Roman"/>
                <w:color w:val="auto"/>
                <w:sz w:val="24"/>
                <w:highlight w:val="none"/>
              </w:rPr>
              <w:t>/a。</w:t>
            </w:r>
            <w:r>
              <w:rPr>
                <w:rFonts w:hint="default" w:ascii="Times New Roman" w:hAnsi="Times New Roman" w:cs="Times New Roman"/>
                <w:color w:val="auto"/>
                <w:sz w:val="24"/>
                <w:highlight w:val="none"/>
                <w:lang w:val="en-US" w:eastAsia="zh-CN"/>
              </w:rPr>
              <w:t>灰渣每10天转运1次，每次0</w:t>
            </w:r>
            <w:r>
              <w:rPr>
                <w:rFonts w:hint="default" w:ascii="Times New Roman" w:hAnsi="Times New Roman" w:eastAsia="宋体"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5h，则年转运11h。则粉尘产生速率为</w:t>
            </w:r>
            <w:r>
              <w:rPr>
                <w:rFonts w:hint="eastAsia" w:ascii="Times New Roman" w:hAnsi="Times New Roman" w:cs="Times New Roman"/>
                <w:color w:val="auto"/>
                <w:sz w:val="24"/>
                <w:highlight w:val="none"/>
                <w:lang w:val="en-US" w:eastAsia="zh-CN"/>
              </w:rPr>
              <w:t>0.879</w:t>
            </w:r>
            <w:r>
              <w:rPr>
                <w:rFonts w:hint="default" w:ascii="Times New Roman" w:hAnsi="Times New Roman" w:cs="Times New Roman"/>
                <w:color w:val="auto"/>
                <w:sz w:val="24"/>
                <w:highlight w:val="none"/>
                <w:lang w:val="en-US" w:eastAsia="zh-CN"/>
              </w:rPr>
              <w:t>kg/h，排放速率为</w:t>
            </w:r>
            <w:r>
              <w:rPr>
                <w:rFonts w:hint="eastAsia" w:ascii="Times New Roman" w:hAnsi="Times New Roman" w:cs="Times New Roman"/>
                <w:color w:val="auto"/>
                <w:sz w:val="24"/>
                <w:highlight w:val="none"/>
                <w:lang w:val="en-US" w:eastAsia="zh-CN"/>
              </w:rPr>
              <w:t>0.264</w:t>
            </w:r>
            <w:r>
              <w:rPr>
                <w:rFonts w:hint="default" w:ascii="Times New Roman" w:hAnsi="Times New Roman" w:cs="Times New Roman"/>
                <w:color w:val="auto"/>
                <w:sz w:val="24"/>
                <w:highlight w:val="none"/>
                <w:lang w:val="en-US" w:eastAsia="zh-CN"/>
              </w:rPr>
              <w:t>kg/h。</w:t>
            </w:r>
          </w:p>
          <w:p w14:paraId="7B98233D">
            <w:pPr>
              <w:pStyle w:val="43"/>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（三）生物质燃料储存废气</w:t>
            </w:r>
          </w:p>
          <w:p w14:paraId="7F640465">
            <w:pPr>
              <w:pStyle w:val="46"/>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baseline"/>
              <w:rPr>
                <w:rFonts w:hint="default" w:ascii="Times New Roman" w:hAnsi="Times New Roman" w:eastAsia="宋体" w:cs="Times New Roman"/>
                <w:bCs/>
                <w:color w:val="auto"/>
                <w:kern w:val="2"/>
                <w:sz w:val="24"/>
                <w:szCs w:val="21"/>
                <w:highlight w:val="none"/>
                <w:lang w:val="en-US" w:eastAsia="zh-CN" w:bidi="ar-SA"/>
              </w:rPr>
            </w:pPr>
            <w:r>
              <w:rPr>
                <w:rFonts w:hint="default" w:ascii="Times New Roman" w:hAnsi="Times New Roman" w:eastAsia="宋体" w:cs="Times New Roman"/>
                <w:bCs/>
                <w:color w:val="auto"/>
                <w:kern w:val="2"/>
                <w:sz w:val="24"/>
                <w:szCs w:val="21"/>
                <w:highlight w:val="none"/>
                <w:lang w:val="en-US" w:eastAsia="zh-CN" w:bidi="ar-SA"/>
              </w:rPr>
              <w:t>本项目燃烧的燃料为生物质颗粒，储存于</w:t>
            </w:r>
            <w:r>
              <w:rPr>
                <w:rFonts w:hint="default" w:ascii="Times New Roman" w:hAnsi="Times New Roman" w:cs="Times New Roman"/>
                <w:bCs/>
                <w:color w:val="auto"/>
                <w:kern w:val="2"/>
                <w:sz w:val="24"/>
                <w:szCs w:val="21"/>
                <w:highlight w:val="none"/>
                <w:lang w:val="en-US" w:eastAsia="zh-CN" w:bidi="ar-SA"/>
              </w:rPr>
              <w:t>锅炉房燃料</w:t>
            </w:r>
            <w:r>
              <w:rPr>
                <w:rFonts w:hint="default" w:ascii="Times New Roman" w:hAnsi="Times New Roman" w:eastAsia="宋体" w:cs="Times New Roman"/>
                <w:bCs/>
                <w:color w:val="auto"/>
                <w:kern w:val="2"/>
                <w:sz w:val="24"/>
                <w:szCs w:val="21"/>
                <w:highlight w:val="none"/>
                <w:lang w:val="en-US" w:eastAsia="zh-CN" w:bidi="ar-SA"/>
              </w:rPr>
              <w:t>库内，最大储存量为</w:t>
            </w:r>
            <w:r>
              <w:rPr>
                <w:rFonts w:hint="default" w:ascii="Times New Roman" w:hAnsi="Times New Roman" w:cs="Times New Roman"/>
                <w:bCs/>
                <w:color w:val="auto"/>
                <w:kern w:val="2"/>
                <w:sz w:val="24"/>
                <w:szCs w:val="21"/>
                <w:highlight w:val="none"/>
                <w:lang w:val="en-US" w:eastAsia="zh-CN" w:bidi="ar-SA"/>
              </w:rPr>
              <w:t>15</w:t>
            </w:r>
            <w:r>
              <w:rPr>
                <w:rFonts w:hint="default" w:ascii="Times New Roman" w:hAnsi="Times New Roman" w:eastAsia="宋体" w:cs="Times New Roman"/>
                <w:bCs/>
                <w:color w:val="auto"/>
                <w:kern w:val="2"/>
                <w:sz w:val="24"/>
                <w:szCs w:val="21"/>
                <w:highlight w:val="none"/>
                <w:lang w:val="en-US" w:eastAsia="zh-CN" w:bidi="ar-SA"/>
              </w:rPr>
              <w:t>t。项目采用</w:t>
            </w:r>
            <w:r>
              <w:rPr>
                <w:rFonts w:hint="eastAsia" w:ascii="Times New Roman" w:hAnsi="Times New Roman" w:cs="Times New Roman"/>
                <w:bCs/>
                <w:color w:val="auto"/>
                <w:kern w:val="2"/>
                <w:sz w:val="24"/>
                <w:szCs w:val="21"/>
                <w:highlight w:val="none"/>
                <w:lang w:val="en-US" w:eastAsia="zh-CN" w:bidi="ar-SA"/>
              </w:rPr>
              <w:t>生物质颗粒燃料</w:t>
            </w:r>
            <w:r>
              <w:rPr>
                <w:rFonts w:hint="default" w:ascii="Times New Roman" w:hAnsi="Times New Roman" w:eastAsia="宋体" w:cs="Times New Roman"/>
                <w:bCs/>
                <w:color w:val="auto"/>
                <w:kern w:val="2"/>
                <w:sz w:val="24"/>
                <w:szCs w:val="21"/>
                <w:highlight w:val="none"/>
                <w:lang w:val="en-US" w:eastAsia="zh-CN" w:bidi="ar-SA"/>
              </w:rPr>
              <w:t>，因燃料储存时间短，且燃料库为密闭储存，产生的无组织颗粒物排放量较小；因此，生物质燃料贮存期间无组织颗粒物产生量很小，本次评价对该环节产生的颗粒物仅进行定性分析，不再开展定量评价。</w:t>
            </w:r>
          </w:p>
          <w:p w14:paraId="6AD7C7BE">
            <w:pP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pacing w:val="0"/>
                <w:sz w:val="24"/>
                <w:szCs w:val="24"/>
                <w:highlight w:val="none"/>
                <w:lang w:val="en-US" w:eastAsia="zh-CN"/>
              </w:rPr>
              <w:t>本项目废气污染源源强汇总见表4-1</w:t>
            </w:r>
          </w:p>
        </w:tc>
      </w:tr>
    </w:tbl>
    <w:p w14:paraId="08D3958F">
      <w:pPr>
        <w:rPr>
          <w:rFonts w:hint="default" w:ascii="Times New Roman" w:hAnsi="Times New Roman" w:eastAsia="宋体" w:cs="Times New Roman"/>
          <w:color w:val="auto"/>
          <w:spacing w:val="0"/>
          <w:highlight w:val="none"/>
        </w:rPr>
        <w:sectPr>
          <w:pgSz w:w="11907" w:h="16840"/>
          <w:pgMar w:top="1440" w:right="1803" w:bottom="1440" w:left="1803"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tbl>
      <w:tblPr>
        <w:tblStyle w:val="35"/>
        <w:tblW w:w="502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40"/>
        <w:gridCol w:w="13635"/>
      </w:tblGrid>
      <w:tr w14:paraId="6313D5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82" w:hRule="atLeast"/>
          <w:jc w:val="center"/>
        </w:trPr>
        <w:tc>
          <w:tcPr>
            <w:tcW w:w="537" w:type="dxa"/>
            <w:noWrap w:val="0"/>
            <w:tcMar>
              <w:left w:w="28" w:type="dxa"/>
              <w:right w:w="28" w:type="dxa"/>
            </w:tcMar>
            <w:vAlign w:val="center"/>
          </w:tcPr>
          <w:p w14:paraId="6AE76416">
            <w:pPr>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13559" w:type="dxa"/>
            <w:tcBorders>
              <w:top w:val="single" w:color="auto" w:sz="4" w:space="0"/>
              <w:bottom w:val="single" w:color="auto" w:sz="4" w:space="0"/>
            </w:tcBorders>
            <w:noWrap w:val="0"/>
            <w:vAlign w:val="center"/>
          </w:tcPr>
          <w:p w14:paraId="18381AE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表4-</w:t>
            </w:r>
            <w:r>
              <w:rPr>
                <w:rFonts w:hint="default" w:ascii="Times New Roman" w:hAnsi="Times New Roman" w:eastAsia="宋体" w:cs="Times New Roman"/>
                <w:b/>
                <w:bCs w:val="0"/>
                <w:color w:val="auto"/>
                <w:spacing w:val="0"/>
                <w:sz w:val="21"/>
                <w:szCs w:val="21"/>
                <w:highlight w:val="none"/>
                <w:lang w:val="en-US" w:eastAsia="zh-CN"/>
              </w:rPr>
              <w:t xml:space="preserve">1  </w:t>
            </w:r>
            <w:r>
              <w:rPr>
                <w:rFonts w:hint="default" w:ascii="Times New Roman" w:hAnsi="Times New Roman" w:eastAsia="宋体" w:cs="Times New Roman"/>
                <w:b/>
                <w:bCs w:val="0"/>
                <w:color w:val="auto"/>
                <w:spacing w:val="0"/>
                <w:sz w:val="21"/>
                <w:szCs w:val="21"/>
                <w:highlight w:val="none"/>
                <w:lang w:eastAsia="zh-CN"/>
              </w:rPr>
              <w:t>本项目</w:t>
            </w:r>
            <w:r>
              <w:rPr>
                <w:rFonts w:hint="default" w:ascii="Times New Roman" w:hAnsi="Times New Roman" w:eastAsia="宋体" w:cs="Times New Roman"/>
                <w:b/>
                <w:bCs w:val="0"/>
                <w:color w:val="auto"/>
                <w:spacing w:val="0"/>
                <w:sz w:val="21"/>
                <w:szCs w:val="21"/>
                <w:highlight w:val="none"/>
              </w:rPr>
              <w:t>废气污染物排放情况一览表</w:t>
            </w:r>
          </w:p>
          <w:tbl>
            <w:tblPr>
              <w:tblStyle w:val="35"/>
              <w:tblW w:w="5000" w:type="pct"/>
              <w:jc w:val="center"/>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6"/>
              <w:gridCol w:w="600"/>
              <w:gridCol w:w="735"/>
              <w:gridCol w:w="900"/>
              <w:gridCol w:w="1275"/>
              <w:gridCol w:w="975"/>
              <w:gridCol w:w="1035"/>
              <w:gridCol w:w="1035"/>
              <w:gridCol w:w="1005"/>
              <w:gridCol w:w="1005"/>
              <w:gridCol w:w="808"/>
              <w:gridCol w:w="731"/>
              <w:gridCol w:w="658"/>
              <w:gridCol w:w="827"/>
              <w:gridCol w:w="766"/>
              <w:gridCol w:w="548"/>
            </w:tblGrid>
            <w:tr w14:paraId="7D1A217D">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vMerge w:val="restart"/>
                  <w:tcBorders>
                    <w:tl2br w:val="nil"/>
                    <w:tr2bl w:val="nil"/>
                  </w:tcBorders>
                  <w:noWrap w:val="0"/>
                  <w:vAlign w:val="center"/>
                </w:tcPr>
                <w:p w14:paraId="6F3F576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工序</w:t>
                  </w:r>
                </w:p>
              </w:tc>
              <w:tc>
                <w:tcPr>
                  <w:tcW w:w="223" w:type="pct"/>
                  <w:vMerge w:val="restart"/>
                  <w:tcBorders>
                    <w:tl2br w:val="nil"/>
                    <w:tr2bl w:val="nil"/>
                  </w:tcBorders>
                  <w:noWrap w:val="0"/>
                  <w:vAlign w:val="center"/>
                </w:tcPr>
                <w:p w14:paraId="6D9EDFA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装置</w:t>
                  </w:r>
                </w:p>
              </w:tc>
              <w:tc>
                <w:tcPr>
                  <w:tcW w:w="273" w:type="pct"/>
                  <w:vMerge w:val="restart"/>
                  <w:tcBorders>
                    <w:tl2br w:val="nil"/>
                    <w:tr2bl w:val="nil"/>
                  </w:tcBorders>
                  <w:noWrap w:val="0"/>
                  <w:vAlign w:val="center"/>
                </w:tcPr>
                <w:p w14:paraId="25018F7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污染源</w:t>
                  </w:r>
                </w:p>
              </w:tc>
              <w:tc>
                <w:tcPr>
                  <w:tcW w:w="335" w:type="pct"/>
                  <w:vMerge w:val="restart"/>
                  <w:tcBorders>
                    <w:tl2br w:val="nil"/>
                    <w:tr2bl w:val="nil"/>
                  </w:tcBorders>
                  <w:noWrap w:val="0"/>
                  <w:vAlign w:val="center"/>
                </w:tcPr>
                <w:p w14:paraId="082D802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污染物</w:t>
                  </w:r>
                </w:p>
              </w:tc>
              <w:tc>
                <w:tcPr>
                  <w:tcW w:w="1609" w:type="pct"/>
                  <w:gridSpan w:val="4"/>
                  <w:tcBorders>
                    <w:tl2br w:val="nil"/>
                    <w:tr2bl w:val="nil"/>
                  </w:tcBorders>
                  <w:noWrap w:val="0"/>
                  <w:vAlign w:val="center"/>
                </w:tcPr>
                <w:p w14:paraId="3F1505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污染物产生</w:t>
                  </w:r>
                </w:p>
              </w:tc>
              <w:tc>
                <w:tcPr>
                  <w:tcW w:w="748" w:type="pct"/>
                  <w:gridSpan w:val="2"/>
                  <w:tcBorders>
                    <w:tl2br w:val="nil"/>
                    <w:tr2bl w:val="nil"/>
                  </w:tcBorders>
                  <w:noWrap w:val="0"/>
                  <w:vAlign w:val="center"/>
                </w:tcPr>
                <w:p w14:paraId="34C69F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治理措施</w:t>
                  </w:r>
                </w:p>
              </w:tc>
              <w:tc>
                <w:tcPr>
                  <w:tcW w:w="301" w:type="pct"/>
                  <w:vMerge w:val="restart"/>
                  <w:tcBorders>
                    <w:tl2br w:val="nil"/>
                    <w:tr2bl w:val="nil"/>
                  </w:tcBorders>
                  <w:noWrap w:val="0"/>
                  <w:vAlign w:val="center"/>
                </w:tcPr>
                <w:p w14:paraId="78A081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是否为可行性技术</w:t>
                  </w:r>
                </w:p>
              </w:tc>
              <w:tc>
                <w:tcPr>
                  <w:tcW w:w="1111" w:type="pct"/>
                  <w:gridSpan w:val="4"/>
                  <w:tcBorders>
                    <w:tl2br w:val="nil"/>
                    <w:tr2bl w:val="nil"/>
                  </w:tcBorders>
                  <w:noWrap w:val="0"/>
                  <w:vAlign w:val="center"/>
                </w:tcPr>
                <w:p w14:paraId="7DADA1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污染物排放</w:t>
                  </w:r>
                </w:p>
              </w:tc>
              <w:tc>
                <w:tcPr>
                  <w:tcW w:w="204" w:type="pct"/>
                  <w:vMerge w:val="restart"/>
                  <w:tcBorders>
                    <w:tl2br w:val="nil"/>
                    <w:tr2bl w:val="nil"/>
                  </w:tcBorders>
                  <w:noWrap w:val="0"/>
                  <w:vAlign w:val="center"/>
                </w:tcPr>
                <w:p w14:paraId="60D7C9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排放时间h</w:t>
                  </w:r>
                </w:p>
              </w:tc>
            </w:tr>
            <w:tr w14:paraId="58DE04A8">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vMerge w:val="continue"/>
                  <w:tcBorders>
                    <w:tl2br w:val="nil"/>
                    <w:tr2bl w:val="nil"/>
                  </w:tcBorders>
                  <w:noWrap w:val="0"/>
                  <w:vAlign w:val="center"/>
                </w:tcPr>
                <w:p w14:paraId="1B13F80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223" w:type="pct"/>
                  <w:vMerge w:val="continue"/>
                  <w:tcBorders>
                    <w:tl2br w:val="nil"/>
                    <w:tr2bl w:val="nil"/>
                  </w:tcBorders>
                  <w:noWrap w:val="0"/>
                  <w:vAlign w:val="center"/>
                </w:tcPr>
                <w:p w14:paraId="616548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273" w:type="pct"/>
                  <w:vMerge w:val="continue"/>
                  <w:tcBorders>
                    <w:tl2br w:val="nil"/>
                    <w:tr2bl w:val="nil"/>
                  </w:tcBorders>
                  <w:noWrap w:val="0"/>
                  <w:vAlign w:val="center"/>
                </w:tcPr>
                <w:p w14:paraId="58C1CD8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335" w:type="pct"/>
                  <w:vMerge w:val="continue"/>
                  <w:tcBorders>
                    <w:tl2br w:val="nil"/>
                    <w:tr2bl w:val="nil"/>
                  </w:tcBorders>
                  <w:noWrap w:val="0"/>
                  <w:vAlign w:val="center"/>
                </w:tcPr>
                <w:p w14:paraId="0CB41C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475" w:type="pct"/>
                  <w:tcBorders>
                    <w:tl2br w:val="nil"/>
                    <w:tr2bl w:val="nil"/>
                  </w:tcBorders>
                  <w:noWrap w:val="0"/>
                  <w:vAlign w:val="center"/>
                </w:tcPr>
                <w:p w14:paraId="099E057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核算</w:t>
                  </w:r>
                </w:p>
                <w:p w14:paraId="01AC800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方法</w:t>
                  </w:r>
                </w:p>
              </w:tc>
              <w:tc>
                <w:tcPr>
                  <w:tcW w:w="363" w:type="pct"/>
                  <w:tcBorders>
                    <w:tl2br w:val="nil"/>
                    <w:tr2bl w:val="nil"/>
                  </w:tcBorders>
                  <w:noWrap w:val="0"/>
                  <w:vAlign w:val="center"/>
                </w:tcPr>
                <w:p w14:paraId="7386ECA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废气产生量</w:t>
                  </w:r>
                  <w:r>
                    <w:rPr>
                      <w:rFonts w:hint="default" w:ascii="Times New Roman" w:hAnsi="Times New Roman" w:eastAsia="宋体" w:cs="Times New Roman"/>
                      <w:color w:val="auto"/>
                      <w:spacing w:val="0"/>
                      <w:sz w:val="21"/>
                      <w:szCs w:val="21"/>
                      <w:highlight w:val="none"/>
                      <w:lang w:eastAsia="zh-CN"/>
                    </w:rPr>
                    <w:t>m</w:t>
                  </w:r>
                  <w:r>
                    <w:rPr>
                      <w:rFonts w:hint="default" w:ascii="Times New Roman" w:hAnsi="Times New Roman" w:eastAsia="宋体" w:cs="Times New Roman"/>
                      <w:caps w:val="0"/>
                      <w:smallCaps w:val="0"/>
                      <w:strike w:val="0"/>
                      <w:dstrike w:val="0"/>
                      <w:vanish w:val="0"/>
                      <w:color w:val="auto"/>
                      <w:spacing w:val="0"/>
                      <w:sz w:val="21"/>
                      <w:szCs w:val="21"/>
                      <w:highlight w:val="none"/>
                      <w:vertAlign w:val="superscript"/>
                      <w:lang w:eastAsia="zh-CN"/>
                    </w:rPr>
                    <w:t>3</w:t>
                  </w:r>
                  <w:r>
                    <w:rPr>
                      <w:rFonts w:hint="default" w:ascii="Times New Roman" w:hAnsi="Times New Roman" w:eastAsia="宋体" w:cs="Times New Roman"/>
                      <w:color w:val="auto"/>
                      <w:spacing w:val="0"/>
                      <w:sz w:val="21"/>
                      <w:szCs w:val="21"/>
                      <w:highlight w:val="none"/>
                    </w:rPr>
                    <w:t>/a</w:t>
                  </w:r>
                </w:p>
              </w:tc>
              <w:tc>
                <w:tcPr>
                  <w:tcW w:w="385" w:type="pct"/>
                  <w:tcBorders>
                    <w:tl2br w:val="nil"/>
                    <w:tr2bl w:val="nil"/>
                  </w:tcBorders>
                  <w:noWrap w:val="0"/>
                  <w:vAlign w:val="center"/>
                </w:tcPr>
                <w:p w14:paraId="331941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产生浓度mg/</w:t>
                  </w:r>
                  <w:r>
                    <w:rPr>
                      <w:rFonts w:hint="default" w:ascii="Times New Roman" w:hAnsi="Times New Roman" w:eastAsia="宋体" w:cs="Times New Roman"/>
                      <w:color w:val="auto"/>
                      <w:spacing w:val="0"/>
                      <w:sz w:val="21"/>
                      <w:szCs w:val="21"/>
                      <w:highlight w:val="none"/>
                      <w:lang w:eastAsia="zh-CN"/>
                    </w:rPr>
                    <w:t>m</w:t>
                  </w:r>
                  <w:r>
                    <w:rPr>
                      <w:rFonts w:hint="default" w:ascii="Times New Roman" w:hAnsi="Times New Roman" w:eastAsia="宋体" w:cs="Times New Roman"/>
                      <w:caps w:val="0"/>
                      <w:smallCaps w:val="0"/>
                      <w:strike w:val="0"/>
                      <w:dstrike w:val="0"/>
                      <w:vanish w:val="0"/>
                      <w:color w:val="auto"/>
                      <w:spacing w:val="0"/>
                      <w:sz w:val="21"/>
                      <w:szCs w:val="21"/>
                      <w:highlight w:val="none"/>
                      <w:vertAlign w:val="superscript"/>
                      <w:lang w:eastAsia="zh-CN"/>
                    </w:rPr>
                    <w:t>3</w:t>
                  </w:r>
                </w:p>
              </w:tc>
              <w:tc>
                <w:tcPr>
                  <w:tcW w:w="385" w:type="pct"/>
                  <w:tcBorders>
                    <w:tl2br w:val="nil"/>
                    <w:tr2bl w:val="nil"/>
                  </w:tcBorders>
                  <w:noWrap w:val="0"/>
                  <w:vAlign w:val="center"/>
                </w:tcPr>
                <w:p w14:paraId="56A4BAD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产生量</w:t>
                  </w:r>
                  <w:r>
                    <w:rPr>
                      <w:rFonts w:hint="default" w:ascii="Times New Roman" w:hAnsi="Times New Roman" w:cs="Times New Roman"/>
                      <w:color w:val="auto"/>
                      <w:spacing w:val="0"/>
                      <w:sz w:val="21"/>
                      <w:szCs w:val="21"/>
                      <w:highlight w:val="none"/>
                      <w:lang w:val="en-US" w:eastAsia="zh-CN"/>
                    </w:rPr>
                    <w:t>kg/h</w:t>
                  </w:r>
                </w:p>
              </w:tc>
              <w:tc>
                <w:tcPr>
                  <w:tcW w:w="374" w:type="pct"/>
                  <w:tcBorders>
                    <w:tl2br w:val="nil"/>
                    <w:tr2bl w:val="nil"/>
                  </w:tcBorders>
                  <w:noWrap w:val="0"/>
                  <w:vAlign w:val="center"/>
                </w:tcPr>
                <w:p w14:paraId="56BEB4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工艺</w:t>
                  </w:r>
                </w:p>
              </w:tc>
              <w:tc>
                <w:tcPr>
                  <w:tcW w:w="374" w:type="pct"/>
                  <w:tcBorders>
                    <w:tl2br w:val="nil"/>
                    <w:tr2bl w:val="nil"/>
                  </w:tcBorders>
                  <w:noWrap w:val="0"/>
                  <w:vAlign w:val="center"/>
                </w:tcPr>
                <w:p w14:paraId="32CCA4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效率%</w:t>
                  </w:r>
                </w:p>
              </w:tc>
              <w:tc>
                <w:tcPr>
                  <w:tcW w:w="301" w:type="pct"/>
                  <w:vMerge w:val="continue"/>
                  <w:tcBorders>
                    <w:tl2br w:val="nil"/>
                    <w:tr2bl w:val="nil"/>
                  </w:tcBorders>
                  <w:noWrap w:val="0"/>
                  <w:vAlign w:val="center"/>
                </w:tcPr>
                <w:p w14:paraId="7EF8365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272" w:type="pct"/>
                  <w:tcBorders>
                    <w:tl2br w:val="nil"/>
                    <w:tr2bl w:val="nil"/>
                  </w:tcBorders>
                  <w:noWrap w:val="0"/>
                  <w:vAlign w:val="center"/>
                </w:tcPr>
                <w:p w14:paraId="26F7EC8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核算</w:t>
                  </w:r>
                </w:p>
                <w:p w14:paraId="3497E1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方法</w:t>
                  </w:r>
                </w:p>
              </w:tc>
              <w:tc>
                <w:tcPr>
                  <w:tcW w:w="245" w:type="pct"/>
                  <w:tcBorders>
                    <w:tl2br w:val="nil"/>
                    <w:tr2bl w:val="nil"/>
                  </w:tcBorders>
                  <w:noWrap w:val="0"/>
                  <w:vAlign w:val="center"/>
                </w:tcPr>
                <w:p w14:paraId="7D4C57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废气产生量</w:t>
                  </w:r>
                  <w:r>
                    <w:rPr>
                      <w:rFonts w:hint="default" w:ascii="Times New Roman" w:hAnsi="Times New Roman" w:eastAsia="宋体" w:cs="Times New Roman"/>
                      <w:color w:val="auto"/>
                      <w:spacing w:val="0"/>
                      <w:sz w:val="21"/>
                      <w:szCs w:val="21"/>
                      <w:highlight w:val="none"/>
                      <w:lang w:eastAsia="zh-CN"/>
                    </w:rPr>
                    <w:t>m</w:t>
                  </w:r>
                  <w:r>
                    <w:rPr>
                      <w:rFonts w:hint="default" w:ascii="Times New Roman" w:hAnsi="Times New Roman" w:eastAsia="宋体" w:cs="Times New Roman"/>
                      <w:caps w:val="0"/>
                      <w:smallCaps w:val="0"/>
                      <w:strike w:val="0"/>
                      <w:dstrike w:val="0"/>
                      <w:vanish w:val="0"/>
                      <w:color w:val="auto"/>
                      <w:spacing w:val="0"/>
                      <w:sz w:val="21"/>
                      <w:szCs w:val="21"/>
                      <w:highlight w:val="none"/>
                      <w:vertAlign w:val="superscript"/>
                      <w:lang w:eastAsia="zh-CN"/>
                    </w:rPr>
                    <w:t>3</w:t>
                  </w:r>
                  <w:r>
                    <w:rPr>
                      <w:rFonts w:hint="default" w:ascii="Times New Roman" w:hAnsi="Times New Roman" w:eastAsia="宋体" w:cs="Times New Roman"/>
                      <w:color w:val="auto"/>
                      <w:spacing w:val="0"/>
                      <w:sz w:val="21"/>
                      <w:szCs w:val="21"/>
                      <w:highlight w:val="none"/>
                    </w:rPr>
                    <w:t>/</w:t>
                  </w:r>
                  <w:r>
                    <w:rPr>
                      <w:rFonts w:hint="default" w:ascii="Times New Roman" w:hAnsi="Times New Roman" w:eastAsia="宋体" w:cs="Times New Roman"/>
                      <w:color w:val="auto"/>
                      <w:spacing w:val="0"/>
                      <w:sz w:val="21"/>
                      <w:szCs w:val="21"/>
                      <w:highlight w:val="none"/>
                      <w:lang w:val="en-US" w:eastAsia="zh-CN"/>
                    </w:rPr>
                    <w:t>a</w:t>
                  </w:r>
                </w:p>
              </w:tc>
              <w:tc>
                <w:tcPr>
                  <w:tcW w:w="308" w:type="pct"/>
                  <w:tcBorders>
                    <w:tl2br w:val="nil"/>
                    <w:tr2bl w:val="nil"/>
                  </w:tcBorders>
                  <w:noWrap w:val="0"/>
                  <w:vAlign w:val="center"/>
                </w:tcPr>
                <w:p w14:paraId="1FFBE8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排放浓度</w:t>
                  </w:r>
                </w:p>
                <w:p w14:paraId="6CAB399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mg/</w:t>
                  </w:r>
                  <w:r>
                    <w:rPr>
                      <w:rFonts w:hint="default" w:ascii="Times New Roman" w:hAnsi="Times New Roman" w:eastAsia="宋体" w:cs="Times New Roman"/>
                      <w:color w:val="auto"/>
                      <w:spacing w:val="0"/>
                      <w:sz w:val="21"/>
                      <w:szCs w:val="21"/>
                      <w:highlight w:val="none"/>
                      <w:lang w:eastAsia="zh-CN"/>
                    </w:rPr>
                    <w:t>m</w:t>
                  </w:r>
                  <w:r>
                    <w:rPr>
                      <w:rFonts w:hint="default" w:ascii="Times New Roman" w:hAnsi="Times New Roman" w:eastAsia="宋体" w:cs="Times New Roman"/>
                      <w:caps w:val="0"/>
                      <w:smallCaps w:val="0"/>
                      <w:strike w:val="0"/>
                      <w:dstrike w:val="0"/>
                      <w:vanish w:val="0"/>
                      <w:color w:val="auto"/>
                      <w:spacing w:val="0"/>
                      <w:sz w:val="21"/>
                      <w:szCs w:val="21"/>
                      <w:highlight w:val="none"/>
                      <w:vertAlign w:val="superscript"/>
                      <w:lang w:eastAsia="zh-CN"/>
                    </w:rPr>
                    <w:t>3</w:t>
                  </w:r>
                </w:p>
              </w:tc>
              <w:tc>
                <w:tcPr>
                  <w:tcW w:w="285" w:type="pct"/>
                  <w:tcBorders>
                    <w:tl2br w:val="nil"/>
                    <w:tr2bl w:val="nil"/>
                  </w:tcBorders>
                  <w:noWrap w:val="0"/>
                  <w:vAlign w:val="center"/>
                </w:tcPr>
                <w:p w14:paraId="58E32D7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排放量</w:t>
                  </w:r>
                </w:p>
                <w:p w14:paraId="53E1BD3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t/a</w:t>
                  </w:r>
                </w:p>
              </w:tc>
              <w:tc>
                <w:tcPr>
                  <w:tcW w:w="204" w:type="pct"/>
                  <w:vMerge w:val="continue"/>
                  <w:tcBorders>
                    <w:tl2br w:val="nil"/>
                    <w:tr2bl w:val="nil"/>
                  </w:tcBorders>
                  <w:noWrap w:val="0"/>
                  <w:vAlign w:val="center"/>
                </w:tcPr>
                <w:p w14:paraId="518548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r>
            <w:tr w14:paraId="6B5DFC48">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vMerge w:val="restart"/>
                  <w:tcBorders>
                    <w:tl2br w:val="nil"/>
                    <w:tr2bl w:val="nil"/>
                  </w:tcBorders>
                  <w:noWrap w:val="0"/>
                  <w:vAlign w:val="center"/>
                </w:tcPr>
                <w:p w14:paraId="459AD8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锅炉房</w:t>
                  </w:r>
                </w:p>
              </w:tc>
              <w:tc>
                <w:tcPr>
                  <w:tcW w:w="223" w:type="pct"/>
                  <w:vMerge w:val="restart"/>
                  <w:tcBorders>
                    <w:tl2br w:val="nil"/>
                    <w:tr2bl w:val="nil"/>
                  </w:tcBorders>
                  <w:noWrap w:val="0"/>
                  <w:vAlign w:val="center"/>
                </w:tcPr>
                <w:p w14:paraId="2D58C5D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eastAsia" w:ascii="Times New Roman" w:hAnsi="Times New Roman" w:cs="Times New Roman"/>
                      <w:color w:val="auto"/>
                      <w:spacing w:val="0"/>
                      <w:sz w:val="21"/>
                      <w:szCs w:val="21"/>
                      <w:highlight w:val="none"/>
                      <w:lang w:val="en-US" w:eastAsia="zh-CN"/>
                    </w:rPr>
                    <w:t>2.1MW</w:t>
                  </w:r>
                  <w:r>
                    <w:rPr>
                      <w:rFonts w:hint="default" w:ascii="Times New Roman" w:hAnsi="Times New Roman" w:eastAsia="宋体" w:cs="Times New Roman"/>
                      <w:color w:val="auto"/>
                      <w:spacing w:val="0"/>
                      <w:sz w:val="21"/>
                      <w:szCs w:val="21"/>
                      <w:highlight w:val="none"/>
                      <w:lang w:val="en-US" w:eastAsia="zh-CN"/>
                    </w:rPr>
                    <w:t>锅炉</w:t>
                  </w:r>
                </w:p>
              </w:tc>
              <w:tc>
                <w:tcPr>
                  <w:tcW w:w="273" w:type="pct"/>
                  <w:vMerge w:val="restart"/>
                  <w:tcBorders>
                    <w:tl2br w:val="nil"/>
                    <w:tr2bl w:val="nil"/>
                  </w:tcBorders>
                  <w:noWrap w:val="0"/>
                  <w:vAlign w:val="center"/>
                </w:tcPr>
                <w:p w14:paraId="668C55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cs="Times New Roman"/>
                      <w:color w:val="auto"/>
                      <w:spacing w:val="0"/>
                      <w:sz w:val="21"/>
                      <w:szCs w:val="21"/>
                      <w:highlight w:val="none"/>
                      <w:lang w:val="en-US" w:eastAsia="zh-CN"/>
                    </w:rPr>
                    <w:t>30</w:t>
                  </w:r>
                  <w:r>
                    <w:rPr>
                      <w:rFonts w:hint="default" w:ascii="Times New Roman" w:hAnsi="Times New Roman" w:eastAsia="宋体" w:cs="Times New Roman"/>
                      <w:color w:val="auto"/>
                      <w:spacing w:val="0"/>
                      <w:sz w:val="21"/>
                      <w:szCs w:val="21"/>
                      <w:highlight w:val="none"/>
                    </w:rPr>
                    <w:t>米高烟囱</w:t>
                  </w:r>
                </w:p>
              </w:tc>
              <w:tc>
                <w:tcPr>
                  <w:tcW w:w="335" w:type="pct"/>
                  <w:tcBorders>
                    <w:tl2br w:val="nil"/>
                    <w:tr2bl w:val="nil"/>
                  </w:tcBorders>
                  <w:noWrap w:val="0"/>
                  <w:vAlign w:val="center"/>
                </w:tcPr>
                <w:p w14:paraId="479E05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kern w:val="21"/>
                      <w:sz w:val="21"/>
                      <w:szCs w:val="21"/>
                      <w:highlight w:val="none"/>
                    </w:rPr>
                    <w:t>颗粒物</w:t>
                  </w:r>
                </w:p>
              </w:tc>
              <w:tc>
                <w:tcPr>
                  <w:tcW w:w="475" w:type="pct"/>
                  <w:tcBorders>
                    <w:tl2br w:val="nil"/>
                    <w:tr2bl w:val="nil"/>
                  </w:tcBorders>
                  <w:noWrap w:val="0"/>
                  <w:vAlign w:val="center"/>
                </w:tcPr>
                <w:p w14:paraId="1DDE95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物料衡算法</w:t>
                  </w:r>
                </w:p>
              </w:tc>
              <w:tc>
                <w:tcPr>
                  <w:tcW w:w="363" w:type="pct"/>
                  <w:vMerge w:val="restart"/>
                  <w:tcBorders>
                    <w:tl2br w:val="nil"/>
                    <w:tr2bl w:val="nil"/>
                  </w:tcBorders>
                  <w:noWrap w:val="0"/>
                  <w:vAlign w:val="center"/>
                </w:tcPr>
                <w:p w14:paraId="0566E9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23309987.5</w:t>
                  </w:r>
                </w:p>
              </w:tc>
              <w:tc>
                <w:tcPr>
                  <w:tcW w:w="385" w:type="pct"/>
                  <w:tcBorders>
                    <w:tl2br w:val="nil"/>
                    <w:tr2bl w:val="nil"/>
                  </w:tcBorders>
                  <w:noWrap w:val="0"/>
                  <w:vAlign w:val="center"/>
                </w:tcPr>
                <w:p w14:paraId="6F6D049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435.73</w:t>
                  </w:r>
                </w:p>
              </w:tc>
              <w:tc>
                <w:tcPr>
                  <w:tcW w:w="385" w:type="pct"/>
                  <w:tcBorders>
                    <w:tl2br w:val="nil"/>
                    <w:tr2bl w:val="nil"/>
                  </w:tcBorders>
                  <w:noWrap w:val="0"/>
                  <w:vAlign w:val="center"/>
                </w:tcPr>
                <w:p w14:paraId="4FDA83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1.749</w:t>
                  </w:r>
                </w:p>
              </w:tc>
              <w:tc>
                <w:tcPr>
                  <w:tcW w:w="374" w:type="pct"/>
                  <w:tcBorders>
                    <w:tl2br w:val="nil"/>
                    <w:tr2bl w:val="nil"/>
                  </w:tcBorders>
                  <w:noWrap w:val="0"/>
                  <w:vAlign w:val="center"/>
                </w:tcPr>
                <w:p w14:paraId="671CAFE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旋风+</w:t>
                  </w:r>
                  <w:r>
                    <w:rPr>
                      <w:rFonts w:hint="default" w:ascii="Times New Roman" w:hAnsi="Times New Roman" w:cs="Times New Roman"/>
                      <w:color w:val="auto"/>
                      <w:spacing w:val="0"/>
                      <w:sz w:val="21"/>
                      <w:szCs w:val="21"/>
                      <w:highlight w:val="none"/>
                      <w:lang w:val="en-US" w:eastAsia="zh-CN"/>
                    </w:rPr>
                    <w:t>布袋除尘器</w:t>
                  </w:r>
                </w:p>
              </w:tc>
              <w:tc>
                <w:tcPr>
                  <w:tcW w:w="374" w:type="pct"/>
                  <w:tcBorders>
                    <w:tl2br w:val="nil"/>
                    <w:tr2bl w:val="nil"/>
                  </w:tcBorders>
                  <w:noWrap w:val="0"/>
                  <w:vAlign w:val="center"/>
                </w:tcPr>
                <w:p w14:paraId="4EBF0AC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kern w:val="21"/>
                      <w:sz w:val="21"/>
                      <w:szCs w:val="21"/>
                      <w:highlight w:val="none"/>
                      <w:lang w:val="en-US" w:eastAsia="zh-CN"/>
                    </w:rPr>
                    <w:t>99.2</w:t>
                  </w:r>
                </w:p>
              </w:tc>
              <w:tc>
                <w:tcPr>
                  <w:tcW w:w="301" w:type="pct"/>
                  <w:tcBorders>
                    <w:tl2br w:val="nil"/>
                    <w:tr2bl w:val="nil"/>
                  </w:tcBorders>
                  <w:noWrap w:val="0"/>
                  <w:vAlign w:val="center"/>
                </w:tcPr>
                <w:p w14:paraId="42AC14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是</w:t>
                  </w:r>
                </w:p>
              </w:tc>
              <w:tc>
                <w:tcPr>
                  <w:tcW w:w="272" w:type="pct"/>
                  <w:tcBorders>
                    <w:tl2br w:val="nil"/>
                    <w:tr2bl w:val="nil"/>
                  </w:tcBorders>
                  <w:noWrap w:val="0"/>
                  <w:vAlign w:val="center"/>
                </w:tcPr>
                <w:p w14:paraId="5FE2A2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en-US" w:eastAsia="zh-CN"/>
                    </w:rPr>
                    <w:t>物料衡算法</w:t>
                  </w:r>
                </w:p>
              </w:tc>
              <w:tc>
                <w:tcPr>
                  <w:tcW w:w="245" w:type="pct"/>
                  <w:vMerge w:val="restart"/>
                  <w:tcBorders>
                    <w:tl2br w:val="nil"/>
                    <w:tr2bl w:val="nil"/>
                  </w:tcBorders>
                  <w:noWrap w:val="0"/>
                  <w:vAlign w:val="center"/>
                </w:tcPr>
                <w:p w14:paraId="7D21D6D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rPr>
                  </w:pPr>
                  <w:r>
                    <w:rPr>
                      <w:rFonts w:hint="eastAsia" w:ascii="Times New Roman" w:hAnsi="Times New Roman" w:cs="Times New Roman"/>
                      <w:color w:val="auto"/>
                      <w:spacing w:val="0"/>
                      <w:sz w:val="21"/>
                      <w:szCs w:val="21"/>
                      <w:highlight w:val="none"/>
                      <w:lang w:val="en-US" w:eastAsia="zh-CN"/>
                    </w:rPr>
                    <w:t>23309987.5</w:t>
                  </w:r>
                </w:p>
              </w:tc>
              <w:tc>
                <w:tcPr>
                  <w:tcW w:w="308" w:type="pct"/>
                  <w:tcBorders>
                    <w:tl2br w:val="nil"/>
                    <w:tr2bl w:val="nil"/>
                  </w:tcBorders>
                  <w:noWrap w:val="0"/>
                  <w:vAlign w:val="center"/>
                </w:tcPr>
                <w:p w14:paraId="376361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3.48</w:t>
                  </w:r>
                </w:p>
              </w:tc>
              <w:tc>
                <w:tcPr>
                  <w:tcW w:w="285" w:type="pct"/>
                  <w:tcBorders>
                    <w:tl2br w:val="nil"/>
                    <w:tr2bl w:val="nil"/>
                  </w:tcBorders>
                  <w:noWrap w:val="0"/>
                  <w:vAlign w:val="center"/>
                </w:tcPr>
                <w:p w14:paraId="76DEB5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0.0</w:t>
                  </w:r>
                  <w:r>
                    <w:rPr>
                      <w:rFonts w:hint="eastAsia" w:ascii="Times New Roman" w:hAnsi="Times New Roman" w:cs="Times New Roman"/>
                      <w:color w:val="auto"/>
                      <w:spacing w:val="0"/>
                      <w:sz w:val="21"/>
                      <w:szCs w:val="21"/>
                      <w:highlight w:val="none"/>
                      <w:lang w:val="en-US" w:eastAsia="zh-CN"/>
                    </w:rPr>
                    <w:t>81</w:t>
                  </w:r>
                </w:p>
              </w:tc>
              <w:tc>
                <w:tcPr>
                  <w:tcW w:w="204" w:type="pct"/>
                  <w:vMerge w:val="restart"/>
                  <w:tcBorders>
                    <w:tl2br w:val="nil"/>
                    <w:tr2bl w:val="nil"/>
                  </w:tcBorders>
                  <w:noWrap w:val="0"/>
                  <w:vAlign w:val="center"/>
                </w:tcPr>
                <w:p w14:paraId="1E1592E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5808</w:t>
                  </w:r>
                </w:p>
              </w:tc>
            </w:tr>
            <w:tr w14:paraId="632DDEB4">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vMerge w:val="continue"/>
                  <w:tcBorders>
                    <w:tl2br w:val="nil"/>
                    <w:tr2bl w:val="nil"/>
                  </w:tcBorders>
                  <w:noWrap w:val="0"/>
                  <w:vAlign w:val="center"/>
                </w:tcPr>
                <w:p w14:paraId="093DB4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223" w:type="pct"/>
                  <w:vMerge w:val="continue"/>
                  <w:tcBorders>
                    <w:tl2br w:val="nil"/>
                    <w:tr2bl w:val="nil"/>
                  </w:tcBorders>
                  <w:noWrap w:val="0"/>
                  <w:vAlign w:val="center"/>
                </w:tcPr>
                <w:p w14:paraId="112F6C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273" w:type="pct"/>
                  <w:vMerge w:val="continue"/>
                  <w:tcBorders>
                    <w:tl2br w:val="nil"/>
                    <w:tr2bl w:val="nil"/>
                  </w:tcBorders>
                  <w:noWrap w:val="0"/>
                  <w:vAlign w:val="center"/>
                </w:tcPr>
                <w:p w14:paraId="6BF6D4D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335" w:type="pct"/>
                  <w:tcBorders>
                    <w:tl2br w:val="nil"/>
                    <w:tr2bl w:val="nil"/>
                  </w:tcBorders>
                  <w:noWrap w:val="0"/>
                  <w:vAlign w:val="center"/>
                </w:tcPr>
                <w:p w14:paraId="77FCCB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kern w:val="21"/>
                      <w:sz w:val="21"/>
                      <w:szCs w:val="21"/>
                      <w:highlight w:val="none"/>
                    </w:rPr>
                    <w:t>SO</w:t>
                  </w:r>
                  <w:r>
                    <w:rPr>
                      <w:rFonts w:hint="default" w:ascii="Times New Roman" w:hAnsi="Times New Roman" w:eastAsia="宋体" w:cs="Times New Roman"/>
                      <w:color w:val="auto"/>
                      <w:spacing w:val="0"/>
                      <w:kern w:val="21"/>
                      <w:sz w:val="21"/>
                      <w:szCs w:val="21"/>
                      <w:highlight w:val="none"/>
                      <w:vertAlign w:val="subscript"/>
                    </w:rPr>
                    <w:t>2</w:t>
                  </w:r>
                </w:p>
              </w:tc>
              <w:tc>
                <w:tcPr>
                  <w:tcW w:w="475" w:type="pct"/>
                  <w:tcBorders>
                    <w:tl2br w:val="nil"/>
                    <w:tr2bl w:val="nil"/>
                  </w:tcBorders>
                  <w:noWrap w:val="0"/>
                  <w:vAlign w:val="center"/>
                </w:tcPr>
                <w:p w14:paraId="3828439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en-US" w:eastAsia="zh-CN"/>
                    </w:rPr>
                    <w:t>物料衡算法</w:t>
                  </w:r>
                </w:p>
              </w:tc>
              <w:tc>
                <w:tcPr>
                  <w:tcW w:w="363" w:type="pct"/>
                  <w:vMerge w:val="continue"/>
                  <w:tcBorders>
                    <w:tl2br w:val="nil"/>
                    <w:tr2bl w:val="nil"/>
                  </w:tcBorders>
                  <w:noWrap w:val="0"/>
                  <w:vAlign w:val="center"/>
                </w:tcPr>
                <w:p w14:paraId="7209927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385" w:type="pct"/>
                  <w:tcBorders>
                    <w:tl2br w:val="nil"/>
                    <w:tr2bl w:val="nil"/>
                  </w:tcBorders>
                  <w:noWrap w:val="0"/>
                  <w:vAlign w:val="center"/>
                </w:tcPr>
                <w:p w14:paraId="63E56E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23.43</w:t>
                  </w:r>
                </w:p>
              </w:tc>
              <w:tc>
                <w:tcPr>
                  <w:tcW w:w="385" w:type="pct"/>
                  <w:tcBorders>
                    <w:tl2br w:val="nil"/>
                    <w:tr2bl w:val="nil"/>
                  </w:tcBorders>
                  <w:noWrap w:val="0"/>
                  <w:vAlign w:val="center"/>
                </w:tcPr>
                <w:p w14:paraId="324C438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0.094</w:t>
                  </w:r>
                </w:p>
              </w:tc>
              <w:tc>
                <w:tcPr>
                  <w:tcW w:w="374" w:type="pct"/>
                  <w:tcBorders>
                    <w:tl2br w:val="nil"/>
                    <w:tr2bl w:val="nil"/>
                  </w:tcBorders>
                  <w:noWrap w:val="0"/>
                  <w:vAlign w:val="center"/>
                </w:tcPr>
                <w:p w14:paraId="23D2092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w:t>
                  </w:r>
                </w:p>
              </w:tc>
              <w:tc>
                <w:tcPr>
                  <w:tcW w:w="374" w:type="pct"/>
                  <w:tcBorders>
                    <w:tl2br w:val="nil"/>
                    <w:tr2bl w:val="nil"/>
                  </w:tcBorders>
                  <w:noWrap w:val="0"/>
                  <w:vAlign w:val="center"/>
                </w:tcPr>
                <w:p w14:paraId="549EAC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kern w:val="21"/>
                      <w:sz w:val="21"/>
                      <w:szCs w:val="21"/>
                      <w:highlight w:val="none"/>
                      <w:lang w:val="en-US" w:eastAsia="zh-CN"/>
                    </w:rPr>
                    <w:t>0</w:t>
                  </w:r>
                </w:p>
              </w:tc>
              <w:tc>
                <w:tcPr>
                  <w:tcW w:w="301" w:type="pct"/>
                  <w:tcBorders>
                    <w:tl2br w:val="nil"/>
                    <w:tr2bl w:val="nil"/>
                  </w:tcBorders>
                  <w:noWrap w:val="0"/>
                  <w:vAlign w:val="center"/>
                </w:tcPr>
                <w:p w14:paraId="20D232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w:t>
                  </w:r>
                </w:p>
              </w:tc>
              <w:tc>
                <w:tcPr>
                  <w:tcW w:w="272" w:type="pct"/>
                  <w:tcBorders>
                    <w:tl2br w:val="nil"/>
                    <w:tr2bl w:val="nil"/>
                  </w:tcBorders>
                  <w:noWrap w:val="0"/>
                  <w:vAlign w:val="center"/>
                </w:tcPr>
                <w:p w14:paraId="5B8308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en-US" w:eastAsia="zh-CN"/>
                    </w:rPr>
                    <w:t>物料衡算法</w:t>
                  </w:r>
                </w:p>
              </w:tc>
              <w:tc>
                <w:tcPr>
                  <w:tcW w:w="245" w:type="pct"/>
                  <w:vMerge w:val="continue"/>
                  <w:tcBorders>
                    <w:tl2br w:val="nil"/>
                    <w:tr2bl w:val="nil"/>
                  </w:tcBorders>
                  <w:noWrap w:val="0"/>
                  <w:vAlign w:val="center"/>
                </w:tcPr>
                <w:p w14:paraId="0E0D19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308" w:type="pct"/>
                  <w:tcBorders>
                    <w:tl2br w:val="nil"/>
                    <w:tr2bl w:val="nil"/>
                  </w:tcBorders>
                  <w:noWrap w:val="0"/>
                  <w:vAlign w:val="center"/>
                </w:tcPr>
                <w:p w14:paraId="62EA2B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23.42</w:t>
                  </w:r>
                </w:p>
              </w:tc>
              <w:tc>
                <w:tcPr>
                  <w:tcW w:w="285" w:type="pct"/>
                  <w:tcBorders>
                    <w:tl2br w:val="nil"/>
                    <w:tr2bl w:val="nil"/>
                  </w:tcBorders>
                  <w:noWrap w:val="0"/>
                  <w:vAlign w:val="center"/>
                </w:tcPr>
                <w:p w14:paraId="40D83FD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0.544</w:t>
                  </w:r>
                </w:p>
              </w:tc>
              <w:tc>
                <w:tcPr>
                  <w:tcW w:w="204" w:type="pct"/>
                  <w:vMerge w:val="continue"/>
                  <w:tcBorders>
                    <w:tl2br w:val="nil"/>
                    <w:tr2bl w:val="nil"/>
                  </w:tcBorders>
                  <w:noWrap w:val="0"/>
                  <w:vAlign w:val="center"/>
                </w:tcPr>
                <w:p w14:paraId="222EDE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r>
            <w:tr w14:paraId="17274809">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vMerge w:val="continue"/>
                  <w:tcBorders>
                    <w:tl2br w:val="nil"/>
                    <w:tr2bl w:val="nil"/>
                  </w:tcBorders>
                  <w:noWrap w:val="0"/>
                  <w:vAlign w:val="center"/>
                </w:tcPr>
                <w:p w14:paraId="41600B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223" w:type="pct"/>
                  <w:vMerge w:val="continue"/>
                  <w:tcBorders>
                    <w:tl2br w:val="nil"/>
                    <w:tr2bl w:val="nil"/>
                  </w:tcBorders>
                  <w:noWrap w:val="0"/>
                  <w:vAlign w:val="center"/>
                </w:tcPr>
                <w:p w14:paraId="784D76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273" w:type="pct"/>
                  <w:vMerge w:val="continue"/>
                  <w:tcBorders>
                    <w:tl2br w:val="nil"/>
                    <w:tr2bl w:val="nil"/>
                  </w:tcBorders>
                  <w:noWrap w:val="0"/>
                  <w:vAlign w:val="center"/>
                </w:tcPr>
                <w:p w14:paraId="109E7B2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335" w:type="pct"/>
                  <w:tcBorders>
                    <w:tl2br w:val="nil"/>
                    <w:tr2bl w:val="nil"/>
                  </w:tcBorders>
                  <w:noWrap w:val="0"/>
                  <w:vAlign w:val="center"/>
                </w:tcPr>
                <w:p w14:paraId="7597514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kern w:val="21"/>
                      <w:sz w:val="21"/>
                      <w:szCs w:val="21"/>
                      <w:highlight w:val="none"/>
                    </w:rPr>
                    <w:t>NO</w:t>
                  </w:r>
                  <w:r>
                    <w:rPr>
                      <w:rFonts w:hint="default" w:ascii="Times New Roman" w:hAnsi="Times New Roman" w:eastAsia="宋体" w:cs="Times New Roman"/>
                      <w:color w:val="auto"/>
                      <w:spacing w:val="0"/>
                      <w:kern w:val="21"/>
                      <w:sz w:val="21"/>
                      <w:szCs w:val="21"/>
                      <w:highlight w:val="none"/>
                      <w:vertAlign w:val="subscript"/>
                    </w:rPr>
                    <w:t>X</w:t>
                  </w:r>
                </w:p>
              </w:tc>
              <w:tc>
                <w:tcPr>
                  <w:tcW w:w="475" w:type="pct"/>
                  <w:tcBorders>
                    <w:tl2br w:val="nil"/>
                    <w:tr2bl w:val="nil"/>
                  </w:tcBorders>
                  <w:noWrap w:val="0"/>
                  <w:vAlign w:val="center"/>
                </w:tcPr>
                <w:p w14:paraId="2415202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en-US" w:eastAsia="zh-CN"/>
                    </w:rPr>
                    <w:t>物料衡算法</w:t>
                  </w:r>
                </w:p>
              </w:tc>
              <w:tc>
                <w:tcPr>
                  <w:tcW w:w="363" w:type="pct"/>
                  <w:vMerge w:val="continue"/>
                  <w:tcBorders>
                    <w:tl2br w:val="nil"/>
                    <w:tr2bl w:val="nil"/>
                  </w:tcBorders>
                  <w:noWrap w:val="0"/>
                  <w:vAlign w:val="center"/>
                </w:tcPr>
                <w:p w14:paraId="49A51F7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385" w:type="pct"/>
                  <w:tcBorders>
                    <w:tl2br w:val="nil"/>
                    <w:tr2bl w:val="nil"/>
                  </w:tcBorders>
                  <w:noWrap w:val="0"/>
                  <w:vAlign w:val="center"/>
                </w:tcPr>
                <w:p w14:paraId="48AE69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150</w:t>
                  </w:r>
                </w:p>
              </w:tc>
              <w:tc>
                <w:tcPr>
                  <w:tcW w:w="385" w:type="pct"/>
                  <w:tcBorders>
                    <w:tl2br w:val="nil"/>
                    <w:tr2bl w:val="nil"/>
                  </w:tcBorders>
                  <w:noWrap w:val="0"/>
                  <w:vAlign w:val="center"/>
                </w:tcPr>
                <w:p w14:paraId="4CFA45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0.602</w:t>
                  </w:r>
                </w:p>
              </w:tc>
              <w:tc>
                <w:tcPr>
                  <w:tcW w:w="374" w:type="pct"/>
                  <w:tcBorders>
                    <w:tl2br w:val="nil"/>
                    <w:tr2bl w:val="nil"/>
                  </w:tcBorders>
                  <w:noWrap w:val="0"/>
                  <w:vAlign w:val="center"/>
                </w:tcPr>
                <w:p w14:paraId="12AA51D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cs="Times New Roman"/>
                      <w:color w:val="auto"/>
                      <w:spacing w:val="0"/>
                      <w:sz w:val="21"/>
                      <w:szCs w:val="21"/>
                      <w:highlight w:val="none"/>
                      <w:lang w:val="en-US" w:eastAsia="zh-CN"/>
                    </w:rPr>
                    <w:t>/</w:t>
                  </w:r>
                </w:p>
              </w:tc>
              <w:tc>
                <w:tcPr>
                  <w:tcW w:w="374" w:type="pct"/>
                  <w:tcBorders>
                    <w:tl2br w:val="nil"/>
                    <w:tr2bl w:val="nil"/>
                  </w:tcBorders>
                  <w:noWrap w:val="0"/>
                  <w:vAlign w:val="center"/>
                </w:tcPr>
                <w:p w14:paraId="11D38A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kern w:val="21"/>
                      <w:sz w:val="21"/>
                      <w:szCs w:val="21"/>
                      <w:highlight w:val="none"/>
                      <w:lang w:val="en-US" w:eastAsia="zh-CN"/>
                    </w:rPr>
                    <w:t>/</w:t>
                  </w:r>
                </w:p>
              </w:tc>
              <w:tc>
                <w:tcPr>
                  <w:tcW w:w="301" w:type="pct"/>
                  <w:tcBorders>
                    <w:tl2br w:val="nil"/>
                    <w:tr2bl w:val="nil"/>
                  </w:tcBorders>
                  <w:noWrap w:val="0"/>
                  <w:vAlign w:val="center"/>
                </w:tcPr>
                <w:p w14:paraId="1F091A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w:t>
                  </w:r>
                </w:p>
              </w:tc>
              <w:tc>
                <w:tcPr>
                  <w:tcW w:w="272" w:type="pct"/>
                  <w:tcBorders>
                    <w:tl2br w:val="nil"/>
                    <w:tr2bl w:val="nil"/>
                  </w:tcBorders>
                  <w:noWrap w:val="0"/>
                  <w:vAlign w:val="center"/>
                </w:tcPr>
                <w:p w14:paraId="5FD4AE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en-US" w:eastAsia="zh-CN"/>
                    </w:rPr>
                    <w:t>物料衡算法</w:t>
                  </w:r>
                </w:p>
              </w:tc>
              <w:tc>
                <w:tcPr>
                  <w:tcW w:w="245" w:type="pct"/>
                  <w:vMerge w:val="continue"/>
                  <w:tcBorders>
                    <w:tl2br w:val="nil"/>
                    <w:tr2bl w:val="nil"/>
                  </w:tcBorders>
                  <w:noWrap w:val="0"/>
                  <w:vAlign w:val="center"/>
                </w:tcPr>
                <w:p w14:paraId="1A7007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308" w:type="pct"/>
                  <w:tcBorders>
                    <w:tl2br w:val="nil"/>
                    <w:tr2bl w:val="nil"/>
                  </w:tcBorders>
                  <w:noWrap w:val="0"/>
                  <w:vAlign w:val="center"/>
                </w:tcPr>
                <w:p w14:paraId="38152A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150</w:t>
                  </w:r>
                </w:p>
              </w:tc>
              <w:tc>
                <w:tcPr>
                  <w:tcW w:w="285" w:type="pct"/>
                  <w:tcBorders>
                    <w:tl2br w:val="nil"/>
                    <w:tr2bl w:val="nil"/>
                  </w:tcBorders>
                  <w:noWrap w:val="0"/>
                  <w:vAlign w:val="center"/>
                </w:tcPr>
                <w:p w14:paraId="61B363D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3.</w:t>
                  </w:r>
                  <w:r>
                    <w:rPr>
                      <w:rFonts w:hint="eastAsia" w:ascii="Times New Roman" w:hAnsi="Times New Roman" w:cs="Times New Roman"/>
                      <w:color w:val="auto"/>
                      <w:spacing w:val="0"/>
                      <w:sz w:val="21"/>
                      <w:szCs w:val="21"/>
                      <w:highlight w:val="none"/>
                      <w:lang w:val="en-US" w:eastAsia="zh-CN"/>
                    </w:rPr>
                    <w:t>50</w:t>
                  </w:r>
                </w:p>
              </w:tc>
              <w:tc>
                <w:tcPr>
                  <w:tcW w:w="204" w:type="pct"/>
                  <w:vMerge w:val="continue"/>
                  <w:tcBorders>
                    <w:tl2br w:val="nil"/>
                    <w:tr2bl w:val="nil"/>
                  </w:tcBorders>
                  <w:noWrap w:val="0"/>
                  <w:vAlign w:val="center"/>
                </w:tcPr>
                <w:p w14:paraId="492A795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r>
            <w:tr w14:paraId="6D2EB4F1">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vMerge w:val="continue"/>
                  <w:tcBorders>
                    <w:tl2br w:val="nil"/>
                    <w:tr2bl w:val="nil"/>
                  </w:tcBorders>
                  <w:noWrap w:val="0"/>
                  <w:vAlign w:val="center"/>
                </w:tcPr>
                <w:p w14:paraId="4AEABC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223" w:type="pct"/>
                  <w:vMerge w:val="continue"/>
                  <w:tcBorders>
                    <w:tl2br w:val="nil"/>
                    <w:tr2bl w:val="nil"/>
                  </w:tcBorders>
                  <w:noWrap w:val="0"/>
                  <w:vAlign w:val="center"/>
                </w:tcPr>
                <w:p w14:paraId="642D149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273" w:type="pct"/>
                  <w:vMerge w:val="continue"/>
                  <w:tcBorders>
                    <w:tl2br w:val="nil"/>
                    <w:tr2bl w:val="nil"/>
                  </w:tcBorders>
                  <w:noWrap w:val="0"/>
                  <w:vAlign w:val="center"/>
                </w:tcPr>
                <w:p w14:paraId="29771B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335" w:type="pct"/>
                  <w:tcBorders>
                    <w:tl2br w:val="nil"/>
                    <w:tr2bl w:val="nil"/>
                  </w:tcBorders>
                  <w:shd w:val="clear" w:color="auto" w:fill="auto"/>
                  <w:noWrap w:val="0"/>
                  <w:vAlign w:val="center"/>
                </w:tcPr>
                <w:p w14:paraId="7508EB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kern w:val="21"/>
                      <w:sz w:val="21"/>
                      <w:szCs w:val="21"/>
                      <w:highlight w:val="none"/>
                      <w:lang w:val="en-US" w:eastAsia="zh-CN" w:bidi="ar-SA"/>
                    </w:rPr>
                  </w:pPr>
                  <w:r>
                    <w:rPr>
                      <w:rFonts w:hint="default" w:ascii="Times New Roman" w:hAnsi="Times New Roman" w:cs="Times New Roman"/>
                      <w:color w:val="auto"/>
                      <w:spacing w:val="0"/>
                      <w:kern w:val="21"/>
                      <w:sz w:val="21"/>
                      <w:szCs w:val="21"/>
                      <w:highlight w:val="none"/>
                      <w:lang w:val="en-US" w:eastAsia="zh-CN"/>
                    </w:rPr>
                    <w:t>烟气黑度</w:t>
                  </w:r>
                </w:p>
              </w:tc>
              <w:tc>
                <w:tcPr>
                  <w:tcW w:w="475" w:type="pct"/>
                  <w:tcBorders>
                    <w:tl2br w:val="nil"/>
                    <w:tr2bl w:val="nil"/>
                  </w:tcBorders>
                  <w:shd w:val="clear" w:color="auto" w:fill="auto"/>
                  <w:noWrap w:val="0"/>
                  <w:vAlign w:val="center"/>
                </w:tcPr>
                <w:p w14:paraId="5ACB72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cs="Times New Roman"/>
                      <w:color w:val="auto"/>
                      <w:spacing w:val="0"/>
                      <w:sz w:val="21"/>
                      <w:szCs w:val="21"/>
                      <w:highlight w:val="none"/>
                      <w:lang w:val="en-US" w:eastAsia="zh-CN"/>
                    </w:rPr>
                    <w:t>/</w:t>
                  </w:r>
                </w:p>
              </w:tc>
              <w:tc>
                <w:tcPr>
                  <w:tcW w:w="363" w:type="pct"/>
                  <w:vMerge w:val="continue"/>
                  <w:tcBorders>
                    <w:tl2br w:val="nil"/>
                    <w:tr2bl w:val="nil"/>
                  </w:tcBorders>
                  <w:noWrap w:val="0"/>
                  <w:vAlign w:val="center"/>
                </w:tcPr>
                <w:p w14:paraId="1A8E2A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771" w:type="pct"/>
                  <w:gridSpan w:val="2"/>
                  <w:tcBorders>
                    <w:tl2br w:val="nil"/>
                    <w:tr2bl w:val="nil"/>
                  </w:tcBorders>
                  <w:shd w:val="clear" w:color="auto" w:fill="auto"/>
                  <w:noWrap w:val="0"/>
                  <w:vAlign w:val="center"/>
                </w:tcPr>
                <w:p w14:paraId="0FE71E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color w:val="auto"/>
                      <w:spacing w:val="0"/>
                      <w:sz w:val="21"/>
                      <w:szCs w:val="21"/>
                      <w:highlight w:val="none"/>
                      <w:lang w:val="en-US" w:eastAsia="zh-CN"/>
                    </w:rPr>
                    <w:t>＜1（林格曼等级）</w:t>
                  </w:r>
                </w:p>
              </w:tc>
              <w:tc>
                <w:tcPr>
                  <w:tcW w:w="374" w:type="pct"/>
                  <w:tcBorders>
                    <w:tl2br w:val="nil"/>
                    <w:tr2bl w:val="nil"/>
                  </w:tcBorders>
                  <w:shd w:val="clear" w:color="auto" w:fill="auto"/>
                  <w:noWrap w:val="0"/>
                  <w:vAlign w:val="center"/>
                </w:tcPr>
                <w:p w14:paraId="55C895C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kern w:val="21"/>
                      <w:sz w:val="21"/>
                      <w:szCs w:val="21"/>
                      <w:highlight w:val="none"/>
                      <w:lang w:val="en-US" w:eastAsia="zh-CN" w:bidi="ar-SA"/>
                    </w:rPr>
                  </w:pPr>
                  <w:r>
                    <w:rPr>
                      <w:rFonts w:hint="default" w:ascii="Times New Roman" w:hAnsi="Times New Roman" w:cs="Times New Roman"/>
                      <w:color w:val="auto"/>
                      <w:spacing w:val="0"/>
                      <w:kern w:val="21"/>
                      <w:sz w:val="21"/>
                      <w:szCs w:val="21"/>
                      <w:highlight w:val="none"/>
                      <w:lang w:val="en-US" w:eastAsia="zh-CN"/>
                    </w:rPr>
                    <w:t>/</w:t>
                  </w:r>
                </w:p>
              </w:tc>
              <w:tc>
                <w:tcPr>
                  <w:tcW w:w="374" w:type="pct"/>
                  <w:tcBorders>
                    <w:tl2br w:val="nil"/>
                    <w:tr2bl w:val="nil"/>
                  </w:tcBorders>
                  <w:shd w:val="clear" w:color="auto" w:fill="auto"/>
                  <w:noWrap w:val="0"/>
                  <w:vAlign w:val="center"/>
                </w:tcPr>
                <w:p w14:paraId="77D4CB5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cs="Times New Roman"/>
                      <w:color w:val="auto"/>
                      <w:spacing w:val="0"/>
                      <w:sz w:val="21"/>
                      <w:szCs w:val="21"/>
                      <w:highlight w:val="none"/>
                      <w:lang w:val="en-US" w:eastAsia="zh-CN"/>
                    </w:rPr>
                    <w:t>/</w:t>
                  </w:r>
                </w:p>
              </w:tc>
              <w:tc>
                <w:tcPr>
                  <w:tcW w:w="301" w:type="pct"/>
                  <w:tcBorders>
                    <w:tl2br w:val="nil"/>
                    <w:tr2bl w:val="nil"/>
                  </w:tcBorders>
                  <w:shd w:val="clear" w:color="auto" w:fill="auto"/>
                  <w:noWrap w:val="0"/>
                  <w:vAlign w:val="center"/>
                </w:tcPr>
                <w:p w14:paraId="5D182D0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cs="Times New Roman"/>
                      <w:color w:val="auto"/>
                      <w:spacing w:val="0"/>
                      <w:sz w:val="21"/>
                      <w:szCs w:val="21"/>
                      <w:highlight w:val="none"/>
                      <w:lang w:val="en-US" w:eastAsia="zh-CN"/>
                    </w:rPr>
                    <w:t>/</w:t>
                  </w:r>
                </w:p>
              </w:tc>
              <w:tc>
                <w:tcPr>
                  <w:tcW w:w="272" w:type="pct"/>
                  <w:tcBorders>
                    <w:tl2br w:val="nil"/>
                    <w:tr2bl w:val="nil"/>
                  </w:tcBorders>
                  <w:noWrap w:val="0"/>
                  <w:vAlign w:val="center"/>
                </w:tcPr>
                <w:p w14:paraId="41D43C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p>
              </w:tc>
              <w:tc>
                <w:tcPr>
                  <w:tcW w:w="245" w:type="pct"/>
                  <w:vMerge w:val="continue"/>
                  <w:tcBorders>
                    <w:tl2br w:val="nil"/>
                    <w:tr2bl w:val="nil"/>
                  </w:tcBorders>
                  <w:shd w:val="clear" w:color="auto" w:fill="auto"/>
                  <w:noWrap w:val="0"/>
                  <w:vAlign w:val="center"/>
                </w:tcPr>
                <w:p w14:paraId="3CE3C4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p>
              </w:tc>
              <w:tc>
                <w:tcPr>
                  <w:tcW w:w="593" w:type="pct"/>
                  <w:gridSpan w:val="2"/>
                  <w:tcBorders>
                    <w:tl2br w:val="nil"/>
                    <w:tr2bl w:val="nil"/>
                  </w:tcBorders>
                  <w:noWrap w:val="0"/>
                  <w:vAlign w:val="center"/>
                </w:tcPr>
                <w:p w14:paraId="035928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＜1（林格曼等级）</w:t>
                  </w:r>
                </w:p>
              </w:tc>
              <w:tc>
                <w:tcPr>
                  <w:tcW w:w="204" w:type="pct"/>
                  <w:vMerge w:val="continue"/>
                  <w:tcBorders>
                    <w:tl2br w:val="nil"/>
                    <w:tr2bl w:val="nil"/>
                  </w:tcBorders>
                  <w:noWrap w:val="0"/>
                  <w:vAlign w:val="center"/>
                </w:tcPr>
                <w:p w14:paraId="2AB679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r>
            <w:tr w14:paraId="789841B5">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tcBorders>
                    <w:tl2br w:val="nil"/>
                    <w:tr2bl w:val="nil"/>
                  </w:tcBorders>
                  <w:noWrap w:val="0"/>
                  <w:vAlign w:val="center"/>
                </w:tcPr>
                <w:p w14:paraId="733583F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灰渣转运</w:t>
                  </w:r>
                </w:p>
              </w:tc>
              <w:tc>
                <w:tcPr>
                  <w:tcW w:w="223" w:type="pct"/>
                  <w:tcBorders>
                    <w:tl2br w:val="nil"/>
                    <w:tr2bl w:val="nil"/>
                  </w:tcBorders>
                  <w:noWrap w:val="0"/>
                  <w:vAlign w:val="center"/>
                </w:tcPr>
                <w:p w14:paraId="215742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kern w:val="21"/>
                      <w:sz w:val="21"/>
                      <w:szCs w:val="21"/>
                      <w:highlight w:val="none"/>
                      <w:lang w:val="en-US" w:eastAsia="zh-CN"/>
                    </w:rPr>
                  </w:pPr>
                  <w:r>
                    <w:rPr>
                      <w:rFonts w:hint="default" w:ascii="Times New Roman" w:hAnsi="Times New Roman" w:cs="Times New Roman"/>
                      <w:color w:val="auto"/>
                      <w:spacing w:val="0"/>
                      <w:kern w:val="21"/>
                      <w:sz w:val="21"/>
                      <w:szCs w:val="21"/>
                      <w:highlight w:val="none"/>
                      <w:lang w:val="en-US" w:eastAsia="zh-CN"/>
                    </w:rPr>
                    <w:t>灰渣</w:t>
                  </w:r>
                  <w:r>
                    <w:rPr>
                      <w:rFonts w:hint="eastAsia" w:ascii="Times New Roman" w:hAnsi="Times New Roman" w:cs="Times New Roman"/>
                      <w:color w:val="auto"/>
                      <w:spacing w:val="0"/>
                      <w:kern w:val="21"/>
                      <w:sz w:val="21"/>
                      <w:szCs w:val="21"/>
                      <w:highlight w:val="none"/>
                      <w:lang w:val="en-US" w:eastAsia="zh-CN"/>
                    </w:rPr>
                    <w:t>贮存间</w:t>
                  </w:r>
                </w:p>
              </w:tc>
              <w:tc>
                <w:tcPr>
                  <w:tcW w:w="273" w:type="pct"/>
                  <w:tcBorders>
                    <w:tl2br w:val="nil"/>
                    <w:tr2bl w:val="nil"/>
                  </w:tcBorders>
                  <w:noWrap w:val="0"/>
                  <w:vAlign w:val="center"/>
                </w:tcPr>
                <w:p w14:paraId="3B5173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kern w:val="21"/>
                      <w:sz w:val="21"/>
                      <w:szCs w:val="21"/>
                      <w:highlight w:val="none"/>
                      <w:lang w:val="en-US" w:eastAsia="zh-CN"/>
                    </w:rPr>
                  </w:pPr>
                  <w:r>
                    <w:rPr>
                      <w:rFonts w:hint="default" w:ascii="Times New Roman" w:hAnsi="Times New Roman" w:cs="Times New Roman"/>
                      <w:color w:val="auto"/>
                      <w:spacing w:val="0"/>
                      <w:kern w:val="21"/>
                      <w:sz w:val="21"/>
                      <w:szCs w:val="21"/>
                      <w:highlight w:val="none"/>
                      <w:lang w:val="en-US" w:eastAsia="zh-CN"/>
                    </w:rPr>
                    <w:t>灰渣</w:t>
                  </w:r>
                  <w:r>
                    <w:rPr>
                      <w:rFonts w:hint="eastAsia" w:ascii="Times New Roman" w:hAnsi="Times New Roman" w:cs="Times New Roman"/>
                      <w:color w:val="auto"/>
                      <w:spacing w:val="0"/>
                      <w:kern w:val="21"/>
                      <w:sz w:val="21"/>
                      <w:szCs w:val="21"/>
                      <w:highlight w:val="none"/>
                      <w:lang w:val="en-US" w:eastAsia="zh-CN"/>
                    </w:rPr>
                    <w:t>贮存间</w:t>
                  </w:r>
                </w:p>
              </w:tc>
              <w:tc>
                <w:tcPr>
                  <w:tcW w:w="335" w:type="pct"/>
                  <w:tcBorders>
                    <w:tl2br w:val="nil"/>
                    <w:tr2bl w:val="nil"/>
                  </w:tcBorders>
                  <w:noWrap w:val="0"/>
                  <w:vAlign w:val="center"/>
                </w:tcPr>
                <w:p w14:paraId="5905DC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kern w:val="21"/>
                      <w:sz w:val="21"/>
                      <w:szCs w:val="21"/>
                      <w:highlight w:val="none"/>
                      <w:lang w:val="en-US" w:eastAsia="zh-CN"/>
                    </w:rPr>
                  </w:pPr>
                  <w:r>
                    <w:rPr>
                      <w:rFonts w:hint="default" w:ascii="Times New Roman" w:hAnsi="Times New Roman" w:cs="Times New Roman"/>
                      <w:color w:val="auto"/>
                      <w:spacing w:val="0"/>
                      <w:kern w:val="21"/>
                      <w:sz w:val="21"/>
                      <w:szCs w:val="21"/>
                      <w:highlight w:val="none"/>
                      <w:lang w:val="en-US" w:eastAsia="zh-CN"/>
                    </w:rPr>
                    <w:t>颗粒物</w:t>
                  </w:r>
                </w:p>
              </w:tc>
              <w:tc>
                <w:tcPr>
                  <w:tcW w:w="475" w:type="pct"/>
                  <w:tcBorders>
                    <w:tl2br w:val="nil"/>
                    <w:tr2bl w:val="nil"/>
                  </w:tcBorders>
                  <w:noWrap w:val="0"/>
                  <w:vAlign w:val="center"/>
                </w:tcPr>
                <w:p w14:paraId="2E74E71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bCs/>
                      <w:color w:val="auto"/>
                      <w:sz w:val="21"/>
                      <w:szCs w:val="21"/>
                      <w:highlight w:val="none"/>
                    </w:rPr>
                    <w:t>产排污系数法</w:t>
                  </w:r>
                </w:p>
              </w:tc>
              <w:tc>
                <w:tcPr>
                  <w:tcW w:w="363" w:type="pct"/>
                  <w:tcBorders>
                    <w:tl2br w:val="nil"/>
                    <w:tr2bl w:val="nil"/>
                  </w:tcBorders>
                  <w:noWrap w:val="0"/>
                  <w:vAlign w:val="center"/>
                </w:tcPr>
                <w:p w14:paraId="489E405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w:t>
                  </w:r>
                </w:p>
              </w:tc>
              <w:tc>
                <w:tcPr>
                  <w:tcW w:w="385" w:type="pct"/>
                  <w:tcBorders>
                    <w:tl2br w:val="nil"/>
                    <w:tr2bl w:val="nil"/>
                  </w:tcBorders>
                  <w:noWrap w:val="0"/>
                  <w:vAlign w:val="center"/>
                </w:tcPr>
                <w:p w14:paraId="2B4819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w:t>
                  </w:r>
                </w:p>
              </w:tc>
              <w:tc>
                <w:tcPr>
                  <w:tcW w:w="385" w:type="pct"/>
                  <w:tcBorders>
                    <w:tl2br w:val="nil"/>
                    <w:tr2bl w:val="nil"/>
                  </w:tcBorders>
                  <w:noWrap w:val="0"/>
                  <w:vAlign w:val="center"/>
                </w:tcPr>
                <w:p w14:paraId="3113D3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0.879</w:t>
                  </w:r>
                </w:p>
              </w:tc>
              <w:tc>
                <w:tcPr>
                  <w:tcW w:w="374" w:type="pct"/>
                  <w:tcBorders>
                    <w:tl2br w:val="nil"/>
                    <w:tr2bl w:val="nil"/>
                  </w:tcBorders>
                  <w:noWrap w:val="0"/>
                  <w:vAlign w:val="center"/>
                </w:tcPr>
                <w:p w14:paraId="38B5385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密闭+洒水抑尘</w:t>
                  </w:r>
                </w:p>
              </w:tc>
              <w:tc>
                <w:tcPr>
                  <w:tcW w:w="374" w:type="pct"/>
                  <w:tcBorders>
                    <w:tl2br w:val="nil"/>
                    <w:tr2bl w:val="nil"/>
                  </w:tcBorders>
                  <w:noWrap w:val="0"/>
                  <w:vAlign w:val="center"/>
                </w:tcPr>
                <w:p w14:paraId="34CFC9E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kern w:val="21"/>
                      <w:sz w:val="21"/>
                      <w:szCs w:val="21"/>
                      <w:highlight w:val="none"/>
                      <w:lang w:val="en-US" w:eastAsia="zh-CN"/>
                    </w:rPr>
                  </w:pPr>
                  <w:r>
                    <w:rPr>
                      <w:rFonts w:hint="default" w:ascii="Times New Roman" w:hAnsi="Times New Roman" w:cs="Times New Roman"/>
                      <w:color w:val="auto"/>
                      <w:spacing w:val="0"/>
                      <w:kern w:val="21"/>
                      <w:sz w:val="21"/>
                      <w:szCs w:val="21"/>
                      <w:highlight w:val="none"/>
                      <w:lang w:val="en-US" w:eastAsia="zh-CN"/>
                    </w:rPr>
                    <w:t>70</w:t>
                  </w:r>
                </w:p>
              </w:tc>
              <w:tc>
                <w:tcPr>
                  <w:tcW w:w="301" w:type="pct"/>
                  <w:tcBorders>
                    <w:tl2br w:val="nil"/>
                    <w:tr2bl w:val="nil"/>
                  </w:tcBorders>
                  <w:noWrap w:val="0"/>
                  <w:vAlign w:val="center"/>
                </w:tcPr>
                <w:p w14:paraId="174E8C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是</w:t>
                  </w:r>
                </w:p>
              </w:tc>
              <w:tc>
                <w:tcPr>
                  <w:tcW w:w="272" w:type="pct"/>
                  <w:tcBorders>
                    <w:tl2br w:val="nil"/>
                    <w:tr2bl w:val="nil"/>
                  </w:tcBorders>
                  <w:noWrap w:val="0"/>
                  <w:vAlign w:val="center"/>
                </w:tcPr>
                <w:p w14:paraId="41083EA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bCs/>
                      <w:color w:val="auto"/>
                      <w:sz w:val="21"/>
                      <w:szCs w:val="21"/>
                      <w:highlight w:val="none"/>
                    </w:rPr>
                    <w:t>产排污系数法</w:t>
                  </w:r>
                </w:p>
              </w:tc>
              <w:tc>
                <w:tcPr>
                  <w:tcW w:w="245" w:type="pct"/>
                  <w:tcBorders>
                    <w:tl2br w:val="nil"/>
                    <w:tr2bl w:val="nil"/>
                  </w:tcBorders>
                  <w:noWrap w:val="0"/>
                  <w:vAlign w:val="center"/>
                </w:tcPr>
                <w:p w14:paraId="71D533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w:t>
                  </w:r>
                </w:p>
              </w:tc>
              <w:tc>
                <w:tcPr>
                  <w:tcW w:w="308" w:type="pct"/>
                  <w:tcBorders>
                    <w:tl2br w:val="nil"/>
                    <w:tr2bl w:val="nil"/>
                  </w:tcBorders>
                  <w:noWrap w:val="0"/>
                  <w:vAlign w:val="center"/>
                </w:tcPr>
                <w:p w14:paraId="3CD47F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w:t>
                  </w:r>
                </w:p>
              </w:tc>
              <w:tc>
                <w:tcPr>
                  <w:tcW w:w="285" w:type="pct"/>
                  <w:tcBorders>
                    <w:tl2br w:val="nil"/>
                    <w:tr2bl w:val="nil"/>
                  </w:tcBorders>
                  <w:noWrap w:val="0"/>
                  <w:vAlign w:val="center"/>
                </w:tcPr>
                <w:p w14:paraId="0580DB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0.0029</w:t>
                  </w:r>
                </w:p>
              </w:tc>
              <w:tc>
                <w:tcPr>
                  <w:tcW w:w="204" w:type="pct"/>
                  <w:tcBorders>
                    <w:tl2br w:val="nil"/>
                    <w:tr2bl w:val="nil"/>
                  </w:tcBorders>
                  <w:noWrap w:val="0"/>
                  <w:vAlign w:val="center"/>
                </w:tcPr>
                <w:p w14:paraId="27D106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11</w:t>
                  </w:r>
                </w:p>
              </w:tc>
            </w:tr>
          </w:tbl>
          <w:p w14:paraId="7673FA89">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color w:val="auto"/>
                <w:spacing w:val="0"/>
                <w:sz w:val="24"/>
                <w:szCs w:val="24"/>
                <w:highlight w:val="none"/>
              </w:rPr>
            </w:pPr>
          </w:p>
        </w:tc>
      </w:tr>
    </w:tbl>
    <w:p w14:paraId="2BC673DB">
      <w:pPr>
        <w:rPr>
          <w:rFonts w:hint="default" w:ascii="Times New Roman" w:hAnsi="Times New Roman" w:eastAsia="宋体" w:cs="Times New Roman"/>
          <w:color w:val="auto"/>
          <w:spacing w:val="0"/>
          <w:highlight w:val="none"/>
        </w:rPr>
        <w:sectPr>
          <w:pgSz w:w="16840" w:h="11907" w:orient="landscape"/>
          <w:pgMar w:top="1803" w:right="1440" w:bottom="1803"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tbl>
      <w:tblPr>
        <w:tblStyle w:val="35"/>
        <w:tblW w:w="509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06"/>
        <w:gridCol w:w="8191"/>
      </w:tblGrid>
      <w:tr w14:paraId="042411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553" w:hRule="atLeast"/>
          <w:jc w:val="center"/>
        </w:trPr>
        <w:tc>
          <w:tcPr>
            <w:tcW w:w="406" w:type="dxa"/>
            <w:noWrap w:val="0"/>
            <w:tcMar>
              <w:left w:w="28" w:type="dxa"/>
              <w:right w:w="28" w:type="dxa"/>
            </w:tcMar>
            <w:vAlign w:val="center"/>
          </w:tcPr>
          <w:p w14:paraId="17ACF6A8">
            <w:pPr>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8110" w:type="dxa"/>
            <w:tcBorders>
              <w:top w:val="single" w:color="auto" w:sz="4" w:space="0"/>
              <w:bottom w:val="single" w:color="auto" w:sz="4" w:space="0"/>
            </w:tcBorders>
            <w:noWrap w:val="0"/>
            <w:vAlign w:val="center"/>
          </w:tcPr>
          <w:p w14:paraId="74C25436">
            <w:pPr>
              <w:pStyle w:val="112"/>
              <w:rPr>
                <w:rFonts w:hint="default" w:ascii="Times New Roman" w:hAnsi="Times New Roman" w:eastAsia="宋体" w:cs="Times New Roman"/>
                <w:color w:val="auto"/>
                <w:spacing w:val="0"/>
                <w:highlight w:val="none"/>
                <w:lang w:val="en-US" w:eastAsia="zh-CN"/>
              </w:rPr>
            </w:pPr>
            <w:r>
              <w:rPr>
                <w:rFonts w:hint="default" w:ascii="Times New Roman" w:hAnsi="Times New Roman" w:eastAsia="宋体" w:cs="Times New Roman"/>
                <w:color w:val="auto"/>
                <w:spacing w:val="0"/>
                <w:highlight w:val="none"/>
                <w:lang w:val="en-US" w:eastAsia="zh-CN"/>
              </w:rPr>
              <w:t>大气排放口参数情况如下：</w:t>
            </w:r>
          </w:p>
          <w:p w14:paraId="4152998B">
            <w:pPr>
              <w:pStyle w:val="1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eastAsia="宋体" w:cs="Times New Roman"/>
                <w:b/>
                <w:bCs/>
                <w:color w:val="auto"/>
                <w:spacing w:val="0"/>
                <w:sz w:val="21"/>
                <w:szCs w:val="21"/>
                <w:highlight w:val="none"/>
                <w:lang w:val="en-US" w:eastAsia="zh-CN"/>
              </w:rPr>
              <w:t>表4-</w:t>
            </w:r>
            <w:r>
              <w:rPr>
                <w:rFonts w:hint="default" w:ascii="Times New Roman" w:hAnsi="Times New Roman" w:cs="Times New Roman"/>
                <w:b/>
                <w:bCs/>
                <w:color w:val="auto"/>
                <w:spacing w:val="0"/>
                <w:sz w:val="21"/>
                <w:szCs w:val="21"/>
                <w:highlight w:val="none"/>
                <w:lang w:val="en-US" w:eastAsia="zh-CN"/>
              </w:rPr>
              <w:t>2</w:t>
            </w:r>
            <w:r>
              <w:rPr>
                <w:rFonts w:hint="default" w:ascii="Times New Roman" w:hAnsi="Times New Roman" w:eastAsia="宋体" w:cs="Times New Roman"/>
                <w:b/>
                <w:bCs/>
                <w:color w:val="auto"/>
                <w:spacing w:val="0"/>
                <w:sz w:val="21"/>
                <w:szCs w:val="21"/>
                <w:highlight w:val="none"/>
                <w:lang w:val="en-US" w:eastAsia="zh-CN"/>
              </w:rPr>
              <w:t xml:space="preserve"> 大气排放口基本情况一览表</w:t>
            </w:r>
          </w:p>
          <w:tbl>
            <w:tblPr>
              <w:tblStyle w:val="35"/>
              <w:tblW w:w="4998" w:type="pct"/>
              <w:jc w:val="center"/>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3"/>
              <w:gridCol w:w="677"/>
              <w:gridCol w:w="1363"/>
              <w:gridCol w:w="1214"/>
              <w:gridCol w:w="1109"/>
              <w:gridCol w:w="833"/>
              <w:gridCol w:w="1020"/>
              <w:gridCol w:w="903"/>
            </w:tblGrid>
            <w:tr w14:paraId="0D440E7C">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79" w:type="pct"/>
                  <w:vMerge w:val="restart"/>
                  <w:tcBorders>
                    <w:tl2br w:val="nil"/>
                    <w:tr2bl w:val="nil"/>
                  </w:tcBorders>
                  <w:noWrap w:val="0"/>
                  <w:vAlign w:val="center"/>
                </w:tcPr>
                <w:p w14:paraId="7A33D20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r>
                    <w:rPr>
                      <w:rFonts w:hint="default" w:ascii="Times New Roman" w:hAnsi="Times New Roman" w:eastAsia="宋体" w:cs="Times New Roman"/>
                      <w:b/>
                      <w:color w:val="auto"/>
                      <w:spacing w:val="0"/>
                      <w:sz w:val="21"/>
                      <w:szCs w:val="21"/>
                      <w:highlight w:val="none"/>
                      <w:lang w:bidi="ar"/>
                    </w:rPr>
                    <w:t>排放口编号</w:t>
                  </w:r>
                </w:p>
              </w:tc>
              <w:tc>
                <w:tcPr>
                  <w:tcW w:w="469" w:type="pct"/>
                  <w:vMerge w:val="restart"/>
                  <w:tcBorders>
                    <w:tl2br w:val="nil"/>
                    <w:tr2bl w:val="nil"/>
                  </w:tcBorders>
                  <w:noWrap w:val="0"/>
                  <w:vAlign w:val="center"/>
                </w:tcPr>
                <w:p w14:paraId="68BD1F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r>
                    <w:rPr>
                      <w:rFonts w:hint="default" w:ascii="Times New Roman" w:hAnsi="Times New Roman" w:eastAsia="宋体" w:cs="Times New Roman"/>
                      <w:b/>
                      <w:color w:val="auto"/>
                      <w:spacing w:val="0"/>
                      <w:sz w:val="21"/>
                      <w:szCs w:val="21"/>
                      <w:highlight w:val="none"/>
                      <w:lang w:bidi="ar"/>
                    </w:rPr>
                    <w:t>排放口名称</w:t>
                  </w:r>
                </w:p>
              </w:tc>
              <w:tc>
                <w:tcPr>
                  <w:tcW w:w="899" w:type="pct"/>
                  <w:vMerge w:val="restart"/>
                  <w:tcBorders>
                    <w:tl2br w:val="nil"/>
                    <w:tr2bl w:val="nil"/>
                  </w:tcBorders>
                  <w:noWrap w:val="0"/>
                  <w:vAlign w:val="center"/>
                </w:tcPr>
                <w:p w14:paraId="11E6711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r>
                    <w:rPr>
                      <w:rFonts w:hint="default" w:ascii="Times New Roman" w:hAnsi="Times New Roman" w:eastAsia="宋体" w:cs="Times New Roman"/>
                      <w:b/>
                      <w:color w:val="auto"/>
                      <w:spacing w:val="0"/>
                      <w:sz w:val="21"/>
                      <w:szCs w:val="21"/>
                      <w:highlight w:val="none"/>
                      <w:lang w:bidi="ar"/>
                    </w:rPr>
                    <w:t>污染物种类</w:t>
                  </w:r>
                </w:p>
              </w:tc>
              <w:tc>
                <w:tcPr>
                  <w:tcW w:w="1191" w:type="pct"/>
                  <w:gridSpan w:val="2"/>
                  <w:tcBorders>
                    <w:tl2br w:val="nil"/>
                    <w:tr2bl w:val="nil"/>
                  </w:tcBorders>
                  <w:noWrap w:val="0"/>
                  <w:vAlign w:val="center"/>
                </w:tcPr>
                <w:p w14:paraId="0AB17C1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r>
                    <w:rPr>
                      <w:rFonts w:hint="default" w:ascii="Times New Roman" w:hAnsi="Times New Roman" w:eastAsia="宋体" w:cs="Times New Roman"/>
                      <w:b/>
                      <w:color w:val="auto"/>
                      <w:spacing w:val="0"/>
                      <w:sz w:val="21"/>
                      <w:szCs w:val="21"/>
                      <w:highlight w:val="none"/>
                      <w:lang w:bidi="ar"/>
                    </w:rPr>
                    <w:t>排放口地理坐标/°</w:t>
                  </w:r>
                </w:p>
              </w:tc>
              <w:tc>
                <w:tcPr>
                  <w:tcW w:w="566" w:type="pct"/>
                  <w:vMerge w:val="restart"/>
                  <w:tcBorders>
                    <w:tl2br w:val="nil"/>
                    <w:tr2bl w:val="nil"/>
                  </w:tcBorders>
                  <w:noWrap w:val="0"/>
                  <w:vAlign w:val="center"/>
                </w:tcPr>
                <w:p w14:paraId="16FB8AE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r>
                    <w:rPr>
                      <w:rFonts w:hint="default" w:ascii="Times New Roman" w:hAnsi="Times New Roman" w:eastAsia="宋体" w:cs="Times New Roman"/>
                      <w:b/>
                      <w:color w:val="auto"/>
                      <w:spacing w:val="0"/>
                      <w:sz w:val="21"/>
                      <w:szCs w:val="21"/>
                      <w:highlight w:val="none"/>
                      <w:lang w:bidi="ar"/>
                    </w:rPr>
                    <w:t>排气筒高度</w:t>
                  </w:r>
                </w:p>
                <w:p w14:paraId="6EA936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r>
                    <w:rPr>
                      <w:rFonts w:hint="default" w:ascii="Times New Roman" w:hAnsi="Times New Roman" w:eastAsia="宋体" w:cs="Times New Roman"/>
                      <w:b/>
                      <w:color w:val="auto"/>
                      <w:spacing w:val="0"/>
                      <w:sz w:val="21"/>
                      <w:szCs w:val="21"/>
                      <w:highlight w:val="none"/>
                      <w:lang w:bidi="ar"/>
                    </w:rPr>
                    <w:t>m</w:t>
                  </w:r>
                </w:p>
              </w:tc>
              <w:tc>
                <w:tcPr>
                  <w:tcW w:w="683" w:type="pct"/>
                  <w:vMerge w:val="restart"/>
                  <w:tcBorders>
                    <w:tl2br w:val="nil"/>
                    <w:tr2bl w:val="nil"/>
                  </w:tcBorders>
                  <w:noWrap w:val="0"/>
                  <w:vAlign w:val="center"/>
                </w:tcPr>
                <w:p w14:paraId="52B7D9B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r>
                    <w:rPr>
                      <w:rFonts w:hint="default" w:ascii="Times New Roman" w:hAnsi="Times New Roman" w:eastAsia="宋体" w:cs="Times New Roman"/>
                      <w:b/>
                      <w:color w:val="auto"/>
                      <w:spacing w:val="0"/>
                      <w:sz w:val="21"/>
                      <w:szCs w:val="21"/>
                      <w:highlight w:val="none"/>
                      <w:lang w:bidi="ar"/>
                    </w:rPr>
                    <w:t>排气筒出口内径</w:t>
                  </w:r>
                </w:p>
              </w:tc>
              <w:tc>
                <w:tcPr>
                  <w:tcW w:w="610" w:type="pct"/>
                  <w:vMerge w:val="restart"/>
                  <w:tcBorders>
                    <w:tl2br w:val="nil"/>
                    <w:tr2bl w:val="nil"/>
                  </w:tcBorders>
                  <w:noWrap w:val="0"/>
                  <w:vAlign w:val="center"/>
                </w:tcPr>
                <w:p w14:paraId="2A3FDF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r>
                    <w:rPr>
                      <w:rFonts w:hint="default" w:ascii="Times New Roman" w:hAnsi="Times New Roman" w:eastAsia="宋体" w:cs="Times New Roman"/>
                      <w:b/>
                      <w:color w:val="auto"/>
                      <w:spacing w:val="0"/>
                      <w:sz w:val="21"/>
                      <w:szCs w:val="21"/>
                      <w:highlight w:val="none"/>
                      <w:lang w:bidi="ar"/>
                    </w:rPr>
                    <w:t>排气筒温度°C</w:t>
                  </w:r>
                </w:p>
              </w:tc>
            </w:tr>
            <w:tr w14:paraId="0762971B">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79" w:type="pct"/>
                  <w:vMerge w:val="continue"/>
                  <w:tcBorders>
                    <w:tl2br w:val="nil"/>
                    <w:tr2bl w:val="nil"/>
                  </w:tcBorders>
                  <w:noWrap w:val="0"/>
                  <w:vAlign w:val="center"/>
                </w:tcPr>
                <w:p w14:paraId="7F738A2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p>
              </w:tc>
              <w:tc>
                <w:tcPr>
                  <w:tcW w:w="469" w:type="pct"/>
                  <w:vMerge w:val="continue"/>
                  <w:tcBorders>
                    <w:tl2br w:val="nil"/>
                    <w:tr2bl w:val="nil"/>
                  </w:tcBorders>
                  <w:noWrap w:val="0"/>
                  <w:vAlign w:val="center"/>
                </w:tcPr>
                <w:p w14:paraId="5B02430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p>
              </w:tc>
              <w:tc>
                <w:tcPr>
                  <w:tcW w:w="899" w:type="pct"/>
                  <w:vMerge w:val="continue"/>
                  <w:tcBorders>
                    <w:tl2br w:val="nil"/>
                    <w:tr2bl w:val="nil"/>
                  </w:tcBorders>
                  <w:noWrap w:val="0"/>
                  <w:vAlign w:val="center"/>
                </w:tcPr>
                <w:p w14:paraId="0BA3B3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p>
              </w:tc>
              <w:tc>
                <w:tcPr>
                  <w:tcW w:w="579" w:type="pct"/>
                  <w:tcBorders>
                    <w:tl2br w:val="nil"/>
                    <w:tr2bl w:val="nil"/>
                  </w:tcBorders>
                  <w:noWrap w:val="0"/>
                  <w:vAlign w:val="center"/>
                </w:tcPr>
                <w:p w14:paraId="1F93BA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r>
                    <w:rPr>
                      <w:rFonts w:hint="default" w:ascii="Times New Roman" w:hAnsi="Times New Roman" w:eastAsia="宋体" w:cs="Times New Roman"/>
                      <w:b/>
                      <w:color w:val="auto"/>
                      <w:spacing w:val="0"/>
                      <w:sz w:val="21"/>
                      <w:szCs w:val="21"/>
                      <w:highlight w:val="none"/>
                      <w:lang w:bidi="ar"/>
                    </w:rPr>
                    <w:t>经度</w:t>
                  </w:r>
                </w:p>
              </w:tc>
              <w:tc>
                <w:tcPr>
                  <w:tcW w:w="612" w:type="pct"/>
                  <w:tcBorders>
                    <w:tl2br w:val="nil"/>
                    <w:tr2bl w:val="nil"/>
                  </w:tcBorders>
                  <w:noWrap w:val="0"/>
                  <w:vAlign w:val="center"/>
                </w:tcPr>
                <w:p w14:paraId="4A14DE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r>
                    <w:rPr>
                      <w:rFonts w:hint="default" w:ascii="Times New Roman" w:hAnsi="Times New Roman" w:eastAsia="宋体" w:cs="Times New Roman"/>
                      <w:b/>
                      <w:color w:val="auto"/>
                      <w:spacing w:val="0"/>
                      <w:sz w:val="21"/>
                      <w:szCs w:val="21"/>
                      <w:highlight w:val="none"/>
                      <w:lang w:bidi="ar"/>
                    </w:rPr>
                    <w:t>纬度</w:t>
                  </w:r>
                </w:p>
              </w:tc>
              <w:tc>
                <w:tcPr>
                  <w:tcW w:w="566" w:type="pct"/>
                  <w:vMerge w:val="continue"/>
                  <w:tcBorders>
                    <w:tl2br w:val="nil"/>
                    <w:tr2bl w:val="nil"/>
                  </w:tcBorders>
                  <w:noWrap w:val="0"/>
                  <w:vAlign w:val="center"/>
                </w:tcPr>
                <w:p w14:paraId="5D1B81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p>
              </w:tc>
              <w:tc>
                <w:tcPr>
                  <w:tcW w:w="683" w:type="pct"/>
                  <w:vMerge w:val="continue"/>
                  <w:tcBorders>
                    <w:tl2br w:val="nil"/>
                    <w:tr2bl w:val="nil"/>
                  </w:tcBorders>
                  <w:noWrap w:val="0"/>
                  <w:vAlign w:val="center"/>
                </w:tcPr>
                <w:p w14:paraId="5EAB4C9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p>
              </w:tc>
              <w:tc>
                <w:tcPr>
                  <w:tcW w:w="610" w:type="pct"/>
                  <w:vMerge w:val="continue"/>
                  <w:tcBorders>
                    <w:tl2br w:val="nil"/>
                    <w:tr2bl w:val="nil"/>
                  </w:tcBorders>
                  <w:noWrap w:val="0"/>
                  <w:vAlign w:val="center"/>
                </w:tcPr>
                <w:p w14:paraId="1BBA8EE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p>
              </w:tc>
            </w:tr>
            <w:tr w14:paraId="7D28C110">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79" w:type="pct"/>
                  <w:vMerge w:val="restart"/>
                  <w:tcBorders>
                    <w:tl2br w:val="nil"/>
                    <w:tr2bl w:val="nil"/>
                  </w:tcBorders>
                  <w:noWrap w:val="0"/>
                  <w:vAlign w:val="center"/>
                </w:tcPr>
                <w:p w14:paraId="7001E2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r>
                    <w:rPr>
                      <w:rFonts w:hint="default" w:ascii="Times New Roman" w:hAnsi="Times New Roman" w:eastAsia="宋体" w:cs="Times New Roman"/>
                      <w:bCs/>
                      <w:color w:val="auto"/>
                      <w:spacing w:val="0"/>
                      <w:sz w:val="21"/>
                      <w:szCs w:val="21"/>
                      <w:highlight w:val="none"/>
                      <w:lang w:val="en-US" w:eastAsia="zh-CN" w:bidi="ar"/>
                    </w:rPr>
                    <w:t>DA</w:t>
                  </w:r>
                  <w:r>
                    <w:rPr>
                      <w:rFonts w:hint="default" w:ascii="Times New Roman" w:hAnsi="Times New Roman" w:cs="Times New Roman"/>
                      <w:bCs/>
                      <w:color w:val="auto"/>
                      <w:spacing w:val="0"/>
                      <w:sz w:val="21"/>
                      <w:szCs w:val="21"/>
                      <w:highlight w:val="none"/>
                      <w:lang w:val="en-US" w:eastAsia="zh-CN" w:bidi="ar"/>
                    </w:rPr>
                    <w:t>001</w:t>
                  </w:r>
                </w:p>
              </w:tc>
              <w:tc>
                <w:tcPr>
                  <w:tcW w:w="469" w:type="pct"/>
                  <w:vMerge w:val="restart"/>
                  <w:tcBorders>
                    <w:tl2br w:val="nil"/>
                    <w:tr2bl w:val="nil"/>
                  </w:tcBorders>
                  <w:noWrap w:val="0"/>
                  <w:vAlign w:val="center"/>
                </w:tcPr>
                <w:p w14:paraId="3495DBE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r>
                    <w:rPr>
                      <w:rFonts w:hint="default" w:ascii="Times New Roman" w:hAnsi="Times New Roman" w:eastAsia="宋体" w:cs="Times New Roman"/>
                      <w:bCs/>
                      <w:color w:val="auto"/>
                      <w:spacing w:val="0"/>
                      <w:sz w:val="21"/>
                      <w:szCs w:val="21"/>
                      <w:highlight w:val="none"/>
                      <w:lang w:val="en-US" w:eastAsia="zh-CN" w:bidi="ar"/>
                    </w:rPr>
                    <w:t>锅炉烟囱</w:t>
                  </w:r>
                </w:p>
              </w:tc>
              <w:tc>
                <w:tcPr>
                  <w:tcW w:w="899" w:type="pct"/>
                  <w:vMerge w:val="restart"/>
                  <w:tcBorders>
                    <w:tl2br w:val="nil"/>
                    <w:tr2bl w:val="nil"/>
                  </w:tcBorders>
                  <w:noWrap w:val="0"/>
                  <w:vAlign w:val="center"/>
                </w:tcPr>
                <w:p w14:paraId="305B79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r>
                    <w:rPr>
                      <w:rFonts w:hint="default" w:ascii="Times New Roman" w:hAnsi="Times New Roman" w:eastAsia="宋体" w:cs="Times New Roman"/>
                      <w:bCs/>
                      <w:color w:val="auto"/>
                      <w:spacing w:val="0"/>
                      <w:sz w:val="21"/>
                      <w:szCs w:val="21"/>
                      <w:highlight w:val="none"/>
                      <w:lang w:val="en-US" w:eastAsia="zh-CN" w:bidi="ar"/>
                    </w:rPr>
                    <w:t>颗粒物、二氧化硫、氮氧化物</w:t>
                  </w:r>
                  <w:r>
                    <w:rPr>
                      <w:rFonts w:hint="default" w:ascii="Times New Roman" w:hAnsi="Times New Roman" w:cs="Times New Roman"/>
                      <w:bCs/>
                      <w:color w:val="auto"/>
                      <w:spacing w:val="0"/>
                      <w:sz w:val="21"/>
                      <w:szCs w:val="21"/>
                      <w:highlight w:val="none"/>
                      <w:lang w:val="en-US" w:eastAsia="zh-CN" w:bidi="ar"/>
                    </w:rPr>
                    <w:t>、烟气黑度</w:t>
                  </w:r>
                </w:p>
              </w:tc>
              <w:tc>
                <w:tcPr>
                  <w:tcW w:w="579" w:type="pct"/>
                  <w:vMerge w:val="restart"/>
                  <w:tcBorders>
                    <w:tl2br w:val="nil"/>
                    <w:tr2bl w:val="nil"/>
                  </w:tcBorders>
                  <w:noWrap w:val="0"/>
                  <w:vAlign w:val="center"/>
                </w:tcPr>
                <w:p w14:paraId="61D6BAA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r>
                    <w:rPr>
                      <w:rFonts w:hint="default" w:ascii="Times New Roman" w:hAnsi="Times New Roman" w:eastAsia="宋体" w:cs="Times New Roman"/>
                      <w:bCs/>
                      <w:color w:val="auto"/>
                      <w:spacing w:val="0"/>
                      <w:sz w:val="21"/>
                      <w:szCs w:val="21"/>
                      <w:highlight w:val="none"/>
                      <w:lang w:val="en-US" w:eastAsia="zh-CN" w:bidi="ar"/>
                    </w:rPr>
                    <w:t>131.013371</w:t>
                  </w:r>
                </w:p>
              </w:tc>
              <w:tc>
                <w:tcPr>
                  <w:tcW w:w="612" w:type="pct"/>
                  <w:vMerge w:val="restart"/>
                  <w:tcBorders>
                    <w:tl2br w:val="nil"/>
                    <w:tr2bl w:val="nil"/>
                  </w:tcBorders>
                  <w:noWrap w:val="0"/>
                  <w:vAlign w:val="center"/>
                </w:tcPr>
                <w:p w14:paraId="6DFD8C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r>
                    <w:rPr>
                      <w:rFonts w:hint="default" w:ascii="Times New Roman" w:hAnsi="Times New Roman" w:eastAsia="宋体" w:cs="Times New Roman"/>
                      <w:bCs/>
                      <w:color w:val="auto"/>
                      <w:spacing w:val="0"/>
                      <w:sz w:val="21"/>
                      <w:szCs w:val="21"/>
                      <w:highlight w:val="none"/>
                      <w:lang w:val="en-US" w:eastAsia="zh-CN" w:bidi="ar"/>
                    </w:rPr>
                    <w:t>45.347879</w:t>
                  </w:r>
                </w:p>
              </w:tc>
              <w:tc>
                <w:tcPr>
                  <w:tcW w:w="566" w:type="pct"/>
                  <w:vMerge w:val="restart"/>
                  <w:tcBorders>
                    <w:tl2br w:val="nil"/>
                    <w:tr2bl w:val="nil"/>
                  </w:tcBorders>
                  <w:noWrap w:val="0"/>
                  <w:vAlign w:val="center"/>
                </w:tcPr>
                <w:p w14:paraId="4A6C4FA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r>
                    <w:rPr>
                      <w:rFonts w:hint="default" w:ascii="Times New Roman" w:hAnsi="Times New Roman" w:cs="Times New Roman"/>
                      <w:bCs/>
                      <w:color w:val="auto"/>
                      <w:spacing w:val="0"/>
                      <w:sz w:val="21"/>
                      <w:szCs w:val="21"/>
                      <w:highlight w:val="none"/>
                      <w:lang w:val="en-US" w:eastAsia="zh-CN" w:bidi="ar"/>
                    </w:rPr>
                    <w:t>30</w:t>
                  </w:r>
                </w:p>
              </w:tc>
              <w:tc>
                <w:tcPr>
                  <w:tcW w:w="683" w:type="pct"/>
                  <w:vMerge w:val="restart"/>
                  <w:tcBorders>
                    <w:tl2br w:val="nil"/>
                    <w:tr2bl w:val="nil"/>
                  </w:tcBorders>
                  <w:noWrap w:val="0"/>
                  <w:vAlign w:val="center"/>
                </w:tcPr>
                <w:p w14:paraId="282CC10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bidi="ar"/>
                    </w:rPr>
                  </w:pPr>
                  <w:r>
                    <w:rPr>
                      <w:rFonts w:hint="default" w:ascii="Times New Roman" w:hAnsi="Times New Roman" w:eastAsia="宋体" w:cs="Times New Roman"/>
                      <w:bCs/>
                      <w:color w:val="auto"/>
                      <w:spacing w:val="0"/>
                      <w:sz w:val="21"/>
                      <w:szCs w:val="21"/>
                      <w:highlight w:val="none"/>
                      <w:lang w:bidi="ar"/>
                    </w:rPr>
                    <w:t>0.</w:t>
                  </w:r>
                  <w:r>
                    <w:rPr>
                      <w:rFonts w:hint="default" w:ascii="Times New Roman" w:hAnsi="Times New Roman" w:cs="Times New Roman"/>
                      <w:bCs/>
                      <w:color w:val="auto"/>
                      <w:spacing w:val="0"/>
                      <w:sz w:val="21"/>
                      <w:szCs w:val="21"/>
                      <w:highlight w:val="none"/>
                      <w:lang w:val="en-US" w:eastAsia="zh-CN" w:bidi="ar"/>
                    </w:rPr>
                    <w:t>5</w:t>
                  </w:r>
                </w:p>
              </w:tc>
              <w:tc>
                <w:tcPr>
                  <w:tcW w:w="610" w:type="pct"/>
                  <w:vMerge w:val="restart"/>
                  <w:tcBorders>
                    <w:tl2br w:val="nil"/>
                    <w:tr2bl w:val="nil"/>
                  </w:tcBorders>
                  <w:noWrap w:val="0"/>
                  <w:vAlign w:val="center"/>
                </w:tcPr>
                <w:p w14:paraId="7A0115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r>
                    <w:rPr>
                      <w:rFonts w:hint="default" w:ascii="Times New Roman" w:hAnsi="Times New Roman" w:eastAsia="宋体" w:cs="Times New Roman"/>
                      <w:bCs/>
                      <w:color w:val="auto"/>
                      <w:spacing w:val="0"/>
                      <w:sz w:val="21"/>
                      <w:szCs w:val="21"/>
                      <w:highlight w:val="none"/>
                      <w:lang w:val="en-US" w:eastAsia="zh-CN" w:bidi="ar"/>
                    </w:rPr>
                    <w:t>80</w:t>
                  </w:r>
                </w:p>
              </w:tc>
            </w:tr>
            <w:tr w14:paraId="0990DAEE">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79" w:type="pct"/>
                  <w:vMerge w:val="continue"/>
                  <w:tcBorders>
                    <w:tl2br w:val="nil"/>
                    <w:tr2bl w:val="nil"/>
                  </w:tcBorders>
                  <w:noWrap w:val="0"/>
                  <w:vAlign w:val="center"/>
                </w:tcPr>
                <w:p w14:paraId="2D2962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469" w:type="pct"/>
                  <w:vMerge w:val="continue"/>
                  <w:tcBorders>
                    <w:tl2br w:val="nil"/>
                    <w:tr2bl w:val="nil"/>
                  </w:tcBorders>
                  <w:noWrap w:val="0"/>
                  <w:vAlign w:val="center"/>
                </w:tcPr>
                <w:p w14:paraId="72D8DA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899" w:type="pct"/>
                  <w:vMerge w:val="continue"/>
                  <w:tcBorders>
                    <w:tl2br w:val="nil"/>
                    <w:tr2bl w:val="nil"/>
                  </w:tcBorders>
                  <w:noWrap w:val="0"/>
                  <w:vAlign w:val="center"/>
                </w:tcPr>
                <w:p w14:paraId="6AAF931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579" w:type="pct"/>
                  <w:vMerge w:val="continue"/>
                  <w:tcBorders>
                    <w:tl2br w:val="nil"/>
                    <w:tr2bl w:val="nil"/>
                  </w:tcBorders>
                  <w:noWrap w:val="0"/>
                  <w:vAlign w:val="center"/>
                </w:tcPr>
                <w:p w14:paraId="16AE4BE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612" w:type="pct"/>
                  <w:vMerge w:val="continue"/>
                  <w:tcBorders>
                    <w:tl2br w:val="nil"/>
                    <w:tr2bl w:val="nil"/>
                  </w:tcBorders>
                  <w:noWrap w:val="0"/>
                  <w:vAlign w:val="center"/>
                </w:tcPr>
                <w:p w14:paraId="3A6BEC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566" w:type="pct"/>
                  <w:vMerge w:val="continue"/>
                  <w:tcBorders>
                    <w:tl2br w:val="nil"/>
                    <w:tr2bl w:val="nil"/>
                  </w:tcBorders>
                  <w:noWrap w:val="0"/>
                  <w:vAlign w:val="center"/>
                </w:tcPr>
                <w:p w14:paraId="46FF56A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683" w:type="pct"/>
                  <w:vMerge w:val="continue"/>
                  <w:tcBorders>
                    <w:tl2br w:val="nil"/>
                    <w:tr2bl w:val="nil"/>
                  </w:tcBorders>
                  <w:noWrap w:val="0"/>
                  <w:vAlign w:val="center"/>
                </w:tcPr>
                <w:p w14:paraId="116A9C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610" w:type="pct"/>
                  <w:vMerge w:val="continue"/>
                  <w:tcBorders>
                    <w:tl2br w:val="nil"/>
                    <w:tr2bl w:val="nil"/>
                  </w:tcBorders>
                  <w:noWrap w:val="0"/>
                  <w:vAlign w:val="center"/>
                </w:tcPr>
                <w:p w14:paraId="0839A5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r>
            <w:tr w14:paraId="1183A91C">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79" w:type="pct"/>
                  <w:vMerge w:val="continue"/>
                  <w:tcBorders>
                    <w:tl2br w:val="nil"/>
                    <w:tr2bl w:val="nil"/>
                  </w:tcBorders>
                  <w:noWrap w:val="0"/>
                  <w:vAlign w:val="center"/>
                </w:tcPr>
                <w:p w14:paraId="0DADE2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469" w:type="pct"/>
                  <w:vMerge w:val="continue"/>
                  <w:tcBorders>
                    <w:tl2br w:val="nil"/>
                    <w:tr2bl w:val="nil"/>
                  </w:tcBorders>
                  <w:noWrap w:val="0"/>
                  <w:vAlign w:val="center"/>
                </w:tcPr>
                <w:p w14:paraId="6960D78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899" w:type="pct"/>
                  <w:vMerge w:val="continue"/>
                  <w:tcBorders>
                    <w:tl2br w:val="nil"/>
                    <w:tr2bl w:val="nil"/>
                  </w:tcBorders>
                  <w:noWrap w:val="0"/>
                  <w:vAlign w:val="center"/>
                </w:tcPr>
                <w:p w14:paraId="19E01B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579" w:type="pct"/>
                  <w:vMerge w:val="continue"/>
                  <w:tcBorders>
                    <w:tl2br w:val="nil"/>
                    <w:tr2bl w:val="nil"/>
                  </w:tcBorders>
                  <w:noWrap w:val="0"/>
                  <w:vAlign w:val="center"/>
                </w:tcPr>
                <w:p w14:paraId="21E934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612" w:type="pct"/>
                  <w:vMerge w:val="continue"/>
                  <w:tcBorders>
                    <w:tl2br w:val="nil"/>
                    <w:tr2bl w:val="nil"/>
                  </w:tcBorders>
                  <w:noWrap w:val="0"/>
                  <w:vAlign w:val="center"/>
                </w:tcPr>
                <w:p w14:paraId="5B778F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566" w:type="pct"/>
                  <w:vMerge w:val="continue"/>
                  <w:tcBorders>
                    <w:tl2br w:val="nil"/>
                    <w:tr2bl w:val="nil"/>
                  </w:tcBorders>
                  <w:noWrap w:val="0"/>
                  <w:vAlign w:val="center"/>
                </w:tcPr>
                <w:p w14:paraId="0C05E5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683" w:type="pct"/>
                  <w:vMerge w:val="continue"/>
                  <w:tcBorders>
                    <w:tl2br w:val="nil"/>
                    <w:tr2bl w:val="nil"/>
                  </w:tcBorders>
                  <w:noWrap w:val="0"/>
                  <w:vAlign w:val="center"/>
                </w:tcPr>
                <w:p w14:paraId="75DC04E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610" w:type="pct"/>
                  <w:vMerge w:val="continue"/>
                  <w:tcBorders>
                    <w:tl2br w:val="nil"/>
                    <w:tr2bl w:val="nil"/>
                  </w:tcBorders>
                  <w:noWrap w:val="0"/>
                  <w:vAlign w:val="center"/>
                </w:tcPr>
                <w:p w14:paraId="058B54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r>
            <w:tr w14:paraId="4D0C27A7">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79" w:type="pct"/>
                  <w:vMerge w:val="continue"/>
                  <w:tcBorders>
                    <w:tl2br w:val="nil"/>
                    <w:tr2bl w:val="nil"/>
                  </w:tcBorders>
                  <w:noWrap w:val="0"/>
                  <w:vAlign w:val="center"/>
                </w:tcPr>
                <w:p w14:paraId="44B2A3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469" w:type="pct"/>
                  <w:vMerge w:val="continue"/>
                  <w:tcBorders>
                    <w:tl2br w:val="nil"/>
                    <w:tr2bl w:val="nil"/>
                  </w:tcBorders>
                  <w:noWrap w:val="0"/>
                  <w:vAlign w:val="center"/>
                </w:tcPr>
                <w:p w14:paraId="69302A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899" w:type="pct"/>
                  <w:vMerge w:val="continue"/>
                  <w:tcBorders>
                    <w:tl2br w:val="nil"/>
                    <w:tr2bl w:val="nil"/>
                  </w:tcBorders>
                  <w:noWrap w:val="0"/>
                  <w:vAlign w:val="center"/>
                </w:tcPr>
                <w:p w14:paraId="75C644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579" w:type="pct"/>
                  <w:vMerge w:val="continue"/>
                  <w:tcBorders>
                    <w:tl2br w:val="nil"/>
                    <w:tr2bl w:val="nil"/>
                  </w:tcBorders>
                  <w:noWrap w:val="0"/>
                  <w:vAlign w:val="center"/>
                </w:tcPr>
                <w:p w14:paraId="1B6903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612" w:type="pct"/>
                  <w:vMerge w:val="continue"/>
                  <w:tcBorders>
                    <w:tl2br w:val="nil"/>
                    <w:tr2bl w:val="nil"/>
                  </w:tcBorders>
                  <w:noWrap w:val="0"/>
                  <w:vAlign w:val="center"/>
                </w:tcPr>
                <w:p w14:paraId="5EF06C7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566" w:type="pct"/>
                  <w:vMerge w:val="continue"/>
                  <w:tcBorders>
                    <w:tl2br w:val="nil"/>
                    <w:tr2bl w:val="nil"/>
                  </w:tcBorders>
                  <w:noWrap w:val="0"/>
                  <w:vAlign w:val="center"/>
                </w:tcPr>
                <w:p w14:paraId="3200B3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683" w:type="pct"/>
                  <w:vMerge w:val="continue"/>
                  <w:tcBorders>
                    <w:tl2br w:val="nil"/>
                    <w:tr2bl w:val="nil"/>
                  </w:tcBorders>
                  <w:noWrap w:val="0"/>
                  <w:vAlign w:val="center"/>
                </w:tcPr>
                <w:p w14:paraId="06DFD2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610" w:type="pct"/>
                  <w:vMerge w:val="continue"/>
                  <w:tcBorders>
                    <w:tl2br w:val="nil"/>
                    <w:tr2bl w:val="nil"/>
                  </w:tcBorders>
                  <w:noWrap w:val="0"/>
                  <w:vAlign w:val="center"/>
                </w:tcPr>
                <w:p w14:paraId="02A07DA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r>
          </w:tbl>
          <w:p w14:paraId="55FD5234">
            <w:pPr>
              <w:pStyle w:val="42"/>
              <w:rPr>
                <w:rFonts w:hint="default" w:ascii="Times New Roman" w:hAnsi="Times New Roman" w:eastAsia="宋体" w:cs="Times New Roman"/>
                <w:b/>
                <w:bCs w:val="0"/>
                <w:color w:val="auto"/>
                <w:spacing w:val="0"/>
                <w:highlight w:val="none"/>
                <w:lang w:val="en-US" w:eastAsia="zh-CN"/>
              </w:rPr>
            </w:pPr>
            <w:r>
              <w:rPr>
                <w:rFonts w:hint="default" w:ascii="Times New Roman" w:hAnsi="Times New Roman" w:eastAsia="宋体" w:cs="Times New Roman"/>
                <w:b/>
                <w:bCs w:val="0"/>
                <w:color w:val="auto"/>
                <w:spacing w:val="0"/>
                <w:highlight w:val="none"/>
                <w:lang w:val="en-US" w:eastAsia="zh-CN"/>
              </w:rPr>
              <w:t>（2）废气收集措施</w:t>
            </w:r>
          </w:p>
          <w:p w14:paraId="2D334438">
            <w:pPr>
              <w:pStyle w:val="4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auto"/>
                <w:spacing w:val="0"/>
                <w:sz w:val="21"/>
                <w:szCs w:val="21"/>
                <w:highlight w:val="none"/>
                <w:lang w:val="en-US" w:eastAsia="zh-CN"/>
              </w:rPr>
            </w:pPr>
            <w:r>
              <w:rPr>
                <w:rFonts w:hint="default" w:ascii="Times New Roman" w:hAnsi="Times New Roman" w:eastAsia="宋体" w:cs="Times New Roman"/>
                <w:b/>
                <w:bCs w:val="0"/>
                <w:color w:val="auto"/>
                <w:spacing w:val="0"/>
                <w:sz w:val="21"/>
                <w:szCs w:val="21"/>
                <w:highlight w:val="none"/>
                <w:lang w:val="en-US" w:eastAsia="zh-CN"/>
              </w:rPr>
              <w:t>表4-</w:t>
            </w:r>
            <w:r>
              <w:rPr>
                <w:rFonts w:hint="default" w:ascii="Times New Roman" w:hAnsi="Times New Roman" w:cs="Times New Roman"/>
                <w:b/>
                <w:bCs w:val="0"/>
                <w:color w:val="auto"/>
                <w:spacing w:val="0"/>
                <w:sz w:val="21"/>
                <w:szCs w:val="21"/>
                <w:highlight w:val="none"/>
                <w:lang w:val="en-US" w:eastAsia="zh-CN"/>
              </w:rPr>
              <w:t>3</w:t>
            </w:r>
            <w:r>
              <w:rPr>
                <w:rFonts w:hint="default" w:ascii="Times New Roman" w:hAnsi="Times New Roman" w:eastAsia="宋体" w:cs="Times New Roman"/>
                <w:b/>
                <w:bCs w:val="0"/>
                <w:color w:val="auto"/>
                <w:spacing w:val="0"/>
                <w:sz w:val="21"/>
                <w:szCs w:val="21"/>
                <w:highlight w:val="none"/>
                <w:lang w:val="en-US" w:eastAsia="zh-CN"/>
              </w:rPr>
              <w:t xml:space="preserve"> 排气筒设置情况</w:t>
            </w:r>
          </w:p>
          <w:tbl>
            <w:tblPr>
              <w:tblStyle w:val="35"/>
              <w:tblW w:w="7974" w:type="dxa"/>
              <w:jc w:val="center"/>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6"/>
              <w:gridCol w:w="702"/>
              <w:gridCol w:w="1773"/>
              <w:gridCol w:w="926"/>
              <w:gridCol w:w="829"/>
              <w:gridCol w:w="782"/>
              <w:gridCol w:w="787"/>
              <w:gridCol w:w="663"/>
              <w:gridCol w:w="676"/>
            </w:tblGrid>
            <w:tr w14:paraId="368AA0E5">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836" w:type="dxa"/>
                  <w:tcBorders>
                    <w:tl2br w:val="nil"/>
                    <w:tr2bl w:val="nil"/>
                  </w:tcBorders>
                  <w:noWrap w:val="0"/>
                  <w:vAlign w:val="center"/>
                </w:tcPr>
                <w:p w14:paraId="76FE56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排气筒编号</w:t>
                  </w:r>
                </w:p>
              </w:tc>
              <w:tc>
                <w:tcPr>
                  <w:tcW w:w="709" w:type="dxa"/>
                  <w:tcBorders>
                    <w:tl2br w:val="nil"/>
                    <w:tr2bl w:val="nil"/>
                  </w:tcBorders>
                  <w:noWrap w:val="0"/>
                  <w:vAlign w:val="center"/>
                </w:tcPr>
                <w:p w14:paraId="54C21B3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废气来源</w:t>
                  </w:r>
                </w:p>
              </w:tc>
              <w:tc>
                <w:tcPr>
                  <w:tcW w:w="1800" w:type="dxa"/>
                  <w:tcBorders>
                    <w:tl2br w:val="nil"/>
                    <w:tr2bl w:val="nil"/>
                  </w:tcBorders>
                  <w:noWrap w:val="0"/>
                  <w:vAlign w:val="center"/>
                </w:tcPr>
                <w:p w14:paraId="7B48EFA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污染物种类</w:t>
                  </w:r>
                </w:p>
              </w:tc>
              <w:tc>
                <w:tcPr>
                  <w:tcW w:w="927" w:type="dxa"/>
                  <w:tcBorders>
                    <w:tl2br w:val="nil"/>
                    <w:tr2bl w:val="nil"/>
                  </w:tcBorders>
                  <w:noWrap w:val="0"/>
                  <w:vAlign w:val="center"/>
                </w:tcPr>
                <w:p w14:paraId="1C0C77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生产设备</w:t>
                  </w:r>
                </w:p>
              </w:tc>
              <w:tc>
                <w:tcPr>
                  <w:tcW w:w="839" w:type="dxa"/>
                  <w:tcBorders>
                    <w:tl2br w:val="nil"/>
                    <w:tr2bl w:val="nil"/>
                  </w:tcBorders>
                  <w:noWrap w:val="0"/>
                  <w:vAlign w:val="center"/>
                </w:tcPr>
                <w:p w14:paraId="5CF717A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环保设备</w:t>
                  </w:r>
                </w:p>
              </w:tc>
              <w:tc>
                <w:tcPr>
                  <w:tcW w:w="790" w:type="dxa"/>
                  <w:tcBorders>
                    <w:tl2br w:val="nil"/>
                    <w:tr2bl w:val="nil"/>
                  </w:tcBorders>
                  <w:noWrap w:val="0"/>
                  <w:vAlign w:val="center"/>
                </w:tcPr>
                <w:p w14:paraId="1BC62F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高度m</w:t>
                  </w:r>
                </w:p>
              </w:tc>
              <w:tc>
                <w:tcPr>
                  <w:tcW w:w="794" w:type="dxa"/>
                  <w:tcBorders>
                    <w:tl2br w:val="nil"/>
                    <w:tr2bl w:val="nil"/>
                  </w:tcBorders>
                  <w:noWrap w:val="0"/>
                  <w:vAlign w:val="center"/>
                </w:tcPr>
                <w:p w14:paraId="05E8BE0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内径m</w:t>
                  </w:r>
                </w:p>
              </w:tc>
              <w:tc>
                <w:tcPr>
                  <w:tcW w:w="602" w:type="dxa"/>
                  <w:tcBorders>
                    <w:tl2br w:val="nil"/>
                    <w:tr2bl w:val="nil"/>
                  </w:tcBorders>
                  <w:noWrap w:val="0"/>
                  <w:vAlign w:val="center"/>
                </w:tcPr>
                <w:p w14:paraId="04F7A85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温度</w:t>
                  </w:r>
                  <w:r>
                    <w:rPr>
                      <w:rFonts w:hint="default" w:ascii="Times New Roman" w:hAnsi="Times New Roman" w:eastAsia="宋体" w:cs="Times New Roman"/>
                      <w:b/>
                      <w:bCs/>
                      <w:color w:val="auto"/>
                      <w:spacing w:val="0"/>
                      <w:sz w:val="21"/>
                      <w:szCs w:val="21"/>
                      <w:highlight w:val="none"/>
                      <w:lang w:bidi="ar"/>
                    </w:rPr>
                    <w:t>°C</w:t>
                  </w:r>
                </w:p>
              </w:tc>
              <w:tc>
                <w:tcPr>
                  <w:tcW w:w="677" w:type="dxa"/>
                  <w:tcBorders>
                    <w:tl2br w:val="nil"/>
                    <w:tr2bl w:val="nil"/>
                  </w:tcBorders>
                  <w:noWrap w:val="0"/>
                  <w:vAlign w:val="center"/>
                </w:tcPr>
                <w:p w14:paraId="057CC3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设计风量</w:t>
                  </w:r>
                  <w:r>
                    <w:rPr>
                      <w:rFonts w:hint="default" w:ascii="Times New Roman" w:hAnsi="Times New Roman" w:eastAsia="宋体" w:cs="Times New Roman"/>
                      <w:b/>
                      <w:bCs/>
                      <w:color w:val="auto"/>
                      <w:spacing w:val="0"/>
                      <w:sz w:val="21"/>
                      <w:szCs w:val="21"/>
                      <w:highlight w:val="none"/>
                      <w:lang w:eastAsia="zh-CN"/>
                    </w:rPr>
                    <w:t>m</w:t>
                  </w:r>
                  <w:r>
                    <w:rPr>
                      <w:rFonts w:hint="default" w:ascii="Times New Roman" w:hAnsi="Times New Roman" w:eastAsia="宋体" w:cs="Times New Roman"/>
                      <w:b/>
                      <w:bCs/>
                      <w:caps w:val="0"/>
                      <w:smallCaps w:val="0"/>
                      <w:strike w:val="0"/>
                      <w:dstrike w:val="0"/>
                      <w:vanish w:val="0"/>
                      <w:color w:val="auto"/>
                      <w:spacing w:val="0"/>
                      <w:sz w:val="21"/>
                      <w:szCs w:val="21"/>
                      <w:highlight w:val="none"/>
                      <w:vertAlign w:val="superscript"/>
                      <w:lang w:eastAsia="zh-CN"/>
                    </w:rPr>
                    <w:t>3</w:t>
                  </w:r>
                  <w:r>
                    <w:rPr>
                      <w:rFonts w:hint="default" w:ascii="Times New Roman" w:hAnsi="Times New Roman" w:eastAsia="宋体" w:cs="Times New Roman"/>
                      <w:b/>
                      <w:bCs/>
                      <w:color w:val="auto"/>
                      <w:spacing w:val="0"/>
                      <w:sz w:val="21"/>
                      <w:szCs w:val="21"/>
                      <w:highlight w:val="none"/>
                    </w:rPr>
                    <w:t>/h</w:t>
                  </w:r>
                </w:p>
              </w:tc>
            </w:tr>
            <w:tr w14:paraId="52FB8220">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836" w:type="dxa"/>
                  <w:tcBorders>
                    <w:tl2br w:val="nil"/>
                    <w:tr2bl w:val="nil"/>
                  </w:tcBorders>
                  <w:noWrap w:val="0"/>
                  <w:vAlign w:val="center"/>
                </w:tcPr>
                <w:p w14:paraId="4B40FAA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DA001</w:t>
                  </w:r>
                </w:p>
              </w:tc>
              <w:tc>
                <w:tcPr>
                  <w:tcW w:w="709" w:type="dxa"/>
                  <w:tcBorders>
                    <w:tl2br w:val="nil"/>
                    <w:tr2bl w:val="nil"/>
                  </w:tcBorders>
                  <w:noWrap w:val="0"/>
                  <w:vAlign w:val="center"/>
                </w:tcPr>
                <w:p w14:paraId="471B2C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锅炉废气</w:t>
                  </w:r>
                </w:p>
              </w:tc>
              <w:tc>
                <w:tcPr>
                  <w:tcW w:w="1800" w:type="dxa"/>
                  <w:tcBorders>
                    <w:tl2br w:val="nil"/>
                    <w:tr2bl w:val="nil"/>
                  </w:tcBorders>
                  <w:noWrap w:val="0"/>
                  <w:vAlign w:val="center"/>
                </w:tcPr>
                <w:p w14:paraId="2397599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color w:val="auto"/>
                      <w:spacing w:val="0"/>
                      <w:sz w:val="21"/>
                      <w:szCs w:val="21"/>
                      <w:highlight w:val="none"/>
                      <w:lang w:val="en-US" w:eastAsia="zh-CN"/>
                    </w:rPr>
                    <w:t>二氧化硫、氮氧化物、</w:t>
                  </w:r>
                  <w:r>
                    <w:rPr>
                      <w:rFonts w:hint="default" w:ascii="Times New Roman" w:hAnsi="Times New Roman" w:eastAsia="宋体" w:cs="Times New Roman"/>
                      <w:color w:val="auto"/>
                      <w:spacing w:val="0"/>
                      <w:sz w:val="21"/>
                      <w:szCs w:val="21"/>
                      <w:highlight w:val="none"/>
                    </w:rPr>
                    <w:t>颗粒物</w:t>
                  </w:r>
                  <w:r>
                    <w:rPr>
                      <w:rFonts w:hint="default" w:ascii="Times New Roman" w:hAnsi="Times New Roman" w:cs="Times New Roman"/>
                      <w:color w:val="auto"/>
                      <w:spacing w:val="0"/>
                      <w:sz w:val="21"/>
                      <w:szCs w:val="21"/>
                      <w:highlight w:val="none"/>
                      <w:lang w:eastAsia="zh-CN"/>
                    </w:rPr>
                    <w:t>、</w:t>
                  </w:r>
                  <w:r>
                    <w:rPr>
                      <w:rFonts w:hint="default" w:ascii="Times New Roman" w:hAnsi="Times New Roman" w:cs="Times New Roman"/>
                      <w:bCs/>
                      <w:color w:val="auto"/>
                      <w:spacing w:val="0"/>
                      <w:sz w:val="21"/>
                      <w:szCs w:val="21"/>
                      <w:highlight w:val="none"/>
                      <w:lang w:val="en-US" w:eastAsia="zh-CN" w:bidi="ar"/>
                    </w:rPr>
                    <w:t>烟气黑度</w:t>
                  </w:r>
                </w:p>
              </w:tc>
              <w:tc>
                <w:tcPr>
                  <w:tcW w:w="927" w:type="dxa"/>
                  <w:tcBorders>
                    <w:tl2br w:val="nil"/>
                    <w:tr2bl w:val="nil"/>
                  </w:tcBorders>
                  <w:noWrap w:val="0"/>
                  <w:vAlign w:val="center"/>
                </w:tcPr>
                <w:p w14:paraId="0F7CE57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2.1MW生物质锅炉</w:t>
                  </w:r>
                </w:p>
              </w:tc>
              <w:tc>
                <w:tcPr>
                  <w:tcW w:w="839" w:type="dxa"/>
                  <w:tcBorders>
                    <w:tl2br w:val="nil"/>
                    <w:tr2bl w:val="nil"/>
                  </w:tcBorders>
                  <w:noWrap w:val="0"/>
                  <w:vAlign w:val="center"/>
                </w:tcPr>
                <w:p w14:paraId="34B81D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旋风+</w:t>
                  </w:r>
                  <w:r>
                    <w:rPr>
                      <w:rFonts w:hint="default" w:ascii="Times New Roman" w:hAnsi="Times New Roman" w:cs="Times New Roman"/>
                      <w:color w:val="auto"/>
                      <w:spacing w:val="0"/>
                      <w:sz w:val="21"/>
                      <w:szCs w:val="21"/>
                      <w:highlight w:val="none"/>
                      <w:lang w:val="en-US" w:eastAsia="zh-CN"/>
                    </w:rPr>
                    <w:t>布袋除尘器</w:t>
                  </w:r>
                </w:p>
              </w:tc>
              <w:tc>
                <w:tcPr>
                  <w:tcW w:w="790" w:type="dxa"/>
                  <w:tcBorders>
                    <w:tl2br w:val="nil"/>
                    <w:tr2bl w:val="nil"/>
                  </w:tcBorders>
                  <w:noWrap w:val="0"/>
                  <w:vAlign w:val="center"/>
                </w:tcPr>
                <w:p w14:paraId="783B6F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30</w:t>
                  </w:r>
                </w:p>
              </w:tc>
              <w:tc>
                <w:tcPr>
                  <w:tcW w:w="794" w:type="dxa"/>
                  <w:tcBorders>
                    <w:tl2br w:val="nil"/>
                    <w:tr2bl w:val="nil"/>
                  </w:tcBorders>
                  <w:noWrap w:val="0"/>
                  <w:vAlign w:val="center"/>
                </w:tcPr>
                <w:p w14:paraId="6EC70F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0.</w:t>
                  </w:r>
                  <w:r>
                    <w:rPr>
                      <w:rFonts w:hint="default" w:ascii="Times New Roman" w:hAnsi="Times New Roman" w:cs="Times New Roman"/>
                      <w:color w:val="auto"/>
                      <w:spacing w:val="0"/>
                      <w:sz w:val="21"/>
                      <w:szCs w:val="21"/>
                      <w:highlight w:val="none"/>
                      <w:lang w:val="en-US" w:eastAsia="zh-CN"/>
                    </w:rPr>
                    <w:t>5</w:t>
                  </w:r>
                </w:p>
              </w:tc>
              <w:tc>
                <w:tcPr>
                  <w:tcW w:w="602" w:type="dxa"/>
                  <w:tcBorders>
                    <w:tl2br w:val="nil"/>
                    <w:tr2bl w:val="nil"/>
                  </w:tcBorders>
                  <w:noWrap w:val="0"/>
                  <w:vAlign w:val="center"/>
                </w:tcPr>
                <w:p w14:paraId="5EF925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80</w:t>
                  </w:r>
                </w:p>
              </w:tc>
              <w:tc>
                <w:tcPr>
                  <w:tcW w:w="677" w:type="dxa"/>
                  <w:tcBorders>
                    <w:tl2br w:val="nil"/>
                    <w:tr2bl w:val="nil"/>
                  </w:tcBorders>
                  <w:noWrap w:val="0"/>
                  <w:vAlign w:val="center"/>
                </w:tcPr>
                <w:p w14:paraId="5C57A15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r>
          </w:tbl>
          <w:p w14:paraId="1CC1164C">
            <w:pPr>
              <w:pStyle w:val="42"/>
              <w:rPr>
                <w:rFonts w:hint="default" w:ascii="Times New Roman" w:hAnsi="Times New Roman" w:eastAsia="宋体" w:cs="Times New Roman"/>
                <w:b/>
                <w:bCs w:val="0"/>
                <w:color w:val="auto"/>
                <w:spacing w:val="0"/>
                <w:highlight w:val="none"/>
                <w:lang w:val="en-US" w:eastAsia="zh-CN"/>
              </w:rPr>
            </w:pPr>
            <w:r>
              <w:rPr>
                <w:rFonts w:hint="default" w:ascii="Times New Roman" w:hAnsi="Times New Roman" w:eastAsia="宋体" w:cs="Times New Roman"/>
                <w:b/>
                <w:bCs w:val="0"/>
                <w:color w:val="auto"/>
                <w:spacing w:val="0"/>
                <w:highlight w:val="none"/>
                <w:lang w:val="en-US" w:eastAsia="zh-CN"/>
              </w:rPr>
              <w:t>1.2</w:t>
            </w:r>
            <w:r>
              <w:rPr>
                <w:rFonts w:hint="default" w:ascii="Times New Roman" w:hAnsi="Times New Roman" w:cs="Times New Roman"/>
                <w:b/>
                <w:bCs w:val="0"/>
                <w:color w:val="auto"/>
                <w:spacing w:val="0"/>
                <w:highlight w:val="none"/>
                <w:lang w:val="en-US" w:eastAsia="zh-CN"/>
              </w:rPr>
              <w:t>烟囱</w:t>
            </w:r>
            <w:r>
              <w:rPr>
                <w:rFonts w:hint="default" w:ascii="Times New Roman" w:hAnsi="Times New Roman" w:eastAsia="宋体" w:cs="Times New Roman"/>
                <w:b/>
                <w:bCs w:val="0"/>
                <w:color w:val="auto"/>
                <w:spacing w:val="0"/>
                <w:highlight w:val="none"/>
                <w:lang w:val="en-US" w:eastAsia="zh-CN"/>
              </w:rPr>
              <w:t>高度</w:t>
            </w:r>
            <w:r>
              <w:rPr>
                <w:rFonts w:hint="default" w:ascii="Times New Roman" w:hAnsi="Times New Roman" w:cs="Times New Roman"/>
                <w:b/>
                <w:bCs w:val="0"/>
                <w:color w:val="auto"/>
                <w:spacing w:val="0"/>
                <w:highlight w:val="none"/>
                <w:lang w:val="en-US" w:eastAsia="zh-CN"/>
              </w:rPr>
              <w:t>设置</w:t>
            </w:r>
            <w:r>
              <w:rPr>
                <w:rFonts w:hint="default" w:ascii="Times New Roman" w:hAnsi="Times New Roman" w:eastAsia="宋体" w:cs="Times New Roman"/>
                <w:b/>
                <w:bCs w:val="0"/>
                <w:color w:val="auto"/>
                <w:spacing w:val="0"/>
                <w:highlight w:val="none"/>
                <w:lang w:val="en-US" w:eastAsia="zh-CN"/>
              </w:rPr>
              <w:t>合理性分析</w:t>
            </w:r>
          </w:p>
          <w:p w14:paraId="7213D653">
            <w:pPr>
              <w:pStyle w:val="4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default" w:ascii="Times New Roman" w:hAnsi="Times New Roman" w:eastAsia="宋体" w:cs="Times New Roman"/>
                <w:b w:val="0"/>
                <w:bCs w:val="0"/>
                <w:color w:val="auto"/>
                <w:spacing w:val="0"/>
                <w:kern w:val="0"/>
                <w:sz w:val="24"/>
                <w:szCs w:val="24"/>
                <w:highlight w:val="none"/>
                <w:lang w:val="en-US" w:eastAsia="zh-CN" w:bidi="ar-SA"/>
              </w:rPr>
            </w:pPr>
            <w:r>
              <w:rPr>
                <w:rFonts w:hint="default" w:ascii="Times New Roman" w:hAnsi="Times New Roman" w:eastAsia="宋体" w:cs="Times New Roman"/>
                <w:b w:val="0"/>
                <w:bCs/>
                <w:color w:val="auto"/>
                <w:spacing w:val="0"/>
                <w:sz w:val="24"/>
                <w:highlight w:val="none"/>
                <w:lang w:val="en-US" w:eastAsia="zh-CN"/>
              </w:rPr>
              <w:t>本项目</w:t>
            </w:r>
            <w:r>
              <w:rPr>
                <w:rFonts w:hint="default" w:ascii="Times New Roman" w:hAnsi="Times New Roman" w:cs="Times New Roman"/>
                <w:b w:val="0"/>
                <w:bCs w:val="0"/>
                <w:color w:val="auto"/>
                <w:spacing w:val="0"/>
                <w:kern w:val="0"/>
                <w:sz w:val="24"/>
                <w:szCs w:val="24"/>
                <w:highlight w:val="none"/>
                <w:lang w:val="en-US" w:eastAsia="zh-CN" w:bidi="ar-SA"/>
              </w:rPr>
              <w:t>锅炉房</w:t>
            </w:r>
            <w:r>
              <w:rPr>
                <w:rFonts w:hint="default" w:ascii="Times New Roman" w:hAnsi="Times New Roman" w:cs="Times New Roman"/>
                <w:b w:val="0"/>
                <w:bCs/>
                <w:color w:val="auto"/>
                <w:spacing w:val="0"/>
                <w:sz w:val="24"/>
                <w:highlight w:val="none"/>
                <w:lang w:val="en-US" w:eastAsia="zh-CN"/>
              </w:rPr>
              <w:t>DA001</w:t>
            </w:r>
            <w:r>
              <w:rPr>
                <w:rFonts w:hint="default" w:ascii="Times New Roman" w:hAnsi="Times New Roman" w:eastAsia="宋体" w:cs="Times New Roman"/>
                <w:b w:val="0"/>
                <w:bCs/>
                <w:color w:val="auto"/>
                <w:spacing w:val="0"/>
                <w:sz w:val="24"/>
                <w:highlight w:val="none"/>
                <w:lang w:val="en-US" w:eastAsia="zh-CN"/>
              </w:rPr>
              <w:t>烟囱建设高度</w:t>
            </w:r>
            <w:r>
              <w:rPr>
                <w:rFonts w:hint="default" w:ascii="Times New Roman" w:hAnsi="Times New Roman" w:cs="Times New Roman"/>
                <w:b w:val="0"/>
                <w:bCs/>
                <w:color w:val="auto"/>
                <w:spacing w:val="0"/>
                <w:sz w:val="24"/>
                <w:highlight w:val="none"/>
                <w:lang w:val="en-US" w:eastAsia="zh-CN"/>
              </w:rPr>
              <w:t>30</w:t>
            </w:r>
            <w:r>
              <w:rPr>
                <w:rFonts w:hint="default" w:ascii="Times New Roman" w:hAnsi="Times New Roman" w:eastAsia="宋体" w:cs="Times New Roman"/>
                <w:b w:val="0"/>
                <w:bCs/>
                <w:color w:val="auto"/>
                <w:spacing w:val="0"/>
                <w:sz w:val="24"/>
                <w:highlight w:val="none"/>
                <w:lang w:val="en-US" w:eastAsia="zh-CN"/>
              </w:rPr>
              <w:t>米，满足</w:t>
            </w:r>
            <w:r>
              <w:rPr>
                <w:rFonts w:hint="default" w:ascii="Times New Roman" w:hAnsi="Times New Roman" w:eastAsia="宋体" w:cs="Times New Roman"/>
                <w:color w:val="auto"/>
                <w:spacing w:val="0"/>
                <w:sz w:val="24"/>
                <w:highlight w:val="none"/>
              </w:rPr>
              <w:t>《</w:t>
            </w:r>
            <w:r>
              <w:rPr>
                <w:rFonts w:hint="default" w:ascii="Times New Roman" w:hAnsi="Times New Roman" w:eastAsia="宋体" w:cs="Times New Roman"/>
                <w:color w:val="auto"/>
                <w:spacing w:val="0"/>
                <w:sz w:val="24"/>
                <w:highlight w:val="none"/>
                <w:lang w:val="en-US" w:eastAsia="zh-CN"/>
              </w:rPr>
              <w:t>锅炉大气污染物排放标准</w:t>
            </w:r>
            <w:r>
              <w:rPr>
                <w:rFonts w:hint="default" w:ascii="Times New Roman" w:hAnsi="Times New Roman" w:eastAsia="宋体" w:cs="Times New Roman"/>
                <w:color w:val="auto"/>
                <w:spacing w:val="0"/>
                <w:sz w:val="24"/>
                <w:highlight w:val="none"/>
              </w:rPr>
              <w:t>》（GB</w:t>
            </w:r>
            <w:r>
              <w:rPr>
                <w:rFonts w:hint="default" w:ascii="Times New Roman" w:hAnsi="Times New Roman" w:eastAsia="宋体" w:cs="Times New Roman"/>
                <w:color w:val="auto"/>
                <w:spacing w:val="0"/>
                <w:sz w:val="24"/>
                <w:highlight w:val="none"/>
                <w:lang w:val="en-US" w:eastAsia="zh-CN"/>
              </w:rPr>
              <w:t>13271</w:t>
            </w:r>
            <w:r>
              <w:rPr>
                <w:rFonts w:hint="default" w:ascii="Times New Roman" w:hAnsi="Times New Roman" w:eastAsia="宋体" w:cs="Times New Roman"/>
                <w:color w:val="auto"/>
                <w:spacing w:val="0"/>
                <w:sz w:val="24"/>
                <w:highlight w:val="none"/>
              </w:rPr>
              <w:t>-</w:t>
            </w:r>
            <w:r>
              <w:rPr>
                <w:rFonts w:hint="default" w:ascii="Times New Roman" w:hAnsi="Times New Roman" w:eastAsia="宋体" w:cs="Times New Roman"/>
                <w:color w:val="auto"/>
                <w:spacing w:val="0"/>
                <w:sz w:val="24"/>
                <w:highlight w:val="none"/>
                <w:lang w:val="en-US" w:eastAsia="zh-CN"/>
              </w:rPr>
              <w:t>2014</w:t>
            </w:r>
            <w:r>
              <w:rPr>
                <w:rFonts w:hint="default" w:ascii="Times New Roman" w:hAnsi="Times New Roman" w:eastAsia="宋体" w:cs="Times New Roman"/>
                <w:color w:val="auto"/>
                <w:spacing w:val="0"/>
                <w:sz w:val="24"/>
                <w:highlight w:val="none"/>
              </w:rPr>
              <w:t>）</w:t>
            </w:r>
            <w:r>
              <w:rPr>
                <w:rFonts w:hint="default" w:ascii="Times New Roman" w:hAnsi="Times New Roman" w:cs="Times New Roman"/>
                <w:b w:val="0"/>
                <w:bCs w:val="0"/>
                <w:color w:val="auto"/>
                <w:spacing w:val="0"/>
                <w:kern w:val="0"/>
                <w:sz w:val="24"/>
                <w:szCs w:val="24"/>
                <w:highlight w:val="none"/>
                <w:lang w:val="en-US" w:eastAsia="zh-CN" w:bidi="ar-SA"/>
              </w:rPr>
              <w:t>燃煤锅炉房烟囱最低允许高度</w:t>
            </w:r>
            <w:r>
              <w:rPr>
                <w:rFonts w:hint="eastAsia" w:ascii="Times New Roman" w:hAnsi="Times New Roman" w:cs="Times New Roman"/>
                <w:b w:val="0"/>
                <w:bCs w:val="0"/>
                <w:color w:val="auto"/>
                <w:spacing w:val="0"/>
                <w:kern w:val="0"/>
                <w:sz w:val="24"/>
                <w:szCs w:val="24"/>
                <w:highlight w:val="none"/>
                <w:lang w:val="en-US" w:eastAsia="zh-CN" w:bidi="ar-SA"/>
              </w:rPr>
              <w:t>及“新建锅炉房烟囱高出200米范围内最高建筑物3米”要求</w:t>
            </w:r>
            <w:r>
              <w:rPr>
                <w:rFonts w:hint="default" w:ascii="Times New Roman" w:hAnsi="Times New Roman" w:cs="Times New Roman"/>
                <w:b w:val="0"/>
                <w:bCs w:val="0"/>
                <w:color w:val="auto"/>
                <w:spacing w:val="0"/>
                <w:kern w:val="0"/>
                <w:sz w:val="24"/>
                <w:szCs w:val="24"/>
                <w:highlight w:val="none"/>
                <w:lang w:val="en-US" w:eastAsia="zh-CN" w:bidi="ar-SA"/>
              </w:rPr>
              <w:t>。本项目锅炉房烟囱周围半径</w:t>
            </w:r>
            <w:r>
              <w:rPr>
                <w:rFonts w:hint="default" w:ascii="Times New Roman" w:hAnsi="Times New Roman" w:eastAsia="宋体" w:cs="Times New Roman"/>
                <w:b w:val="0"/>
                <w:bCs w:val="0"/>
                <w:color w:val="auto"/>
                <w:spacing w:val="0"/>
                <w:kern w:val="0"/>
                <w:sz w:val="24"/>
                <w:szCs w:val="24"/>
                <w:highlight w:val="none"/>
                <w:lang w:val="en-US" w:eastAsia="zh-CN" w:bidi="ar-SA"/>
              </w:rPr>
              <w:t>200米范围内最高建筑为</w:t>
            </w:r>
            <w:r>
              <w:rPr>
                <w:rFonts w:hint="default" w:ascii="Times New Roman" w:hAnsi="Times New Roman" w:cs="Times New Roman"/>
                <w:b w:val="0"/>
                <w:bCs w:val="0"/>
                <w:color w:val="auto"/>
                <w:spacing w:val="0"/>
                <w:kern w:val="0"/>
                <w:sz w:val="24"/>
                <w:szCs w:val="24"/>
                <w:highlight w:val="none"/>
                <w:lang w:val="en-US" w:eastAsia="zh-CN" w:bidi="ar-SA"/>
              </w:rPr>
              <w:t>急诊综合楼</w:t>
            </w:r>
            <w:r>
              <w:rPr>
                <w:rFonts w:hint="default" w:ascii="Times New Roman" w:hAnsi="Times New Roman" w:eastAsia="宋体" w:cs="Times New Roman"/>
                <w:b w:val="0"/>
                <w:bCs w:val="0"/>
                <w:color w:val="auto"/>
                <w:spacing w:val="0"/>
                <w:kern w:val="0"/>
                <w:sz w:val="24"/>
                <w:szCs w:val="24"/>
                <w:highlight w:val="none"/>
                <w:lang w:val="en-US" w:eastAsia="zh-CN" w:bidi="ar-SA"/>
              </w:rPr>
              <w:t>，高度</w:t>
            </w:r>
            <w:r>
              <w:rPr>
                <w:rFonts w:hint="default" w:ascii="Times New Roman" w:hAnsi="Times New Roman" w:cs="Times New Roman"/>
                <w:b w:val="0"/>
                <w:bCs w:val="0"/>
                <w:color w:val="auto"/>
                <w:spacing w:val="0"/>
                <w:kern w:val="0"/>
                <w:sz w:val="24"/>
                <w:szCs w:val="24"/>
                <w:highlight w:val="none"/>
                <w:lang w:val="en-US" w:eastAsia="zh-CN" w:bidi="ar-SA"/>
              </w:rPr>
              <w:t>24</w:t>
            </w:r>
            <w:r>
              <w:rPr>
                <w:rFonts w:hint="default" w:ascii="Times New Roman" w:hAnsi="Times New Roman" w:eastAsia="宋体" w:cs="Times New Roman"/>
                <w:b w:val="0"/>
                <w:bCs w:val="0"/>
                <w:color w:val="auto"/>
                <w:spacing w:val="0"/>
                <w:kern w:val="0"/>
                <w:sz w:val="24"/>
                <w:szCs w:val="24"/>
                <w:highlight w:val="none"/>
                <w:lang w:val="en-US" w:eastAsia="zh-CN" w:bidi="ar-SA"/>
              </w:rPr>
              <w:t>m，满足高出最高建筑物3m以上要求。</w:t>
            </w:r>
          </w:p>
          <w:p w14:paraId="6A1F3C07">
            <w:pPr>
              <w:rPr>
                <w:rFonts w:hint="default" w:ascii="Times New Roman" w:hAnsi="Times New Roman" w:cs="Times New Roman"/>
                <w:b/>
                <w:bCs w:val="0"/>
                <w:color w:val="auto"/>
                <w:highlight w:val="none"/>
                <w:lang w:val="en-US" w:eastAsia="zh-CN"/>
              </w:rPr>
            </w:pPr>
            <w:r>
              <w:rPr>
                <w:rFonts w:hint="default" w:ascii="Times New Roman" w:hAnsi="Times New Roman" w:cs="Times New Roman"/>
                <w:b/>
                <w:bCs w:val="0"/>
                <w:color w:val="auto"/>
                <w:highlight w:val="none"/>
                <w:lang w:val="en-US" w:eastAsia="zh-CN"/>
              </w:rPr>
              <w:t>1.3污染防治技术可行性分析</w:t>
            </w:r>
          </w:p>
          <w:p w14:paraId="2474F419">
            <w:pPr>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4"/>
                <w:szCs w:val="24"/>
                <w:highlight w:val="none"/>
                <w:lang w:val="en-US" w:eastAsia="zh-CN"/>
              </w:rPr>
              <w:t>根据</w:t>
            </w:r>
            <w:r>
              <w:rPr>
                <w:rFonts w:hint="default" w:ascii="Times New Roman" w:hAnsi="Times New Roman" w:eastAsia="宋体" w:cs="Times New Roman"/>
                <w:color w:val="auto"/>
                <w:spacing w:val="0"/>
                <w:sz w:val="24"/>
                <w:highlight w:val="none"/>
                <w:lang w:val="en-US" w:eastAsia="zh-CN"/>
              </w:rPr>
              <w:t>《排污许可证申请与核发技术规范 锅炉》</w:t>
            </w:r>
            <w:r>
              <w:rPr>
                <w:rFonts w:hint="default" w:ascii="Times New Roman" w:hAnsi="Times New Roman" w:cs="Times New Roman"/>
                <w:color w:val="auto"/>
                <w:spacing w:val="0"/>
                <w:sz w:val="24"/>
                <w:highlight w:val="none"/>
                <w:lang w:val="en-US" w:eastAsia="zh-CN"/>
              </w:rPr>
              <w:t>（</w:t>
            </w:r>
            <w:r>
              <w:rPr>
                <w:rFonts w:hint="default" w:ascii="Times New Roman" w:hAnsi="Times New Roman" w:eastAsia="宋体" w:cs="Times New Roman"/>
                <w:color w:val="auto"/>
                <w:spacing w:val="0"/>
                <w:sz w:val="24"/>
                <w:highlight w:val="none"/>
                <w:lang w:val="en-US" w:eastAsia="zh-CN"/>
              </w:rPr>
              <w:t>HJ953—2018</w:t>
            </w:r>
            <w:r>
              <w:rPr>
                <w:rFonts w:hint="default" w:ascii="Times New Roman" w:hAnsi="Times New Roman" w:cs="Times New Roman"/>
                <w:color w:val="auto"/>
                <w:spacing w:val="0"/>
                <w:sz w:val="24"/>
                <w:highlight w:val="none"/>
                <w:lang w:val="en-US" w:eastAsia="zh-CN"/>
              </w:rPr>
              <w:t>），本项目废气采取环保措施可行性分析如下表：</w:t>
            </w:r>
          </w:p>
          <w:p w14:paraId="6B715F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pacing w:val="0"/>
                <w:kern w:val="0"/>
                <w:sz w:val="21"/>
                <w:szCs w:val="21"/>
                <w:highlight w:val="none"/>
                <w:lang w:val="en-US" w:eastAsia="zh-CN"/>
              </w:rPr>
            </w:pPr>
            <w:r>
              <w:rPr>
                <w:rFonts w:hint="default" w:ascii="Times New Roman" w:hAnsi="Times New Roman" w:cs="Times New Roman"/>
                <w:b/>
                <w:bCs/>
                <w:color w:val="auto"/>
                <w:spacing w:val="0"/>
                <w:kern w:val="0"/>
                <w:sz w:val="21"/>
                <w:szCs w:val="21"/>
                <w:highlight w:val="none"/>
                <w:lang w:val="en-US" w:eastAsia="zh-CN"/>
              </w:rPr>
              <w:t>表4-4 可行性技术汇总表</w:t>
            </w:r>
          </w:p>
          <w:tbl>
            <w:tblPr>
              <w:tblStyle w:val="36"/>
              <w:tblW w:w="7971" w:type="dxa"/>
              <w:jc w:val="center"/>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3"/>
              <w:gridCol w:w="3661"/>
              <w:gridCol w:w="2657"/>
            </w:tblGrid>
            <w:tr w14:paraId="468ED73B">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3" w:type="dxa"/>
                  <w:tcBorders>
                    <w:tl2br w:val="nil"/>
                    <w:tr2bl w:val="nil"/>
                  </w:tcBorders>
                  <w:vAlign w:val="center"/>
                </w:tcPr>
                <w:p w14:paraId="222229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pacing w:val="0"/>
                      <w:kern w:val="0"/>
                      <w:sz w:val="21"/>
                      <w:szCs w:val="21"/>
                      <w:highlight w:val="none"/>
                      <w:vertAlign w:val="baseline"/>
                      <w:lang w:val="en-US" w:eastAsia="zh-CN"/>
                    </w:rPr>
                  </w:pPr>
                  <w:r>
                    <w:rPr>
                      <w:rFonts w:hint="default" w:ascii="Times New Roman" w:hAnsi="Times New Roman" w:cs="Times New Roman"/>
                      <w:b w:val="0"/>
                      <w:bCs w:val="0"/>
                      <w:color w:val="auto"/>
                      <w:spacing w:val="0"/>
                      <w:kern w:val="0"/>
                      <w:sz w:val="21"/>
                      <w:szCs w:val="21"/>
                      <w:highlight w:val="none"/>
                      <w:vertAlign w:val="baseline"/>
                      <w:lang w:val="en-US" w:eastAsia="zh-CN"/>
                    </w:rPr>
                    <w:t>污染物</w:t>
                  </w:r>
                </w:p>
              </w:tc>
              <w:tc>
                <w:tcPr>
                  <w:tcW w:w="3661" w:type="dxa"/>
                  <w:tcBorders>
                    <w:tl2br w:val="nil"/>
                    <w:tr2bl w:val="nil"/>
                  </w:tcBorders>
                  <w:vAlign w:val="center"/>
                </w:tcPr>
                <w:p w14:paraId="2DAE24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pacing w:val="0"/>
                      <w:kern w:val="0"/>
                      <w:sz w:val="21"/>
                      <w:szCs w:val="21"/>
                      <w:highlight w:val="none"/>
                      <w:vertAlign w:val="baseline"/>
                      <w:lang w:val="en-US" w:eastAsia="zh-CN"/>
                    </w:rPr>
                  </w:pPr>
                  <w:r>
                    <w:rPr>
                      <w:rFonts w:hint="default" w:ascii="Times New Roman" w:hAnsi="Times New Roman" w:cs="Times New Roman"/>
                      <w:b w:val="0"/>
                      <w:bCs w:val="0"/>
                      <w:color w:val="auto"/>
                      <w:spacing w:val="0"/>
                      <w:kern w:val="0"/>
                      <w:sz w:val="21"/>
                      <w:szCs w:val="21"/>
                      <w:highlight w:val="none"/>
                      <w:vertAlign w:val="baseline"/>
                      <w:lang w:val="en-US" w:eastAsia="zh-CN"/>
                    </w:rPr>
                    <w:t>治理措施</w:t>
                  </w:r>
                </w:p>
              </w:tc>
              <w:tc>
                <w:tcPr>
                  <w:tcW w:w="2657" w:type="dxa"/>
                  <w:tcBorders>
                    <w:tl2br w:val="nil"/>
                    <w:tr2bl w:val="nil"/>
                  </w:tcBorders>
                  <w:vAlign w:val="center"/>
                </w:tcPr>
                <w:p w14:paraId="688570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pacing w:val="0"/>
                      <w:kern w:val="0"/>
                      <w:sz w:val="21"/>
                      <w:szCs w:val="21"/>
                      <w:highlight w:val="none"/>
                      <w:vertAlign w:val="baseline"/>
                      <w:lang w:val="en-US" w:eastAsia="zh-CN"/>
                    </w:rPr>
                  </w:pPr>
                  <w:r>
                    <w:rPr>
                      <w:rFonts w:hint="default" w:ascii="Times New Roman" w:hAnsi="Times New Roman" w:cs="Times New Roman"/>
                      <w:b w:val="0"/>
                      <w:bCs w:val="0"/>
                      <w:color w:val="auto"/>
                      <w:spacing w:val="0"/>
                      <w:kern w:val="0"/>
                      <w:sz w:val="21"/>
                      <w:szCs w:val="21"/>
                      <w:highlight w:val="none"/>
                      <w:vertAlign w:val="baseline"/>
                      <w:lang w:val="en-US" w:eastAsia="zh-CN"/>
                    </w:rPr>
                    <w:t>是否为可行性技术</w:t>
                  </w:r>
                </w:p>
              </w:tc>
            </w:tr>
            <w:tr w14:paraId="28CA289C">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3" w:type="dxa"/>
                  <w:tcBorders>
                    <w:tl2br w:val="nil"/>
                    <w:tr2bl w:val="nil"/>
                  </w:tcBorders>
                  <w:vAlign w:val="center"/>
                </w:tcPr>
                <w:p w14:paraId="26F150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pacing w:val="0"/>
                      <w:kern w:val="0"/>
                      <w:sz w:val="21"/>
                      <w:szCs w:val="21"/>
                      <w:highlight w:val="none"/>
                      <w:vertAlign w:val="baseline"/>
                      <w:lang w:val="en-US" w:eastAsia="zh-CN"/>
                    </w:rPr>
                  </w:pPr>
                  <w:r>
                    <w:rPr>
                      <w:rFonts w:hint="default" w:ascii="Times New Roman" w:hAnsi="Times New Roman" w:cs="Times New Roman"/>
                      <w:b w:val="0"/>
                      <w:bCs w:val="0"/>
                      <w:color w:val="auto"/>
                      <w:spacing w:val="0"/>
                      <w:kern w:val="0"/>
                      <w:sz w:val="21"/>
                      <w:szCs w:val="21"/>
                      <w:highlight w:val="none"/>
                      <w:vertAlign w:val="baseline"/>
                      <w:lang w:val="en-US" w:eastAsia="zh-CN"/>
                    </w:rPr>
                    <w:t>颗粒物</w:t>
                  </w:r>
                </w:p>
              </w:tc>
              <w:tc>
                <w:tcPr>
                  <w:tcW w:w="3661" w:type="dxa"/>
                  <w:tcBorders>
                    <w:tl2br w:val="nil"/>
                    <w:tr2bl w:val="nil"/>
                  </w:tcBorders>
                  <w:vAlign w:val="center"/>
                </w:tcPr>
                <w:p w14:paraId="4F963510">
                  <w:pPr>
                    <w:keepNext w:val="0"/>
                    <w:keepLines w:val="0"/>
                    <w:pageBreakBefore w:val="0"/>
                    <w:widowControl w:val="0"/>
                    <w:tabs>
                      <w:tab w:val="left" w:pos="708"/>
                      <w:tab w:val="center" w:pos="1782"/>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pacing w:val="0"/>
                      <w:kern w:val="0"/>
                      <w:sz w:val="21"/>
                      <w:szCs w:val="21"/>
                      <w:highlight w:val="none"/>
                      <w:vertAlign w:val="baseline"/>
                      <w:lang w:val="en-US" w:eastAsia="zh-CN"/>
                    </w:rPr>
                  </w:pPr>
                  <w:r>
                    <w:rPr>
                      <w:rFonts w:hint="eastAsia" w:ascii="Times New Roman" w:hAnsi="Times New Roman" w:cs="Times New Roman"/>
                      <w:b w:val="0"/>
                      <w:bCs w:val="0"/>
                      <w:color w:val="auto"/>
                      <w:spacing w:val="0"/>
                      <w:kern w:val="0"/>
                      <w:sz w:val="21"/>
                      <w:szCs w:val="21"/>
                      <w:highlight w:val="none"/>
                      <w:vertAlign w:val="baseline"/>
                      <w:lang w:val="en-US" w:eastAsia="zh-CN"/>
                    </w:rPr>
                    <w:t>旋风+</w:t>
                  </w:r>
                  <w:r>
                    <w:rPr>
                      <w:rFonts w:hint="default" w:ascii="Times New Roman" w:hAnsi="Times New Roman" w:cs="Times New Roman"/>
                      <w:b w:val="0"/>
                      <w:bCs w:val="0"/>
                      <w:color w:val="auto"/>
                      <w:spacing w:val="0"/>
                      <w:kern w:val="0"/>
                      <w:sz w:val="21"/>
                      <w:szCs w:val="21"/>
                      <w:highlight w:val="none"/>
                      <w:vertAlign w:val="baseline"/>
                      <w:lang w:val="en-US" w:eastAsia="zh-CN"/>
                    </w:rPr>
                    <w:t>布袋除尘器</w:t>
                  </w:r>
                </w:p>
              </w:tc>
              <w:tc>
                <w:tcPr>
                  <w:tcW w:w="2657" w:type="dxa"/>
                  <w:tcBorders>
                    <w:tl2br w:val="nil"/>
                    <w:tr2bl w:val="nil"/>
                  </w:tcBorders>
                  <w:vAlign w:val="center"/>
                </w:tcPr>
                <w:p w14:paraId="00E75E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pacing w:val="0"/>
                      <w:kern w:val="0"/>
                      <w:sz w:val="21"/>
                      <w:szCs w:val="21"/>
                      <w:highlight w:val="none"/>
                      <w:vertAlign w:val="baseline"/>
                      <w:lang w:val="en-US" w:eastAsia="zh-CN"/>
                    </w:rPr>
                  </w:pPr>
                  <w:r>
                    <w:rPr>
                      <w:rFonts w:hint="default" w:ascii="Times New Roman" w:hAnsi="Times New Roman" w:cs="Times New Roman"/>
                      <w:b w:val="0"/>
                      <w:bCs w:val="0"/>
                      <w:color w:val="auto"/>
                      <w:spacing w:val="0"/>
                      <w:kern w:val="0"/>
                      <w:sz w:val="21"/>
                      <w:szCs w:val="21"/>
                      <w:highlight w:val="none"/>
                      <w:vertAlign w:val="baseline"/>
                      <w:lang w:val="en-US" w:eastAsia="zh-CN"/>
                    </w:rPr>
                    <w:t>是</w:t>
                  </w:r>
                </w:p>
              </w:tc>
            </w:tr>
            <w:tr w14:paraId="3740B083">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3" w:type="dxa"/>
                  <w:tcBorders>
                    <w:tl2br w:val="nil"/>
                    <w:tr2bl w:val="nil"/>
                  </w:tcBorders>
                  <w:vAlign w:val="center"/>
                </w:tcPr>
                <w:p w14:paraId="116D88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pacing w:val="0"/>
                      <w:kern w:val="0"/>
                      <w:sz w:val="21"/>
                      <w:szCs w:val="21"/>
                      <w:highlight w:val="none"/>
                      <w:vertAlign w:val="baseline"/>
                      <w:lang w:val="en-US" w:eastAsia="zh-CN"/>
                    </w:rPr>
                  </w:pPr>
                  <w:r>
                    <w:rPr>
                      <w:rFonts w:hint="default" w:ascii="Times New Roman" w:hAnsi="Times New Roman" w:cs="Times New Roman"/>
                      <w:b w:val="0"/>
                      <w:bCs w:val="0"/>
                      <w:color w:val="auto"/>
                      <w:spacing w:val="0"/>
                      <w:kern w:val="0"/>
                      <w:sz w:val="21"/>
                      <w:szCs w:val="21"/>
                      <w:highlight w:val="none"/>
                      <w:vertAlign w:val="baseline"/>
                      <w:lang w:val="en-US" w:eastAsia="zh-CN"/>
                    </w:rPr>
                    <w:t>无组织颗粒物</w:t>
                  </w:r>
                </w:p>
              </w:tc>
              <w:tc>
                <w:tcPr>
                  <w:tcW w:w="3661" w:type="dxa"/>
                  <w:tcBorders>
                    <w:tl2br w:val="nil"/>
                    <w:tr2bl w:val="nil"/>
                  </w:tcBorders>
                  <w:vAlign w:val="center"/>
                </w:tcPr>
                <w:p w14:paraId="7CB87F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pacing w:val="0"/>
                      <w:kern w:val="0"/>
                      <w:sz w:val="21"/>
                      <w:szCs w:val="21"/>
                      <w:highlight w:val="none"/>
                      <w:vertAlign w:val="baseline"/>
                      <w:lang w:val="en-US" w:eastAsia="zh-CN"/>
                    </w:rPr>
                  </w:pPr>
                  <w:r>
                    <w:rPr>
                      <w:rFonts w:hint="default" w:ascii="Times New Roman" w:hAnsi="Times New Roman" w:cs="Times New Roman"/>
                      <w:b w:val="0"/>
                      <w:bCs w:val="0"/>
                      <w:color w:val="auto"/>
                      <w:spacing w:val="0"/>
                      <w:kern w:val="0"/>
                      <w:sz w:val="21"/>
                      <w:szCs w:val="21"/>
                      <w:highlight w:val="none"/>
                      <w:vertAlign w:val="baseline"/>
                      <w:lang w:val="en-US" w:eastAsia="zh-CN"/>
                    </w:rPr>
                    <w:t>密闭措施并洒水降尘</w:t>
                  </w:r>
                </w:p>
              </w:tc>
              <w:tc>
                <w:tcPr>
                  <w:tcW w:w="2657" w:type="dxa"/>
                  <w:tcBorders>
                    <w:tl2br w:val="nil"/>
                    <w:tr2bl w:val="nil"/>
                  </w:tcBorders>
                  <w:vAlign w:val="center"/>
                </w:tcPr>
                <w:p w14:paraId="34A413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pacing w:val="0"/>
                      <w:kern w:val="0"/>
                      <w:sz w:val="21"/>
                      <w:szCs w:val="21"/>
                      <w:highlight w:val="none"/>
                      <w:vertAlign w:val="baseline"/>
                      <w:lang w:val="en-US" w:eastAsia="zh-CN"/>
                    </w:rPr>
                  </w:pPr>
                  <w:r>
                    <w:rPr>
                      <w:rFonts w:hint="default" w:ascii="Times New Roman" w:hAnsi="Times New Roman" w:cs="Times New Roman"/>
                      <w:b w:val="0"/>
                      <w:bCs w:val="0"/>
                      <w:color w:val="auto"/>
                      <w:spacing w:val="0"/>
                      <w:kern w:val="0"/>
                      <w:sz w:val="21"/>
                      <w:szCs w:val="21"/>
                      <w:highlight w:val="none"/>
                      <w:vertAlign w:val="baseline"/>
                      <w:lang w:val="en-US" w:eastAsia="zh-CN"/>
                    </w:rPr>
                    <w:t>是</w:t>
                  </w:r>
                </w:p>
              </w:tc>
            </w:tr>
          </w:tbl>
          <w:p w14:paraId="41733E2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bCs/>
                <w:color w:val="auto"/>
                <w:spacing w:val="0"/>
                <w:kern w:val="0"/>
                <w:sz w:val="24"/>
                <w:highlight w:val="none"/>
                <w:lang w:val="en-US" w:eastAsia="zh-CN"/>
              </w:rPr>
            </w:pPr>
            <w:r>
              <w:rPr>
                <w:rFonts w:hint="default" w:ascii="Times New Roman" w:hAnsi="Times New Roman" w:cs="Times New Roman"/>
                <w:bCs/>
                <w:color w:val="auto"/>
                <w:sz w:val="24"/>
                <w:szCs w:val="24"/>
                <w:highlight w:val="none"/>
              </w:rPr>
              <w:t>综上，本项目治理措施均为可行性技术。</w:t>
            </w:r>
          </w:p>
          <w:p w14:paraId="121C24BA">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pacing w:val="0"/>
                <w:kern w:val="0"/>
                <w:sz w:val="24"/>
                <w:highlight w:val="none"/>
              </w:rPr>
            </w:pPr>
            <w:r>
              <w:rPr>
                <w:rFonts w:hint="default" w:ascii="Times New Roman" w:hAnsi="Times New Roman" w:eastAsia="宋体" w:cs="Times New Roman"/>
                <w:b/>
                <w:bCs/>
                <w:color w:val="auto"/>
                <w:spacing w:val="0"/>
                <w:kern w:val="0"/>
                <w:sz w:val="24"/>
                <w:highlight w:val="none"/>
                <w:lang w:val="en-US" w:eastAsia="zh-CN"/>
              </w:rPr>
              <w:t>1.</w:t>
            </w:r>
            <w:r>
              <w:rPr>
                <w:rFonts w:hint="default" w:ascii="Times New Roman" w:hAnsi="Times New Roman" w:cs="Times New Roman"/>
                <w:b/>
                <w:bCs/>
                <w:color w:val="auto"/>
                <w:spacing w:val="0"/>
                <w:kern w:val="0"/>
                <w:sz w:val="24"/>
                <w:highlight w:val="none"/>
                <w:lang w:val="en-US" w:eastAsia="zh-CN"/>
              </w:rPr>
              <w:t>4</w:t>
            </w:r>
            <w:r>
              <w:rPr>
                <w:rFonts w:hint="default" w:ascii="Times New Roman" w:hAnsi="Times New Roman" w:eastAsia="宋体" w:cs="Times New Roman"/>
                <w:b/>
                <w:bCs/>
                <w:color w:val="auto"/>
                <w:spacing w:val="0"/>
                <w:kern w:val="0"/>
                <w:sz w:val="24"/>
                <w:highlight w:val="none"/>
              </w:rPr>
              <w:t>有组织废气排放达标分析</w:t>
            </w:r>
          </w:p>
          <w:p w14:paraId="3C46EC1D">
            <w:pPr>
              <w:spacing w:line="360" w:lineRule="auto"/>
              <w:ind w:firstLine="480" w:firstLineChars="200"/>
              <w:rPr>
                <w:rFonts w:hint="default" w:ascii="Times New Roman" w:hAnsi="Times New Roman" w:eastAsia="宋体" w:cs="Times New Roman"/>
                <w:color w:val="auto"/>
                <w:spacing w:val="0"/>
                <w:kern w:val="0"/>
                <w:sz w:val="24"/>
                <w:highlight w:val="none"/>
              </w:rPr>
            </w:pPr>
            <w:r>
              <w:rPr>
                <w:rFonts w:hint="default" w:ascii="Times New Roman" w:hAnsi="Times New Roman" w:eastAsia="宋体" w:cs="Times New Roman"/>
                <w:color w:val="auto"/>
                <w:spacing w:val="0"/>
                <w:kern w:val="0"/>
                <w:sz w:val="24"/>
                <w:highlight w:val="none"/>
              </w:rPr>
              <w:t>根据工程分析，本项目各排气筒污染物达标排放情况见下表。</w:t>
            </w:r>
          </w:p>
          <w:p w14:paraId="16FDD4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pacing w:val="0"/>
                <w:kern w:val="0"/>
                <w:sz w:val="21"/>
                <w:szCs w:val="21"/>
                <w:highlight w:val="none"/>
              </w:rPr>
            </w:pPr>
          </w:p>
          <w:p w14:paraId="4B66FE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pacing w:val="0"/>
                <w:kern w:val="0"/>
                <w:sz w:val="21"/>
                <w:szCs w:val="21"/>
                <w:highlight w:val="none"/>
              </w:rPr>
            </w:pPr>
          </w:p>
          <w:p w14:paraId="7ADA84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pacing w:val="0"/>
                <w:kern w:val="0"/>
                <w:sz w:val="21"/>
                <w:szCs w:val="21"/>
                <w:highlight w:val="none"/>
              </w:rPr>
            </w:pPr>
          </w:p>
          <w:p w14:paraId="10FBF6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pacing w:val="0"/>
                <w:kern w:val="0"/>
                <w:sz w:val="21"/>
                <w:szCs w:val="21"/>
                <w:highlight w:val="none"/>
              </w:rPr>
            </w:pPr>
            <w:r>
              <w:rPr>
                <w:rFonts w:hint="default" w:ascii="Times New Roman" w:hAnsi="Times New Roman" w:eastAsia="宋体" w:cs="Times New Roman"/>
                <w:b/>
                <w:bCs/>
                <w:color w:val="auto"/>
                <w:spacing w:val="0"/>
                <w:kern w:val="0"/>
                <w:sz w:val="21"/>
                <w:szCs w:val="21"/>
                <w:highlight w:val="none"/>
              </w:rPr>
              <w:t>表4-</w:t>
            </w:r>
            <w:r>
              <w:rPr>
                <w:rFonts w:hint="default" w:ascii="Times New Roman" w:hAnsi="Times New Roman" w:cs="Times New Roman"/>
                <w:b/>
                <w:bCs/>
                <w:color w:val="auto"/>
                <w:spacing w:val="0"/>
                <w:kern w:val="0"/>
                <w:sz w:val="21"/>
                <w:szCs w:val="21"/>
                <w:highlight w:val="none"/>
                <w:lang w:val="en-US" w:eastAsia="zh-CN"/>
              </w:rPr>
              <w:t>5</w:t>
            </w:r>
            <w:r>
              <w:rPr>
                <w:rFonts w:hint="default" w:ascii="Times New Roman" w:hAnsi="Times New Roman" w:eastAsia="宋体" w:cs="Times New Roman"/>
                <w:b/>
                <w:bCs/>
                <w:color w:val="auto"/>
                <w:spacing w:val="0"/>
                <w:kern w:val="0"/>
                <w:sz w:val="21"/>
                <w:szCs w:val="21"/>
                <w:highlight w:val="none"/>
              </w:rPr>
              <w:t xml:space="preserve"> 本项目废气达标排放情况汇总表</w:t>
            </w:r>
          </w:p>
          <w:tbl>
            <w:tblPr>
              <w:tblStyle w:val="35"/>
              <w:tblW w:w="4895" w:type="pct"/>
              <w:jc w:val="center"/>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44"/>
              <w:gridCol w:w="1589"/>
              <w:gridCol w:w="790"/>
              <w:gridCol w:w="1125"/>
              <w:gridCol w:w="1058"/>
              <w:gridCol w:w="957"/>
              <w:gridCol w:w="1013"/>
              <w:gridCol w:w="732"/>
            </w:tblGrid>
            <w:tr w14:paraId="662EAE84">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44" w:type="dxa"/>
                  <w:vMerge w:val="restart"/>
                  <w:tcBorders>
                    <w:tl2br w:val="nil"/>
                    <w:tr2bl w:val="nil"/>
                  </w:tcBorders>
                  <w:noWrap w:val="0"/>
                  <w:vAlign w:val="center"/>
                </w:tcPr>
                <w:p w14:paraId="0D5B4BE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污染源</w:t>
                  </w:r>
                </w:p>
              </w:tc>
              <w:tc>
                <w:tcPr>
                  <w:tcW w:w="1589" w:type="dxa"/>
                  <w:vMerge w:val="restart"/>
                  <w:tcBorders>
                    <w:tl2br w:val="nil"/>
                    <w:tr2bl w:val="nil"/>
                  </w:tcBorders>
                  <w:noWrap w:val="0"/>
                  <w:vAlign w:val="center"/>
                </w:tcPr>
                <w:p w14:paraId="14BF3E4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污染物</w:t>
                  </w:r>
                </w:p>
              </w:tc>
              <w:tc>
                <w:tcPr>
                  <w:tcW w:w="790" w:type="dxa"/>
                  <w:vMerge w:val="restart"/>
                  <w:tcBorders>
                    <w:tl2br w:val="nil"/>
                    <w:tr2bl w:val="nil"/>
                  </w:tcBorders>
                  <w:noWrap w:val="0"/>
                  <w:vAlign w:val="center"/>
                </w:tcPr>
                <w:p w14:paraId="25FF80D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排气筒高度m</w:t>
                  </w:r>
                </w:p>
              </w:tc>
              <w:tc>
                <w:tcPr>
                  <w:tcW w:w="2183" w:type="dxa"/>
                  <w:gridSpan w:val="2"/>
                  <w:tcBorders>
                    <w:tl2br w:val="nil"/>
                    <w:tr2bl w:val="nil"/>
                  </w:tcBorders>
                  <w:noWrap w:val="0"/>
                  <w:vAlign w:val="center"/>
                </w:tcPr>
                <w:p w14:paraId="70401AC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排放情况</w:t>
                  </w:r>
                </w:p>
              </w:tc>
              <w:tc>
                <w:tcPr>
                  <w:tcW w:w="1970" w:type="dxa"/>
                  <w:gridSpan w:val="2"/>
                  <w:tcBorders>
                    <w:tl2br w:val="nil"/>
                    <w:tr2bl w:val="nil"/>
                  </w:tcBorders>
                  <w:noWrap w:val="0"/>
                  <w:vAlign w:val="center"/>
                </w:tcPr>
                <w:p w14:paraId="373C46F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排放执行标准</w:t>
                  </w:r>
                </w:p>
              </w:tc>
              <w:tc>
                <w:tcPr>
                  <w:tcW w:w="732" w:type="dxa"/>
                  <w:vMerge w:val="restart"/>
                  <w:tcBorders>
                    <w:tl2br w:val="nil"/>
                    <w:tr2bl w:val="nil"/>
                  </w:tcBorders>
                  <w:noWrap w:val="0"/>
                  <w:vAlign w:val="center"/>
                </w:tcPr>
                <w:p w14:paraId="44E0FF2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是否达标</w:t>
                  </w:r>
                </w:p>
              </w:tc>
            </w:tr>
            <w:tr w14:paraId="165A4441">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0" w:hRule="exact"/>
                <w:jc w:val="center"/>
              </w:trPr>
              <w:tc>
                <w:tcPr>
                  <w:tcW w:w="544" w:type="dxa"/>
                  <w:vMerge w:val="continue"/>
                  <w:tcBorders>
                    <w:tl2br w:val="nil"/>
                    <w:tr2bl w:val="nil"/>
                  </w:tcBorders>
                  <w:noWrap w:val="0"/>
                  <w:vAlign w:val="center"/>
                </w:tcPr>
                <w:p w14:paraId="331B5DE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b/>
                      <w:bCs/>
                      <w:color w:val="auto"/>
                      <w:spacing w:val="0"/>
                      <w:sz w:val="21"/>
                      <w:szCs w:val="21"/>
                      <w:highlight w:val="none"/>
                    </w:rPr>
                  </w:pPr>
                </w:p>
              </w:tc>
              <w:tc>
                <w:tcPr>
                  <w:tcW w:w="1589" w:type="dxa"/>
                  <w:vMerge w:val="continue"/>
                  <w:tcBorders>
                    <w:tl2br w:val="nil"/>
                    <w:tr2bl w:val="nil"/>
                  </w:tcBorders>
                  <w:noWrap w:val="0"/>
                  <w:vAlign w:val="center"/>
                </w:tcPr>
                <w:p w14:paraId="5274821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b/>
                      <w:bCs/>
                      <w:color w:val="auto"/>
                      <w:spacing w:val="0"/>
                      <w:sz w:val="21"/>
                      <w:szCs w:val="21"/>
                      <w:highlight w:val="none"/>
                    </w:rPr>
                  </w:pPr>
                </w:p>
              </w:tc>
              <w:tc>
                <w:tcPr>
                  <w:tcW w:w="790" w:type="dxa"/>
                  <w:vMerge w:val="continue"/>
                  <w:tcBorders>
                    <w:tl2br w:val="nil"/>
                    <w:tr2bl w:val="nil"/>
                  </w:tcBorders>
                  <w:noWrap w:val="0"/>
                  <w:vAlign w:val="center"/>
                </w:tcPr>
                <w:p w14:paraId="62BC7D1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b/>
                      <w:bCs/>
                      <w:color w:val="auto"/>
                      <w:spacing w:val="0"/>
                      <w:sz w:val="21"/>
                      <w:szCs w:val="21"/>
                      <w:highlight w:val="none"/>
                    </w:rPr>
                  </w:pPr>
                </w:p>
              </w:tc>
              <w:tc>
                <w:tcPr>
                  <w:tcW w:w="1125" w:type="dxa"/>
                  <w:tcBorders>
                    <w:tl2br w:val="nil"/>
                    <w:tr2bl w:val="nil"/>
                  </w:tcBorders>
                  <w:noWrap w:val="0"/>
                  <w:vAlign w:val="center"/>
                </w:tcPr>
                <w:p w14:paraId="7163754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排放</w:t>
                  </w:r>
                  <w:r>
                    <w:rPr>
                      <w:rFonts w:hint="default" w:ascii="Times New Roman" w:hAnsi="Times New Roman" w:eastAsia="宋体" w:cs="Times New Roman"/>
                      <w:b/>
                      <w:bCs/>
                      <w:color w:val="auto"/>
                      <w:spacing w:val="0"/>
                      <w:sz w:val="21"/>
                      <w:szCs w:val="21"/>
                      <w:highlight w:val="none"/>
                      <w:lang w:val="en-US" w:eastAsia="zh-CN"/>
                    </w:rPr>
                    <w:t>量</w:t>
                  </w:r>
                  <w:r>
                    <w:rPr>
                      <w:rFonts w:hint="default" w:ascii="Times New Roman" w:hAnsi="Times New Roman" w:eastAsia="宋体" w:cs="Times New Roman"/>
                      <w:b/>
                      <w:bCs/>
                      <w:color w:val="auto"/>
                      <w:spacing w:val="0"/>
                      <w:sz w:val="21"/>
                      <w:szCs w:val="21"/>
                      <w:highlight w:val="none"/>
                    </w:rPr>
                    <w:t>t/a</w:t>
                  </w:r>
                </w:p>
              </w:tc>
              <w:tc>
                <w:tcPr>
                  <w:tcW w:w="1058" w:type="dxa"/>
                  <w:tcBorders>
                    <w:tl2br w:val="nil"/>
                    <w:tr2bl w:val="nil"/>
                  </w:tcBorders>
                  <w:noWrap w:val="0"/>
                  <w:vAlign w:val="center"/>
                </w:tcPr>
                <w:p w14:paraId="167475E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sz w:val="21"/>
                      <w:szCs w:val="21"/>
                      <w:highlight w:val="none"/>
                      <w:lang w:eastAsia="zh-CN"/>
                    </w:rPr>
                  </w:pPr>
                  <w:r>
                    <w:rPr>
                      <w:rFonts w:hint="default" w:ascii="Times New Roman" w:hAnsi="Times New Roman" w:eastAsia="宋体" w:cs="Times New Roman"/>
                      <w:b/>
                      <w:bCs/>
                      <w:color w:val="auto"/>
                      <w:spacing w:val="0"/>
                      <w:sz w:val="21"/>
                      <w:szCs w:val="21"/>
                      <w:highlight w:val="none"/>
                    </w:rPr>
                    <w:t>排放浓度mg/</w:t>
                  </w:r>
                  <w:r>
                    <w:rPr>
                      <w:rFonts w:hint="default" w:ascii="Times New Roman" w:hAnsi="Times New Roman" w:eastAsia="宋体" w:cs="Times New Roman"/>
                      <w:b/>
                      <w:bCs/>
                      <w:color w:val="auto"/>
                      <w:spacing w:val="0"/>
                      <w:sz w:val="21"/>
                      <w:szCs w:val="21"/>
                      <w:highlight w:val="none"/>
                      <w:lang w:eastAsia="zh-CN"/>
                    </w:rPr>
                    <w:t>m</w:t>
                  </w:r>
                  <w:r>
                    <w:rPr>
                      <w:rFonts w:hint="default" w:ascii="Times New Roman" w:hAnsi="Times New Roman" w:eastAsia="宋体" w:cs="Times New Roman"/>
                      <w:b/>
                      <w:bCs/>
                      <w:caps w:val="0"/>
                      <w:smallCaps w:val="0"/>
                      <w:strike w:val="0"/>
                      <w:dstrike w:val="0"/>
                      <w:vanish w:val="0"/>
                      <w:color w:val="auto"/>
                      <w:spacing w:val="0"/>
                      <w:sz w:val="21"/>
                      <w:szCs w:val="21"/>
                      <w:highlight w:val="none"/>
                      <w:vertAlign w:val="superscript"/>
                      <w:lang w:eastAsia="zh-CN"/>
                    </w:rPr>
                    <w:t>3</w:t>
                  </w:r>
                </w:p>
              </w:tc>
              <w:tc>
                <w:tcPr>
                  <w:tcW w:w="957" w:type="dxa"/>
                  <w:tcBorders>
                    <w:tl2br w:val="nil"/>
                    <w:tr2bl w:val="nil"/>
                  </w:tcBorders>
                  <w:noWrap w:val="0"/>
                  <w:vAlign w:val="center"/>
                </w:tcPr>
                <w:p w14:paraId="3F8F481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排放速率kg/h</w:t>
                  </w:r>
                </w:p>
              </w:tc>
              <w:tc>
                <w:tcPr>
                  <w:tcW w:w="1013" w:type="dxa"/>
                  <w:tcBorders>
                    <w:tl2br w:val="nil"/>
                    <w:tr2bl w:val="nil"/>
                  </w:tcBorders>
                  <w:noWrap w:val="0"/>
                  <w:vAlign w:val="center"/>
                </w:tcPr>
                <w:p w14:paraId="174D4AF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sz w:val="21"/>
                      <w:szCs w:val="21"/>
                      <w:highlight w:val="none"/>
                      <w:lang w:eastAsia="zh-CN"/>
                    </w:rPr>
                  </w:pPr>
                  <w:r>
                    <w:rPr>
                      <w:rFonts w:hint="default" w:ascii="Times New Roman" w:hAnsi="Times New Roman" w:eastAsia="宋体" w:cs="Times New Roman"/>
                      <w:b/>
                      <w:bCs/>
                      <w:color w:val="auto"/>
                      <w:spacing w:val="0"/>
                      <w:sz w:val="21"/>
                      <w:szCs w:val="21"/>
                      <w:highlight w:val="none"/>
                    </w:rPr>
                    <w:t>排放浓度mg/</w:t>
                  </w:r>
                  <w:r>
                    <w:rPr>
                      <w:rFonts w:hint="default" w:ascii="Times New Roman" w:hAnsi="Times New Roman" w:eastAsia="宋体" w:cs="Times New Roman"/>
                      <w:b/>
                      <w:bCs/>
                      <w:color w:val="auto"/>
                      <w:spacing w:val="0"/>
                      <w:sz w:val="21"/>
                      <w:szCs w:val="21"/>
                      <w:highlight w:val="none"/>
                      <w:lang w:eastAsia="zh-CN"/>
                    </w:rPr>
                    <w:t>m</w:t>
                  </w:r>
                  <w:r>
                    <w:rPr>
                      <w:rFonts w:hint="default" w:ascii="Times New Roman" w:hAnsi="Times New Roman" w:eastAsia="宋体" w:cs="Times New Roman"/>
                      <w:b/>
                      <w:bCs/>
                      <w:caps w:val="0"/>
                      <w:smallCaps w:val="0"/>
                      <w:strike w:val="0"/>
                      <w:dstrike w:val="0"/>
                      <w:vanish w:val="0"/>
                      <w:color w:val="auto"/>
                      <w:spacing w:val="0"/>
                      <w:sz w:val="21"/>
                      <w:szCs w:val="21"/>
                      <w:highlight w:val="none"/>
                      <w:vertAlign w:val="superscript"/>
                      <w:lang w:eastAsia="zh-CN"/>
                    </w:rPr>
                    <w:t>3</w:t>
                  </w:r>
                </w:p>
              </w:tc>
              <w:tc>
                <w:tcPr>
                  <w:tcW w:w="732" w:type="dxa"/>
                  <w:vMerge w:val="continue"/>
                  <w:tcBorders>
                    <w:tl2br w:val="nil"/>
                    <w:tr2bl w:val="nil"/>
                  </w:tcBorders>
                  <w:noWrap w:val="0"/>
                  <w:vAlign w:val="center"/>
                </w:tcPr>
                <w:p w14:paraId="1672586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b/>
                      <w:bCs/>
                      <w:color w:val="auto"/>
                      <w:spacing w:val="0"/>
                      <w:sz w:val="21"/>
                      <w:szCs w:val="21"/>
                      <w:highlight w:val="none"/>
                    </w:rPr>
                  </w:pPr>
                </w:p>
              </w:tc>
            </w:tr>
            <w:tr w14:paraId="22CAC471">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44" w:type="dxa"/>
                  <w:vMerge w:val="restart"/>
                  <w:tcBorders>
                    <w:tl2br w:val="nil"/>
                    <w:tr2bl w:val="nil"/>
                  </w:tcBorders>
                  <w:noWrap w:val="0"/>
                  <w:vAlign w:val="center"/>
                </w:tcPr>
                <w:p w14:paraId="6E833CD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eastAsia="zh-CN"/>
                    </w:rPr>
                    <w:t>DA</w:t>
                  </w:r>
                </w:p>
                <w:p w14:paraId="560BF38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eastAsia="zh-CN"/>
                    </w:rPr>
                    <w:t>001</w:t>
                  </w:r>
                </w:p>
              </w:tc>
              <w:tc>
                <w:tcPr>
                  <w:tcW w:w="1589" w:type="dxa"/>
                  <w:tcBorders>
                    <w:tl2br w:val="nil"/>
                    <w:tr2bl w:val="nil"/>
                  </w:tcBorders>
                  <w:noWrap w:val="0"/>
                  <w:vAlign w:val="center"/>
                </w:tcPr>
                <w:p w14:paraId="12E4640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颗粒物</w:t>
                  </w:r>
                </w:p>
              </w:tc>
              <w:tc>
                <w:tcPr>
                  <w:tcW w:w="790" w:type="dxa"/>
                  <w:vMerge w:val="restart"/>
                  <w:tcBorders>
                    <w:tl2br w:val="nil"/>
                    <w:tr2bl w:val="nil"/>
                  </w:tcBorders>
                  <w:noWrap w:val="0"/>
                  <w:vAlign w:val="center"/>
                </w:tcPr>
                <w:p w14:paraId="7591B9F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30</w:t>
                  </w:r>
                </w:p>
              </w:tc>
              <w:tc>
                <w:tcPr>
                  <w:tcW w:w="1125" w:type="dxa"/>
                  <w:tcBorders>
                    <w:tl2br w:val="nil"/>
                    <w:tr2bl w:val="nil"/>
                  </w:tcBorders>
                  <w:noWrap w:val="0"/>
                  <w:vAlign w:val="center"/>
                </w:tcPr>
                <w:p w14:paraId="1BC3C6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highlight w:val="none"/>
                      <w:lang w:val="en-US" w:eastAsia="zh-CN"/>
                    </w:rPr>
                  </w:pPr>
                  <w:r>
                    <w:rPr>
                      <w:rFonts w:hint="eastAsia" w:ascii="Times New Roman" w:hAnsi="Times New Roman" w:cs="Times New Roman"/>
                      <w:color w:val="auto"/>
                      <w:spacing w:val="0"/>
                      <w:kern w:val="0"/>
                      <w:sz w:val="21"/>
                      <w:szCs w:val="21"/>
                      <w:highlight w:val="none"/>
                      <w:lang w:val="en-US" w:eastAsia="zh-CN"/>
                    </w:rPr>
                    <w:t>0.081</w:t>
                  </w:r>
                </w:p>
              </w:tc>
              <w:tc>
                <w:tcPr>
                  <w:tcW w:w="1058" w:type="dxa"/>
                  <w:tcBorders>
                    <w:tl2br w:val="nil"/>
                    <w:tr2bl w:val="nil"/>
                  </w:tcBorders>
                  <w:noWrap w:val="0"/>
                  <w:vAlign w:val="center"/>
                </w:tcPr>
                <w:p w14:paraId="5CBD46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highlight w:val="none"/>
                      <w:lang w:val="en-US" w:eastAsia="zh-CN"/>
                    </w:rPr>
                  </w:pPr>
                  <w:r>
                    <w:rPr>
                      <w:rFonts w:hint="default" w:ascii="Times New Roman" w:hAnsi="Times New Roman" w:cs="Times New Roman"/>
                      <w:color w:val="auto"/>
                      <w:spacing w:val="0"/>
                      <w:kern w:val="0"/>
                      <w:sz w:val="21"/>
                      <w:szCs w:val="21"/>
                      <w:highlight w:val="none"/>
                      <w:lang w:val="en-US" w:eastAsia="zh-CN"/>
                    </w:rPr>
                    <w:t>3.48</w:t>
                  </w:r>
                </w:p>
              </w:tc>
              <w:tc>
                <w:tcPr>
                  <w:tcW w:w="957" w:type="dxa"/>
                  <w:tcBorders>
                    <w:tl2br w:val="nil"/>
                    <w:tr2bl w:val="nil"/>
                  </w:tcBorders>
                  <w:noWrap w:val="0"/>
                  <w:vAlign w:val="center"/>
                </w:tcPr>
                <w:p w14:paraId="2C1FC0C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c>
                <w:tcPr>
                  <w:tcW w:w="1013" w:type="dxa"/>
                  <w:tcBorders>
                    <w:tl2br w:val="nil"/>
                    <w:tr2bl w:val="nil"/>
                  </w:tcBorders>
                  <w:noWrap w:val="0"/>
                  <w:vAlign w:val="center"/>
                </w:tcPr>
                <w:p w14:paraId="357490D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50</w:t>
                  </w:r>
                </w:p>
              </w:tc>
              <w:tc>
                <w:tcPr>
                  <w:tcW w:w="732" w:type="dxa"/>
                  <w:tcBorders>
                    <w:tl2br w:val="nil"/>
                    <w:tr2bl w:val="nil"/>
                  </w:tcBorders>
                  <w:noWrap w:val="0"/>
                  <w:vAlign w:val="center"/>
                </w:tcPr>
                <w:p w14:paraId="0703D9C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是</w:t>
                  </w:r>
                </w:p>
              </w:tc>
            </w:tr>
            <w:tr w14:paraId="36CDE4F1">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44" w:type="dxa"/>
                  <w:vMerge w:val="continue"/>
                  <w:tcBorders>
                    <w:tl2br w:val="nil"/>
                    <w:tr2bl w:val="nil"/>
                  </w:tcBorders>
                  <w:noWrap w:val="0"/>
                  <w:vAlign w:val="center"/>
                </w:tcPr>
                <w:p w14:paraId="7EE2331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eastAsia="zh-CN"/>
                    </w:rPr>
                  </w:pPr>
                </w:p>
              </w:tc>
              <w:tc>
                <w:tcPr>
                  <w:tcW w:w="1589" w:type="dxa"/>
                  <w:tcBorders>
                    <w:tl2br w:val="nil"/>
                    <w:tr2bl w:val="nil"/>
                  </w:tcBorders>
                  <w:noWrap w:val="0"/>
                  <w:vAlign w:val="center"/>
                </w:tcPr>
                <w:p w14:paraId="30911B4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二氧化硫</w:t>
                  </w:r>
                </w:p>
              </w:tc>
              <w:tc>
                <w:tcPr>
                  <w:tcW w:w="790" w:type="dxa"/>
                  <w:vMerge w:val="continue"/>
                  <w:tcBorders>
                    <w:tl2br w:val="nil"/>
                    <w:tr2bl w:val="nil"/>
                  </w:tcBorders>
                  <w:noWrap w:val="0"/>
                  <w:vAlign w:val="center"/>
                </w:tcPr>
                <w:p w14:paraId="215868A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p>
              </w:tc>
              <w:tc>
                <w:tcPr>
                  <w:tcW w:w="1125" w:type="dxa"/>
                  <w:tcBorders>
                    <w:tl2br w:val="nil"/>
                    <w:tr2bl w:val="nil"/>
                  </w:tcBorders>
                  <w:noWrap w:val="0"/>
                  <w:vAlign w:val="center"/>
                </w:tcPr>
                <w:p w14:paraId="1CE2552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i w:val="0"/>
                      <w:color w:val="auto"/>
                      <w:spacing w:val="0"/>
                      <w:kern w:val="2"/>
                      <w:sz w:val="21"/>
                      <w:szCs w:val="21"/>
                      <w:highlight w:val="none"/>
                      <w:u w:val="none"/>
                      <w:lang w:val="en-US" w:eastAsia="zh-CN" w:bidi="ar-SA"/>
                    </w:rPr>
                  </w:pPr>
                  <w:r>
                    <w:rPr>
                      <w:rFonts w:hint="eastAsia" w:ascii="Times New Roman" w:hAnsi="Times New Roman" w:cs="Times New Roman"/>
                      <w:bCs/>
                      <w:i w:val="0"/>
                      <w:color w:val="auto"/>
                      <w:spacing w:val="0"/>
                      <w:kern w:val="2"/>
                      <w:sz w:val="21"/>
                      <w:szCs w:val="21"/>
                      <w:highlight w:val="none"/>
                      <w:u w:val="none"/>
                      <w:lang w:val="en-US" w:eastAsia="zh-CN" w:bidi="ar-SA"/>
                    </w:rPr>
                    <w:t>0.544</w:t>
                  </w:r>
                </w:p>
              </w:tc>
              <w:tc>
                <w:tcPr>
                  <w:tcW w:w="1058" w:type="dxa"/>
                  <w:tcBorders>
                    <w:tl2br w:val="nil"/>
                    <w:tr2bl w:val="nil"/>
                  </w:tcBorders>
                  <w:noWrap w:val="0"/>
                  <w:vAlign w:val="center"/>
                </w:tcPr>
                <w:p w14:paraId="6C8CAC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highlight w:val="none"/>
                      <w:lang w:val="en-US" w:eastAsia="zh-CN"/>
                    </w:rPr>
                  </w:pPr>
                  <w:r>
                    <w:rPr>
                      <w:rFonts w:hint="eastAsia" w:ascii="Times New Roman" w:hAnsi="Times New Roman" w:cs="Times New Roman"/>
                      <w:color w:val="auto"/>
                      <w:spacing w:val="0"/>
                      <w:kern w:val="0"/>
                      <w:sz w:val="21"/>
                      <w:szCs w:val="21"/>
                      <w:highlight w:val="none"/>
                      <w:lang w:val="en-US" w:eastAsia="zh-CN"/>
                    </w:rPr>
                    <w:t>23.42</w:t>
                  </w:r>
                </w:p>
              </w:tc>
              <w:tc>
                <w:tcPr>
                  <w:tcW w:w="957" w:type="dxa"/>
                  <w:tcBorders>
                    <w:tl2br w:val="nil"/>
                    <w:tr2bl w:val="nil"/>
                  </w:tcBorders>
                  <w:noWrap w:val="0"/>
                  <w:vAlign w:val="center"/>
                </w:tcPr>
                <w:p w14:paraId="761CC8F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c>
                <w:tcPr>
                  <w:tcW w:w="1013" w:type="dxa"/>
                  <w:tcBorders>
                    <w:tl2br w:val="nil"/>
                    <w:tr2bl w:val="nil"/>
                  </w:tcBorders>
                  <w:noWrap w:val="0"/>
                  <w:vAlign w:val="center"/>
                </w:tcPr>
                <w:p w14:paraId="4BB673A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300</w:t>
                  </w:r>
                </w:p>
              </w:tc>
              <w:tc>
                <w:tcPr>
                  <w:tcW w:w="732" w:type="dxa"/>
                  <w:tcBorders>
                    <w:tl2br w:val="nil"/>
                    <w:tr2bl w:val="nil"/>
                  </w:tcBorders>
                  <w:noWrap w:val="0"/>
                  <w:vAlign w:val="center"/>
                </w:tcPr>
                <w:p w14:paraId="7BD74D0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是</w:t>
                  </w:r>
                </w:p>
              </w:tc>
            </w:tr>
            <w:tr w14:paraId="3704EE1A">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44" w:type="dxa"/>
                  <w:vMerge w:val="continue"/>
                  <w:tcBorders>
                    <w:tl2br w:val="nil"/>
                    <w:tr2bl w:val="nil"/>
                  </w:tcBorders>
                  <w:noWrap w:val="0"/>
                  <w:vAlign w:val="center"/>
                </w:tcPr>
                <w:p w14:paraId="2E0F0BF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p>
              </w:tc>
              <w:tc>
                <w:tcPr>
                  <w:tcW w:w="1589" w:type="dxa"/>
                  <w:tcBorders>
                    <w:tl2br w:val="nil"/>
                    <w:tr2bl w:val="nil"/>
                  </w:tcBorders>
                  <w:noWrap w:val="0"/>
                  <w:vAlign w:val="center"/>
                </w:tcPr>
                <w:p w14:paraId="20E1B70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氮氧化物</w:t>
                  </w:r>
                </w:p>
              </w:tc>
              <w:tc>
                <w:tcPr>
                  <w:tcW w:w="790" w:type="dxa"/>
                  <w:vMerge w:val="continue"/>
                  <w:tcBorders>
                    <w:tl2br w:val="nil"/>
                    <w:tr2bl w:val="nil"/>
                  </w:tcBorders>
                  <w:noWrap w:val="0"/>
                  <w:vAlign w:val="center"/>
                </w:tcPr>
                <w:p w14:paraId="6330984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p>
              </w:tc>
              <w:tc>
                <w:tcPr>
                  <w:tcW w:w="1125" w:type="dxa"/>
                  <w:tcBorders>
                    <w:tl2br w:val="nil"/>
                    <w:tr2bl w:val="nil"/>
                  </w:tcBorders>
                  <w:noWrap w:val="0"/>
                  <w:vAlign w:val="center"/>
                </w:tcPr>
                <w:p w14:paraId="449E9D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i w:val="0"/>
                      <w:color w:val="auto"/>
                      <w:spacing w:val="0"/>
                      <w:kern w:val="0"/>
                      <w:sz w:val="21"/>
                      <w:szCs w:val="21"/>
                      <w:highlight w:val="none"/>
                      <w:u w:val="none"/>
                      <w:lang w:val="en-US" w:eastAsia="zh-CN" w:bidi="ar"/>
                    </w:rPr>
                  </w:pPr>
                  <w:r>
                    <w:rPr>
                      <w:rFonts w:hint="eastAsia" w:ascii="Times New Roman" w:hAnsi="Times New Roman" w:cs="Times New Roman"/>
                      <w:bCs/>
                      <w:i w:val="0"/>
                      <w:color w:val="auto"/>
                      <w:spacing w:val="0"/>
                      <w:kern w:val="0"/>
                      <w:sz w:val="21"/>
                      <w:szCs w:val="21"/>
                      <w:highlight w:val="none"/>
                      <w:u w:val="none"/>
                      <w:lang w:val="en-US" w:eastAsia="zh-CN" w:bidi="ar"/>
                    </w:rPr>
                    <w:t>3.50</w:t>
                  </w:r>
                </w:p>
              </w:tc>
              <w:tc>
                <w:tcPr>
                  <w:tcW w:w="1058" w:type="dxa"/>
                  <w:tcBorders>
                    <w:tl2br w:val="nil"/>
                    <w:tr2bl w:val="nil"/>
                  </w:tcBorders>
                  <w:noWrap w:val="0"/>
                  <w:vAlign w:val="center"/>
                </w:tcPr>
                <w:p w14:paraId="1329A9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highlight w:val="none"/>
                      <w:lang w:val="en-US" w:eastAsia="zh-CN"/>
                    </w:rPr>
                  </w:pPr>
                  <w:r>
                    <w:rPr>
                      <w:rFonts w:hint="default" w:ascii="Times New Roman" w:hAnsi="Times New Roman" w:cs="Times New Roman"/>
                      <w:color w:val="auto"/>
                      <w:spacing w:val="0"/>
                      <w:kern w:val="0"/>
                      <w:sz w:val="21"/>
                      <w:szCs w:val="21"/>
                      <w:highlight w:val="none"/>
                      <w:lang w:val="en-US" w:eastAsia="zh-CN"/>
                    </w:rPr>
                    <w:t>150</w:t>
                  </w:r>
                </w:p>
              </w:tc>
              <w:tc>
                <w:tcPr>
                  <w:tcW w:w="957" w:type="dxa"/>
                  <w:tcBorders>
                    <w:tl2br w:val="nil"/>
                    <w:tr2bl w:val="nil"/>
                  </w:tcBorders>
                  <w:noWrap w:val="0"/>
                  <w:vAlign w:val="center"/>
                </w:tcPr>
                <w:p w14:paraId="033DD90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c>
                <w:tcPr>
                  <w:tcW w:w="1013" w:type="dxa"/>
                  <w:tcBorders>
                    <w:tl2br w:val="nil"/>
                    <w:tr2bl w:val="nil"/>
                  </w:tcBorders>
                  <w:noWrap w:val="0"/>
                  <w:vAlign w:val="center"/>
                </w:tcPr>
                <w:p w14:paraId="1F521B3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300</w:t>
                  </w:r>
                </w:p>
              </w:tc>
              <w:tc>
                <w:tcPr>
                  <w:tcW w:w="732" w:type="dxa"/>
                  <w:tcBorders>
                    <w:tl2br w:val="nil"/>
                    <w:tr2bl w:val="nil"/>
                  </w:tcBorders>
                  <w:noWrap w:val="0"/>
                  <w:vAlign w:val="center"/>
                </w:tcPr>
                <w:p w14:paraId="743EDF1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是</w:t>
                  </w:r>
                </w:p>
              </w:tc>
            </w:tr>
            <w:tr w14:paraId="09993B37">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44" w:type="dxa"/>
                  <w:vMerge w:val="continue"/>
                  <w:tcBorders>
                    <w:tl2br w:val="nil"/>
                    <w:tr2bl w:val="nil"/>
                  </w:tcBorders>
                  <w:noWrap w:val="0"/>
                  <w:vAlign w:val="center"/>
                </w:tcPr>
                <w:p w14:paraId="634F350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p>
              </w:tc>
              <w:tc>
                <w:tcPr>
                  <w:tcW w:w="1589" w:type="dxa"/>
                  <w:tcBorders>
                    <w:tl2br w:val="nil"/>
                    <w:tr2bl w:val="nil"/>
                  </w:tcBorders>
                  <w:noWrap w:val="0"/>
                  <w:vAlign w:val="center"/>
                </w:tcPr>
                <w:p w14:paraId="4145541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烟气黑度</w:t>
                  </w:r>
                </w:p>
              </w:tc>
              <w:tc>
                <w:tcPr>
                  <w:tcW w:w="790" w:type="dxa"/>
                  <w:vMerge w:val="continue"/>
                  <w:tcBorders>
                    <w:tl2br w:val="nil"/>
                    <w:tr2bl w:val="nil"/>
                  </w:tcBorders>
                  <w:noWrap w:val="0"/>
                  <w:vAlign w:val="center"/>
                </w:tcPr>
                <w:p w14:paraId="5C0E0E8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p>
              </w:tc>
              <w:tc>
                <w:tcPr>
                  <w:tcW w:w="2183" w:type="dxa"/>
                  <w:gridSpan w:val="2"/>
                  <w:tcBorders>
                    <w:tl2br w:val="nil"/>
                    <w:tr2bl w:val="nil"/>
                  </w:tcBorders>
                  <w:noWrap w:val="0"/>
                  <w:vAlign w:val="center"/>
                </w:tcPr>
                <w:p w14:paraId="4300E3E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＜1（林格曼等级）</w:t>
                  </w:r>
                </w:p>
              </w:tc>
              <w:tc>
                <w:tcPr>
                  <w:tcW w:w="1970" w:type="dxa"/>
                  <w:gridSpan w:val="2"/>
                  <w:tcBorders>
                    <w:tl2br w:val="nil"/>
                    <w:tr2bl w:val="nil"/>
                  </w:tcBorders>
                  <w:noWrap w:val="0"/>
                  <w:vAlign w:val="center"/>
                </w:tcPr>
                <w:p w14:paraId="59DBE28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bCs w:val="0"/>
                      <w:color w:val="auto"/>
                      <w:spacing w:val="0"/>
                      <w:kern w:val="2"/>
                      <w:sz w:val="21"/>
                      <w:szCs w:val="21"/>
                      <w:highlight w:val="none"/>
                      <w:lang w:val="en-US" w:eastAsia="zh-CN" w:bidi="ar-SA"/>
                    </w:rPr>
                    <w:t>≤</w:t>
                  </w:r>
                  <w:r>
                    <w:rPr>
                      <w:rFonts w:hint="default" w:ascii="Times New Roman" w:hAnsi="Times New Roman" w:eastAsia="宋体" w:cs="Times New Roman"/>
                      <w:color w:val="auto"/>
                      <w:spacing w:val="0"/>
                      <w:sz w:val="21"/>
                      <w:szCs w:val="21"/>
                      <w:highlight w:val="none"/>
                      <w:lang w:val="en-US" w:eastAsia="zh-CN"/>
                    </w:rPr>
                    <w:t>1（林格曼等级）</w:t>
                  </w:r>
                </w:p>
              </w:tc>
              <w:tc>
                <w:tcPr>
                  <w:tcW w:w="732" w:type="dxa"/>
                  <w:tcBorders>
                    <w:tl2br w:val="nil"/>
                    <w:tr2bl w:val="nil"/>
                  </w:tcBorders>
                  <w:noWrap w:val="0"/>
                  <w:vAlign w:val="center"/>
                </w:tcPr>
                <w:p w14:paraId="7E4B4E0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是</w:t>
                  </w:r>
                </w:p>
              </w:tc>
            </w:tr>
          </w:tbl>
          <w:p w14:paraId="57E921B2">
            <w:pPr>
              <w:spacing w:line="360" w:lineRule="auto"/>
              <w:rPr>
                <w:rFonts w:hint="default" w:ascii="Times New Roman" w:hAnsi="Times New Roman" w:eastAsia="宋体" w:cs="Times New Roman"/>
                <w:color w:val="auto"/>
                <w:spacing w:val="0"/>
                <w:sz w:val="24"/>
                <w:highlight w:val="none"/>
                <w:lang w:val="en-US" w:eastAsia="zh-CN"/>
              </w:rPr>
            </w:pPr>
            <w:r>
              <w:rPr>
                <w:rFonts w:hint="default" w:ascii="Times New Roman" w:hAnsi="Times New Roman" w:eastAsia="宋体" w:cs="Times New Roman"/>
                <w:bCs/>
                <w:color w:val="auto"/>
                <w:spacing w:val="0"/>
                <w:sz w:val="24"/>
                <w:szCs w:val="24"/>
                <w:highlight w:val="none"/>
                <w:lang w:val="en-US" w:eastAsia="zh-CN"/>
              </w:rPr>
              <w:t>由上表可知，本项目废气满足</w:t>
            </w:r>
            <w:r>
              <w:rPr>
                <w:rFonts w:hint="default" w:ascii="Times New Roman" w:hAnsi="Times New Roman" w:eastAsia="宋体" w:cs="Times New Roman"/>
                <w:color w:val="auto"/>
                <w:spacing w:val="0"/>
                <w:sz w:val="24"/>
                <w:highlight w:val="none"/>
              </w:rPr>
              <w:t>《</w:t>
            </w:r>
            <w:r>
              <w:rPr>
                <w:rFonts w:hint="default" w:ascii="Times New Roman" w:hAnsi="Times New Roman" w:eastAsia="宋体" w:cs="Times New Roman"/>
                <w:color w:val="auto"/>
                <w:spacing w:val="0"/>
                <w:sz w:val="24"/>
                <w:highlight w:val="none"/>
                <w:lang w:val="en-US" w:eastAsia="zh-CN"/>
              </w:rPr>
              <w:t>锅炉大气污染物排放标准</w:t>
            </w:r>
            <w:r>
              <w:rPr>
                <w:rFonts w:hint="default" w:ascii="Times New Roman" w:hAnsi="Times New Roman" w:eastAsia="宋体" w:cs="Times New Roman"/>
                <w:color w:val="auto"/>
                <w:spacing w:val="0"/>
                <w:sz w:val="24"/>
                <w:highlight w:val="none"/>
              </w:rPr>
              <w:t>》（GB</w:t>
            </w:r>
            <w:r>
              <w:rPr>
                <w:rFonts w:hint="default" w:ascii="Times New Roman" w:hAnsi="Times New Roman" w:eastAsia="宋体" w:cs="Times New Roman"/>
                <w:color w:val="auto"/>
                <w:spacing w:val="0"/>
                <w:sz w:val="24"/>
                <w:highlight w:val="none"/>
                <w:lang w:val="en-US" w:eastAsia="zh-CN"/>
              </w:rPr>
              <w:t>13271</w:t>
            </w:r>
            <w:r>
              <w:rPr>
                <w:rFonts w:hint="default" w:ascii="Times New Roman" w:hAnsi="Times New Roman" w:eastAsia="宋体" w:cs="Times New Roman"/>
                <w:color w:val="auto"/>
                <w:spacing w:val="0"/>
                <w:sz w:val="24"/>
                <w:highlight w:val="none"/>
              </w:rPr>
              <w:t>-</w:t>
            </w:r>
            <w:r>
              <w:rPr>
                <w:rFonts w:hint="default" w:ascii="Times New Roman" w:hAnsi="Times New Roman" w:eastAsia="宋体" w:cs="Times New Roman"/>
                <w:color w:val="auto"/>
                <w:spacing w:val="0"/>
                <w:sz w:val="24"/>
                <w:highlight w:val="none"/>
                <w:lang w:val="en-US" w:eastAsia="zh-CN"/>
              </w:rPr>
              <w:t>2014</w:t>
            </w:r>
            <w:r>
              <w:rPr>
                <w:rFonts w:hint="default" w:ascii="Times New Roman" w:hAnsi="Times New Roman" w:eastAsia="宋体" w:cs="Times New Roman"/>
                <w:color w:val="auto"/>
                <w:spacing w:val="0"/>
                <w:sz w:val="24"/>
                <w:highlight w:val="none"/>
              </w:rPr>
              <w:t>）</w:t>
            </w:r>
            <w:r>
              <w:rPr>
                <w:rFonts w:hint="default" w:ascii="Times New Roman" w:hAnsi="Times New Roman" w:eastAsia="宋体" w:cs="Times New Roman"/>
                <w:bCs/>
                <w:color w:val="auto"/>
                <w:spacing w:val="0"/>
                <w:sz w:val="24"/>
                <w:szCs w:val="24"/>
                <w:highlight w:val="none"/>
                <w:lang w:val="en-US" w:eastAsia="zh-CN"/>
              </w:rPr>
              <w:t>表2排放限值。</w:t>
            </w:r>
          </w:p>
          <w:p w14:paraId="5C7C248A">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val="0"/>
                <w:caps w:val="0"/>
                <w:color w:val="auto"/>
                <w:sz w:val="24"/>
                <w:szCs w:val="24"/>
                <w:highlight w:val="none"/>
              </w:rPr>
            </w:pPr>
            <w:r>
              <w:rPr>
                <w:rFonts w:hint="default" w:ascii="Times New Roman" w:hAnsi="Times New Roman" w:cs="Times New Roman"/>
                <w:b/>
                <w:bCs w:val="0"/>
                <w:caps w:val="0"/>
                <w:color w:val="auto"/>
                <w:sz w:val="24"/>
                <w:szCs w:val="24"/>
                <w:highlight w:val="none"/>
                <w:lang w:val="en-US" w:eastAsia="zh-CN"/>
              </w:rPr>
              <w:t>1</w:t>
            </w:r>
            <w:r>
              <w:rPr>
                <w:rFonts w:hint="default" w:ascii="Times New Roman" w:hAnsi="Times New Roman" w:eastAsia="宋体" w:cs="Times New Roman"/>
                <w:b/>
                <w:bCs w:val="0"/>
                <w:caps w:val="0"/>
                <w:color w:val="auto"/>
                <w:sz w:val="24"/>
                <w:szCs w:val="24"/>
                <w:highlight w:val="none"/>
                <w:lang w:val="en-US" w:eastAsia="zh-CN"/>
              </w:rPr>
              <w:t>.</w:t>
            </w:r>
            <w:r>
              <w:rPr>
                <w:rFonts w:hint="default" w:ascii="Times New Roman" w:hAnsi="Times New Roman" w:cs="Times New Roman"/>
                <w:b/>
                <w:bCs w:val="0"/>
                <w:caps w:val="0"/>
                <w:color w:val="auto"/>
                <w:sz w:val="24"/>
                <w:szCs w:val="24"/>
                <w:highlight w:val="none"/>
                <w:lang w:val="en-US" w:eastAsia="zh-CN"/>
              </w:rPr>
              <w:t>5</w:t>
            </w:r>
            <w:r>
              <w:rPr>
                <w:rFonts w:hint="default" w:ascii="Times New Roman" w:hAnsi="Times New Roman" w:eastAsia="宋体" w:cs="Times New Roman"/>
                <w:b/>
                <w:bCs w:val="0"/>
                <w:caps w:val="0"/>
                <w:color w:val="auto"/>
                <w:sz w:val="24"/>
                <w:szCs w:val="24"/>
                <w:highlight w:val="none"/>
              </w:rPr>
              <w:t>非正常工况废气排放</w:t>
            </w:r>
          </w:p>
          <w:p w14:paraId="34A31AA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aps w:val="0"/>
                <w:color w:val="auto"/>
                <w:sz w:val="24"/>
                <w:szCs w:val="24"/>
                <w:highlight w:val="none"/>
              </w:rPr>
            </w:pPr>
            <w:r>
              <w:rPr>
                <w:rFonts w:hint="default" w:ascii="Times New Roman" w:hAnsi="Times New Roman" w:eastAsia="宋体" w:cs="Times New Roman"/>
                <w:bCs/>
                <w:caps w:val="0"/>
                <w:color w:val="auto"/>
                <w:sz w:val="24"/>
                <w:szCs w:val="24"/>
                <w:highlight w:val="none"/>
              </w:rPr>
              <w:t>根据大气导则规定，污染物排放控制措施达不到应有效率、工艺设备运转异常等情况下的污染排放归为非正常排放。对照导则要求，项目废气治理措施发生异常时，会导致废气非正常排放。</w:t>
            </w:r>
          </w:p>
          <w:p w14:paraId="6E031BE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aps w:val="0"/>
                <w:color w:val="auto"/>
                <w:sz w:val="24"/>
                <w:szCs w:val="24"/>
                <w:highlight w:val="none"/>
              </w:rPr>
            </w:pPr>
            <w:r>
              <w:rPr>
                <w:rFonts w:hint="default" w:ascii="Times New Roman" w:hAnsi="Times New Roman" w:eastAsia="宋体" w:cs="Times New Roman"/>
                <w:bCs/>
                <w:caps w:val="0"/>
                <w:color w:val="auto"/>
                <w:sz w:val="24"/>
                <w:szCs w:val="24"/>
                <w:highlight w:val="none"/>
              </w:rPr>
              <w:t>①非正常工况原因分析项目废气经治理措施进行处理，经过一段时间的生产运行后，内部关键部件未及时更换，从而使处理效率降低。</w:t>
            </w:r>
          </w:p>
          <w:p w14:paraId="158E837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bCs/>
                <w:caps w:val="0"/>
                <w:color w:val="auto"/>
                <w:sz w:val="24"/>
                <w:szCs w:val="24"/>
                <w:highlight w:val="none"/>
              </w:rPr>
              <w:t>②非正常工况污染物排放分析当废气治理设施内部关键部件未及时更换时，去除效率降低至0，废气将直接高空排放。</w:t>
            </w:r>
          </w:p>
          <w:p w14:paraId="3522789D">
            <w:pPr>
              <w:pStyle w:val="46"/>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baseline"/>
              <w:rPr>
                <w:rFonts w:hint="default" w:ascii="Times New Roman" w:hAnsi="Times New Roman" w:eastAsia="宋体" w:cs="Times New Roman"/>
                <w:bCs/>
                <w:caps w:val="0"/>
                <w:color w:val="auto"/>
                <w:kern w:val="2"/>
                <w:sz w:val="24"/>
                <w:szCs w:val="24"/>
                <w:highlight w:val="none"/>
                <w:lang w:val="en-US" w:eastAsia="zh-CN" w:bidi="ar-SA"/>
              </w:rPr>
            </w:pPr>
            <w:r>
              <w:rPr>
                <w:rFonts w:hint="default" w:ascii="Times New Roman" w:hAnsi="Times New Roman" w:eastAsia="宋体" w:cs="Times New Roman"/>
                <w:bCs/>
                <w:caps w:val="0"/>
                <w:color w:val="auto"/>
                <w:kern w:val="2"/>
                <w:sz w:val="24"/>
                <w:szCs w:val="24"/>
                <w:highlight w:val="none"/>
                <w:lang w:val="en-US" w:eastAsia="zh-CN" w:bidi="ar-SA"/>
              </w:rPr>
              <w:t>③非正常工况污染物排放分析还应考虑</w:t>
            </w:r>
            <w:r>
              <w:rPr>
                <w:rFonts w:hint="eastAsia" w:ascii="Times New Roman" w:hAnsi="Times New Roman" w:cs="Times New Roman"/>
                <w:color w:val="auto"/>
                <w:spacing w:val="-1"/>
                <w:sz w:val="24"/>
                <w:szCs w:val="24"/>
                <w:highlight w:val="none"/>
                <w:lang w:val="en-US" w:eastAsia="zh-CN"/>
              </w:rPr>
              <w:t>旋风+</w:t>
            </w:r>
            <w:r>
              <w:rPr>
                <w:rFonts w:hint="default" w:ascii="Times New Roman" w:hAnsi="Times New Roman" w:cs="Times New Roman"/>
                <w:bCs/>
                <w:caps w:val="0"/>
                <w:color w:val="auto"/>
                <w:kern w:val="2"/>
                <w:sz w:val="24"/>
                <w:szCs w:val="24"/>
                <w:highlight w:val="none"/>
                <w:lang w:val="en-US" w:eastAsia="zh-CN" w:bidi="ar-SA"/>
              </w:rPr>
              <w:t>布袋除尘器故障或</w:t>
            </w:r>
            <w:r>
              <w:rPr>
                <w:rFonts w:hint="default" w:ascii="Times New Roman" w:hAnsi="Times New Roman" w:eastAsia="宋体" w:cs="Times New Roman"/>
                <w:bCs/>
                <w:caps w:val="0"/>
                <w:color w:val="auto"/>
                <w:kern w:val="2"/>
                <w:sz w:val="24"/>
                <w:szCs w:val="24"/>
                <w:highlight w:val="none"/>
                <w:lang w:val="en-US" w:eastAsia="zh-CN" w:bidi="ar-SA"/>
              </w:rPr>
              <w:t>破损导致效率降低的情况，</w:t>
            </w:r>
            <w:r>
              <w:rPr>
                <w:rFonts w:hint="default" w:ascii="Times New Roman" w:hAnsi="Times New Roman" w:eastAsia="宋体" w:cs="Times New Roman"/>
                <w:color w:val="auto"/>
                <w:spacing w:val="-2"/>
                <w:sz w:val="24"/>
                <w:szCs w:val="24"/>
                <w:highlight w:val="none"/>
              </w:rPr>
              <w:t>除尘效率降为</w:t>
            </w:r>
            <w:r>
              <w:rPr>
                <w:rFonts w:hint="eastAsia" w:ascii="Times New Roman" w:hAnsi="Times New Roman" w:cs="Times New Roman"/>
                <w:color w:val="auto"/>
                <w:spacing w:val="-2"/>
                <w:sz w:val="24"/>
                <w:szCs w:val="24"/>
                <w:highlight w:val="none"/>
                <w:lang w:val="en-US" w:eastAsia="zh-CN"/>
              </w:rPr>
              <w:t>85</w:t>
            </w:r>
            <w:r>
              <w:rPr>
                <w:rFonts w:hint="default" w:ascii="Times New Roman" w:hAnsi="Times New Roman" w:eastAsia="宋体" w:cs="Times New Roman"/>
                <w:color w:val="auto"/>
                <w:spacing w:val="-2"/>
                <w:sz w:val="24"/>
                <w:szCs w:val="24"/>
                <w:highlight w:val="none"/>
              </w:rPr>
              <w:t>%</w:t>
            </w:r>
            <w:r>
              <w:rPr>
                <w:rFonts w:hint="default" w:ascii="Times New Roman" w:hAnsi="Times New Roman" w:eastAsia="宋体" w:cs="Times New Roman"/>
                <w:color w:val="auto"/>
                <w:spacing w:val="-2"/>
                <w:sz w:val="24"/>
                <w:szCs w:val="24"/>
                <w:highlight w:val="none"/>
                <w:lang w:eastAsia="zh-CN"/>
              </w:rPr>
              <w:t>。</w:t>
            </w:r>
            <w:r>
              <w:rPr>
                <w:rFonts w:hint="default" w:ascii="Times New Roman" w:hAnsi="Times New Roman" w:eastAsia="宋体" w:cs="Times New Roman"/>
                <w:bCs/>
                <w:caps w:val="0"/>
                <w:color w:val="auto"/>
                <w:sz w:val="24"/>
                <w:szCs w:val="24"/>
                <w:highlight w:val="none"/>
              </w:rPr>
              <w:t>非正常工况下的污染物排放量见下表</w:t>
            </w:r>
            <w:r>
              <w:rPr>
                <w:rFonts w:hint="default" w:ascii="Times New Roman" w:hAnsi="Times New Roman" w:eastAsia="宋体" w:cs="Times New Roman"/>
                <w:bCs/>
                <w:caps w:val="0"/>
                <w:color w:val="auto"/>
                <w:sz w:val="24"/>
                <w:szCs w:val="24"/>
                <w:highlight w:val="none"/>
                <w:lang w:eastAsia="zh-CN"/>
              </w:rPr>
              <w:t>。</w:t>
            </w:r>
          </w:p>
          <w:p w14:paraId="4A3E6FBA">
            <w:pPr>
              <w:pStyle w:val="77"/>
              <w:keepNext w:val="0"/>
              <w:keepLines w:val="0"/>
              <w:pageBreakBefore w:val="0"/>
              <w:widowControl w:val="0"/>
              <w:numPr>
                <w:ilvl w:val="0"/>
                <w:numId w:val="0"/>
              </w:numPr>
              <w:tabs>
                <w:tab w:val="left" w:pos="4440"/>
              </w:tabs>
              <w:kinsoku/>
              <w:wordWrap/>
              <w:overflowPunct/>
              <w:topLinePunct w:val="0"/>
              <w:autoSpaceDE/>
              <w:autoSpaceDN/>
              <w:bidi w:val="0"/>
              <w:adjustRightInd w:val="0"/>
              <w:snapToGrid w:val="0"/>
              <w:spacing w:before="0" w:beforeLines="0" w:line="240" w:lineRule="auto"/>
              <w:ind w:left="0" w:leftChars="0" w:firstLine="0" w:firstLineChars="0"/>
              <w:jc w:val="center"/>
              <w:textAlignment w:val="auto"/>
              <w:rPr>
                <w:rFonts w:hint="default" w:ascii="Times New Roman" w:hAnsi="Times New Roman" w:eastAsia="宋体" w:cs="Times New Roman"/>
                <w:b/>
                <w:bCs/>
                <w:caps w:val="0"/>
                <w:color w:val="auto"/>
                <w:sz w:val="21"/>
                <w:szCs w:val="21"/>
                <w:highlight w:val="none"/>
              </w:rPr>
            </w:pPr>
            <w:r>
              <w:rPr>
                <w:rFonts w:hint="default" w:ascii="Times New Roman" w:hAnsi="Times New Roman" w:eastAsia="宋体" w:cs="Times New Roman"/>
                <w:b/>
                <w:bCs/>
                <w:caps w:val="0"/>
                <w:color w:val="auto"/>
                <w:sz w:val="21"/>
                <w:szCs w:val="21"/>
                <w:highlight w:val="none"/>
              </w:rPr>
              <w:t>表</w:t>
            </w:r>
            <w:r>
              <w:rPr>
                <w:rFonts w:hint="default" w:ascii="Times New Roman" w:hAnsi="Times New Roman" w:eastAsia="宋体" w:cs="Times New Roman"/>
                <w:b/>
                <w:bCs/>
                <w:caps w:val="0"/>
                <w:color w:val="auto"/>
                <w:sz w:val="21"/>
                <w:szCs w:val="21"/>
                <w:highlight w:val="none"/>
                <w:lang w:val="en-US" w:eastAsia="zh-CN"/>
              </w:rPr>
              <w:t>4-</w:t>
            </w:r>
            <w:r>
              <w:rPr>
                <w:rFonts w:hint="default" w:ascii="Times New Roman" w:hAnsi="Times New Roman" w:cs="Times New Roman"/>
                <w:b/>
                <w:bCs/>
                <w:caps w:val="0"/>
                <w:color w:val="auto"/>
                <w:sz w:val="21"/>
                <w:szCs w:val="21"/>
                <w:highlight w:val="none"/>
                <w:lang w:val="en-US" w:eastAsia="zh-CN"/>
              </w:rPr>
              <w:t>6</w:t>
            </w:r>
            <w:r>
              <w:rPr>
                <w:rFonts w:hint="default" w:ascii="Times New Roman" w:hAnsi="Times New Roman" w:eastAsia="宋体" w:cs="Times New Roman"/>
                <w:b/>
                <w:bCs/>
                <w:caps w:val="0"/>
                <w:color w:val="auto"/>
                <w:sz w:val="21"/>
                <w:szCs w:val="21"/>
                <w:highlight w:val="none"/>
              </w:rPr>
              <w:t>本项目非正常工况下废气估算模式参数值</w:t>
            </w:r>
          </w:p>
          <w:tbl>
            <w:tblPr>
              <w:tblStyle w:val="35"/>
              <w:tblW w:w="5000" w:type="pct"/>
              <w:tblInd w:w="5" w:type="dxa"/>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82"/>
              <w:gridCol w:w="466"/>
              <w:gridCol w:w="1561"/>
              <w:gridCol w:w="1184"/>
              <w:gridCol w:w="1352"/>
              <w:gridCol w:w="1245"/>
              <w:gridCol w:w="1285"/>
            </w:tblGrid>
            <w:tr w14:paraId="2C3C7F0A">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3" w:type="pct"/>
                  <w:tcBorders>
                    <w:tl2br w:val="nil"/>
                    <w:tr2bl w:val="nil"/>
                  </w:tcBorders>
                  <w:noWrap w:val="0"/>
                  <w:vAlign w:val="center"/>
                </w:tcPr>
                <w:p w14:paraId="384E4153">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
                      <w:bCs/>
                      <w:caps w:val="0"/>
                      <w:color w:val="auto"/>
                      <w:sz w:val="21"/>
                      <w:szCs w:val="21"/>
                      <w:highlight w:val="none"/>
                    </w:rPr>
                  </w:pPr>
                  <w:r>
                    <w:rPr>
                      <w:rFonts w:hint="default" w:ascii="Times New Roman" w:hAnsi="Times New Roman" w:eastAsia="宋体" w:cs="Times New Roman"/>
                      <w:b/>
                      <w:bCs/>
                      <w:caps w:val="0"/>
                      <w:color w:val="auto"/>
                      <w:sz w:val="21"/>
                      <w:szCs w:val="21"/>
                      <w:highlight w:val="none"/>
                    </w:rPr>
                    <w:t>编号</w:t>
                  </w:r>
                </w:p>
              </w:tc>
              <w:tc>
                <w:tcPr>
                  <w:tcW w:w="292" w:type="pct"/>
                  <w:tcBorders>
                    <w:tl2br w:val="nil"/>
                    <w:tr2bl w:val="nil"/>
                  </w:tcBorders>
                  <w:noWrap w:val="0"/>
                  <w:vAlign w:val="center"/>
                </w:tcPr>
                <w:p w14:paraId="090C9418">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
                      <w:bCs/>
                      <w:caps w:val="0"/>
                      <w:color w:val="auto"/>
                      <w:sz w:val="21"/>
                      <w:szCs w:val="21"/>
                      <w:highlight w:val="none"/>
                    </w:rPr>
                  </w:pPr>
                  <w:r>
                    <w:rPr>
                      <w:rFonts w:hint="default" w:ascii="Times New Roman" w:hAnsi="Times New Roman" w:eastAsia="宋体" w:cs="Times New Roman"/>
                      <w:b/>
                      <w:bCs/>
                      <w:caps w:val="0"/>
                      <w:color w:val="auto"/>
                      <w:sz w:val="21"/>
                      <w:szCs w:val="21"/>
                      <w:highlight w:val="none"/>
                    </w:rPr>
                    <w:t>名称</w:t>
                  </w:r>
                </w:p>
              </w:tc>
              <w:tc>
                <w:tcPr>
                  <w:tcW w:w="978" w:type="pct"/>
                  <w:tcBorders>
                    <w:tl2br w:val="nil"/>
                    <w:tr2bl w:val="nil"/>
                  </w:tcBorders>
                  <w:noWrap w:val="0"/>
                  <w:vAlign w:val="center"/>
                </w:tcPr>
                <w:p w14:paraId="2DEC12E9">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
                      <w:bCs/>
                      <w:caps w:val="0"/>
                      <w:color w:val="auto"/>
                      <w:sz w:val="21"/>
                      <w:szCs w:val="21"/>
                      <w:highlight w:val="none"/>
                      <w:lang w:eastAsia="zh-CN"/>
                    </w:rPr>
                  </w:pPr>
                  <w:r>
                    <w:rPr>
                      <w:rFonts w:hint="default" w:ascii="Times New Roman" w:hAnsi="Times New Roman" w:eastAsia="宋体" w:cs="Times New Roman"/>
                      <w:b/>
                      <w:bCs/>
                      <w:caps w:val="0"/>
                      <w:color w:val="auto"/>
                      <w:sz w:val="21"/>
                      <w:szCs w:val="21"/>
                      <w:highlight w:val="none"/>
                      <w:lang w:val="en-US" w:eastAsia="zh-CN"/>
                    </w:rPr>
                    <w:t>非正常排放原因</w:t>
                  </w:r>
                </w:p>
              </w:tc>
              <w:tc>
                <w:tcPr>
                  <w:tcW w:w="742" w:type="pct"/>
                  <w:tcBorders>
                    <w:tl2br w:val="nil"/>
                    <w:tr2bl w:val="nil"/>
                  </w:tcBorders>
                  <w:noWrap w:val="0"/>
                  <w:vAlign w:val="center"/>
                </w:tcPr>
                <w:p w14:paraId="22776543">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
                      <w:bCs/>
                      <w:caps w:val="0"/>
                      <w:color w:val="auto"/>
                      <w:sz w:val="21"/>
                      <w:szCs w:val="21"/>
                      <w:highlight w:val="none"/>
                    </w:rPr>
                  </w:pPr>
                  <w:r>
                    <w:rPr>
                      <w:rFonts w:hint="default" w:ascii="Times New Roman" w:hAnsi="Times New Roman" w:eastAsia="宋体" w:cs="Times New Roman"/>
                      <w:b/>
                      <w:bCs/>
                      <w:caps w:val="0"/>
                      <w:color w:val="auto"/>
                      <w:sz w:val="21"/>
                      <w:szCs w:val="21"/>
                      <w:highlight w:val="none"/>
                    </w:rPr>
                    <w:t>年排放小时数/h</w:t>
                  </w:r>
                </w:p>
              </w:tc>
              <w:tc>
                <w:tcPr>
                  <w:tcW w:w="847" w:type="pct"/>
                  <w:tcBorders>
                    <w:tl2br w:val="nil"/>
                    <w:tr2bl w:val="nil"/>
                  </w:tcBorders>
                  <w:noWrap w:val="0"/>
                  <w:vAlign w:val="center"/>
                </w:tcPr>
                <w:p w14:paraId="496CD3BE">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
                      <w:bCs/>
                      <w:caps w:val="0"/>
                      <w:color w:val="auto"/>
                      <w:sz w:val="21"/>
                      <w:szCs w:val="21"/>
                      <w:highlight w:val="none"/>
                    </w:rPr>
                  </w:pPr>
                  <w:r>
                    <w:rPr>
                      <w:rFonts w:hint="default" w:ascii="Times New Roman" w:hAnsi="Times New Roman" w:eastAsia="宋体" w:cs="Times New Roman"/>
                      <w:b/>
                      <w:bCs/>
                      <w:caps w:val="0"/>
                      <w:color w:val="auto"/>
                      <w:sz w:val="21"/>
                      <w:szCs w:val="21"/>
                      <w:highlight w:val="none"/>
                    </w:rPr>
                    <w:t>排放工况</w:t>
                  </w:r>
                </w:p>
              </w:tc>
              <w:tc>
                <w:tcPr>
                  <w:tcW w:w="1585" w:type="pct"/>
                  <w:gridSpan w:val="2"/>
                  <w:tcBorders>
                    <w:tl2br w:val="nil"/>
                    <w:tr2bl w:val="nil"/>
                  </w:tcBorders>
                  <w:noWrap w:val="0"/>
                  <w:vAlign w:val="center"/>
                </w:tcPr>
                <w:p w14:paraId="6549CF90">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
                      <w:bCs/>
                      <w:caps w:val="0"/>
                      <w:color w:val="auto"/>
                      <w:sz w:val="21"/>
                      <w:szCs w:val="21"/>
                      <w:highlight w:val="none"/>
                    </w:rPr>
                  </w:pPr>
                  <w:r>
                    <w:rPr>
                      <w:rFonts w:hint="default" w:ascii="Times New Roman" w:hAnsi="Times New Roman" w:eastAsia="宋体" w:cs="Times New Roman"/>
                      <w:b/>
                      <w:bCs/>
                      <w:caps w:val="0"/>
                      <w:color w:val="auto"/>
                      <w:sz w:val="21"/>
                      <w:szCs w:val="21"/>
                      <w:highlight w:val="none"/>
                    </w:rPr>
                    <w:t>污染物排放速率/（kg/h）</w:t>
                  </w:r>
                </w:p>
              </w:tc>
            </w:tr>
            <w:tr w14:paraId="35E1BA44">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3" w:type="pct"/>
                  <w:vMerge w:val="restart"/>
                  <w:tcBorders>
                    <w:tl2br w:val="nil"/>
                    <w:tr2bl w:val="nil"/>
                  </w:tcBorders>
                  <w:noWrap w:val="0"/>
                  <w:vAlign w:val="center"/>
                </w:tcPr>
                <w:p w14:paraId="7A6D3E51">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DA</w:t>
                  </w:r>
                  <w:r>
                    <w:rPr>
                      <w:rFonts w:hint="default" w:ascii="Times New Roman" w:hAnsi="Times New Roman" w:cs="Times New Roman"/>
                      <w:caps w:val="0"/>
                      <w:color w:val="auto"/>
                      <w:sz w:val="21"/>
                      <w:szCs w:val="21"/>
                      <w:highlight w:val="none"/>
                      <w:lang w:val="en-US" w:eastAsia="zh-CN"/>
                    </w:rPr>
                    <w:t>001</w:t>
                  </w:r>
                </w:p>
              </w:tc>
              <w:tc>
                <w:tcPr>
                  <w:tcW w:w="292" w:type="pct"/>
                  <w:vMerge w:val="restart"/>
                  <w:tcBorders>
                    <w:tl2br w:val="nil"/>
                    <w:tr2bl w:val="nil"/>
                  </w:tcBorders>
                  <w:noWrap w:val="0"/>
                  <w:vAlign w:val="center"/>
                </w:tcPr>
                <w:p w14:paraId="6C2F1161">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锅炉废气</w:t>
                  </w:r>
                </w:p>
              </w:tc>
              <w:tc>
                <w:tcPr>
                  <w:tcW w:w="978" w:type="pct"/>
                  <w:tcBorders>
                    <w:tl2br w:val="nil"/>
                    <w:tr2bl w:val="nil"/>
                  </w:tcBorders>
                  <w:noWrap w:val="0"/>
                  <w:vAlign w:val="center"/>
                </w:tcPr>
                <w:p w14:paraId="06C8F837">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val="en-US" w:eastAsia="zh-CN"/>
                    </w:rPr>
                  </w:pPr>
                  <w:r>
                    <w:rPr>
                      <w:rFonts w:hint="eastAsia" w:ascii="Times New Roman" w:hAnsi="Times New Roman" w:eastAsia="宋体" w:cs="Times New Roman"/>
                      <w:caps w:val="0"/>
                      <w:color w:val="auto"/>
                      <w:sz w:val="21"/>
                      <w:szCs w:val="21"/>
                      <w:highlight w:val="none"/>
                      <w:lang w:val="en-US" w:eastAsia="zh-CN"/>
                    </w:rPr>
                    <w:t>旋风+</w:t>
                  </w:r>
                  <w:r>
                    <w:rPr>
                      <w:rFonts w:hint="default" w:ascii="Times New Roman" w:hAnsi="Times New Roman" w:eastAsia="宋体" w:cs="Times New Roman"/>
                      <w:caps w:val="0"/>
                      <w:color w:val="auto"/>
                      <w:sz w:val="21"/>
                      <w:szCs w:val="21"/>
                      <w:highlight w:val="none"/>
                      <w:lang w:val="en-US" w:eastAsia="zh-CN"/>
                    </w:rPr>
                    <w:t>布袋除尘器未更换或失效</w:t>
                  </w:r>
                </w:p>
              </w:tc>
              <w:tc>
                <w:tcPr>
                  <w:tcW w:w="742" w:type="pct"/>
                  <w:tcBorders>
                    <w:tl2br w:val="nil"/>
                    <w:tr2bl w:val="nil"/>
                  </w:tcBorders>
                  <w:noWrap w:val="0"/>
                  <w:vAlign w:val="center"/>
                </w:tcPr>
                <w:p w14:paraId="76D2AA19">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&lt;1</w:t>
                  </w:r>
                </w:p>
              </w:tc>
              <w:tc>
                <w:tcPr>
                  <w:tcW w:w="847" w:type="pct"/>
                  <w:tcBorders>
                    <w:tl2br w:val="nil"/>
                    <w:tr2bl w:val="nil"/>
                  </w:tcBorders>
                  <w:noWrap w:val="0"/>
                  <w:vAlign w:val="center"/>
                </w:tcPr>
                <w:p w14:paraId="15A24F90">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eastAsia="zh-CN"/>
                    </w:rPr>
                  </w:pPr>
                  <w:r>
                    <w:rPr>
                      <w:rFonts w:hint="default" w:ascii="Times New Roman" w:hAnsi="Times New Roman" w:eastAsia="宋体" w:cs="Times New Roman"/>
                      <w:caps w:val="0"/>
                      <w:color w:val="auto"/>
                      <w:sz w:val="21"/>
                      <w:szCs w:val="21"/>
                      <w:highlight w:val="none"/>
                      <w:lang w:eastAsia="zh-CN"/>
                    </w:rPr>
                    <w:t>非</w:t>
                  </w:r>
                  <w:r>
                    <w:rPr>
                      <w:rFonts w:hint="default" w:ascii="Times New Roman" w:hAnsi="Times New Roman" w:eastAsia="宋体" w:cs="Times New Roman"/>
                      <w:caps w:val="0"/>
                      <w:color w:val="auto"/>
                      <w:sz w:val="21"/>
                      <w:szCs w:val="21"/>
                      <w:highlight w:val="none"/>
                    </w:rPr>
                    <w:t>正常排放</w:t>
                  </w:r>
                </w:p>
              </w:tc>
              <w:tc>
                <w:tcPr>
                  <w:tcW w:w="780" w:type="pct"/>
                  <w:tcBorders>
                    <w:tl2br w:val="nil"/>
                    <w:tr2bl w:val="nil"/>
                  </w:tcBorders>
                  <w:noWrap w:val="0"/>
                  <w:vAlign w:val="center"/>
                </w:tcPr>
                <w:p w14:paraId="4C3F0405">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颗粒物</w:t>
                  </w:r>
                </w:p>
              </w:tc>
              <w:tc>
                <w:tcPr>
                  <w:tcW w:w="804" w:type="pct"/>
                  <w:tcBorders>
                    <w:tl2br w:val="nil"/>
                    <w:tr2bl w:val="nil"/>
                  </w:tcBorders>
                  <w:noWrap w:val="0"/>
                  <w:vAlign w:val="center"/>
                </w:tcPr>
                <w:p w14:paraId="62A5362F">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aps w:val="0"/>
                      <w:color w:val="auto"/>
                      <w:kern w:val="0"/>
                      <w:sz w:val="21"/>
                      <w:szCs w:val="21"/>
                      <w:highlight w:val="none"/>
                      <w:u w:val="none"/>
                      <w:lang w:val="en-US" w:eastAsia="zh-CN" w:bidi="ar"/>
                    </w:rPr>
                  </w:pPr>
                  <w:r>
                    <w:rPr>
                      <w:rFonts w:hint="default" w:ascii="Times New Roman" w:hAnsi="Times New Roman" w:cs="Times New Roman"/>
                      <w:i w:val="0"/>
                      <w:iCs w:val="0"/>
                      <w:caps w:val="0"/>
                      <w:color w:val="auto"/>
                      <w:kern w:val="0"/>
                      <w:sz w:val="21"/>
                      <w:szCs w:val="21"/>
                      <w:highlight w:val="none"/>
                      <w:u w:val="none"/>
                      <w:lang w:val="en-US" w:eastAsia="zh-CN" w:bidi="ar"/>
                    </w:rPr>
                    <w:t>1.74</w:t>
                  </w:r>
                  <w:r>
                    <w:rPr>
                      <w:rFonts w:hint="eastAsia" w:ascii="Times New Roman" w:hAnsi="Times New Roman" w:cs="Times New Roman"/>
                      <w:i w:val="0"/>
                      <w:iCs w:val="0"/>
                      <w:caps w:val="0"/>
                      <w:color w:val="auto"/>
                      <w:kern w:val="0"/>
                      <w:sz w:val="21"/>
                      <w:szCs w:val="21"/>
                      <w:highlight w:val="none"/>
                      <w:u w:val="none"/>
                      <w:lang w:val="en-US" w:eastAsia="zh-CN" w:bidi="ar"/>
                    </w:rPr>
                    <w:t>9</w:t>
                  </w:r>
                </w:p>
              </w:tc>
            </w:tr>
            <w:tr w14:paraId="16B7EFCE">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3" w:type="pct"/>
                  <w:vMerge w:val="continue"/>
                  <w:tcBorders>
                    <w:tl2br w:val="nil"/>
                    <w:tr2bl w:val="nil"/>
                  </w:tcBorders>
                  <w:noWrap w:val="0"/>
                  <w:vAlign w:val="center"/>
                </w:tcPr>
                <w:p w14:paraId="118F8694">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val="en-US" w:eastAsia="zh-CN"/>
                    </w:rPr>
                  </w:pPr>
                </w:p>
              </w:tc>
              <w:tc>
                <w:tcPr>
                  <w:tcW w:w="292" w:type="pct"/>
                  <w:vMerge w:val="continue"/>
                  <w:tcBorders>
                    <w:tl2br w:val="nil"/>
                    <w:tr2bl w:val="nil"/>
                  </w:tcBorders>
                  <w:noWrap w:val="0"/>
                  <w:vAlign w:val="center"/>
                </w:tcPr>
                <w:p w14:paraId="77D78622">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val="en-US" w:eastAsia="zh-CN"/>
                    </w:rPr>
                  </w:pPr>
                </w:p>
              </w:tc>
              <w:tc>
                <w:tcPr>
                  <w:tcW w:w="978" w:type="pct"/>
                  <w:tcBorders>
                    <w:tl2br w:val="nil"/>
                    <w:tr2bl w:val="nil"/>
                  </w:tcBorders>
                  <w:noWrap w:val="0"/>
                  <w:vAlign w:val="center"/>
                </w:tcPr>
                <w:p w14:paraId="6B8D13D1">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val="en-US" w:eastAsia="zh-CN"/>
                    </w:rPr>
                  </w:pPr>
                  <w:r>
                    <w:rPr>
                      <w:rFonts w:hint="eastAsia" w:ascii="Times New Roman" w:hAnsi="Times New Roman" w:eastAsia="宋体" w:cs="Times New Roman"/>
                      <w:caps w:val="0"/>
                      <w:color w:val="auto"/>
                      <w:sz w:val="21"/>
                      <w:szCs w:val="21"/>
                      <w:highlight w:val="none"/>
                      <w:lang w:val="en-US" w:eastAsia="zh-CN"/>
                    </w:rPr>
                    <w:t>旋风+</w:t>
                  </w:r>
                  <w:r>
                    <w:rPr>
                      <w:rFonts w:hint="default" w:ascii="Times New Roman" w:hAnsi="Times New Roman" w:eastAsia="宋体" w:cs="Times New Roman"/>
                      <w:caps w:val="0"/>
                      <w:color w:val="auto"/>
                      <w:sz w:val="21"/>
                      <w:szCs w:val="21"/>
                      <w:highlight w:val="none"/>
                      <w:lang w:val="en-US" w:eastAsia="zh-CN"/>
                    </w:rPr>
                    <w:t>布袋除尘器破损</w:t>
                  </w:r>
                </w:p>
              </w:tc>
              <w:tc>
                <w:tcPr>
                  <w:tcW w:w="742" w:type="pct"/>
                  <w:tcBorders>
                    <w:tl2br w:val="nil"/>
                    <w:tr2bl w:val="nil"/>
                  </w:tcBorders>
                  <w:noWrap w:val="0"/>
                  <w:vAlign w:val="center"/>
                </w:tcPr>
                <w:p w14:paraId="7EC45074">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&lt;1</w:t>
                  </w:r>
                </w:p>
              </w:tc>
              <w:tc>
                <w:tcPr>
                  <w:tcW w:w="847" w:type="pct"/>
                  <w:tcBorders>
                    <w:tl2br w:val="nil"/>
                    <w:tr2bl w:val="nil"/>
                  </w:tcBorders>
                  <w:noWrap w:val="0"/>
                  <w:vAlign w:val="center"/>
                </w:tcPr>
                <w:p w14:paraId="395F8EDD">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eastAsia="zh-CN"/>
                    </w:rPr>
                  </w:pPr>
                  <w:r>
                    <w:rPr>
                      <w:rFonts w:hint="default" w:ascii="Times New Roman" w:hAnsi="Times New Roman" w:eastAsia="宋体" w:cs="Times New Roman"/>
                      <w:caps w:val="0"/>
                      <w:color w:val="auto"/>
                      <w:sz w:val="21"/>
                      <w:szCs w:val="21"/>
                      <w:highlight w:val="none"/>
                      <w:lang w:eastAsia="zh-CN"/>
                    </w:rPr>
                    <w:t>非</w:t>
                  </w:r>
                  <w:r>
                    <w:rPr>
                      <w:rFonts w:hint="default" w:ascii="Times New Roman" w:hAnsi="Times New Roman" w:eastAsia="宋体" w:cs="Times New Roman"/>
                      <w:caps w:val="0"/>
                      <w:color w:val="auto"/>
                      <w:sz w:val="21"/>
                      <w:szCs w:val="21"/>
                      <w:highlight w:val="none"/>
                    </w:rPr>
                    <w:t>正常排放</w:t>
                  </w:r>
                </w:p>
              </w:tc>
              <w:tc>
                <w:tcPr>
                  <w:tcW w:w="780" w:type="pct"/>
                  <w:tcBorders>
                    <w:tl2br w:val="nil"/>
                    <w:tr2bl w:val="nil"/>
                  </w:tcBorders>
                  <w:noWrap w:val="0"/>
                  <w:vAlign w:val="center"/>
                </w:tcPr>
                <w:p w14:paraId="63ABC85D">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颗粒物</w:t>
                  </w:r>
                </w:p>
              </w:tc>
              <w:tc>
                <w:tcPr>
                  <w:tcW w:w="804" w:type="pct"/>
                  <w:tcBorders>
                    <w:tl2br w:val="nil"/>
                    <w:tr2bl w:val="nil"/>
                  </w:tcBorders>
                  <w:noWrap w:val="0"/>
                  <w:vAlign w:val="center"/>
                </w:tcPr>
                <w:p w14:paraId="2B63E2D1">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cs="Times New Roman"/>
                      <w:i w:val="0"/>
                      <w:iCs w:val="0"/>
                      <w:caps w:val="0"/>
                      <w:color w:val="auto"/>
                      <w:kern w:val="0"/>
                      <w:sz w:val="21"/>
                      <w:szCs w:val="21"/>
                      <w:highlight w:val="none"/>
                      <w:u w:val="none"/>
                      <w:lang w:val="en-US" w:eastAsia="zh-CN" w:bidi="ar"/>
                    </w:rPr>
                  </w:pPr>
                  <w:r>
                    <w:rPr>
                      <w:rFonts w:hint="default" w:ascii="Times New Roman" w:hAnsi="Times New Roman" w:cs="Times New Roman"/>
                      <w:i w:val="0"/>
                      <w:iCs w:val="0"/>
                      <w:caps w:val="0"/>
                      <w:color w:val="auto"/>
                      <w:kern w:val="0"/>
                      <w:sz w:val="21"/>
                      <w:szCs w:val="21"/>
                      <w:highlight w:val="none"/>
                      <w:u w:val="none"/>
                      <w:lang w:val="en-US" w:eastAsia="zh-CN" w:bidi="ar"/>
                    </w:rPr>
                    <w:t>0.</w:t>
                  </w:r>
                  <w:r>
                    <w:rPr>
                      <w:rFonts w:hint="eastAsia" w:ascii="Times New Roman" w:hAnsi="Times New Roman" w:cs="Times New Roman"/>
                      <w:i w:val="0"/>
                      <w:iCs w:val="0"/>
                      <w:caps w:val="0"/>
                      <w:color w:val="auto"/>
                      <w:kern w:val="0"/>
                      <w:sz w:val="21"/>
                      <w:szCs w:val="21"/>
                      <w:highlight w:val="none"/>
                      <w:u w:val="none"/>
                      <w:lang w:val="en-US" w:eastAsia="zh-CN" w:bidi="ar"/>
                    </w:rPr>
                    <w:t>262</w:t>
                  </w:r>
                </w:p>
              </w:tc>
            </w:tr>
          </w:tbl>
          <w:p w14:paraId="45198F4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color w:val="auto"/>
                <w:spacing w:val="0"/>
                <w:sz w:val="24"/>
                <w:highlight w:val="none"/>
                <w:lang w:val="en-US" w:eastAsia="zh-CN"/>
              </w:rPr>
            </w:pPr>
            <w:r>
              <w:rPr>
                <w:rFonts w:hint="default" w:ascii="Times New Roman" w:hAnsi="Times New Roman" w:cs="Times New Roman"/>
                <w:caps w:val="0"/>
                <w:color w:val="auto"/>
                <w:sz w:val="24"/>
                <w:szCs w:val="24"/>
                <w:highlight w:val="none"/>
                <w:lang w:val="en-US" w:eastAsia="zh-CN"/>
              </w:rPr>
              <w:t>④</w:t>
            </w:r>
            <w:r>
              <w:rPr>
                <w:rFonts w:hint="default" w:ascii="Times New Roman" w:hAnsi="Times New Roman" w:eastAsia="宋体" w:cs="Times New Roman"/>
                <w:caps w:val="0"/>
                <w:color w:val="auto"/>
                <w:sz w:val="24"/>
                <w:szCs w:val="24"/>
                <w:highlight w:val="none"/>
              </w:rPr>
              <w:t>为了避免非正常工况排污，拟采取以下措施：A.加强日常维护管理，防微杜渐，是杜绝事故排放的前提。因此，需注重废气处理设备的维护，使其长期保持最佳工作状况。在定期检修工程主体设备时，同时检查和维护各主要废气处理设备的正常运行。B.一旦发现废气处理设备运行不正常时，应及时予以处理或维修，如确定短时间内不能恢复正常运行的，应立即</w:t>
            </w:r>
            <w:r>
              <w:rPr>
                <w:rFonts w:hint="default" w:ascii="Times New Roman" w:hAnsi="Times New Roman" w:eastAsia="宋体" w:cs="Times New Roman"/>
                <w:caps w:val="0"/>
                <w:color w:val="auto"/>
                <w:sz w:val="24"/>
                <w:szCs w:val="24"/>
                <w:highlight w:val="none"/>
                <w:lang w:val="en-US" w:eastAsia="zh-CN"/>
              </w:rPr>
              <w:t>停止运行</w:t>
            </w:r>
            <w:r>
              <w:rPr>
                <w:rFonts w:hint="default" w:ascii="Times New Roman" w:hAnsi="Times New Roman" w:eastAsia="宋体" w:cs="Times New Roman"/>
                <w:caps w:val="0"/>
                <w:color w:val="auto"/>
                <w:sz w:val="24"/>
                <w:szCs w:val="24"/>
                <w:highlight w:val="none"/>
              </w:rPr>
              <w:t>检修</w:t>
            </w:r>
            <w:r>
              <w:rPr>
                <w:rFonts w:hint="default" w:ascii="Times New Roman" w:hAnsi="Times New Roman" w:eastAsia="宋体" w:cs="Times New Roman"/>
                <w:caps w:val="0"/>
                <w:color w:val="auto"/>
                <w:sz w:val="24"/>
                <w:szCs w:val="24"/>
                <w:highlight w:val="none"/>
                <w:lang w:val="en-US" w:eastAsia="zh-CN"/>
              </w:rPr>
              <w:t>设备</w:t>
            </w:r>
            <w:r>
              <w:rPr>
                <w:rFonts w:hint="default" w:ascii="Times New Roman" w:hAnsi="Times New Roman" w:eastAsia="宋体" w:cs="Times New Roman"/>
                <w:caps w:val="0"/>
                <w:color w:val="auto"/>
                <w:sz w:val="24"/>
                <w:szCs w:val="24"/>
                <w:highlight w:val="none"/>
              </w:rPr>
              <w:t>，以避免对环境造成更大的污染影响，待废气处理设备运行正常后恢复生产。C.加强对日常设备的</w:t>
            </w:r>
            <w:r>
              <w:rPr>
                <w:rFonts w:hint="default" w:ascii="Times New Roman" w:hAnsi="Times New Roman" w:eastAsia="宋体" w:cs="Times New Roman"/>
                <w:caps w:val="0"/>
                <w:color w:val="auto"/>
                <w:sz w:val="24"/>
                <w:szCs w:val="24"/>
                <w:highlight w:val="none"/>
                <w:lang w:val="en-US" w:eastAsia="zh-CN"/>
              </w:rPr>
              <w:t>检查。</w:t>
            </w:r>
          </w:p>
          <w:p w14:paraId="2C78DA7F">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pacing w:val="0"/>
                <w:sz w:val="24"/>
                <w:highlight w:val="none"/>
              </w:rPr>
            </w:pPr>
            <w:r>
              <w:rPr>
                <w:rFonts w:hint="default" w:ascii="Times New Roman" w:hAnsi="Times New Roman" w:eastAsia="宋体" w:cs="Times New Roman"/>
                <w:b/>
                <w:color w:val="auto"/>
                <w:spacing w:val="0"/>
                <w:sz w:val="24"/>
                <w:highlight w:val="none"/>
                <w:lang w:val="en-US" w:eastAsia="zh-CN"/>
              </w:rPr>
              <w:t>1.</w:t>
            </w:r>
            <w:r>
              <w:rPr>
                <w:rFonts w:hint="default" w:ascii="Times New Roman" w:hAnsi="Times New Roman" w:cs="Times New Roman"/>
                <w:b/>
                <w:color w:val="auto"/>
                <w:spacing w:val="0"/>
                <w:sz w:val="24"/>
                <w:highlight w:val="none"/>
                <w:lang w:val="en-US" w:eastAsia="zh-CN"/>
              </w:rPr>
              <w:t>6</w:t>
            </w:r>
            <w:r>
              <w:rPr>
                <w:rFonts w:hint="default" w:ascii="Times New Roman" w:hAnsi="Times New Roman" w:eastAsia="宋体" w:cs="Times New Roman"/>
                <w:b/>
                <w:bCs/>
                <w:color w:val="auto"/>
                <w:spacing w:val="0"/>
                <w:sz w:val="24"/>
                <w:highlight w:val="none"/>
              </w:rPr>
              <w:t>大气污染源监测计划</w:t>
            </w:r>
          </w:p>
          <w:p w14:paraId="1931C94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依据《排污单位自行监测技术指南 火力发电及锅炉》</w:t>
            </w:r>
            <w:r>
              <w:rPr>
                <w:rFonts w:hint="default" w:ascii="Times New Roman" w:hAnsi="Times New Roman" w:cs="Times New Roman"/>
                <w:color w:val="auto"/>
                <w:spacing w:val="0"/>
                <w:sz w:val="24"/>
                <w:highlight w:val="none"/>
                <w:lang w:eastAsia="zh-CN"/>
              </w:rPr>
              <w:t>（</w:t>
            </w:r>
            <w:r>
              <w:rPr>
                <w:rFonts w:hint="default" w:ascii="Times New Roman" w:hAnsi="Times New Roman" w:eastAsia="宋体" w:cs="Times New Roman"/>
                <w:color w:val="auto"/>
                <w:spacing w:val="0"/>
                <w:sz w:val="24"/>
                <w:highlight w:val="none"/>
              </w:rPr>
              <w:t>HJ820-2017</w:t>
            </w:r>
            <w:r>
              <w:rPr>
                <w:rFonts w:hint="default" w:ascii="Times New Roman" w:hAnsi="Times New Roman" w:cs="Times New Roman"/>
                <w:color w:val="auto"/>
                <w:spacing w:val="0"/>
                <w:sz w:val="24"/>
                <w:highlight w:val="none"/>
                <w:lang w:eastAsia="zh-CN"/>
              </w:rPr>
              <w:t>）</w:t>
            </w:r>
            <w:r>
              <w:rPr>
                <w:rFonts w:hint="default" w:ascii="Times New Roman" w:hAnsi="Times New Roman" w:eastAsia="宋体" w:cs="Times New Roman"/>
                <w:color w:val="auto"/>
                <w:spacing w:val="0"/>
                <w:sz w:val="24"/>
                <w:highlight w:val="none"/>
              </w:rPr>
              <w:t>中表1的相关内容，</w:t>
            </w:r>
            <w:r>
              <w:rPr>
                <w:rFonts w:hint="default" w:ascii="Times New Roman" w:hAnsi="Times New Roman" w:eastAsia="宋体" w:cs="Times New Roman"/>
                <w:color w:val="auto"/>
                <w:spacing w:val="0"/>
                <w:sz w:val="24"/>
                <w:highlight w:val="none"/>
                <w:lang w:eastAsia="zh-CN"/>
              </w:rPr>
              <w:t>及</w:t>
            </w:r>
            <w:r>
              <w:rPr>
                <w:rFonts w:hint="default" w:ascii="Times New Roman" w:hAnsi="Times New Roman" w:eastAsia="宋体" w:cs="Times New Roman"/>
                <w:color w:val="auto"/>
                <w:spacing w:val="0"/>
                <w:sz w:val="24"/>
                <w:highlight w:val="none"/>
                <w:lang w:val="en-US" w:eastAsia="zh-CN"/>
              </w:rPr>
              <w:t>《排污许可证申请与核发技术规范 锅炉》</w:t>
            </w:r>
            <w:r>
              <w:rPr>
                <w:rFonts w:hint="default" w:ascii="Times New Roman" w:hAnsi="Times New Roman" w:cs="Times New Roman"/>
                <w:color w:val="auto"/>
                <w:spacing w:val="0"/>
                <w:sz w:val="24"/>
                <w:highlight w:val="none"/>
                <w:lang w:val="en-US" w:eastAsia="zh-CN"/>
              </w:rPr>
              <w:t>（</w:t>
            </w:r>
            <w:r>
              <w:rPr>
                <w:rFonts w:hint="default" w:ascii="Times New Roman" w:hAnsi="Times New Roman" w:eastAsia="宋体" w:cs="Times New Roman"/>
                <w:color w:val="auto"/>
                <w:spacing w:val="0"/>
                <w:sz w:val="24"/>
                <w:highlight w:val="none"/>
                <w:lang w:val="en-US" w:eastAsia="zh-CN"/>
              </w:rPr>
              <w:t>HJ953—2018</w:t>
            </w:r>
            <w:r>
              <w:rPr>
                <w:rFonts w:hint="default" w:ascii="Times New Roman" w:hAnsi="Times New Roman" w:cs="Times New Roman"/>
                <w:color w:val="auto"/>
                <w:spacing w:val="0"/>
                <w:sz w:val="24"/>
                <w:highlight w:val="none"/>
                <w:lang w:val="en-US" w:eastAsia="zh-CN"/>
              </w:rPr>
              <w:t>）</w:t>
            </w:r>
            <w:r>
              <w:rPr>
                <w:rFonts w:hint="default" w:ascii="Times New Roman" w:hAnsi="Times New Roman" w:eastAsia="宋体" w:cs="Times New Roman"/>
                <w:color w:val="auto"/>
                <w:spacing w:val="0"/>
                <w:sz w:val="24"/>
                <w:highlight w:val="none"/>
              </w:rPr>
              <w:t>建议项目运营期大气污染源监测计划如下。</w:t>
            </w:r>
          </w:p>
          <w:p w14:paraId="70A75846">
            <w:pPr>
              <w:pStyle w:val="11"/>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eastAsia="宋体" w:cs="Times New Roman"/>
                <w:b/>
                <w:bCs/>
                <w:color w:val="auto"/>
                <w:spacing w:val="0"/>
                <w:sz w:val="21"/>
                <w:szCs w:val="21"/>
                <w:highlight w:val="none"/>
                <w:lang w:val="en-US" w:eastAsia="zh-CN"/>
              </w:rPr>
              <w:t>表4-</w:t>
            </w:r>
            <w:r>
              <w:rPr>
                <w:rFonts w:hint="default" w:ascii="Times New Roman" w:hAnsi="Times New Roman" w:cs="Times New Roman"/>
                <w:b/>
                <w:bCs/>
                <w:color w:val="auto"/>
                <w:spacing w:val="0"/>
                <w:sz w:val="21"/>
                <w:szCs w:val="21"/>
                <w:highlight w:val="none"/>
                <w:lang w:val="en-US" w:eastAsia="zh-CN"/>
              </w:rPr>
              <w:t>7</w:t>
            </w:r>
            <w:r>
              <w:rPr>
                <w:rFonts w:hint="default" w:ascii="Times New Roman" w:hAnsi="Times New Roman" w:eastAsia="宋体" w:cs="Times New Roman"/>
                <w:b/>
                <w:bCs/>
                <w:color w:val="auto"/>
                <w:spacing w:val="0"/>
                <w:sz w:val="21"/>
                <w:szCs w:val="21"/>
                <w:highlight w:val="none"/>
                <w:lang w:val="en-US" w:eastAsia="zh-CN"/>
              </w:rPr>
              <w:t xml:space="preserve"> 大气污染源监测计划</w:t>
            </w:r>
          </w:p>
          <w:tbl>
            <w:tblPr>
              <w:tblStyle w:val="35"/>
              <w:tblW w:w="5000" w:type="pct"/>
              <w:jc w:val="center"/>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3"/>
              <w:gridCol w:w="4174"/>
              <w:gridCol w:w="1556"/>
              <w:gridCol w:w="1072"/>
            </w:tblGrid>
            <w:tr w14:paraId="47793864">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3" w:type="dxa"/>
                  <w:tcBorders>
                    <w:tl2br w:val="nil"/>
                    <w:tr2bl w:val="nil"/>
                  </w:tcBorders>
                  <w:noWrap w:val="0"/>
                  <w:vAlign w:val="center"/>
                </w:tcPr>
                <w:p w14:paraId="76DE29C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监测点位</w:t>
                  </w:r>
                </w:p>
              </w:tc>
              <w:tc>
                <w:tcPr>
                  <w:tcW w:w="4172" w:type="dxa"/>
                  <w:tcBorders>
                    <w:tl2br w:val="nil"/>
                    <w:tr2bl w:val="nil"/>
                  </w:tcBorders>
                  <w:noWrap w:val="0"/>
                  <w:vAlign w:val="center"/>
                </w:tcPr>
                <w:p w14:paraId="7869490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监测指标</w:t>
                  </w:r>
                </w:p>
              </w:tc>
              <w:tc>
                <w:tcPr>
                  <w:tcW w:w="1555" w:type="dxa"/>
                  <w:tcBorders>
                    <w:tl2br w:val="nil"/>
                    <w:tr2bl w:val="nil"/>
                  </w:tcBorders>
                  <w:noWrap w:val="0"/>
                  <w:vAlign w:val="center"/>
                </w:tcPr>
                <w:p w14:paraId="10B0DA7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最低监测频次</w:t>
                  </w:r>
                </w:p>
              </w:tc>
              <w:tc>
                <w:tcPr>
                  <w:tcW w:w="1071" w:type="dxa"/>
                  <w:tcBorders>
                    <w:tl2br w:val="nil"/>
                    <w:tr2bl w:val="nil"/>
                  </w:tcBorders>
                  <w:noWrap w:val="0"/>
                  <w:vAlign w:val="center"/>
                </w:tcPr>
                <w:p w14:paraId="7FBD527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监测设施</w:t>
                  </w:r>
                </w:p>
              </w:tc>
            </w:tr>
            <w:tr w14:paraId="15E5D95D">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3" w:type="dxa"/>
                  <w:vMerge w:val="restart"/>
                  <w:tcBorders>
                    <w:tl2br w:val="nil"/>
                    <w:tr2bl w:val="nil"/>
                  </w:tcBorders>
                  <w:noWrap w:val="0"/>
                  <w:vAlign w:val="center"/>
                </w:tcPr>
                <w:p w14:paraId="40D6E2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DA001</w:t>
                  </w:r>
                  <w:r>
                    <w:rPr>
                      <w:rFonts w:hint="default" w:ascii="Times New Roman" w:hAnsi="Times New Roman" w:eastAsia="宋体" w:cs="Times New Roman"/>
                      <w:color w:val="auto"/>
                      <w:spacing w:val="0"/>
                      <w:sz w:val="21"/>
                      <w:szCs w:val="21"/>
                      <w:highlight w:val="none"/>
                      <w:lang w:val="en-US" w:eastAsia="zh-CN"/>
                    </w:rPr>
                    <w:t>排气口</w:t>
                  </w:r>
                </w:p>
              </w:tc>
              <w:tc>
                <w:tcPr>
                  <w:tcW w:w="4172" w:type="dxa"/>
                  <w:tcBorders>
                    <w:tl2br w:val="nil"/>
                    <w:tr2bl w:val="nil"/>
                  </w:tcBorders>
                  <w:noWrap w:val="0"/>
                  <w:vAlign w:val="center"/>
                </w:tcPr>
                <w:p w14:paraId="50CA5D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颗粒物</w:t>
                  </w:r>
                  <w:r>
                    <w:rPr>
                      <w:rFonts w:hint="default" w:ascii="Times New Roman" w:hAnsi="Times New Roman"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二氧化硫</w:t>
                  </w:r>
                  <w:r>
                    <w:rPr>
                      <w:rFonts w:hint="default" w:ascii="Times New Roman" w:hAnsi="Times New Roman"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氮氧化物</w:t>
                  </w:r>
                  <w:r>
                    <w:rPr>
                      <w:rFonts w:hint="default" w:ascii="Times New Roman" w:hAnsi="Times New Roman"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林格曼黑度</w:t>
                  </w:r>
                  <w:r>
                    <w:rPr>
                      <w:rFonts w:hint="eastAsia" w:ascii="Times New Roman" w:hAnsi="Times New Roman" w:cs="Times New Roman"/>
                      <w:color w:val="auto"/>
                      <w:spacing w:val="0"/>
                      <w:sz w:val="21"/>
                      <w:szCs w:val="21"/>
                      <w:highlight w:val="none"/>
                      <w:lang w:eastAsia="zh-CN"/>
                    </w:rPr>
                    <w:t>、</w:t>
                  </w:r>
                  <w:r>
                    <w:rPr>
                      <w:rFonts w:hint="eastAsia" w:ascii="Times New Roman" w:hAnsi="Times New Roman" w:cs="Times New Roman"/>
                      <w:color w:val="auto"/>
                      <w:spacing w:val="0"/>
                      <w:sz w:val="21"/>
                      <w:szCs w:val="21"/>
                      <w:highlight w:val="none"/>
                      <w:lang w:val="en-US" w:eastAsia="zh-CN"/>
                    </w:rPr>
                    <w:t>烟气量、</w:t>
                  </w:r>
                  <w:r>
                    <w:rPr>
                      <w:rFonts w:hint="eastAsia" w:ascii="Times New Roman" w:hAnsi="Times New Roman" w:cs="Times New Roman"/>
                      <w:color w:val="auto"/>
                      <w:spacing w:val="0"/>
                      <w:sz w:val="21"/>
                      <w:szCs w:val="21"/>
                      <w:highlight w:val="none"/>
                      <w:lang w:eastAsia="zh-CN"/>
                    </w:rPr>
                    <w:t>烟气流速、烟气温度，烟气</w:t>
                  </w:r>
                  <w:r>
                    <w:rPr>
                      <w:rFonts w:hint="eastAsia" w:ascii="Times New Roman" w:hAnsi="Times New Roman" w:cs="Times New Roman"/>
                      <w:color w:val="auto"/>
                      <w:spacing w:val="0"/>
                      <w:sz w:val="21"/>
                      <w:szCs w:val="21"/>
                      <w:highlight w:val="none"/>
                      <w:lang w:val="en-US" w:eastAsia="zh-CN"/>
                    </w:rPr>
                    <w:t>含湿量、氧含量</w:t>
                  </w:r>
                </w:p>
              </w:tc>
              <w:tc>
                <w:tcPr>
                  <w:tcW w:w="1555" w:type="dxa"/>
                  <w:tcBorders>
                    <w:tl2br w:val="nil"/>
                    <w:tr2bl w:val="nil"/>
                  </w:tcBorders>
                  <w:noWrap w:val="0"/>
                  <w:vAlign w:val="center"/>
                </w:tcPr>
                <w:p w14:paraId="6D4596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1次/</w:t>
                  </w:r>
                  <w:r>
                    <w:rPr>
                      <w:rFonts w:hint="default" w:ascii="Times New Roman" w:hAnsi="Times New Roman" w:cs="Times New Roman"/>
                      <w:color w:val="auto"/>
                      <w:spacing w:val="0"/>
                      <w:sz w:val="21"/>
                      <w:szCs w:val="21"/>
                      <w:highlight w:val="none"/>
                      <w:lang w:val="en-US" w:eastAsia="zh-CN"/>
                    </w:rPr>
                    <w:t>月</w:t>
                  </w:r>
                </w:p>
              </w:tc>
              <w:tc>
                <w:tcPr>
                  <w:tcW w:w="1071" w:type="dxa"/>
                  <w:tcBorders>
                    <w:tl2br w:val="nil"/>
                    <w:tr2bl w:val="nil"/>
                  </w:tcBorders>
                  <w:noWrap w:val="0"/>
                  <w:vAlign w:val="center"/>
                </w:tcPr>
                <w:p w14:paraId="49D453F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手工监测</w:t>
                  </w:r>
                </w:p>
              </w:tc>
            </w:tr>
            <w:tr w14:paraId="38D7D8DA">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3" w:type="dxa"/>
                  <w:vMerge w:val="continue"/>
                  <w:tcBorders>
                    <w:tl2br w:val="nil"/>
                    <w:tr2bl w:val="nil"/>
                  </w:tcBorders>
                  <w:noWrap w:val="0"/>
                  <w:vAlign w:val="center"/>
                </w:tcPr>
                <w:p w14:paraId="0070F6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p>
              </w:tc>
              <w:tc>
                <w:tcPr>
                  <w:tcW w:w="4172" w:type="dxa"/>
                  <w:tcBorders>
                    <w:tl2br w:val="nil"/>
                    <w:tr2bl w:val="nil"/>
                  </w:tcBorders>
                  <w:noWrap w:val="0"/>
                  <w:vAlign w:val="center"/>
                </w:tcPr>
                <w:p w14:paraId="3FC2F1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厂界颗粒物</w:t>
                  </w:r>
                </w:p>
              </w:tc>
              <w:tc>
                <w:tcPr>
                  <w:tcW w:w="1555" w:type="dxa"/>
                  <w:tcBorders>
                    <w:tl2br w:val="nil"/>
                    <w:tr2bl w:val="nil"/>
                  </w:tcBorders>
                  <w:noWrap w:val="0"/>
                  <w:vAlign w:val="center"/>
                </w:tcPr>
                <w:p w14:paraId="66BF716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1次/</w:t>
                  </w:r>
                  <w:r>
                    <w:rPr>
                      <w:rFonts w:hint="default" w:ascii="Times New Roman" w:hAnsi="Times New Roman" w:cs="Times New Roman"/>
                      <w:color w:val="auto"/>
                      <w:sz w:val="21"/>
                      <w:szCs w:val="21"/>
                      <w:highlight w:val="none"/>
                      <w:lang w:val="en-US" w:eastAsia="zh-CN"/>
                    </w:rPr>
                    <w:t>季度</w:t>
                  </w:r>
                </w:p>
              </w:tc>
              <w:tc>
                <w:tcPr>
                  <w:tcW w:w="1071" w:type="dxa"/>
                  <w:tcBorders>
                    <w:tl2br w:val="nil"/>
                    <w:tr2bl w:val="nil"/>
                  </w:tcBorders>
                  <w:noWrap w:val="0"/>
                  <w:vAlign w:val="center"/>
                </w:tcPr>
                <w:p w14:paraId="5FE06C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手工监测</w:t>
                  </w:r>
                </w:p>
              </w:tc>
            </w:tr>
          </w:tbl>
          <w:p w14:paraId="6F3D8341">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olor w:val="auto"/>
                <w:spacing w:val="0"/>
                <w:sz w:val="24"/>
                <w:highlight w:val="none"/>
                <w:lang w:val="en-US" w:eastAsia="zh-CN"/>
              </w:rPr>
            </w:pPr>
            <w:r>
              <w:rPr>
                <w:rFonts w:hint="default" w:ascii="Times New Roman" w:hAnsi="Times New Roman" w:eastAsia="宋体" w:cs="Times New Roman"/>
                <w:b/>
                <w:color w:val="auto"/>
                <w:spacing w:val="0"/>
                <w:sz w:val="24"/>
                <w:highlight w:val="none"/>
                <w:lang w:val="en-US" w:eastAsia="zh-CN"/>
              </w:rPr>
              <w:t>1.5废气排放环境影响分析</w:t>
            </w:r>
          </w:p>
          <w:p w14:paraId="36919F70">
            <w:pPr>
              <w:pStyle w:val="34"/>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lang w:val="en-US" w:eastAsia="zh-CN"/>
              </w:rPr>
              <w:t>本项目产生的废气主要锅炉产生的废气，主要污染物为颗粒物、二氧化硫、氮氧化物。</w:t>
            </w:r>
          </w:p>
          <w:p w14:paraId="4B0C8903">
            <w:pPr>
              <w:pStyle w:val="34"/>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eastAsia="宋体" w:cs="Times New Roman"/>
                <w:color w:val="auto"/>
                <w:spacing w:val="0"/>
                <w:highlight w:val="none"/>
                <w:lang w:val="en-US" w:eastAsia="zh-CN"/>
              </w:rPr>
            </w:pPr>
            <w:r>
              <w:rPr>
                <w:rFonts w:hint="default" w:ascii="Times New Roman" w:hAnsi="Times New Roman" w:cs="Times New Roman"/>
                <w:b w:val="0"/>
                <w:bCs w:val="0"/>
                <w:color w:val="auto"/>
                <w:sz w:val="24"/>
                <w:szCs w:val="24"/>
                <w:highlight w:val="none"/>
                <w:lang w:val="en-US" w:eastAsia="zh-CN"/>
              </w:rPr>
              <w:t>生物质锅炉</w:t>
            </w:r>
            <w:r>
              <w:rPr>
                <w:rFonts w:hint="default" w:ascii="Times New Roman" w:hAnsi="Times New Roman" w:cs="Times New Roman" w:eastAsiaTheme="minorEastAsia"/>
                <w:b w:val="0"/>
                <w:bCs w:val="0"/>
                <w:color w:val="auto"/>
                <w:sz w:val="24"/>
                <w:szCs w:val="24"/>
                <w:highlight w:val="none"/>
                <w:lang w:val="en-US" w:eastAsia="zh-CN"/>
              </w:rPr>
              <w:t>废气通过</w:t>
            </w:r>
            <w:r>
              <w:rPr>
                <w:rFonts w:hint="eastAsia" w:ascii="Times New Roman" w:hAnsi="Times New Roman" w:cs="Times New Roman"/>
                <w:color w:val="auto"/>
                <w:spacing w:val="-1"/>
                <w:sz w:val="24"/>
                <w:szCs w:val="24"/>
                <w:highlight w:val="none"/>
                <w:lang w:val="en-US" w:eastAsia="zh-CN"/>
              </w:rPr>
              <w:t>旋风+</w:t>
            </w:r>
            <w:r>
              <w:rPr>
                <w:rFonts w:hint="default" w:ascii="Times New Roman" w:hAnsi="Times New Roman" w:cs="Times New Roman" w:eastAsiaTheme="minorEastAsia"/>
                <w:b w:val="0"/>
                <w:bCs w:val="0"/>
                <w:color w:val="auto"/>
                <w:sz w:val="24"/>
                <w:szCs w:val="24"/>
                <w:highlight w:val="none"/>
                <w:lang w:val="en-US" w:eastAsia="zh-CN"/>
              </w:rPr>
              <w:t>布袋除尘器除尘效率99.2%</w:t>
            </w:r>
            <w:r>
              <w:rPr>
                <w:rFonts w:hint="eastAsia" w:ascii="Times New Roman" w:hAnsi="Times New Roman" w:cs="Times New Roman" w:eastAsiaTheme="minorEastAsia"/>
                <w:b w:val="0"/>
                <w:bCs w:val="0"/>
                <w:color w:val="auto"/>
                <w:sz w:val="24"/>
                <w:szCs w:val="24"/>
                <w:highlight w:val="none"/>
                <w:lang w:val="en-US" w:eastAsia="zh-CN"/>
              </w:rPr>
              <w:t>，</w:t>
            </w:r>
            <w:r>
              <w:rPr>
                <w:rFonts w:hint="default" w:ascii="Times New Roman" w:hAnsi="Times New Roman" w:cs="Times New Roman" w:eastAsiaTheme="minorEastAsia"/>
                <w:b w:val="0"/>
                <w:bCs w:val="0"/>
                <w:color w:val="auto"/>
                <w:sz w:val="24"/>
                <w:szCs w:val="24"/>
                <w:highlight w:val="none"/>
                <w:lang w:val="en-US" w:eastAsia="zh-CN"/>
              </w:rPr>
              <w:t>处理后通过30m高排气筒（DA001）排放，满足《</w:t>
            </w:r>
            <w:r>
              <w:rPr>
                <w:rFonts w:hint="default" w:ascii="Times New Roman" w:hAnsi="Times New Roman" w:cs="Times New Roman" w:eastAsiaTheme="minorEastAsia"/>
                <w:b w:val="0"/>
                <w:bCs w:val="0"/>
                <w:color w:val="auto"/>
                <w:sz w:val="24"/>
                <w:szCs w:val="24"/>
                <w:highlight w:val="none"/>
                <w:lang w:val="en-US" w:eastAsia="zh-CN"/>
              </w:rPr>
              <w:fldChar w:fldCharType="begin"/>
            </w:r>
            <w:r>
              <w:rPr>
                <w:rFonts w:hint="default" w:ascii="Times New Roman" w:hAnsi="Times New Roman" w:cs="Times New Roman" w:eastAsiaTheme="minorEastAsia"/>
                <w:b w:val="0"/>
                <w:bCs w:val="0"/>
                <w:color w:val="auto"/>
                <w:sz w:val="24"/>
                <w:szCs w:val="24"/>
                <w:highlight w:val="none"/>
                <w:lang w:val="en-US" w:eastAsia="zh-CN"/>
              </w:rPr>
              <w:instrText xml:space="preserve"> HYPERLINK "https://www.mee.gov.cn/ywgz/fgbz/bz/bzwb/dqhjbh/dqgdwrywrwpfbz/201405/W020140530580815383678.pdf" </w:instrText>
            </w:r>
            <w:r>
              <w:rPr>
                <w:rFonts w:hint="default" w:ascii="Times New Roman" w:hAnsi="Times New Roman" w:cs="Times New Roman" w:eastAsiaTheme="minorEastAsia"/>
                <w:b w:val="0"/>
                <w:bCs w:val="0"/>
                <w:color w:val="auto"/>
                <w:sz w:val="24"/>
                <w:szCs w:val="24"/>
                <w:highlight w:val="none"/>
                <w:lang w:val="en-US" w:eastAsia="zh-CN"/>
              </w:rPr>
              <w:fldChar w:fldCharType="separate"/>
            </w:r>
            <w:r>
              <w:rPr>
                <w:rFonts w:hint="default" w:ascii="Times New Roman" w:hAnsi="Times New Roman" w:cs="Times New Roman" w:eastAsiaTheme="minorEastAsia"/>
                <w:b w:val="0"/>
                <w:bCs w:val="0"/>
                <w:color w:val="auto"/>
                <w:sz w:val="24"/>
                <w:szCs w:val="24"/>
                <w:highlight w:val="none"/>
                <w:lang w:val="en-US" w:eastAsia="zh-CN"/>
              </w:rPr>
              <w:t>锅炉大气污染物排放标准》(GB13271-2014</w:t>
            </w:r>
            <w:r>
              <w:rPr>
                <w:rFonts w:hint="default" w:ascii="Times New Roman" w:hAnsi="Times New Roman" w:cs="Times New Roman" w:eastAsiaTheme="minorEastAsia"/>
                <w:b w:val="0"/>
                <w:bCs w:val="0"/>
                <w:color w:val="auto"/>
                <w:sz w:val="24"/>
                <w:szCs w:val="24"/>
                <w:highlight w:val="none"/>
                <w:lang w:val="en-US" w:eastAsia="zh-CN"/>
              </w:rPr>
              <w:fldChar w:fldCharType="end"/>
            </w:r>
            <w:r>
              <w:rPr>
                <w:rFonts w:hint="default" w:ascii="Times New Roman" w:hAnsi="Times New Roman" w:cs="Times New Roman" w:eastAsiaTheme="minorEastAsia"/>
                <w:b w:val="0"/>
                <w:bCs w:val="0"/>
                <w:color w:val="auto"/>
                <w:sz w:val="24"/>
                <w:szCs w:val="24"/>
                <w:highlight w:val="none"/>
                <w:lang w:val="en-US" w:eastAsia="zh-CN"/>
              </w:rPr>
              <w:t>）表2燃煤锅炉标准限值要求。</w:t>
            </w:r>
            <w:r>
              <w:rPr>
                <w:rFonts w:hint="default" w:ascii="Times New Roman" w:hAnsi="Times New Roman" w:cs="Times New Roman"/>
                <w:color w:val="auto"/>
                <w:sz w:val="24"/>
                <w:szCs w:val="24"/>
                <w:highlight w:val="none"/>
                <w:lang w:val="en-US" w:eastAsia="zh-CN"/>
              </w:rPr>
              <w:t>厂界无组织废气污染因子颗粒物排放浓度满足《大气污染物综合排放标准》（GB16297-1996）表2中无组织排放浓度限值要求。</w:t>
            </w:r>
            <w:r>
              <w:rPr>
                <w:rFonts w:hint="eastAsia" w:ascii="Times New Roman" w:hAnsi="Times New Roman" w:cs="Times New Roman"/>
                <w:color w:val="auto"/>
                <w:sz w:val="24"/>
                <w:szCs w:val="24"/>
                <w:highlight w:val="none"/>
                <w:lang w:val="en-US" w:eastAsia="zh-CN"/>
              </w:rPr>
              <w:t>项目无组织废气产生量较小，通过洒水降尘等措施可避免对院区外较近的居民产生环境问题的影响，且</w:t>
            </w:r>
            <w:r>
              <w:rPr>
                <w:rFonts w:hint="default" w:ascii="Times New Roman" w:hAnsi="Times New Roman" w:cs="Times New Roman"/>
                <w:color w:val="auto"/>
                <w:sz w:val="24"/>
                <w:szCs w:val="24"/>
                <w:highlight w:val="none"/>
                <w:lang w:val="en-US" w:eastAsia="zh-CN"/>
              </w:rPr>
              <w:t>本项目常年主导风向为西风，锅炉房建设于医院西南侧，位于侧风向。项目大气环境保护目标大多数位于医院西侧、南侧及北侧，下风向东侧无大气环境保护目标，且</w:t>
            </w:r>
            <w:r>
              <w:rPr>
                <w:rFonts w:hint="default" w:ascii="Times New Roman" w:hAnsi="Times New Roman" w:eastAsia="宋体" w:cs="Times New Roman"/>
                <w:color w:val="auto"/>
                <w:spacing w:val="0"/>
                <w:sz w:val="24"/>
                <w:szCs w:val="24"/>
                <w:highlight w:val="none"/>
              </w:rPr>
              <w:t>本项目各</w:t>
            </w:r>
            <w:r>
              <w:rPr>
                <w:rFonts w:hint="default" w:ascii="Times New Roman" w:hAnsi="Times New Roman" w:eastAsia="宋体" w:cs="Times New Roman"/>
                <w:color w:val="auto"/>
                <w:spacing w:val="0"/>
                <w:sz w:val="24"/>
                <w:szCs w:val="24"/>
                <w:highlight w:val="none"/>
                <w:lang w:val="en-US" w:eastAsia="zh-CN"/>
              </w:rPr>
              <w:t>污染物</w:t>
            </w:r>
            <w:r>
              <w:rPr>
                <w:rFonts w:hint="default" w:ascii="Times New Roman" w:hAnsi="Times New Roman" w:eastAsia="宋体" w:cs="Times New Roman"/>
                <w:color w:val="auto"/>
                <w:spacing w:val="0"/>
                <w:sz w:val="24"/>
                <w:szCs w:val="24"/>
                <w:highlight w:val="none"/>
              </w:rPr>
              <w:t>采取了有效的污染治理措施，有组织达标排放。预计项目建成后不会对</w:t>
            </w:r>
            <w:r>
              <w:rPr>
                <w:rFonts w:hint="default" w:ascii="Times New Roman" w:hAnsi="Times New Roman" w:cs="Times New Roman"/>
                <w:color w:val="auto"/>
                <w:spacing w:val="0"/>
                <w:sz w:val="24"/>
                <w:szCs w:val="24"/>
                <w:highlight w:val="none"/>
                <w:lang w:val="en-US" w:eastAsia="zh-CN"/>
              </w:rPr>
              <w:t>环境保护目标</w:t>
            </w:r>
            <w:r>
              <w:rPr>
                <w:rFonts w:hint="default" w:ascii="Times New Roman" w:hAnsi="Times New Roman" w:eastAsia="宋体" w:cs="Times New Roman"/>
                <w:color w:val="auto"/>
                <w:spacing w:val="0"/>
                <w:sz w:val="24"/>
                <w:szCs w:val="24"/>
                <w:highlight w:val="none"/>
              </w:rPr>
              <w:t>产生明显不利影响。综上，本项目大气环境影响可接受。</w:t>
            </w:r>
          </w:p>
          <w:p w14:paraId="7FEF89B9">
            <w:pPr>
              <w:ind w:left="0" w:leftChars="0" w:firstLine="0" w:firstLineChars="0"/>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2.</w:t>
            </w:r>
            <w:r>
              <w:rPr>
                <w:rFonts w:hint="default" w:ascii="Times New Roman" w:hAnsi="Times New Roman" w:eastAsia="宋体" w:cs="Times New Roman"/>
                <w:b/>
                <w:bCs w:val="0"/>
                <w:color w:val="auto"/>
                <w:spacing w:val="0"/>
                <w:sz w:val="24"/>
                <w:szCs w:val="24"/>
                <w:highlight w:val="none"/>
                <w:lang w:val="en-US" w:eastAsia="zh-CN"/>
              </w:rPr>
              <w:t>废水</w:t>
            </w:r>
          </w:p>
          <w:p w14:paraId="114BEC66">
            <w:pPr>
              <w:pStyle w:val="11"/>
              <w:spacing w:before="0" w:after="0" w:line="360" w:lineRule="auto"/>
              <w:ind w:left="0" w:right="0" w:firstLine="482" w:firstLineChars="200"/>
              <w:jc w:val="both"/>
              <w:rPr>
                <w:rFonts w:hint="default" w:ascii="Times New Roman" w:hAnsi="Times New Roman" w:eastAsia="宋体" w:cs="Times New Roman"/>
                <w:b/>
                <w:bCs/>
                <w:color w:val="auto"/>
                <w:spacing w:val="0"/>
                <w:sz w:val="24"/>
                <w:szCs w:val="24"/>
                <w:highlight w:val="none"/>
                <w:lang w:val="en-US" w:eastAsia="zh-CN"/>
              </w:rPr>
            </w:pPr>
            <w:r>
              <w:rPr>
                <w:rFonts w:hint="default" w:ascii="Times New Roman" w:hAnsi="Times New Roman" w:eastAsia="宋体" w:cs="Times New Roman"/>
                <w:b/>
                <w:bCs/>
                <w:color w:val="auto"/>
                <w:spacing w:val="0"/>
                <w:sz w:val="24"/>
                <w:szCs w:val="24"/>
                <w:highlight w:val="none"/>
                <w:lang w:val="en-US" w:eastAsia="zh-CN"/>
              </w:rPr>
              <w:t>2.1 废水达标分析</w:t>
            </w:r>
          </w:p>
          <w:p w14:paraId="26EC2E4C">
            <w:pPr>
              <w:pStyle w:val="11"/>
              <w:spacing w:before="0" w:after="0" w:line="360" w:lineRule="auto"/>
              <w:ind w:left="0" w:right="0" w:firstLine="482" w:firstLineChars="200"/>
              <w:jc w:val="both"/>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b/>
                <w:bCs/>
                <w:color w:val="auto"/>
                <w:spacing w:val="0"/>
                <w:sz w:val="24"/>
                <w:szCs w:val="24"/>
                <w:highlight w:val="none"/>
                <w:lang w:val="en-US" w:eastAsia="zh-CN"/>
              </w:rPr>
              <w:t>2.1.1</w:t>
            </w:r>
            <w:r>
              <w:rPr>
                <w:rFonts w:hint="default" w:ascii="Times New Roman" w:hAnsi="Times New Roman" w:eastAsia="宋体" w:cs="Times New Roman"/>
                <w:b/>
                <w:caps w:val="0"/>
                <w:color w:val="auto"/>
                <w:spacing w:val="0"/>
                <w:sz w:val="24"/>
                <w:highlight w:val="none"/>
                <w:lang w:val="en-US" w:eastAsia="zh-CN" w:bidi="ar"/>
              </w:rPr>
              <w:t>废水污染物产生情况</w:t>
            </w:r>
          </w:p>
          <w:p w14:paraId="08F41F55">
            <w:pPr>
              <w:pStyle w:val="11"/>
              <w:spacing w:before="0" w:after="0" w:line="360" w:lineRule="auto"/>
              <w:ind w:left="0" w:right="0" w:firstLine="480" w:firstLineChars="200"/>
              <w:jc w:val="both"/>
              <w:rPr>
                <w:rFonts w:hint="default" w:ascii="Times New Roman" w:hAnsi="Times New Roman" w:eastAsia="宋体" w:cs="Times New Roman"/>
                <w:bCs/>
                <w:color w:val="auto"/>
                <w:spacing w:val="0"/>
                <w:sz w:val="24"/>
                <w:szCs w:val="24"/>
                <w:highlight w:val="none"/>
                <w:lang w:val="en-US" w:eastAsia="zh-CN"/>
              </w:rPr>
            </w:pPr>
            <w:r>
              <w:rPr>
                <w:rFonts w:hint="default" w:ascii="Times New Roman" w:hAnsi="Times New Roman" w:eastAsia="宋体" w:cs="Times New Roman"/>
                <w:bCs/>
                <w:color w:val="auto"/>
                <w:spacing w:val="0"/>
                <w:sz w:val="24"/>
                <w:szCs w:val="24"/>
                <w:highlight w:val="none"/>
                <w:lang w:val="en-US" w:eastAsia="zh-CN"/>
              </w:rPr>
              <w:t>项目锅炉排污水污染物浓度较低。根据《排放源统计调查产排污核算方法和系数手册》（公告2021年第24号）中“4430工业锅炉（热力生产和供应行业）产排污系数表”的内容，</w:t>
            </w:r>
            <w:r>
              <w:rPr>
                <w:rFonts w:hint="default" w:ascii="Times New Roman" w:hAnsi="Times New Roman" w:cs="Times New Roman"/>
                <w:bCs/>
                <w:color w:val="auto"/>
                <w:spacing w:val="0"/>
                <w:sz w:val="24"/>
                <w:szCs w:val="24"/>
                <w:highlight w:val="none"/>
                <w:lang w:val="en-US" w:eastAsia="zh-CN"/>
              </w:rPr>
              <w:t>锅炉</w:t>
            </w:r>
            <w:r>
              <w:rPr>
                <w:rFonts w:hint="eastAsia" w:cs="Times New Roman"/>
                <w:bCs/>
                <w:color w:val="auto"/>
                <w:spacing w:val="0"/>
                <w:sz w:val="24"/>
                <w:szCs w:val="24"/>
                <w:highlight w:val="none"/>
                <w:lang w:val="en-US" w:eastAsia="zh-CN"/>
              </w:rPr>
              <w:t>污水</w:t>
            </w:r>
            <w:r>
              <w:rPr>
                <w:rFonts w:hint="default" w:ascii="Times New Roman" w:hAnsi="Times New Roman" w:eastAsia="宋体" w:cs="Times New Roman"/>
                <w:bCs/>
                <w:color w:val="auto"/>
                <w:spacing w:val="0"/>
                <w:sz w:val="24"/>
                <w:szCs w:val="24"/>
                <w:highlight w:val="none"/>
                <w:lang w:val="en-US" w:eastAsia="zh-CN"/>
              </w:rPr>
              <w:t>COD的产污系数为</w:t>
            </w:r>
            <w:r>
              <w:rPr>
                <w:rFonts w:hint="default" w:ascii="Times New Roman" w:hAnsi="Times New Roman" w:cs="Times New Roman"/>
                <w:color w:val="auto"/>
                <w:sz w:val="24"/>
                <w:szCs w:val="24"/>
                <w:highlight w:val="none"/>
                <w:lang w:val="en-US" w:eastAsia="zh-CN"/>
              </w:rPr>
              <w:t>20</w:t>
            </w:r>
            <w:r>
              <w:rPr>
                <w:rFonts w:hint="default" w:ascii="Times New Roman" w:hAnsi="Times New Roman" w:eastAsia="宋体" w:cs="Times New Roman"/>
                <w:bCs/>
                <w:color w:val="auto"/>
                <w:spacing w:val="0"/>
                <w:sz w:val="24"/>
                <w:szCs w:val="24"/>
                <w:highlight w:val="none"/>
                <w:lang w:val="en-US" w:eastAsia="zh-CN"/>
              </w:rPr>
              <w:t>克/</w:t>
            </w:r>
            <w:r>
              <w:rPr>
                <w:rFonts w:hint="default" w:ascii="Times New Roman" w:hAnsi="Times New Roman" w:cs="Times New Roman"/>
                <w:bCs/>
                <w:color w:val="auto"/>
                <w:spacing w:val="0"/>
                <w:sz w:val="24"/>
                <w:szCs w:val="24"/>
                <w:highlight w:val="none"/>
                <w:lang w:val="en-US" w:eastAsia="zh-CN"/>
              </w:rPr>
              <w:t>吨－</w:t>
            </w:r>
            <w:r>
              <w:rPr>
                <w:rFonts w:hint="default" w:ascii="Times New Roman" w:hAnsi="Times New Roman" w:eastAsia="宋体" w:cs="Times New Roman"/>
                <w:bCs/>
                <w:color w:val="auto"/>
                <w:spacing w:val="0"/>
                <w:sz w:val="24"/>
                <w:szCs w:val="24"/>
                <w:highlight w:val="none"/>
                <w:lang w:val="en-US" w:eastAsia="zh-CN"/>
              </w:rPr>
              <w:t>原料，本项目锅炉</w:t>
            </w:r>
            <w:r>
              <w:rPr>
                <w:rFonts w:hint="default" w:ascii="Times New Roman" w:hAnsi="Times New Roman" w:cs="Times New Roman"/>
                <w:bCs/>
                <w:color w:val="auto"/>
                <w:spacing w:val="0"/>
                <w:sz w:val="24"/>
                <w:szCs w:val="24"/>
                <w:highlight w:val="none"/>
                <w:lang w:val="en-US" w:eastAsia="zh-CN"/>
              </w:rPr>
              <w:t>生物质年消耗量为</w:t>
            </w:r>
            <w:r>
              <w:rPr>
                <w:rFonts w:hint="eastAsia" w:cs="Times New Roman"/>
                <w:bCs/>
                <w:color w:val="auto"/>
                <w:spacing w:val="0"/>
                <w:sz w:val="24"/>
                <w:szCs w:val="24"/>
                <w:highlight w:val="none"/>
                <w:lang w:val="en-US" w:eastAsia="zh-CN"/>
              </w:rPr>
              <w:t>3020.16</w:t>
            </w:r>
            <w:r>
              <w:rPr>
                <w:rFonts w:hint="default" w:ascii="Times New Roman" w:hAnsi="Times New Roman" w:eastAsia="宋体" w:cs="Times New Roman"/>
                <w:bCs/>
                <w:color w:val="auto"/>
                <w:spacing w:val="0"/>
                <w:sz w:val="24"/>
                <w:szCs w:val="24"/>
                <w:highlight w:val="none"/>
                <w:lang w:val="en-US" w:eastAsia="zh-CN"/>
              </w:rPr>
              <w:t>t/a，则COD排放量为</w:t>
            </w:r>
            <w:r>
              <w:rPr>
                <w:rFonts w:hint="eastAsia" w:cs="Times New Roman"/>
                <w:bCs/>
                <w:color w:val="auto"/>
                <w:spacing w:val="0"/>
                <w:sz w:val="24"/>
                <w:szCs w:val="24"/>
                <w:highlight w:val="none"/>
                <w:lang w:val="en-US" w:eastAsia="zh-CN"/>
              </w:rPr>
              <w:t>0.060</w:t>
            </w:r>
            <w:r>
              <w:rPr>
                <w:rFonts w:hint="default" w:ascii="Times New Roman" w:hAnsi="Times New Roman" w:eastAsia="宋体" w:cs="Times New Roman"/>
                <w:bCs/>
                <w:color w:val="auto"/>
                <w:spacing w:val="0"/>
                <w:sz w:val="24"/>
                <w:szCs w:val="24"/>
                <w:highlight w:val="none"/>
                <w:lang w:val="en-US" w:eastAsia="zh-CN"/>
              </w:rPr>
              <w:t>t/a。本项目锅炉</w:t>
            </w:r>
            <w:r>
              <w:rPr>
                <w:rFonts w:hint="eastAsia" w:cs="Times New Roman"/>
                <w:bCs/>
                <w:color w:val="auto"/>
                <w:spacing w:val="0"/>
                <w:sz w:val="24"/>
                <w:szCs w:val="24"/>
                <w:highlight w:val="none"/>
                <w:lang w:val="en-US" w:eastAsia="zh-CN"/>
              </w:rPr>
              <w:t>污水</w:t>
            </w:r>
            <w:r>
              <w:rPr>
                <w:rFonts w:hint="default" w:ascii="Times New Roman" w:hAnsi="Times New Roman" w:eastAsia="宋体" w:cs="Times New Roman"/>
                <w:bCs/>
                <w:color w:val="auto"/>
                <w:spacing w:val="0"/>
                <w:sz w:val="24"/>
                <w:szCs w:val="24"/>
                <w:highlight w:val="none"/>
                <w:lang w:val="en-US" w:eastAsia="zh-CN"/>
              </w:rPr>
              <w:t>总排放量为</w:t>
            </w:r>
            <w:r>
              <w:rPr>
                <w:rFonts w:hint="eastAsia" w:cs="Times New Roman"/>
                <w:bCs/>
                <w:color w:val="auto"/>
                <w:spacing w:val="0"/>
                <w:sz w:val="24"/>
                <w:szCs w:val="24"/>
                <w:highlight w:val="none"/>
                <w:lang w:val="en-US" w:eastAsia="zh-CN"/>
              </w:rPr>
              <w:t>7488.54</w:t>
            </w:r>
            <w:r>
              <w:rPr>
                <w:rFonts w:hint="default" w:ascii="Times New Roman" w:hAnsi="Times New Roman" w:eastAsia="宋体" w:cs="Times New Roman"/>
                <w:bCs/>
                <w:color w:val="auto"/>
                <w:spacing w:val="0"/>
                <w:sz w:val="24"/>
                <w:szCs w:val="24"/>
                <w:highlight w:val="none"/>
                <w:lang w:val="en-US" w:eastAsia="zh-CN"/>
              </w:rPr>
              <w:t>t/a，则COD排放浓度为</w:t>
            </w:r>
            <w:r>
              <w:rPr>
                <w:rFonts w:hint="eastAsia" w:cs="Times New Roman"/>
                <w:bCs/>
                <w:color w:val="auto"/>
                <w:spacing w:val="0"/>
                <w:sz w:val="24"/>
                <w:szCs w:val="24"/>
                <w:highlight w:val="none"/>
                <w:lang w:val="en-US" w:eastAsia="zh-CN"/>
              </w:rPr>
              <w:t>8.07</w:t>
            </w:r>
            <w:r>
              <w:rPr>
                <w:rFonts w:hint="default" w:ascii="Times New Roman" w:hAnsi="Times New Roman" w:eastAsia="宋体" w:cs="Times New Roman"/>
                <w:bCs/>
                <w:color w:val="auto"/>
                <w:spacing w:val="0"/>
                <w:sz w:val="24"/>
                <w:szCs w:val="24"/>
                <w:highlight w:val="none"/>
                <w:lang w:val="en-US" w:eastAsia="zh-CN"/>
              </w:rPr>
              <w:t>mg/</w:t>
            </w:r>
            <w:r>
              <w:rPr>
                <w:rFonts w:hint="default" w:ascii="Times New Roman" w:hAnsi="Times New Roman" w:cs="Times New Roman"/>
                <w:bCs/>
                <w:color w:val="auto"/>
                <w:spacing w:val="0"/>
                <w:sz w:val="24"/>
                <w:szCs w:val="24"/>
                <w:highlight w:val="none"/>
                <w:lang w:val="en-US" w:eastAsia="zh-CN"/>
              </w:rPr>
              <w:t>L</w:t>
            </w:r>
            <w:r>
              <w:rPr>
                <w:rFonts w:hint="default" w:ascii="Times New Roman" w:hAnsi="Times New Roman" w:eastAsia="宋体" w:cs="Times New Roman"/>
                <w:bCs/>
                <w:color w:val="auto"/>
                <w:spacing w:val="0"/>
                <w:sz w:val="24"/>
                <w:szCs w:val="24"/>
                <w:highlight w:val="none"/>
                <w:lang w:val="en-US" w:eastAsia="zh-CN"/>
              </w:rPr>
              <w:t>。锅炉</w:t>
            </w:r>
            <w:r>
              <w:rPr>
                <w:rFonts w:hint="eastAsia" w:cs="Times New Roman"/>
                <w:bCs/>
                <w:color w:val="auto"/>
                <w:spacing w:val="0"/>
                <w:sz w:val="24"/>
                <w:szCs w:val="24"/>
                <w:highlight w:val="none"/>
                <w:lang w:val="en-US" w:eastAsia="zh-CN"/>
              </w:rPr>
              <w:t>污</w:t>
            </w:r>
            <w:r>
              <w:rPr>
                <w:rFonts w:hint="default" w:ascii="Times New Roman" w:hAnsi="Times New Roman" w:eastAsia="宋体" w:cs="Times New Roman"/>
                <w:bCs/>
                <w:color w:val="auto"/>
                <w:spacing w:val="0"/>
                <w:sz w:val="24"/>
                <w:szCs w:val="24"/>
                <w:highlight w:val="none"/>
                <w:lang w:val="en-US" w:eastAsia="zh-CN"/>
              </w:rPr>
              <w:t>水其他污染物参考《环境影响评价工程师职业资格登记培训系列教材—社会区域类环境影响评价》（中国环境科学出版社）中数据，溶解性总固体（TDS）：1200mg/L。</w:t>
            </w:r>
            <w:r>
              <w:rPr>
                <w:rFonts w:hint="default" w:ascii="Times New Roman" w:hAnsi="Times New Roman" w:cs="Times New Roman"/>
                <w:bCs/>
                <w:color w:val="auto"/>
                <w:spacing w:val="0"/>
                <w:sz w:val="24"/>
                <w:szCs w:val="24"/>
                <w:highlight w:val="none"/>
                <w:vertAlign w:val="baseline"/>
                <w:lang w:val="en-US" w:eastAsia="zh-CN"/>
              </w:rPr>
              <w:t>本项目锅炉</w:t>
            </w:r>
            <w:r>
              <w:rPr>
                <w:rFonts w:hint="eastAsia" w:cs="Times New Roman"/>
                <w:bCs/>
                <w:color w:val="auto"/>
                <w:spacing w:val="0"/>
                <w:sz w:val="24"/>
                <w:szCs w:val="24"/>
                <w:highlight w:val="none"/>
                <w:vertAlign w:val="baseline"/>
                <w:lang w:val="en-US" w:eastAsia="zh-CN"/>
              </w:rPr>
              <w:t>污水</w:t>
            </w:r>
            <w:r>
              <w:rPr>
                <w:rFonts w:hint="default" w:ascii="Times New Roman" w:hAnsi="Times New Roman" w:cs="Times New Roman"/>
                <w:bCs/>
                <w:color w:val="auto"/>
                <w:spacing w:val="0"/>
                <w:sz w:val="24"/>
                <w:szCs w:val="24"/>
                <w:highlight w:val="none"/>
                <w:vertAlign w:val="baseline"/>
                <w:lang w:val="en-US" w:eastAsia="zh-CN"/>
              </w:rPr>
              <w:t>TDS污染物产生量为</w:t>
            </w:r>
            <w:r>
              <w:rPr>
                <w:rFonts w:hint="eastAsia" w:cs="Times New Roman"/>
                <w:bCs/>
                <w:color w:val="auto"/>
                <w:spacing w:val="0"/>
                <w:sz w:val="24"/>
                <w:szCs w:val="24"/>
                <w:highlight w:val="none"/>
                <w:vertAlign w:val="baseline"/>
                <w:lang w:val="en-US" w:eastAsia="zh-CN"/>
              </w:rPr>
              <w:t>8.99</w:t>
            </w:r>
            <w:r>
              <w:rPr>
                <w:rFonts w:hint="default" w:ascii="Times New Roman" w:hAnsi="Times New Roman" w:cs="Times New Roman"/>
                <w:bCs/>
                <w:color w:val="auto"/>
                <w:spacing w:val="0"/>
                <w:sz w:val="24"/>
                <w:szCs w:val="24"/>
                <w:highlight w:val="none"/>
                <w:vertAlign w:val="baseline"/>
                <w:lang w:val="en-US" w:eastAsia="zh-CN"/>
              </w:rPr>
              <w:t>t/a。</w:t>
            </w:r>
          </w:p>
          <w:p w14:paraId="546DC853">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aps w:val="0"/>
                <w:color w:val="auto"/>
                <w:spacing w:val="0"/>
                <w:sz w:val="24"/>
                <w:highlight w:val="none"/>
                <w:lang w:val="en-US" w:eastAsia="zh-CN" w:bidi="ar"/>
              </w:rPr>
            </w:pPr>
            <w:r>
              <w:rPr>
                <w:rFonts w:hint="default" w:ascii="Times New Roman" w:hAnsi="Times New Roman" w:eastAsia="宋体" w:cs="Times New Roman"/>
                <w:b/>
                <w:caps w:val="0"/>
                <w:color w:val="auto"/>
                <w:spacing w:val="0"/>
                <w:sz w:val="24"/>
                <w:highlight w:val="none"/>
                <w:lang w:val="en-US" w:eastAsia="zh-CN" w:bidi="ar"/>
              </w:rPr>
              <w:t>2.1.2废水污染源源强核算汇总</w:t>
            </w:r>
          </w:p>
          <w:p w14:paraId="598A27BC">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val="0"/>
                <w:color w:val="auto"/>
                <w:spacing w:val="0"/>
                <w:sz w:val="21"/>
                <w:szCs w:val="21"/>
                <w:highlight w:val="none"/>
                <w:lang w:val="en-US" w:eastAsia="zh-CN"/>
              </w:rPr>
            </w:pPr>
            <w:r>
              <w:rPr>
                <w:rFonts w:hint="default" w:ascii="Times New Roman" w:hAnsi="Times New Roman" w:eastAsia="宋体" w:cs="Times New Roman"/>
                <w:b/>
                <w:bCs w:val="0"/>
                <w:color w:val="auto"/>
                <w:spacing w:val="0"/>
                <w:sz w:val="21"/>
                <w:szCs w:val="21"/>
                <w:highlight w:val="none"/>
                <w:lang w:val="en-US" w:eastAsia="zh-CN"/>
              </w:rPr>
              <w:t>表4-</w:t>
            </w:r>
            <w:r>
              <w:rPr>
                <w:rFonts w:hint="default" w:ascii="Times New Roman" w:hAnsi="Times New Roman" w:cs="Times New Roman"/>
                <w:b/>
                <w:bCs w:val="0"/>
                <w:color w:val="auto"/>
                <w:spacing w:val="0"/>
                <w:sz w:val="21"/>
                <w:szCs w:val="21"/>
                <w:highlight w:val="none"/>
                <w:lang w:val="en-US" w:eastAsia="zh-CN"/>
              </w:rPr>
              <w:t>8</w:t>
            </w:r>
            <w:r>
              <w:rPr>
                <w:rFonts w:hint="default" w:ascii="Times New Roman" w:hAnsi="Times New Roman" w:eastAsia="宋体" w:cs="Times New Roman"/>
                <w:b/>
                <w:bCs w:val="0"/>
                <w:color w:val="auto"/>
                <w:spacing w:val="0"/>
                <w:sz w:val="21"/>
                <w:szCs w:val="21"/>
                <w:highlight w:val="none"/>
                <w:lang w:val="en-US" w:eastAsia="zh-CN"/>
              </w:rPr>
              <w:t xml:space="preserve"> 本项目废水产生及排放情况</w:t>
            </w:r>
          </w:p>
          <w:tbl>
            <w:tblPr>
              <w:tblStyle w:val="3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325"/>
              <w:gridCol w:w="325"/>
              <w:gridCol w:w="325"/>
              <w:gridCol w:w="558"/>
              <w:gridCol w:w="797"/>
              <w:gridCol w:w="593"/>
              <w:gridCol w:w="655"/>
              <w:gridCol w:w="533"/>
              <w:gridCol w:w="325"/>
              <w:gridCol w:w="535"/>
              <w:gridCol w:w="326"/>
              <w:gridCol w:w="797"/>
              <w:gridCol w:w="733"/>
              <w:gridCol w:w="1132"/>
            </w:tblGrid>
            <w:tr w14:paraId="6D5D2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04" w:type="pct"/>
                  <w:vMerge w:val="restart"/>
                  <w:tcBorders>
                    <w:top w:val="single" w:color="auto" w:sz="12" w:space="0"/>
                    <w:left w:val="nil"/>
                  </w:tcBorders>
                  <w:noWrap w:val="0"/>
                  <w:vAlign w:val="center"/>
                </w:tcPr>
                <w:p w14:paraId="0D36A74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val="0"/>
                      <w:caps w:val="0"/>
                      <w:color w:val="auto"/>
                      <w:spacing w:val="0"/>
                      <w:kern w:val="2"/>
                      <w:sz w:val="21"/>
                      <w:szCs w:val="21"/>
                      <w:highlight w:val="none"/>
                      <w:lang w:val="en-US" w:eastAsia="zh-CN" w:bidi="ar-SA"/>
                    </w:rPr>
                  </w:pPr>
                  <w:r>
                    <w:rPr>
                      <w:rFonts w:hint="default" w:ascii="Times New Roman" w:hAnsi="Times New Roman" w:eastAsia="宋体" w:cs="Times New Roman"/>
                      <w:b/>
                      <w:bCs w:val="0"/>
                      <w:caps w:val="0"/>
                      <w:color w:val="auto"/>
                      <w:spacing w:val="0"/>
                      <w:sz w:val="21"/>
                      <w:szCs w:val="21"/>
                      <w:highlight w:val="none"/>
                    </w:rPr>
                    <w:t>编号</w:t>
                  </w:r>
                </w:p>
              </w:tc>
              <w:tc>
                <w:tcPr>
                  <w:tcW w:w="204" w:type="pct"/>
                  <w:vMerge w:val="restart"/>
                  <w:tcBorders>
                    <w:top w:val="single" w:color="auto" w:sz="12" w:space="0"/>
                  </w:tcBorders>
                  <w:noWrap w:val="0"/>
                  <w:vAlign w:val="center"/>
                </w:tcPr>
                <w:p w14:paraId="1A4B60C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val="0"/>
                      <w:caps w:val="0"/>
                      <w:color w:val="auto"/>
                      <w:spacing w:val="0"/>
                      <w:kern w:val="2"/>
                      <w:sz w:val="21"/>
                      <w:szCs w:val="21"/>
                      <w:highlight w:val="none"/>
                      <w:lang w:val="en-US" w:eastAsia="zh-CN" w:bidi="ar-SA"/>
                    </w:rPr>
                  </w:pPr>
                  <w:r>
                    <w:rPr>
                      <w:rFonts w:hint="default" w:ascii="Times New Roman" w:hAnsi="Times New Roman" w:eastAsia="宋体" w:cs="Times New Roman"/>
                      <w:b/>
                      <w:bCs w:val="0"/>
                      <w:caps w:val="0"/>
                      <w:color w:val="auto"/>
                      <w:spacing w:val="0"/>
                      <w:sz w:val="21"/>
                      <w:szCs w:val="21"/>
                      <w:highlight w:val="none"/>
                    </w:rPr>
                    <w:t>产污环节</w:t>
                  </w:r>
                </w:p>
              </w:tc>
              <w:tc>
                <w:tcPr>
                  <w:tcW w:w="204" w:type="pct"/>
                  <w:vMerge w:val="restart"/>
                  <w:tcBorders>
                    <w:top w:val="single" w:color="auto" w:sz="12" w:space="0"/>
                  </w:tcBorders>
                  <w:noWrap w:val="0"/>
                  <w:vAlign w:val="center"/>
                </w:tcPr>
                <w:p w14:paraId="46F9823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val="0"/>
                      <w:caps w:val="0"/>
                      <w:color w:val="auto"/>
                      <w:spacing w:val="0"/>
                      <w:kern w:val="2"/>
                      <w:sz w:val="21"/>
                      <w:szCs w:val="21"/>
                      <w:highlight w:val="none"/>
                      <w:lang w:val="en-US" w:eastAsia="zh-CN" w:bidi="ar-SA"/>
                    </w:rPr>
                  </w:pPr>
                  <w:r>
                    <w:rPr>
                      <w:rFonts w:hint="default" w:ascii="Times New Roman" w:hAnsi="Times New Roman" w:eastAsia="宋体" w:cs="Times New Roman"/>
                      <w:b/>
                      <w:bCs w:val="0"/>
                      <w:caps w:val="0"/>
                      <w:color w:val="auto"/>
                      <w:spacing w:val="0"/>
                      <w:sz w:val="21"/>
                      <w:szCs w:val="21"/>
                      <w:highlight w:val="none"/>
                    </w:rPr>
                    <w:t>废水类别</w:t>
                  </w:r>
                </w:p>
              </w:tc>
              <w:tc>
                <w:tcPr>
                  <w:tcW w:w="350" w:type="pct"/>
                  <w:vMerge w:val="restart"/>
                  <w:tcBorders>
                    <w:top w:val="single" w:color="auto" w:sz="12" w:space="0"/>
                  </w:tcBorders>
                  <w:noWrap w:val="0"/>
                  <w:vAlign w:val="center"/>
                </w:tcPr>
                <w:p w14:paraId="096099A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val="0"/>
                      <w:caps w:val="0"/>
                      <w:color w:val="auto"/>
                      <w:spacing w:val="0"/>
                      <w:kern w:val="2"/>
                      <w:sz w:val="21"/>
                      <w:szCs w:val="21"/>
                      <w:highlight w:val="none"/>
                      <w:lang w:val="en-US" w:eastAsia="zh-CN" w:bidi="ar-SA"/>
                    </w:rPr>
                  </w:pPr>
                  <w:r>
                    <w:rPr>
                      <w:rFonts w:hint="default" w:ascii="Times New Roman" w:hAnsi="Times New Roman" w:eastAsia="宋体" w:cs="Times New Roman"/>
                      <w:b/>
                      <w:bCs w:val="0"/>
                      <w:caps w:val="0"/>
                      <w:color w:val="auto"/>
                      <w:spacing w:val="0"/>
                      <w:sz w:val="21"/>
                      <w:szCs w:val="21"/>
                      <w:highlight w:val="none"/>
                    </w:rPr>
                    <w:t>污染物种类</w:t>
                  </w:r>
                </w:p>
              </w:tc>
              <w:tc>
                <w:tcPr>
                  <w:tcW w:w="1284" w:type="pct"/>
                  <w:gridSpan w:val="3"/>
                  <w:tcBorders>
                    <w:top w:val="single" w:color="auto" w:sz="12" w:space="0"/>
                  </w:tcBorders>
                  <w:noWrap w:val="0"/>
                  <w:vAlign w:val="center"/>
                </w:tcPr>
                <w:p w14:paraId="13435B9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val="0"/>
                      <w:caps w:val="0"/>
                      <w:color w:val="auto"/>
                      <w:spacing w:val="0"/>
                      <w:kern w:val="2"/>
                      <w:sz w:val="21"/>
                      <w:szCs w:val="21"/>
                      <w:highlight w:val="none"/>
                      <w:lang w:val="en-US" w:eastAsia="zh-CN" w:bidi="ar-SA"/>
                    </w:rPr>
                  </w:pPr>
                  <w:r>
                    <w:rPr>
                      <w:rFonts w:hint="default" w:ascii="Times New Roman" w:hAnsi="Times New Roman" w:eastAsia="宋体" w:cs="Times New Roman"/>
                      <w:b/>
                      <w:bCs w:val="0"/>
                      <w:caps w:val="0"/>
                      <w:color w:val="auto"/>
                      <w:spacing w:val="0"/>
                      <w:sz w:val="21"/>
                      <w:szCs w:val="21"/>
                      <w:highlight w:val="none"/>
                    </w:rPr>
                    <w:t>产生情况</w:t>
                  </w:r>
                </w:p>
              </w:tc>
              <w:tc>
                <w:tcPr>
                  <w:tcW w:w="1079" w:type="pct"/>
                  <w:gridSpan w:val="4"/>
                  <w:tcBorders>
                    <w:top w:val="single" w:color="auto" w:sz="12" w:space="0"/>
                  </w:tcBorders>
                  <w:noWrap w:val="0"/>
                  <w:vAlign w:val="center"/>
                </w:tcPr>
                <w:p w14:paraId="127765E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val="0"/>
                      <w:caps w:val="0"/>
                      <w:color w:val="auto"/>
                      <w:spacing w:val="0"/>
                      <w:kern w:val="2"/>
                      <w:sz w:val="21"/>
                      <w:szCs w:val="21"/>
                      <w:highlight w:val="none"/>
                      <w:lang w:val="en-US" w:eastAsia="zh-CN" w:bidi="ar-SA"/>
                    </w:rPr>
                  </w:pPr>
                  <w:r>
                    <w:rPr>
                      <w:rFonts w:hint="default" w:ascii="Times New Roman" w:hAnsi="Times New Roman" w:eastAsia="宋体" w:cs="Times New Roman"/>
                      <w:b/>
                      <w:bCs w:val="0"/>
                      <w:caps w:val="0"/>
                      <w:color w:val="auto"/>
                      <w:spacing w:val="0"/>
                      <w:sz w:val="21"/>
                      <w:szCs w:val="21"/>
                      <w:highlight w:val="none"/>
                    </w:rPr>
                    <w:t>治理设施</w:t>
                  </w:r>
                </w:p>
              </w:tc>
              <w:tc>
                <w:tcPr>
                  <w:tcW w:w="1672" w:type="pct"/>
                  <w:gridSpan w:val="3"/>
                  <w:tcBorders>
                    <w:top w:val="single" w:color="auto" w:sz="12" w:space="0"/>
                  </w:tcBorders>
                  <w:shd w:val="clear" w:color="auto" w:fill="auto"/>
                  <w:noWrap w:val="0"/>
                  <w:vAlign w:val="center"/>
                </w:tcPr>
                <w:p w14:paraId="6F55F60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val="0"/>
                      <w:caps w:val="0"/>
                      <w:color w:val="auto"/>
                      <w:spacing w:val="0"/>
                      <w:kern w:val="2"/>
                      <w:sz w:val="21"/>
                      <w:szCs w:val="21"/>
                      <w:highlight w:val="none"/>
                      <w:lang w:val="en-US" w:eastAsia="zh-CN" w:bidi="ar-SA"/>
                    </w:rPr>
                  </w:pPr>
                  <w:r>
                    <w:rPr>
                      <w:rFonts w:hint="default" w:ascii="Times New Roman" w:hAnsi="Times New Roman" w:eastAsia="宋体" w:cs="Times New Roman"/>
                      <w:b/>
                      <w:bCs w:val="0"/>
                      <w:caps w:val="0"/>
                      <w:color w:val="auto"/>
                      <w:spacing w:val="0"/>
                      <w:sz w:val="21"/>
                      <w:szCs w:val="21"/>
                      <w:highlight w:val="none"/>
                    </w:rPr>
                    <w:t>排放情况</w:t>
                  </w:r>
                </w:p>
              </w:tc>
            </w:tr>
            <w:tr w14:paraId="249AB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04" w:type="pct"/>
                  <w:vMerge w:val="continue"/>
                  <w:tcBorders>
                    <w:left w:val="nil"/>
                  </w:tcBorders>
                  <w:noWrap w:val="0"/>
                  <w:vAlign w:val="center"/>
                </w:tcPr>
                <w:p w14:paraId="20A5876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val="0"/>
                      <w:caps w:val="0"/>
                      <w:color w:val="auto"/>
                      <w:spacing w:val="0"/>
                      <w:kern w:val="2"/>
                      <w:sz w:val="21"/>
                      <w:szCs w:val="21"/>
                      <w:highlight w:val="none"/>
                      <w:lang w:val="en-US" w:eastAsia="zh-CN" w:bidi="ar-SA"/>
                    </w:rPr>
                  </w:pPr>
                </w:p>
              </w:tc>
              <w:tc>
                <w:tcPr>
                  <w:tcW w:w="204" w:type="pct"/>
                  <w:vMerge w:val="continue"/>
                  <w:noWrap w:val="0"/>
                  <w:vAlign w:val="center"/>
                </w:tcPr>
                <w:p w14:paraId="15C041B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val="0"/>
                      <w:caps w:val="0"/>
                      <w:color w:val="auto"/>
                      <w:spacing w:val="0"/>
                      <w:kern w:val="2"/>
                      <w:sz w:val="21"/>
                      <w:szCs w:val="21"/>
                      <w:highlight w:val="none"/>
                      <w:lang w:val="en-US" w:eastAsia="zh-CN" w:bidi="ar-SA"/>
                    </w:rPr>
                  </w:pPr>
                </w:p>
              </w:tc>
              <w:tc>
                <w:tcPr>
                  <w:tcW w:w="204" w:type="pct"/>
                  <w:vMerge w:val="continue"/>
                  <w:noWrap w:val="0"/>
                  <w:vAlign w:val="center"/>
                </w:tcPr>
                <w:p w14:paraId="4E7727B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val="0"/>
                      <w:caps w:val="0"/>
                      <w:color w:val="auto"/>
                      <w:spacing w:val="0"/>
                      <w:kern w:val="2"/>
                      <w:sz w:val="21"/>
                      <w:szCs w:val="21"/>
                      <w:highlight w:val="none"/>
                      <w:lang w:val="en-US" w:eastAsia="zh-CN" w:bidi="ar-SA"/>
                    </w:rPr>
                  </w:pPr>
                </w:p>
              </w:tc>
              <w:tc>
                <w:tcPr>
                  <w:tcW w:w="350" w:type="pct"/>
                  <w:vMerge w:val="continue"/>
                  <w:noWrap w:val="0"/>
                  <w:vAlign w:val="center"/>
                </w:tcPr>
                <w:p w14:paraId="2C87610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val="0"/>
                      <w:caps w:val="0"/>
                      <w:color w:val="auto"/>
                      <w:spacing w:val="0"/>
                      <w:kern w:val="2"/>
                      <w:sz w:val="21"/>
                      <w:szCs w:val="21"/>
                      <w:highlight w:val="none"/>
                      <w:lang w:val="en-US" w:eastAsia="zh-CN" w:bidi="ar-SA"/>
                    </w:rPr>
                  </w:pPr>
                </w:p>
              </w:tc>
              <w:tc>
                <w:tcPr>
                  <w:tcW w:w="500" w:type="pct"/>
                  <w:noWrap w:val="0"/>
                  <w:vAlign w:val="center"/>
                </w:tcPr>
                <w:p w14:paraId="743E189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val="0"/>
                      <w:caps w:val="0"/>
                      <w:color w:val="auto"/>
                      <w:spacing w:val="0"/>
                      <w:kern w:val="2"/>
                      <w:sz w:val="21"/>
                      <w:szCs w:val="21"/>
                      <w:highlight w:val="none"/>
                      <w:lang w:val="en-US" w:eastAsia="zh-CN" w:bidi="ar-SA"/>
                    </w:rPr>
                  </w:pPr>
                  <w:r>
                    <w:rPr>
                      <w:rFonts w:hint="default" w:ascii="Times New Roman" w:hAnsi="Times New Roman" w:eastAsia="宋体" w:cs="Times New Roman"/>
                      <w:b/>
                      <w:bCs w:val="0"/>
                      <w:caps w:val="0"/>
                      <w:color w:val="auto"/>
                      <w:spacing w:val="0"/>
                      <w:sz w:val="21"/>
                      <w:szCs w:val="21"/>
                      <w:highlight w:val="none"/>
                    </w:rPr>
                    <w:t>废水产生量</w:t>
                  </w:r>
                  <w:r>
                    <w:rPr>
                      <w:rFonts w:hint="default" w:ascii="Times New Roman" w:hAnsi="Times New Roman" w:eastAsia="宋体" w:cs="Times New Roman"/>
                      <w:b/>
                      <w:bCs w:val="0"/>
                      <w:caps w:val="0"/>
                      <w:color w:val="auto"/>
                      <w:spacing w:val="0"/>
                      <w:sz w:val="21"/>
                      <w:szCs w:val="21"/>
                      <w:highlight w:val="none"/>
                      <w:lang w:eastAsia="zh-CN"/>
                    </w:rPr>
                    <w:t>m</w:t>
                  </w:r>
                  <w:r>
                    <w:rPr>
                      <w:rFonts w:hint="default" w:ascii="Times New Roman" w:hAnsi="Times New Roman" w:eastAsia="宋体" w:cs="Times New Roman"/>
                      <w:b/>
                      <w:bCs w:val="0"/>
                      <w:caps w:val="0"/>
                      <w:smallCaps w:val="0"/>
                      <w:strike w:val="0"/>
                      <w:dstrike w:val="0"/>
                      <w:vanish w:val="0"/>
                      <w:color w:val="auto"/>
                      <w:spacing w:val="0"/>
                      <w:sz w:val="21"/>
                      <w:szCs w:val="21"/>
                      <w:highlight w:val="none"/>
                      <w:vertAlign w:val="superscript"/>
                      <w:lang w:eastAsia="zh-CN"/>
                    </w:rPr>
                    <w:t>3</w:t>
                  </w:r>
                  <w:r>
                    <w:rPr>
                      <w:rFonts w:hint="default" w:ascii="Times New Roman" w:hAnsi="Times New Roman" w:eastAsia="宋体" w:cs="Times New Roman"/>
                      <w:b/>
                      <w:bCs w:val="0"/>
                      <w:caps w:val="0"/>
                      <w:color w:val="auto"/>
                      <w:spacing w:val="0"/>
                      <w:sz w:val="21"/>
                      <w:szCs w:val="21"/>
                      <w:highlight w:val="none"/>
                    </w:rPr>
                    <w:t>/a</w:t>
                  </w:r>
                </w:p>
              </w:tc>
              <w:tc>
                <w:tcPr>
                  <w:tcW w:w="372" w:type="pct"/>
                  <w:noWrap w:val="0"/>
                  <w:vAlign w:val="center"/>
                </w:tcPr>
                <w:p w14:paraId="31A227D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val="0"/>
                      <w:caps w:val="0"/>
                      <w:color w:val="auto"/>
                      <w:spacing w:val="0"/>
                      <w:kern w:val="2"/>
                      <w:sz w:val="21"/>
                      <w:szCs w:val="21"/>
                      <w:highlight w:val="none"/>
                      <w:lang w:val="en-US" w:eastAsia="zh-CN" w:bidi="ar-SA"/>
                    </w:rPr>
                  </w:pPr>
                  <w:r>
                    <w:rPr>
                      <w:rFonts w:hint="default" w:ascii="Times New Roman" w:hAnsi="Times New Roman" w:eastAsia="宋体" w:cs="Times New Roman"/>
                      <w:b/>
                      <w:bCs w:val="0"/>
                      <w:caps w:val="0"/>
                      <w:color w:val="auto"/>
                      <w:spacing w:val="0"/>
                      <w:sz w:val="21"/>
                      <w:szCs w:val="21"/>
                      <w:highlight w:val="none"/>
                    </w:rPr>
                    <w:t>污染物产生浓度mg/L</w:t>
                  </w:r>
                </w:p>
              </w:tc>
              <w:tc>
                <w:tcPr>
                  <w:tcW w:w="411" w:type="pct"/>
                  <w:noWrap w:val="0"/>
                  <w:vAlign w:val="center"/>
                </w:tcPr>
                <w:p w14:paraId="0B8D33E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val="0"/>
                      <w:caps w:val="0"/>
                      <w:color w:val="auto"/>
                      <w:spacing w:val="0"/>
                      <w:kern w:val="2"/>
                      <w:sz w:val="21"/>
                      <w:szCs w:val="21"/>
                      <w:highlight w:val="none"/>
                      <w:lang w:val="en-US" w:eastAsia="zh-CN" w:bidi="ar-SA"/>
                    </w:rPr>
                  </w:pPr>
                  <w:r>
                    <w:rPr>
                      <w:rFonts w:hint="default" w:ascii="Times New Roman" w:hAnsi="Times New Roman" w:eastAsia="宋体" w:cs="Times New Roman"/>
                      <w:b/>
                      <w:bCs w:val="0"/>
                      <w:caps w:val="0"/>
                      <w:color w:val="auto"/>
                      <w:spacing w:val="0"/>
                      <w:sz w:val="21"/>
                      <w:szCs w:val="21"/>
                      <w:highlight w:val="none"/>
                    </w:rPr>
                    <w:t>污染物产生量t/a</w:t>
                  </w:r>
                </w:p>
              </w:tc>
              <w:tc>
                <w:tcPr>
                  <w:tcW w:w="334" w:type="pct"/>
                  <w:noWrap w:val="0"/>
                  <w:vAlign w:val="center"/>
                </w:tcPr>
                <w:p w14:paraId="57D3075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val="0"/>
                      <w:caps w:val="0"/>
                      <w:color w:val="auto"/>
                      <w:spacing w:val="0"/>
                      <w:kern w:val="2"/>
                      <w:sz w:val="21"/>
                      <w:szCs w:val="21"/>
                      <w:highlight w:val="none"/>
                      <w:lang w:val="en-US" w:eastAsia="zh-CN" w:bidi="ar-SA"/>
                    </w:rPr>
                  </w:pPr>
                  <w:r>
                    <w:rPr>
                      <w:rFonts w:hint="default" w:ascii="Times New Roman" w:hAnsi="Times New Roman" w:eastAsia="宋体" w:cs="Times New Roman"/>
                      <w:b/>
                      <w:bCs w:val="0"/>
                      <w:caps w:val="0"/>
                      <w:color w:val="auto"/>
                      <w:spacing w:val="0"/>
                      <w:sz w:val="21"/>
                      <w:szCs w:val="21"/>
                      <w:highlight w:val="none"/>
                    </w:rPr>
                    <w:t>处理能力</w:t>
                  </w:r>
                  <w:r>
                    <w:rPr>
                      <w:rFonts w:hint="default" w:ascii="Times New Roman" w:hAnsi="Times New Roman" w:eastAsia="宋体" w:cs="Times New Roman"/>
                      <w:b/>
                      <w:bCs w:val="0"/>
                      <w:caps w:val="0"/>
                      <w:color w:val="auto"/>
                      <w:spacing w:val="0"/>
                      <w:sz w:val="21"/>
                      <w:szCs w:val="21"/>
                      <w:highlight w:val="none"/>
                      <w:lang w:eastAsia="zh-CN"/>
                    </w:rPr>
                    <w:t>m</w:t>
                  </w:r>
                  <w:r>
                    <w:rPr>
                      <w:rFonts w:hint="default" w:ascii="Times New Roman" w:hAnsi="Times New Roman" w:eastAsia="宋体" w:cs="Times New Roman"/>
                      <w:b/>
                      <w:bCs w:val="0"/>
                      <w:caps w:val="0"/>
                      <w:smallCaps w:val="0"/>
                      <w:strike w:val="0"/>
                      <w:dstrike w:val="0"/>
                      <w:vanish w:val="0"/>
                      <w:color w:val="auto"/>
                      <w:spacing w:val="0"/>
                      <w:sz w:val="21"/>
                      <w:szCs w:val="21"/>
                      <w:highlight w:val="none"/>
                      <w:vertAlign w:val="superscript"/>
                      <w:lang w:eastAsia="zh-CN"/>
                    </w:rPr>
                    <w:t>3</w:t>
                  </w:r>
                  <w:r>
                    <w:rPr>
                      <w:rFonts w:hint="default" w:ascii="Times New Roman" w:hAnsi="Times New Roman" w:eastAsia="宋体" w:cs="Times New Roman"/>
                      <w:b/>
                      <w:bCs w:val="0"/>
                      <w:caps w:val="0"/>
                      <w:color w:val="auto"/>
                      <w:spacing w:val="0"/>
                      <w:sz w:val="21"/>
                      <w:szCs w:val="21"/>
                      <w:highlight w:val="none"/>
                    </w:rPr>
                    <w:t>/d</w:t>
                  </w:r>
                </w:p>
              </w:tc>
              <w:tc>
                <w:tcPr>
                  <w:tcW w:w="204" w:type="pct"/>
                  <w:noWrap w:val="0"/>
                  <w:vAlign w:val="center"/>
                </w:tcPr>
                <w:p w14:paraId="5785849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val="0"/>
                      <w:caps w:val="0"/>
                      <w:color w:val="auto"/>
                      <w:spacing w:val="0"/>
                      <w:kern w:val="2"/>
                      <w:sz w:val="21"/>
                      <w:szCs w:val="21"/>
                      <w:highlight w:val="none"/>
                      <w:lang w:val="en-US" w:eastAsia="zh-CN" w:bidi="ar-SA"/>
                    </w:rPr>
                  </w:pPr>
                  <w:r>
                    <w:rPr>
                      <w:rFonts w:hint="default" w:ascii="Times New Roman" w:hAnsi="Times New Roman" w:eastAsia="宋体" w:cs="Times New Roman"/>
                      <w:b/>
                      <w:bCs w:val="0"/>
                      <w:caps w:val="0"/>
                      <w:color w:val="auto"/>
                      <w:spacing w:val="0"/>
                      <w:sz w:val="21"/>
                      <w:szCs w:val="21"/>
                      <w:highlight w:val="none"/>
                    </w:rPr>
                    <w:t>治理工艺</w:t>
                  </w:r>
                </w:p>
              </w:tc>
              <w:tc>
                <w:tcPr>
                  <w:tcW w:w="336" w:type="pct"/>
                  <w:noWrap w:val="0"/>
                  <w:vAlign w:val="center"/>
                </w:tcPr>
                <w:p w14:paraId="5B65737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val="0"/>
                      <w:caps w:val="0"/>
                      <w:color w:val="auto"/>
                      <w:spacing w:val="0"/>
                      <w:kern w:val="2"/>
                      <w:sz w:val="21"/>
                      <w:szCs w:val="21"/>
                      <w:highlight w:val="none"/>
                      <w:lang w:val="en-US" w:eastAsia="zh-CN" w:bidi="ar-SA"/>
                    </w:rPr>
                  </w:pPr>
                  <w:r>
                    <w:rPr>
                      <w:rFonts w:hint="default" w:ascii="Times New Roman" w:hAnsi="Times New Roman" w:eastAsia="宋体" w:cs="Times New Roman"/>
                      <w:b/>
                      <w:bCs w:val="0"/>
                      <w:caps w:val="0"/>
                      <w:color w:val="auto"/>
                      <w:spacing w:val="0"/>
                      <w:sz w:val="21"/>
                      <w:szCs w:val="21"/>
                      <w:highlight w:val="none"/>
                    </w:rPr>
                    <w:t>治理效率%</w:t>
                  </w:r>
                </w:p>
              </w:tc>
              <w:tc>
                <w:tcPr>
                  <w:tcW w:w="204" w:type="pct"/>
                  <w:noWrap w:val="0"/>
                  <w:vAlign w:val="center"/>
                </w:tcPr>
                <w:p w14:paraId="5AAA8F1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val="0"/>
                      <w:caps w:val="0"/>
                      <w:color w:val="auto"/>
                      <w:spacing w:val="0"/>
                      <w:kern w:val="2"/>
                      <w:sz w:val="21"/>
                      <w:szCs w:val="21"/>
                      <w:highlight w:val="none"/>
                      <w:lang w:val="en-US" w:eastAsia="zh-CN" w:bidi="ar-SA"/>
                    </w:rPr>
                  </w:pPr>
                  <w:r>
                    <w:rPr>
                      <w:rFonts w:hint="default" w:ascii="Times New Roman" w:hAnsi="Times New Roman" w:eastAsia="宋体" w:cs="Times New Roman"/>
                      <w:b/>
                      <w:bCs w:val="0"/>
                      <w:caps w:val="0"/>
                      <w:color w:val="auto"/>
                      <w:spacing w:val="0"/>
                      <w:sz w:val="21"/>
                      <w:szCs w:val="21"/>
                      <w:highlight w:val="none"/>
                    </w:rPr>
                    <w:t>是否为可行技术</w:t>
                  </w:r>
                </w:p>
              </w:tc>
              <w:tc>
                <w:tcPr>
                  <w:tcW w:w="500" w:type="pct"/>
                  <w:shd w:val="clear" w:color="auto" w:fill="auto"/>
                  <w:noWrap w:val="0"/>
                  <w:vAlign w:val="center"/>
                </w:tcPr>
                <w:p w14:paraId="45C0271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val="0"/>
                      <w:caps w:val="0"/>
                      <w:color w:val="auto"/>
                      <w:spacing w:val="0"/>
                      <w:kern w:val="2"/>
                      <w:sz w:val="21"/>
                      <w:szCs w:val="21"/>
                      <w:highlight w:val="none"/>
                      <w:lang w:val="en-US" w:eastAsia="zh-CN" w:bidi="ar-SA"/>
                    </w:rPr>
                  </w:pPr>
                  <w:r>
                    <w:rPr>
                      <w:rFonts w:hint="default" w:ascii="Times New Roman" w:hAnsi="Times New Roman" w:eastAsia="宋体" w:cs="Times New Roman"/>
                      <w:b/>
                      <w:bCs w:val="0"/>
                      <w:caps w:val="0"/>
                      <w:color w:val="auto"/>
                      <w:spacing w:val="0"/>
                      <w:sz w:val="21"/>
                      <w:szCs w:val="21"/>
                      <w:highlight w:val="none"/>
                    </w:rPr>
                    <w:t>废水排放量</w:t>
                  </w:r>
                  <w:r>
                    <w:rPr>
                      <w:rFonts w:hint="default" w:ascii="Times New Roman" w:hAnsi="Times New Roman" w:eastAsia="宋体" w:cs="Times New Roman"/>
                      <w:b/>
                      <w:bCs w:val="0"/>
                      <w:caps w:val="0"/>
                      <w:color w:val="auto"/>
                      <w:spacing w:val="0"/>
                      <w:sz w:val="21"/>
                      <w:szCs w:val="21"/>
                      <w:highlight w:val="none"/>
                      <w:lang w:eastAsia="zh-CN"/>
                    </w:rPr>
                    <w:t>m</w:t>
                  </w:r>
                  <w:r>
                    <w:rPr>
                      <w:rFonts w:hint="default" w:ascii="Times New Roman" w:hAnsi="Times New Roman" w:eastAsia="宋体" w:cs="Times New Roman"/>
                      <w:b/>
                      <w:bCs w:val="0"/>
                      <w:caps w:val="0"/>
                      <w:smallCaps w:val="0"/>
                      <w:strike w:val="0"/>
                      <w:dstrike w:val="0"/>
                      <w:vanish w:val="0"/>
                      <w:color w:val="auto"/>
                      <w:spacing w:val="0"/>
                      <w:sz w:val="21"/>
                      <w:szCs w:val="21"/>
                      <w:highlight w:val="none"/>
                      <w:vertAlign w:val="superscript"/>
                      <w:lang w:eastAsia="zh-CN"/>
                    </w:rPr>
                    <w:t>3</w:t>
                  </w:r>
                  <w:r>
                    <w:rPr>
                      <w:rFonts w:hint="default" w:ascii="Times New Roman" w:hAnsi="Times New Roman" w:eastAsia="宋体" w:cs="Times New Roman"/>
                      <w:b/>
                      <w:bCs w:val="0"/>
                      <w:caps w:val="0"/>
                      <w:color w:val="auto"/>
                      <w:spacing w:val="0"/>
                      <w:sz w:val="21"/>
                      <w:szCs w:val="21"/>
                      <w:highlight w:val="none"/>
                    </w:rPr>
                    <w:t>/a</w:t>
                  </w:r>
                </w:p>
              </w:tc>
              <w:tc>
                <w:tcPr>
                  <w:tcW w:w="461" w:type="pct"/>
                  <w:shd w:val="clear" w:color="auto" w:fill="auto"/>
                  <w:noWrap w:val="0"/>
                  <w:vAlign w:val="center"/>
                </w:tcPr>
                <w:p w14:paraId="57FB7E3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val="0"/>
                      <w:caps w:val="0"/>
                      <w:color w:val="auto"/>
                      <w:spacing w:val="0"/>
                      <w:kern w:val="2"/>
                      <w:sz w:val="21"/>
                      <w:szCs w:val="21"/>
                      <w:highlight w:val="none"/>
                      <w:lang w:val="en-US" w:eastAsia="zh-CN" w:bidi="ar-SA"/>
                    </w:rPr>
                  </w:pPr>
                  <w:r>
                    <w:rPr>
                      <w:rFonts w:hint="default" w:ascii="Times New Roman" w:hAnsi="Times New Roman" w:eastAsia="宋体" w:cs="Times New Roman"/>
                      <w:b/>
                      <w:bCs w:val="0"/>
                      <w:caps w:val="0"/>
                      <w:color w:val="auto"/>
                      <w:spacing w:val="0"/>
                      <w:sz w:val="21"/>
                      <w:szCs w:val="21"/>
                      <w:highlight w:val="none"/>
                    </w:rPr>
                    <w:t>污染物排放浓度mg/L</w:t>
                  </w:r>
                </w:p>
              </w:tc>
              <w:tc>
                <w:tcPr>
                  <w:tcW w:w="711" w:type="pct"/>
                  <w:shd w:val="clear" w:color="auto" w:fill="auto"/>
                  <w:noWrap w:val="0"/>
                  <w:vAlign w:val="center"/>
                </w:tcPr>
                <w:p w14:paraId="48DFD27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val="0"/>
                      <w:caps w:val="0"/>
                      <w:color w:val="auto"/>
                      <w:spacing w:val="0"/>
                      <w:kern w:val="2"/>
                      <w:sz w:val="21"/>
                      <w:szCs w:val="21"/>
                      <w:highlight w:val="none"/>
                      <w:lang w:val="en-US" w:eastAsia="zh-CN" w:bidi="ar-SA"/>
                    </w:rPr>
                  </w:pPr>
                  <w:r>
                    <w:rPr>
                      <w:rFonts w:hint="default" w:ascii="Times New Roman" w:hAnsi="Times New Roman" w:eastAsia="宋体" w:cs="Times New Roman"/>
                      <w:b/>
                      <w:bCs w:val="0"/>
                      <w:caps w:val="0"/>
                      <w:color w:val="auto"/>
                      <w:spacing w:val="0"/>
                      <w:sz w:val="21"/>
                      <w:szCs w:val="21"/>
                      <w:highlight w:val="none"/>
                    </w:rPr>
                    <w:t>污染物排放量t/a</w:t>
                  </w:r>
                </w:p>
              </w:tc>
            </w:tr>
            <w:tr w14:paraId="64ADD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90" w:hRule="atLeast"/>
                <w:jc w:val="center"/>
              </w:trPr>
              <w:tc>
                <w:tcPr>
                  <w:tcW w:w="204" w:type="pct"/>
                  <w:vMerge w:val="restart"/>
                  <w:tcBorders>
                    <w:left w:val="nil"/>
                  </w:tcBorders>
                  <w:noWrap w:val="0"/>
                  <w:vAlign w:val="center"/>
                </w:tcPr>
                <w:p w14:paraId="3E6CDDF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aps w:val="0"/>
                      <w:color w:val="auto"/>
                      <w:spacing w:val="0"/>
                      <w:sz w:val="21"/>
                      <w:szCs w:val="21"/>
                      <w:highlight w:val="none"/>
                      <w:lang w:val="en-US" w:eastAsia="zh-CN"/>
                    </w:rPr>
                  </w:pPr>
                  <w:r>
                    <w:rPr>
                      <w:rFonts w:hint="default" w:ascii="Times New Roman" w:hAnsi="Times New Roman" w:cs="Times New Roman"/>
                      <w:bCs/>
                      <w:caps w:val="0"/>
                      <w:color w:val="auto"/>
                      <w:spacing w:val="0"/>
                      <w:sz w:val="21"/>
                      <w:szCs w:val="21"/>
                      <w:highlight w:val="none"/>
                      <w:lang w:val="en-US" w:eastAsia="zh-CN"/>
                    </w:rPr>
                    <w:t>01</w:t>
                  </w:r>
                </w:p>
              </w:tc>
              <w:tc>
                <w:tcPr>
                  <w:tcW w:w="204" w:type="pct"/>
                  <w:vMerge w:val="restart"/>
                  <w:noWrap w:val="0"/>
                  <w:vAlign w:val="center"/>
                </w:tcPr>
                <w:p w14:paraId="11968E0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aps w:val="0"/>
                      <w:color w:val="auto"/>
                      <w:spacing w:val="0"/>
                      <w:sz w:val="21"/>
                      <w:szCs w:val="21"/>
                      <w:highlight w:val="none"/>
                      <w:lang w:val="en-US" w:eastAsia="zh-CN"/>
                    </w:rPr>
                  </w:pPr>
                  <w:r>
                    <w:rPr>
                      <w:rFonts w:hint="default" w:ascii="Times New Roman" w:hAnsi="Times New Roman" w:eastAsia="宋体" w:cs="Times New Roman"/>
                      <w:bCs/>
                      <w:caps w:val="0"/>
                      <w:color w:val="auto"/>
                      <w:spacing w:val="0"/>
                      <w:sz w:val="21"/>
                      <w:szCs w:val="21"/>
                      <w:highlight w:val="none"/>
                      <w:lang w:val="en-US" w:eastAsia="zh-CN"/>
                    </w:rPr>
                    <w:t>锅炉</w:t>
                  </w:r>
                  <w:r>
                    <w:rPr>
                      <w:rFonts w:hint="eastAsia" w:ascii="Times New Roman" w:hAnsi="Times New Roman" w:cs="Times New Roman"/>
                      <w:bCs/>
                      <w:caps w:val="0"/>
                      <w:color w:val="auto"/>
                      <w:spacing w:val="0"/>
                      <w:sz w:val="21"/>
                      <w:szCs w:val="21"/>
                      <w:highlight w:val="none"/>
                      <w:lang w:val="en-US" w:eastAsia="zh-CN"/>
                    </w:rPr>
                    <w:t>污</w:t>
                  </w:r>
                  <w:r>
                    <w:rPr>
                      <w:rFonts w:hint="default" w:ascii="Times New Roman" w:hAnsi="Times New Roman" w:eastAsia="宋体" w:cs="Times New Roman"/>
                      <w:bCs/>
                      <w:caps w:val="0"/>
                      <w:color w:val="auto"/>
                      <w:spacing w:val="0"/>
                      <w:sz w:val="21"/>
                      <w:szCs w:val="21"/>
                      <w:highlight w:val="none"/>
                      <w:lang w:val="en-US" w:eastAsia="zh-CN"/>
                    </w:rPr>
                    <w:t>水</w:t>
                  </w:r>
                  <w:r>
                    <w:rPr>
                      <w:rFonts w:hint="default" w:ascii="Times New Roman" w:hAnsi="Times New Roman" w:cs="Times New Roman"/>
                      <w:bCs/>
                      <w:caps w:val="0"/>
                      <w:color w:val="auto"/>
                      <w:spacing w:val="0"/>
                      <w:sz w:val="21"/>
                      <w:szCs w:val="21"/>
                      <w:highlight w:val="none"/>
                      <w:lang w:val="en-US" w:eastAsia="zh-CN"/>
                    </w:rPr>
                    <w:t xml:space="preserve"> </w:t>
                  </w:r>
                </w:p>
              </w:tc>
              <w:tc>
                <w:tcPr>
                  <w:tcW w:w="204" w:type="pct"/>
                  <w:vMerge w:val="restart"/>
                  <w:noWrap w:val="0"/>
                  <w:vAlign w:val="center"/>
                </w:tcPr>
                <w:p w14:paraId="78E75E6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aps w:val="0"/>
                      <w:color w:val="auto"/>
                      <w:spacing w:val="0"/>
                      <w:sz w:val="21"/>
                      <w:szCs w:val="21"/>
                      <w:highlight w:val="none"/>
                      <w:lang w:val="en-US"/>
                    </w:rPr>
                  </w:pPr>
                  <w:r>
                    <w:rPr>
                      <w:rFonts w:hint="default" w:ascii="Times New Roman" w:hAnsi="Times New Roman" w:eastAsia="宋体" w:cs="Times New Roman"/>
                      <w:bCs/>
                      <w:caps w:val="0"/>
                      <w:color w:val="auto"/>
                      <w:spacing w:val="0"/>
                      <w:sz w:val="21"/>
                      <w:szCs w:val="21"/>
                      <w:highlight w:val="none"/>
                      <w:lang w:val="en-US" w:eastAsia="zh-CN"/>
                    </w:rPr>
                    <w:t>锅炉</w:t>
                  </w:r>
                  <w:r>
                    <w:rPr>
                      <w:rFonts w:hint="eastAsia" w:ascii="Times New Roman" w:hAnsi="Times New Roman" w:cs="Times New Roman"/>
                      <w:bCs/>
                      <w:caps w:val="0"/>
                      <w:color w:val="auto"/>
                      <w:spacing w:val="0"/>
                      <w:sz w:val="21"/>
                      <w:szCs w:val="21"/>
                      <w:highlight w:val="none"/>
                      <w:lang w:val="en-US" w:eastAsia="zh-CN"/>
                    </w:rPr>
                    <w:t>污</w:t>
                  </w:r>
                  <w:r>
                    <w:rPr>
                      <w:rFonts w:hint="default" w:ascii="Times New Roman" w:hAnsi="Times New Roman" w:eastAsia="宋体" w:cs="Times New Roman"/>
                      <w:bCs/>
                      <w:caps w:val="0"/>
                      <w:color w:val="auto"/>
                      <w:spacing w:val="0"/>
                      <w:sz w:val="21"/>
                      <w:szCs w:val="21"/>
                      <w:highlight w:val="none"/>
                      <w:lang w:val="en-US" w:eastAsia="zh-CN"/>
                    </w:rPr>
                    <w:t>水</w:t>
                  </w:r>
                </w:p>
              </w:tc>
              <w:tc>
                <w:tcPr>
                  <w:tcW w:w="350" w:type="pct"/>
                  <w:noWrap w:val="0"/>
                  <w:vAlign w:val="center"/>
                </w:tcPr>
                <w:p w14:paraId="5055128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aps w:val="0"/>
                      <w:color w:val="auto"/>
                      <w:spacing w:val="0"/>
                      <w:sz w:val="21"/>
                      <w:szCs w:val="21"/>
                      <w:highlight w:val="none"/>
                      <w:lang w:val="en-US" w:eastAsia="zh-CN"/>
                    </w:rPr>
                  </w:pPr>
                  <w:r>
                    <w:rPr>
                      <w:rFonts w:hint="default" w:ascii="Times New Roman" w:hAnsi="Times New Roman" w:eastAsia="宋体" w:cs="Times New Roman"/>
                      <w:caps w:val="0"/>
                      <w:color w:val="auto"/>
                      <w:spacing w:val="0"/>
                      <w:sz w:val="21"/>
                      <w:szCs w:val="21"/>
                      <w:highlight w:val="none"/>
                      <w:lang w:val="en-US" w:eastAsia="zh-CN"/>
                    </w:rPr>
                    <w:t>COD</w:t>
                  </w:r>
                </w:p>
              </w:tc>
              <w:tc>
                <w:tcPr>
                  <w:tcW w:w="500" w:type="pct"/>
                  <w:vMerge w:val="restart"/>
                  <w:noWrap w:val="0"/>
                  <w:vAlign w:val="center"/>
                </w:tcPr>
                <w:p w14:paraId="2CE51F7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aps w:val="0"/>
                      <w:color w:val="auto"/>
                      <w:spacing w:val="0"/>
                      <w:sz w:val="21"/>
                      <w:szCs w:val="21"/>
                      <w:highlight w:val="none"/>
                      <w:lang w:val="en-US"/>
                    </w:rPr>
                  </w:pPr>
                  <w:r>
                    <w:rPr>
                      <w:rFonts w:hint="eastAsia" w:ascii="Times New Roman" w:hAnsi="Times New Roman" w:cs="Times New Roman"/>
                      <w:bCs/>
                      <w:caps w:val="0"/>
                      <w:color w:val="auto"/>
                      <w:spacing w:val="0"/>
                      <w:sz w:val="21"/>
                      <w:szCs w:val="21"/>
                      <w:highlight w:val="none"/>
                      <w:lang w:val="en-US" w:eastAsia="zh-CN"/>
                    </w:rPr>
                    <w:t>7488.54</w:t>
                  </w:r>
                </w:p>
              </w:tc>
              <w:tc>
                <w:tcPr>
                  <w:tcW w:w="372" w:type="pct"/>
                  <w:noWrap w:val="0"/>
                  <w:vAlign w:val="center"/>
                </w:tcPr>
                <w:p w14:paraId="7DF0BD0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aps w:val="0"/>
                      <w:color w:val="auto"/>
                      <w:spacing w:val="0"/>
                      <w:sz w:val="21"/>
                      <w:szCs w:val="21"/>
                      <w:highlight w:val="none"/>
                      <w:lang w:val="en-US" w:eastAsia="zh-CN"/>
                    </w:rPr>
                  </w:pPr>
                  <w:r>
                    <w:rPr>
                      <w:rFonts w:hint="eastAsia" w:ascii="Times New Roman" w:hAnsi="Times New Roman" w:cs="Times New Roman"/>
                      <w:bCs/>
                      <w:caps w:val="0"/>
                      <w:color w:val="auto"/>
                      <w:spacing w:val="0"/>
                      <w:sz w:val="21"/>
                      <w:szCs w:val="21"/>
                      <w:highlight w:val="none"/>
                      <w:lang w:val="en-US" w:eastAsia="zh-CN"/>
                    </w:rPr>
                    <w:t>8.07</w:t>
                  </w:r>
                </w:p>
              </w:tc>
              <w:tc>
                <w:tcPr>
                  <w:tcW w:w="411" w:type="pct"/>
                  <w:noWrap w:val="0"/>
                  <w:vAlign w:val="center"/>
                </w:tcPr>
                <w:p w14:paraId="24C6FE6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cs="Times New Roman"/>
                      <w:bCs/>
                      <w:color w:val="auto"/>
                      <w:spacing w:val="0"/>
                      <w:sz w:val="21"/>
                      <w:szCs w:val="21"/>
                      <w:highlight w:val="none"/>
                      <w:lang w:val="en-US" w:eastAsia="zh-CN"/>
                    </w:rPr>
                    <w:t>0.0</w:t>
                  </w:r>
                  <w:r>
                    <w:rPr>
                      <w:rFonts w:hint="eastAsia" w:ascii="Times New Roman" w:hAnsi="Times New Roman" w:cs="Times New Roman"/>
                      <w:bCs/>
                      <w:color w:val="auto"/>
                      <w:spacing w:val="0"/>
                      <w:sz w:val="21"/>
                      <w:szCs w:val="21"/>
                      <w:highlight w:val="none"/>
                      <w:lang w:val="en-US" w:eastAsia="zh-CN"/>
                    </w:rPr>
                    <w:t>60</w:t>
                  </w:r>
                </w:p>
              </w:tc>
              <w:tc>
                <w:tcPr>
                  <w:tcW w:w="334" w:type="pct"/>
                  <w:vMerge w:val="restart"/>
                  <w:noWrap w:val="0"/>
                  <w:vAlign w:val="center"/>
                </w:tcPr>
                <w:p w14:paraId="438EBC6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aps w:val="0"/>
                      <w:color w:val="auto"/>
                      <w:spacing w:val="0"/>
                      <w:sz w:val="21"/>
                      <w:szCs w:val="21"/>
                      <w:highlight w:val="none"/>
                    </w:rPr>
                  </w:pPr>
                  <w:r>
                    <w:rPr>
                      <w:rFonts w:hint="default" w:ascii="Times New Roman" w:hAnsi="Times New Roman" w:eastAsia="宋体" w:cs="Times New Roman"/>
                      <w:bCs/>
                      <w:caps w:val="0"/>
                      <w:color w:val="auto"/>
                      <w:spacing w:val="0"/>
                      <w:sz w:val="21"/>
                      <w:szCs w:val="21"/>
                      <w:highlight w:val="none"/>
                    </w:rPr>
                    <w:t>/</w:t>
                  </w:r>
                </w:p>
              </w:tc>
              <w:tc>
                <w:tcPr>
                  <w:tcW w:w="204" w:type="pct"/>
                  <w:vMerge w:val="restart"/>
                  <w:noWrap w:val="0"/>
                  <w:vAlign w:val="center"/>
                </w:tcPr>
                <w:p w14:paraId="24B1A1D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aps w:val="0"/>
                      <w:color w:val="auto"/>
                      <w:spacing w:val="0"/>
                      <w:sz w:val="21"/>
                      <w:szCs w:val="21"/>
                      <w:highlight w:val="none"/>
                    </w:rPr>
                  </w:pPr>
                  <w:r>
                    <w:rPr>
                      <w:rFonts w:hint="default" w:ascii="Times New Roman" w:hAnsi="Times New Roman" w:eastAsia="宋体" w:cs="Times New Roman"/>
                      <w:caps w:val="0"/>
                      <w:color w:val="auto"/>
                      <w:spacing w:val="0"/>
                      <w:sz w:val="21"/>
                      <w:szCs w:val="21"/>
                      <w:highlight w:val="none"/>
                    </w:rPr>
                    <w:t>/</w:t>
                  </w:r>
                </w:p>
              </w:tc>
              <w:tc>
                <w:tcPr>
                  <w:tcW w:w="336" w:type="pct"/>
                  <w:vMerge w:val="restart"/>
                  <w:noWrap w:val="0"/>
                  <w:vAlign w:val="center"/>
                </w:tcPr>
                <w:p w14:paraId="706CD9A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aps w:val="0"/>
                      <w:color w:val="auto"/>
                      <w:spacing w:val="0"/>
                      <w:sz w:val="21"/>
                      <w:szCs w:val="21"/>
                      <w:highlight w:val="none"/>
                    </w:rPr>
                  </w:pPr>
                  <w:r>
                    <w:rPr>
                      <w:rFonts w:hint="default" w:ascii="Times New Roman" w:hAnsi="Times New Roman" w:eastAsia="宋体" w:cs="Times New Roman"/>
                      <w:caps w:val="0"/>
                      <w:color w:val="auto"/>
                      <w:spacing w:val="0"/>
                      <w:sz w:val="21"/>
                      <w:szCs w:val="21"/>
                      <w:highlight w:val="none"/>
                    </w:rPr>
                    <w:t>/</w:t>
                  </w:r>
                </w:p>
              </w:tc>
              <w:tc>
                <w:tcPr>
                  <w:tcW w:w="204" w:type="pct"/>
                  <w:vMerge w:val="restart"/>
                  <w:noWrap w:val="0"/>
                  <w:vAlign w:val="center"/>
                </w:tcPr>
                <w:p w14:paraId="29BEB4E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aps w:val="0"/>
                      <w:color w:val="auto"/>
                      <w:spacing w:val="0"/>
                      <w:sz w:val="21"/>
                      <w:szCs w:val="21"/>
                      <w:highlight w:val="none"/>
                    </w:rPr>
                  </w:pPr>
                  <w:r>
                    <w:rPr>
                      <w:rFonts w:hint="default" w:ascii="Times New Roman" w:hAnsi="Times New Roman" w:eastAsia="宋体" w:cs="Times New Roman"/>
                      <w:bCs/>
                      <w:caps w:val="0"/>
                      <w:color w:val="auto"/>
                      <w:spacing w:val="0"/>
                      <w:sz w:val="21"/>
                      <w:szCs w:val="21"/>
                      <w:highlight w:val="none"/>
                    </w:rPr>
                    <w:t>/</w:t>
                  </w:r>
                </w:p>
              </w:tc>
              <w:tc>
                <w:tcPr>
                  <w:tcW w:w="500" w:type="pct"/>
                  <w:vMerge w:val="restart"/>
                  <w:shd w:val="clear" w:color="auto" w:fill="auto"/>
                  <w:noWrap w:val="0"/>
                  <w:vAlign w:val="center"/>
                </w:tcPr>
                <w:p w14:paraId="6AB53BE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olor w:val="auto"/>
                      <w:spacing w:val="0"/>
                      <w:sz w:val="21"/>
                      <w:szCs w:val="21"/>
                      <w:highlight w:val="none"/>
                      <w:lang w:val="en-US" w:eastAsia="zh-CN"/>
                    </w:rPr>
                  </w:pPr>
                  <w:r>
                    <w:rPr>
                      <w:rFonts w:hint="eastAsia" w:ascii="Times New Roman" w:hAnsi="Times New Roman" w:cs="Times New Roman"/>
                      <w:bCs/>
                      <w:color w:val="auto"/>
                      <w:spacing w:val="0"/>
                      <w:sz w:val="21"/>
                      <w:szCs w:val="21"/>
                      <w:highlight w:val="none"/>
                      <w:lang w:val="en-US" w:eastAsia="zh-CN"/>
                    </w:rPr>
                    <w:t>7488.54</w:t>
                  </w:r>
                </w:p>
              </w:tc>
              <w:tc>
                <w:tcPr>
                  <w:tcW w:w="461" w:type="pct"/>
                  <w:shd w:val="clear" w:color="auto" w:fill="auto"/>
                  <w:noWrap w:val="0"/>
                  <w:vAlign w:val="center"/>
                </w:tcPr>
                <w:p w14:paraId="405A91C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eastAsia" w:ascii="Times New Roman" w:hAnsi="Times New Roman" w:cs="Times New Roman"/>
                      <w:bCs/>
                      <w:caps w:val="0"/>
                      <w:color w:val="auto"/>
                      <w:spacing w:val="0"/>
                      <w:sz w:val="21"/>
                      <w:szCs w:val="21"/>
                      <w:highlight w:val="none"/>
                      <w:lang w:val="en-US" w:eastAsia="zh-CN"/>
                    </w:rPr>
                    <w:t>8.07</w:t>
                  </w:r>
                </w:p>
              </w:tc>
              <w:tc>
                <w:tcPr>
                  <w:tcW w:w="711" w:type="pct"/>
                  <w:shd w:val="clear" w:color="auto" w:fill="auto"/>
                  <w:noWrap w:val="0"/>
                  <w:vAlign w:val="center"/>
                </w:tcPr>
                <w:p w14:paraId="6721FA2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cs="Times New Roman"/>
                      <w:bCs/>
                      <w:color w:val="auto"/>
                      <w:spacing w:val="0"/>
                      <w:sz w:val="21"/>
                      <w:szCs w:val="21"/>
                      <w:highlight w:val="none"/>
                      <w:lang w:val="en-US" w:eastAsia="zh-CN"/>
                    </w:rPr>
                    <w:t>0.0</w:t>
                  </w:r>
                  <w:r>
                    <w:rPr>
                      <w:rFonts w:hint="eastAsia" w:ascii="Times New Roman" w:hAnsi="Times New Roman" w:cs="Times New Roman"/>
                      <w:bCs/>
                      <w:color w:val="auto"/>
                      <w:spacing w:val="0"/>
                      <w:sz w:val="21"/>
                      <w:szCs w:val="21"/>
                      <w:highlight w:val="none"/>
                      <w:lang w:val="en-US" w:eastAsia="zh-CN"/>
                    </w:rPr>
                    <w:t>60</w:t>
                  </w:r>
                </w:p>
              </w:tc>
            </w:tr>
            <w:tr w14:paraId="7D950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04" w:type="pct"/>
                  <w:vMerge w:val="continue"/>
                  <w:tcBorders>
                    <w:left w:val="nil"/>
                  </w:tcBorders>
                  <w:noWrap w:val="0"/>
                  <w:vAlign w:val="center"/>
                </w:tcPr>
                <w:p w14:paraId="471E610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204" w:type="pct"/>
                  <w:vMerge w:val="continue"/>
                  <w:noWrap w:val="0"/>
                  <w:vAlign w:val="center"/>
                </w:tcPr>
                <w:p w14:paraId="662BBAF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204" w:type="pct"/>
                  <w:vMerge w:val="continue"/>
                  <w:noWrap w:val="0"/>
                  <w:vAlign w:val="center"/>
                </w:tcPr>
                <w:p w14:paraId="29AFC2A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350" w:type="pct"/>
                  <w:noWrap w:val="0"/>
                  <w:vAlign w:val="center"/>
                </w:tcPr>
                <w:p w14:paraId="05BFC6D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TDS</w:t>
                  </w:r>
                </w:p>
              </w:tc>
              <w:tc>
                <w:tcPr>
                  <w:tcW w:w="500" w:type="pct"/>
                  <w:vMerge w:val="continue"/>
                  <w:noWrap w:val="0"/>
                  <w:vAlign w:val="center"/>
                </w:tcPr>
                <w:p w14:paraId="18820FB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372" w:type="pct"/>
                  <w:noWrap w:val="0"/>
                  <w:vAlign w:val="center"/>
                </w:tcPr>
                <w:p w14:paraId="5CE208A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1200</w:t>
                  </w:r>
                </w:p>
              </w:tc>
              <w:tc>
                <w:tcPr>
                  <w:tcW w:w="411" w:type="pct"/>
                  <w:noWrap w:val="0"/>
                  <w:vAlign w:val="center"/>
                </w:tcPr>
                <w:p w14:paraId="6CFA9F5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eastAsia" w:ascii="Times New Roman" w:hAnsi="Times New Roman" w:cs="Times New Roman"/>
                      <w:caps w:val="0"/>
                      <w:color w:val="auto"/>
                      <w:spacing w:val="0"/>
                      <w:kern w:val="2"/>
                      <w:sz w:val="21"/>
                      <w:szCs w:val="21"/>
                      <w:highlight w:val="none"/>
                      <w:lang w:val="en-US" w:eastAsia="zh-CN" w:bidi="ar-SA"/>
                    </w:rPr>
                    <w:t>8.99</w:t>
                  </w:r>
                </w:p>
              </w:tc>
              <w:tc>
                <w:tcPr>
                  <w:tcW w:w="334" w:type="pct"/>
                  <w:vMerge w:val="continue"/>
                  <w:noWrap w:val="0"/>
                  <w:vAlign w:val="center"/>
                </w:tcPr>
                <w:p w14:paraId="6A2D6C8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204" w:type="pct"/>
                  <w:vMerge w:val="continue"/>
                  <w:noWrap w:val="0"/>
                  <w:vAlign w:val="center"/>
                </w:tcPr>
                <w:p w14:paraId="63305B7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336" w:type="pct"/>
                  <w:vMerge w:val="continue"/>
                  <w:noWrap w:val="0"/>
                  <w:vAlign w:val="center"/>
                </w:tcPr>
                <w:p w14:paraId="2B89B39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204" w:type="pct"/>
                  <w:vMerge w:val="continue"/>
                  <w:noWrap w:val="0"/>
                  <w:vAlign w:val="center"/>
                </w:tcPr>
                <w:p w14:paraId="7BCCB2A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500" w:type="pct"/>
                  <w:vMerge w:val="continue"/>
                  <w:shd w:val="clear" w:color="auto" w:fill="auto"/>
                  <w:noWrap w:val="0"/>
                  <w:vAlign w:val="center"/>
                </w:tcPr>
                <w:p w14:paraId="470457A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olor w:val="auto"/>
                      <w:spacing w:val="0"/>
                      <w:sz w:val="21"/>
                      <w:szCs w:val="21"/>
                      <w:highlight w:val="none"/>
                      <w:lang w:val="en-US" w:eastAsia="zh-CN"/>
                    </w:rPr>
                  </w:pPr>
                </w:p>
              </w:tc>
              <w:tc>
                <w:tcPr>
                  <w:tcW w:w="461" w:type="pct"/>
                  <w:shd w:val="clear" w:color="auto" w:fill="auto"/>
                  <w:noWrap w:val="0"/>
                  <w:vAlign w:val="center"/>
                </w:tcPr>
                <w:p w14:paraId="17E0427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1200</w:t>
                  </w:r>
                </w:p>
              </w:tc>
              <w:tc>
                <w:tcPr>
                  <w:tcW w:w="711" w:type="pct"/>
                  <w:shd w:val="clear" w:color="auto" w:fill="auto"/>
                  <w:noWrap w:val="0"/>
                  <w:vAlign w:val="center"/>
                </w:tcPr>
                <w:p w14:paraId="738B454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eastAsia" w:ascii="Times New Roman" w:hAnsi="Times New Roman" w:cs="Times New Roman"/>
                      <w:caps w:val="0"/>
                      <w:color w:val="auto"/>
                      <w:spacing w:val="0"/>
                      <w:kern w:val="2"/>
                      <w:sz w:val="21"/>
                      <w:szCs w:val="21"/>
                      <w:highlight w:val="none"/>
                      <w:lang w:val="en-US" w:eastAsia="zh-CN" w:bidi="ar-SA"/>
                    </w:rPr>
                    <w:t>8.99</w:t>
                  </w:r>
                </w:p>
              </w:tc>
            </w:tr>
          </w:tbl>
          <w:p w14:paraId="74515721">
            <w:pPr>
              <w:keepNext w:val="0"/>
              <w:keepLines w:val="0"/>
              <w:pageBreakBefore w:val="0"/>
              <w:widowControl w:val="0"/>
              <w:kinsoku/>
              <w:wordWrap/>
              <w:overflowPunct/>
              <w:topLinePunct w:val="0"/>
              <w:autoSpaceDE/>
              <w:autoSpaceDN/>
              <w:bidi w:val="0"/>
              <w:adjustRightInd w:val="0"/>
              <w:snapToGrid w:val="0"/>
              <w:ind w:firstLine="482" w:firstLineChars="200"/>
              <w:jc w:val="left"/>
              <w:textAlignment w:val="auto"/>
              <w:rPr>
                <w:rFonts w:hint="default" w:ascii="Times New Roman" w:hAnsi="Times New Roman" w:eastAsia="宋体" w:cs="Times New Roman"/>
                <w:bCs/>
                <w:color w:val="auto"/>
                <w:spacing w:val="0"/>
                <w:sz w:val="24"/>
                <w:highlight w:val="none"/>
                <w:lang w:bidi="ar"/>
              </w:rPr>
            </w:pPr>
            <w:r>
              <w:rPr>
                <w:rFonts w:hint="default" w:ascii="Times New Roman" w:hAnsi="Times New Roman" w:eastAsia="宋体" w:cs="Times New Roman"/>
                <w:b/>
                <w:bCs/>
                <w:caps w:val="0"/>
                <w:color w:val="auto"/>
                <w:spacing w:val="0"/>
                <w:kern w:val="0"/>
                <w:sz w:val="24"/>
                <w:highlight w:val="none"/>
                <w:lang w:val="en-US" w:eastAsia="zh-CN"/>
              </w:rPr>
              <w:t>2.2废水治理设施及排污口信息</w:t>
            </w:r>
          </w:p>
          <w:p w14:paraId="0F3E2E1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caps w:val="0"/>
                <w:color w:val="auto"/>
                <w:spacing w:val="0"/>
                <w:sz w:val="24"/>
                <w:highlight w:val="none"/>
                <w:lang w:val="en-US" w:eastAsia="zh-CN"/>
              </w:rPr>
            </w:pPr>
            <w:r>
              <w:rPr>
                <w:rFonts w:hint="default" w:ascii="Times New Roman" w:hAnsi="Times New Roman" w:eastAsia="宋体" w:cs="Times New Roman"/>
                <w:bCs/>
                <w:color w:val="auto"/>
                <w:spacing w:val="0"/>
                <w:sz w:val="24"/>
                <w:highlight w:val="none"/>
                <w:lang w:val="en-US" w:eastAsia="zh-CN" w:bidi="ar"/>
              </w:rPr>
              <w:t>本项目外排废水为</w:t>
            </w:r>
            <w:r>
              <w:rPr>
                <w:rFonts w:hint="default" w:ascii="Times New Roman" w:hAnsi="Times New Roman" w:cs="Times New Roman"/>
                <w:b w:val="0"/>
                <w:bCs/>
                <w:color w:val="auto"/>
                <w:spacing w:val="0"/>
                <w:sz w:val="24"/>
                <w:szCs w:val="24"/>
                <w:highlight w:val="none"/>
                <w:lang w:val="en-US" w:eastAsia="zh-CN"/>
              </w:rPr>
              <w:t>锅炉排污水和软水制备废水</w:t>
            </w:r>
            <w:r>
              <w:rPr>
                <w:rFonts w:hint="eastAsia" w:ascii="Times New Roman" w:hAnsi="Times New Roman" w:cs="Times New Roman"/>
                <w:b w:val="0"/>
                <w:bCs/>
                <w:color w:val="auto"/>
                <w:spacing w:val="0"/>
                <w:sz w:val="24"/>
                <w:szCs w:val="24"/>
                <w:highlight w:val="none"/>
                <w:lang w:val="en-US" w:eastAsia="zh-CN"/>
              </w:rPr>
              <w:t>，少量</w:t>
            </w:r>
            <w:r>
              <w:rPr>
                <w:rFonts w:hint="default" w:ascii="Times New Roman" w:hAnsi="Times New Roman" w:cs="Times New Roman"/>
                <w:b w:val="0"/>
                <w:bCs/>
                <w:color w:val="auto"/>
                <w:spacing w:val="0"/>
                <w:sz w:val="24"/>
                <w:szCs w:val="24"/>
                <w:highlight w:val="none"/>
                <w:lang w:val="en-US" w:eastAsia="zh-CN"/>
              </w:rPr>
              <w:t>收集后用于灰渣</w:t>
            </w:r>
            <w:r>
              <w:rPr>
                <w:rFonts w:hint="eastAsia" w:ascii="Times New Roman" w:hAnsi="Times New Roman" w:cs="Times New Roman"/>
                <w:b w:val="0"/>
                <w:bCs/>
                <w:color w:val="auto"/>
                <w:spacing w:val="0"/>
                <w:sz w:val="24"/>
                <w:szCs w:val="24"/>
                <w:highlight w:val="none"/>
                <w:lang w:val="en-US" w:eastAsia="zh-CN"/>
              </w:rPr>
              <w:t>加湿其余锅炉污水通过院区污水总排口进入市政管网，排入城子河区污水处理厂进行处理</w:t>
            </w:r>
            <w:r>
              <w:rPr>
                <w:rFonts w:hint="default" w:ascii="Times New Roman" w:hAnsi="Times New Roman" w:eastAsia="宋体" w:cs="Times New Roman"/>
                <w:bCs/>
                <w:color w:val="auto"/>
                <w:spacing w:val="0"/>
                <w:sz w:val="24"/>
                <w:highlight w:val="none"/>
                <w:lang w:val="en-US" w:eastAsia="zh-CN" w:bidi="ar"/>
              </w:rPr>
              <w:t>。具体污染物排放信息见下表。</w:t>
            </w:r>
          </w:p>
          <w:p w14:paraId="6BC2E16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caps w:val="0"/>
                <w:color w:val="auto"/>
                <w:spacing w:val="0"/>
                <w:sz w:val="21"/>
                <w:szCs w:val="21"/>
                <w:highlight w:val="none"/>
              </w:rPr>
            </w:pPr>
            <w:r>
              <w:rPr>
                <w:rFonts w:hint="default" w:ascii="Times New Roman" w:hAnsi="Times New Roman" w:eastAsia="宋体" w:cs="Times New Roman"/>
                <w:b/>
                <w:caps w:val="0"/>
                <w:color w:val="auto"/>
                <w:spacing w:val="0"/>
                <w:sz w:val="21"/>
                <w:szCs w:val="21"/>
                <w:highlight w:val="none"/>
                <w:lang w:val="en-US" w:eastAsia="zh-CN"/>
              </w:rPr>
              <w:t>表4-</w:t>
            </w:r>
            <w:r>
              <w:rPr>
                <w:rFonts w:hint="default" w:ascii="Times New Roman" w:hAnsi="Times New Roman" w:cs="Times New Roman"/>
                <w:b/>
                <w:caps w:val="0"/>
                <w:color w:val="auto"/>
                <w:spacing w:val="0"/>
                <w:sz w:val="21"/>
                <w:szCs w:val="21"/>
                <w:highlight w:val="none"/>
                <w:lang w:val="en-US" w:eastAsia="zh-CN"/>
              </w:rPr>
              <w:t>9</w:t>
            </w:r>
            <w:r>
              <w:rPr>
                <w:rFonts w:hint="default" w:ascii="Times New Roman" w:hAnsi="Times New Roman" w:eastAsia="宋体" w:cs="Times New Roman"/>
                <w:b/>
                <w:caps w:val="0"/>
                <w:color w:val="auto"/>
                <w:spacing w:val="0"/>
                <w:sz w:val="21"/>
                <w:szCs w:val="21"/>
                <w:highlight w:val="none"/>
                <w:lang w:val="en-GB" w:eastAsia="zh-CN"/>
              </w:rPr>
              <w:t>废水类别、污染物及污染治理设施信息表</w:t>
            </w:r>
          </w:p>
          <w:tbl>
            <w:tblPr>
              <w:tblStyle w:val="35"/>
              <w:tblW w:w="4989" w:type="pct"/>
              <w:jc w:val="center"/>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574"/>
              <w:gridCol w:w="870"/>
              <w:gridCol w:w="622"/>
              <w:gridCol w:w="645"/>
              <w:gridCol w:w="612"/>
              <w:gridCol w:w="583"/>
              <w:gridCol w:w="647"/>
              <w:gridCol w:w="882"/>
              <w:gridCol w:w="562"/>
              <w:gridCol w:w="747"/>
              <w:gridCol w:w="787"/>
            </w:tblGrid>
            <w:tr w14:paraId="7E6C1A12">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7" w:type="pct"/>
                  <w:vMerge w:val="restart"/>
                  <w:tcBorders>
                    <w:tl2br w:val="nil"/>
                    <w:tr2bl w:val="nil"/>
                  </w:tcBorders>
                  <w:noWrap w:val="0"/>
                  <w:vAlign w:val="center"/>
                </w:tcPr>
                <w:p w14:paraId="4171FA8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序号</w:t>
                  </w:r>
                </w:p>
              </w:tc>
              <w:tc>
                <w:tcPr>
                  <w:tcW w:w="361" w:type="pct"/>
                  <w:vMerge w:val="restart"/>
                  <w:tcBorders>
                    <w:tl2br w:val="nil"/>
                    <w:tr2bl w:val="nil"/>
                  </w:tcBorders>
                  <w:noWrap w:val="0"/>
                  <w:vAlign w:val="center"/>
                </w:tcPr>
                <w:p w14:paraId="6FC0A45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废水类别</w:t>
                  </w:r>
                </w:p>
              </w:tc>
              <w:tc>
                <w:tcPr>
                  <w:tcW w:w="546" w:type="pct"/>
                  <w:vMerge w:val="restart"/>
                  <w:tcBorders>
                    <w:tl2br w:val="nil"/>
                    <w:tr2bl w:val="nil"/>
                  </w:tcBorders>
                  <w:noWrap w:val="0"/>
                  <w:vAlign w:val="center"/>
                </w:tcPr>
                <w:p w14:paraId="788DE05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污染物</w:t>
                  </w:r>
                </w:p>
                <w:p w14:paraId="64FFCF8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种类</w:t>
                  </w:r>
                </w:p>
              </w:tc>
              <w:tc>
                <w:tcPr>
                  <w:tcW w:w="391" w:type="pct"/>
                  <w:vMerge w:val="restart"/>
                  <w:tcBorders>
                    <w:tl2br w:val="nil"/>
                    <w:tr2bl w:val="nil"/>
                  </w:tcBorders>
                  <w:noWrap w:val="0"/>
                  <w:vAlign w:val="center"/>
                </w:tcPr>
                <w:p w14:paraId="214AA0C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排放去向</w:t>
                  </w:r>
                </w:p>
              </w:tc>
              <w:tc>
                <w:tcPr>
                  <w:tcW w:w="405" w:type="pct"/>
                  <w:vMerge w:val="restart"/>
                  <w:tcBorders>
                    <w:tl2br w:val="nil"/>
                    <w:tr2bl w:val="nil"/>
                  </w:tcBorders>
                  <w:noWrap w:val="0"/>
                  <w:vAlign w:val="center"/>
                </w:tcPr>
                <w:p w14:paraId="15EBA9F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排放规律</w:t>
                  </w:r>
                </w:p>
              </w:tc>
              <w:tc>
                <w:tcPr>
                  <w:tcW w:w="1156" w:type="pct"/>
                  <w:gridSpan w:val="3"/>
                  <w:tcBorders>
                    <w:tl2br w:val="nil"/>
                    <w:tr2bl w:val="nil"/>
                  </w:tcBorders>
                  <w:noWrap w:val="0"/>
                  <w:vAlign w:val="center"/>
                </w:tcPr>
                <w:p w14:paraId="06013F6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污染治理设施</w:t>
                  </w:r>
                </w:p>
              </w:tc>
              <w:tc>
                <w:tcPr>
                  <w:tcW w:w="554" w:type="pct"/>
                  <w:vMerge w:val="restart"/>
                  <w:tcBorders>
                    <w:tl2br w:val="nil"/>
                    <w:tr2bl w:val="nil"/>
                  </w:tcBorders>
                  <w:noWrap w:val="0"/>
                  <w:vAlign w:val="center"/>
                </w:tcPr>
                <w:p w14:paraId="532B274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排放口编号</w:t>
                  </w:r>
                </w:p>
              </w:tc>
              <w:tc>
                <w:tcPr>
                  <w:tcW w:w="353" w:type="pct"/>
                  <w:vMerge w:val="restart"/>
                  <w:tcBorders>
                    <w:tl2br w:val="nil"/>
                    <w:tr2bl w:val="nil"/>
                  </w:tcBorders>
                  <w:noWrap w:val="0"/>
                  <w:vAlign w:val="center"/>
                </w:tcPr>
                <w:p w14:paraId="6FC39B3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排放形式</w:t>
                  </w:r>
                </w:p>
              </w:tc>
              <w:tc>
                <w:tcPr>
                  <w:tcW w:w="469" w:type="pct"/>
                  <w:vMerge w:val="restart"/>
                  <w:tcBorders>
                    <w:tl2br w:val="nil"/>
                    <w:tr2bl w:val="nil"/>
                  </w:tcBorders>
                  <w:noWrap w:val="0"/>
                  <w:vAlign w:val="center"/>
                </w:tcPr>
                <w:p w14:paraId="00ADFF5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排放口设置是否符合要求</w:t>
                  </w:r>
                </w:p>
              </w:tc>
              <w:tc>
                <w:tcPr>
                  <w:tcW w:w="494" w:type="pct"/>
                  <w:vMerge w:val="restart"/>
                  <w:tcBorders>
                    <w:tl2br w:val="nil"/>
                    <w:tr2bl w:val="nil"/>
                  </w:tcBorders>
                  <w:noWrap w:val="0"/>
                  <w:vAlign w:val="center"/>
                </w:tcPr>
                <w:p w14:paraId="1F2EFEC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排放口</w:t>
                  </w:r>
                </w:p>
                <w:p w14:paraId="6E85276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类型</w:t>
                  </w:r>
                </w:p>
              </w:tc>
            </w:tr>
            <w:tr w14:paraId="7DACDD47">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7" w:type="pct"/>
                  <w:vMerge w:val="continue"/>
                  <w:tcBorders>
                    <w:tl2br w:val="nil"/>
                    <w:tr2bl w:val="nil"/>
                  </w:tcBorders>
                  <w:noWrap w:val="0"/>
                  <w:vAlign w:val="center"/>
                </w:tcPr>
                <w:p w14:paraId="718C02C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361" w:type="pct"/>
                  <w:vMerge w:val="continue"/>
                  <w:tcBorders>
                    <w:tl2br w:val="nil"/>
                    <w:tr2bl w:val="nil"/>
                  </w:tcBorders>
                  <w:noWrap w:val="0"/>
                  <w:vAlign w:val="center"/>
                </w:tcPr>
                <w:p w14:paraId="3DE3FE0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546" w:type="pct"/>
                  <w:vMerge w:val="continue"/>
                  <w:tcBorders>
                    <w:tl2br w:val="nil"/>
                    <w:tr2bl w:val="nil"/>
                  </w:tcBorders>
                  <w:noWrap w:val="0"/>
                  <w:vAlign w:val="center"/>
                </w:tcPr>
                <w:p w14:paraId="4A453B8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391" w:type="pct"/>
                  <w:vMerge w:val="continue"/>
                  <w:tcBorders>
                    <w:tl2br w:val="nil"/>
                    <w:tr2bl w:val="nil"/>
                  </w:tcBorders>
                  <w:noWrap w:val="0"/>
                  <w:vAlign w:val="center"/>
                </w:tcPr>
                <w:p w14:paraId="4E92EAE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405" w:type="pct"/>
                  <w:vMerge w:val="continue"/>
                  <w:tcBorders>
                    <w:tl2br w:val="nil"/>
                    <w:tr2bl w:val="nil"/>
                  </w:tcBorders>
                  <w:noWrap w:val="0"/>
                  <w:vAlign w:val="center"/>
                </w:tcPr>
                <w:p w14:paraId="3BF9441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384" w:type="pct"/>
                  <w:tcBorders>
                    <w:tl2br w:val="nil"/>
                    <w:tr2bl w:val="nil"/>
                  </w:tcBorders>
                  <w:noWrap w:val="0"/>
                  <w:vAlign w:val="center"/>
                </w:tcPr>
                <w:p w14:paraId="3A4A44C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污染治理设施</w:t>
                  </w:r>
                </w:p>
                <w:p w14:paraId="65EACC6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编号</w:t>
                  </w:r>
                </w:p>
              </w:tc>
              <w:tc>
                <w:tcPr>
                  <w:tcW w:w="366" w:type="pct"/>
                  <w:tcBorders>
                    <w:tl2br w:val="nil"/>
                    <w:tr2bl w:val="nil"/>
                  </w:tcBorders>
                  <w:noWrap w:val="0"/>
                  <w:vAlign w:val="center"/>
                </w:tcPr>
                <w:p w14:paraId="6E330A5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污染治理设施</w:t>
                  </w:r>
                </w:p>
                <w:p w14:paraId="34741CE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名称</w:t>
                  </w:r>
                </w:p>
              </w:tc>
              <w:tc>
                <w:tcPr>
                  <w:tcW w:w="405" w:type="pct"/>
                  <w:tcBorders>
                    <w:tl2br w:val="nil"/>
                    <w:tr2bl w:val="nil"/>
                  </w:tcBorders>
                  <w:noWrap w:val="0"/>
                  <w:vAlign w:val="center"/>
                </w:tcPr>
                <w:p w14:paraId="1765C47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污染治理设施工艺</w:t>
                  </w:r>
                </w:p>
              </w:tc>
              <w:tc>
                <w:tcPr>
                  <w:tcW w:w="554" w:type="pct"/>
                  <w:vMerge w:val="continue"/>
                  <w:tcBorders>
                    <w:tl2br w:val="nil"/>
                    <w:tr2bl w:val="nil"/>
                  </w:tcBorders>
                  <w:noWrap w:val="0"/>
                  <w:vAlign w:val="center"/>
                </w:tcPr>
                <w:p w14:paraId="73D5F81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353" w:type="pct"/>
                  <w:vMerge w:val="continue"/>
                  <w:tcBorders>
                    <w:tl2br w:val="nil"/>
                    <w:tr2bl w:val="nil"/>
                  </w:tcBorders>
                  <w:noWrap w:val="0"/>
                  <w:vAlign w:val="center"/>
                </w:tcPr>
                <w:p w14:paraId="4D65FBF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469" w:type="pct"/>
                  <w:vMerge w:val="continue"/>
                  <w:tcBorders>
                    <w:tl2br w:val="nil"/>
                    <w:tr2bl w:val="nil"/>
                  </w:tcBorders>
                  <w:noWrap w:val="0"/>
                  <w:vAlign w:val="center"/>
                </w:tcPr>
                <w:p w14:paraId="2F5E72F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494" w:type="pct"/>
                  <w:vMerge w:val="continue"/>
                  <w:tcBorders>
                    <w:tl2br w:val="nil"/>
                    <w:tr2bl w:val="nil"/>
                  </w:tcBorders>
                  <w:noWrap w:val="0"/>
                  <w:vAlign w:val="center"/>
                </w:tcPr>
                <w:p w14:paraId="6A6AE38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r>
            <w:tr w14:paraId="3AA4C751">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7" w:type="pct"/>
                  <w:tcBorders>
                    <w:tl2br w:val="nil"/>
                    <w:tr2bl w:val="nil"/>
                  </w:tcBorders>
                  <w:noWrap w:val="0"/>
                  <w:vAlign w:val="center"/>
                </w:tcPr>
                <w:p w14:paraId="64A3BC0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1</w:t>
                  </w:r>
                </w:p>
              </w:tc>
              <w:tc>
                <w:tcPr>
                  <w:tcW w:w="361" w:type="pct"/>
                  <w:tcBorders>
                    <w:tl2br w:val="nil"/>
                    <w:tr2bl w:val="nil"/>
                  </w:tcBorders>
                  <w:noWrap w:val="0"/>
                  <w:vAlign w:val="center"/>
                </w:tcPr>
                <w:p w14:paraId="6850370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锅炉</w:t>
                  </w:r>
                  <w:r>
                    <w:rPr>
                      <w:rFonts w:hint="eastAsia" w:ascii="Times New Roman" w:hAnsi="Times New Roman" w:cs="Times New Roman"/>
                      <w:caps w:val="0"/>
                      <w:color w:val="auto"/>
                      <w:spacing w:val="0"/>
                      <w:kern w:val="2"/>
                      <w:sz w:val="21"/>
                      <w:szCs w:val="21"/>
                      <w:highlight w:val="none"/>
                      <w:lang w:val="en-US" w:eastAsia="zh-CN" w:bidi="ar-SA"/>
                    </w:rPr>
                    <w:t>污</w:t>
                  </w:r>
                  <w:r>
                    <w:rPr>
                      <w:rFonts w:hint="default" w:ascii="Times New Roman" w:hAnsi="Times New Roman" w:eastAsia="宋体" w:cs="Times New Roman"/>
                      <w:caps w:val="0"/>
                      <w:color w:val="auto"/>
                      <w:spacing w:val="0"/>
                      <w:kern w:val="2"/>
                      <w:sz w:val="21"/>
                      <w:szCs w:val="21"/>
                      <w:highlight w:val="none"/>
                      <w:lang w:val="en-US" w:eastAsia="zh-CN" w:bidi="ar-SA"/>
                    </w:rPr>
                    <w:t>水</w:t>
                  </w:r>
                </w:p>
              </w:tc>
              <w:tc>
                <w:tcPr>
                  <w:tcW w:w="546" w:type="pct"/>
                  <w:tcBorders>
                    <w:tl2br w:val="nil"/>
                    <w:tr2bl w:val="nil"/>
                  </w:tcBorders>
                  <w:noWrap w:val="0"/>
                  <w:vAlign w:val="center"/>
                </w:tcPr>
                <w:p w14:paraId="49E49CD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CODCr</w:t>
                  </w:r>
                </w:p>
                <w:p w14:paraId="39D2DC1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TDS</w:t>
                  </w:r>
                </w:p>
              </w:tc>
              <w:tc>
                <w:tcPr>
                  <w:tcW w:w="391" w:type="pct"/>
                  <w:tcBorders>
                    <w:tl2br w:val="nil"/>
                    <w:tr2bl w:val="nil"/>
                  </w:tcBorders>
                  <w:noWrap w:val="0"/>
                  <w:vAlign w:val="center"/>
                </w:tcPr>
                <w:p w14:paraId="41D729A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进入城子河区污水处理厂</w:t>
                  </w:r>
                </w:p>
              </w:tc>
              <w:tc>
                <w:tcPr>
                  <w:tcW w:w="405" w:type="pct"/>
                  <w:tcBorders>
                    <w:tl2br w:val="nil"/>
                    <w:tr2bl w:val="nil"/>
                  </w:tcBorders>
                  <w:noWrap w:val="0"/>
                  <w:vAlign w:val="center"/>
                </w:tcPr>
                <w:p w14:paraId="5A5A836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间断排放，排放期间流量不稳定，但有周期性规律</w:t>
                  </w:r>
                </w:p>
              </w:tc>
              <w:tc>
                <w:tcPr>
                  <w:tcW w:w="384" w:type="pct"/>
                  <w:tcBorders>
                    <w:tl2br w:val="nil"/>
                    <w:tr2bl w:val="nil"/>
                  </w:tcBorders>
                  <w:noWrap w:val="0"/>
                  <w:vAlign w:val="center"/>
                </w:tcPr>
                <w:p w14:paraId="4BA4AC2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w:t>
                  </w:r>
                </w:p>
              </w:tc>
              <w:tc>
                <w:tcPr>
                  <w:tcW w:w="366" w:type="pct"/>
                  <w:tcBorders>
                    <w:tl2br w:val="nil"/>
                    <w:tr2bl w:val="nil"/>
                  </w:tcBorders>
                  <w:noWrap w:val="0"/>
                  <w:vAlign w:val="center"/>
                </w:tcPr>
                <w:p w14:paraId="03034DA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w:t>
                  </w:r>
                </w:p>
              </w:tc>
              <w:tc>
                <w:tcPr>
                  <w:tcW w:w="405" w:type="pct"/>
                  <w:tcBorders>
                    <w:tl2br w:val="nil"/>
                    <w:tr2bl w:val="nil"/>
                  </w:tcBorders>
                  <w:noWrap w:val="0"/>
                  <w:vAlign w:val="center"/>
                </w:tcPr>
                <w:p w14:paraId="4FD1CE6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w:t>
                  </w:r>
                </w:p>
              </w:tc>
              <w:tc>
                <w:tcPr>
                  <w:tcW w:w="554" w:type="pct"/>
                  <w:tcBorders>
                    <w:tl2br w:val="nil"/>
                    <w:tr2bl w:val="nil"/>
                  </w:tcBorders>
                  <w:noWrap w:val="0"/>
                  <w:vAlign w:val="center"/>
                </w:tcPr>
                <w:p w14:paraId="6FF8EF9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DW001</w:t>
                  </w:r>
                </w:p>
              </w:tc>
              <w:tc>
                <w:tcPr>
                  <w:tcW w:w="353" w:type="pct"/>
                  <w:tcBorders>
                    <w:tl2br w:val="nil"/>
                    <w:tr2bl w:val="nil"/>
                  </w:tcBorders>
                  <w:noWrap w:val="0"/>
                  <w:vAlign w:val="center"/>
                </w:tcPr>
                <w:p w14:paraId="4AEA759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间接排放</w:t>
                  </w:r>
                </w:p>
              </w:tc>
              <w:tc>
                <w:tcPr>
                  <w:tcW w:w="469" w:type="pct"/>
                  <w:tcBorders>
                    <w:tl2br w:val="nil"/>
                    <w:tr2bl w:val="nil"/>
                  </w:tcBorders>
                  <w:noWrap w:val="0"/>
                  <w:vAlign w:val="center"/>
                </w:tcPr>
                <w:p w14:paraId="56CCE69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sym w:font="Wingdings 2" w:char="F052"/>
                  </w:r>
                  <w:r>
                    <w:rPr>
                      <w:rFonts w:hint="default" w:ascii="Times New Roman" w:hAnsi="Times New Roman" w:eastAsia="宋体" w:cs="Times New Roman"/>
                      <w:caps w:val="0"/>
                      <w:color w:val="auto"/>
                      <w:spacing w:val="0"/>
                      <w:kern w:val="2"/>
                      <w:sz w:val="21"/>
                      <w:szCs w:val="21"/>
                      <w:highlight w:val="none"/>
                      <w:lang w:val="en-US" w:eastAsia="zh-CN" w:bidi="ar-SA"/>
                    </w:rPr>
                    <w:t>是</w:t>
                  </w:r>
                </w:p>
                <w:p w14:paraId="2D3929C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□否</w:t>
                  </w:r>
                </w:p>
              </w:tc>
              <w:tc>
                <w:tcPr>
                  <w:tcW w:w="494" w:type="pct"/>
                  <w:tcBorders>
                    <w:tl2br w:val="nil"/>
                    <w:tr2bl w:val="nil"/>
                  </w:tcBorders>
                  <w:noWrap w:val="0"/>
                  <w:vAlign w:val="center"/>
                </w:tcPr>
                <w:p w14:paraId="3A89791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sym w:font="Wingdings 2" w:char="F052"/>
                  </w:r>
                  <w:r>
                    <w:rPr>
                      <w:rFonts w:hint="default" w:ascii="Times New Roman" w:hAnsi="Times New Roman" w:eastAsia="宋体" w:cs="Times New Roman"/>
                      <w:caps w:val="0"/>
                      <w:color w:val="auto"/>
                      <w:spacing w:val="0"/>
                      <w:kern w:val="2"/>
                      <w:sz w:val="21"/>
                      <w:szCs w:val="21"/>
                      <w:highlight w:val="none"/>
                      <w:lang w:val="en-US" w:eastAsia="zh-CN" w:bidi="ar-SA"/>
                    </w:rPr>
                    <w:t>企业总排</w:t>
                  </w:r>
                </w:p>
                <w:p w14:paraId="2B53735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□雨水排放</w:t>
                  </w:r>
                </w:p>
                <w:p w14:paraId="3ADF07C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□清净下水排放</w:t>
                  </w:r>
                </w:p>
                <w:p w14:paraId="32E7E4B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□温排水排放</w:t>
                  </w:r>
                </w:p>
                <w:p w14:paraId="68B39D8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□车间或车间处理设施排放口</w:t>
                  </w:r>
                </w:p>
              </w:tc>
            </w:tr>
          </w:tbl>
          <w:p w14:paraId="77CB8108">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b/>
                <w:color w:val="auto"/>
                <w:spacing w:val="0"/>
                <w:sz w:val="24"/>
                <w:highlight w:val="none"/>
                <w:lang w:bidi="ar"/>
              </w:rPr>
            </w:pPr>
            <w:r>
              <w:rPr>
                <w:rFonts w:hint="default" w:ascii="Times New Roman" w:hAnsi="Times New Roman" w:eastAsia="宋体" w:cs="Times New Roman"/>
                <w:bCs/>
                <w:color w:val="auto"/>
                <w:spacing w:val="0"/>
                <w:sz w:val="24"/>
                <w:highlight w:val="none"/>
                <w:lang w:bidi="ar"/>
              </w:rPr>
              <w:t>废水排放口情况如下：</w:t>
            </w:r>
          </w:p>
          <w:p w14:paraId="25BE051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r>
              <w:rPr>
                <w:rFonts w:hint="default" w:ascii="Times New Roman" w:hAnsi="Times New Roman" w:eastAsia="宋体" w:cs="Times New Roman"/>
                <w:b/>
                <w:color w:val="auto"/>
                <w:spacing w:val="0"/>
                <w:sz w:val="21"/>
                <w:szCs w:val="21"/>
                <w:highlight w:val="none"/>
                <w:lang w:bidi="ar"/>
              </w:rPr>
              <w:t>表</w:t>
            </w:r>
            <w:r>
              <w:rPr>
                <w:rFonts w:hint="default" w:ascii="Times New Roman" w:hAnsi="Times New Roman" w:eastAsia="宋体" w:cs="Times New Roman"/>
                <w:b/>
                <w:color w:val="auto"/>
                <w:spacing w:val="0"/>
                <w:sz w:val="21"/>
                <w:szCs w:val="21"/>
                <w:highlight w:val="none"/>
                <w:lang w:val="en-US" w:eastAsia="zh-CN" w:bidi="ar"/>
              </w:rPr>
              <w:t>4-</w:t>
            </w:r>
            <w:r>
              <w:rPr>
                <w:rFonts w:hint="default" w:ascii="Times New Roman" w:hAnsi="Times New Roman" w:cs="Times New Roman"/>
                <w:b/>
                <w:color w:val="auto"/>
                <w:spacing w:val="0"/>
                <w:sz w:val="21"/>
                <w:szCs w:val="21"/>
                <w:highlight w:val="none"/>
                <w:lang w:val="en-US" w:eastAsia="zh-CN" w:bidi="ar"/>
              </w:rPr>
              <w:t>10</w:t>
            </w:r>
            <w:r>
              <w:rPr>
                <w:rFonts w:hint="default" w:ascii="Times New Roman" w:hAnsi="Times New Roman" w:eastAsia="宋体" w:cs="Times New Roman"/>
                <w:b/>
                <w:color w:val="auto"/>
                <w:spacing w:val="0"/>
                <w:sz w:val="21"/>
                <w:szCs w:val="21"/>
                <w:highlight w:val="none"/>
                <w:lang w:val="en-US" w:eastAsia="zh-CN" w:bidi="ar"/>
              </w:rPr>
              <w:t xml:space="preserve"> </w:t>
            </w:r>
            <w:r>
              <w:rPr>
                <w:rFonts w:hint="default" w:ascii="Times New Roman" w:hAnsi="Times New Roman" w:eastAsia="宋体" w:cs="Times New Roman"/>
                <w:b/>
                <w:color w:val="auto"/>
                <w:spacing w:val="0"/>
                <w:sz w:val="21"/>
                <w:szCs w:val="21"/>
                <w:highlight w:val="none"/>
                <w:lang w:bidi="ar"/>
              </w:rPr>
              <w:t>废水排放口基本情况一览表</w:t>
            </w:r>
          </w:p>
          <w:tbl>
            <w:tblPr>
              <w:tblStyle w:val="35"/>
              <w:tblW w:w="5000" w:type="pct"/>
              <w:jc w:val="center"/>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1283"/>
              <w:gridCol w:w="1345"/>
              <w:gridCol w:w="1557"/>
              <w:gridCol w:w="1058"/>
              <w:gridCol w:w="833"/>
              <w:gridCol w:w="1047"/>
            </w:tblGrid>
            <w:tr w14:paraId="14064D83">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57" w:type="pct"/>
                  <w:gridSpan w:val="4"/>
                  <w:tcBorders>
                    <w:tl2br w:val="nil"/>
                    <w:tr2bl w:val="nil"/>
                  </w:tcBorders>
                  <w:noWrap w:val="0"/>
                  <w:vAlign w:val="center"/>
                </w:tcPr>
                <w:p w14:paraId="3F36498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排放口基本情况</w:t>
                  </w:r>
                </w:p>
              </w:tc>
              <w:tc>
                <w:tcPr>
                  <w:tcW w:w="663" w:type="pct"/>
                  <w:vMerge w:val="restart"/>
                  <w:tcBorders>
                    <w:tl2br w:val="nil"/>
                    <w:tr2bl w:val="nil"/>
                  </w:tcBorders>
                  <w:noWrap w:val="0"/>
                  <w:vAlign w:val="center"/>
                </w:tcPr>
                <w:p w14:paraId="417CCAE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污染物种类</w:t>
                  </w:r>
                </w:p>
              </w:tc>
              <w:tc>
                <w:tcPr>
                  <w:tcW w:w="522" w:type="pct"/>
                  <w:vMerge w:val="restart"/>
                  <w:tcBorders>
                    <w:tl2br w:val="nil"/>
                    <w:tr2bl w:val="nil"/>
                  </w:tcBorders>
                  <w:noWrap w:val="0"/>
                  <w:vAlign w:val="center"/>
                </w:tcPr>
                <w:p w14:paraId="39B6466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排放标准</w:t>
                  </w:r>
                </w:p>
              </w:tc>
              <w:tc>
                <w:tcPr>
                  <w:tcW w:w="656" w:type="pct"/>
                  <w:vMerge w:val="restart"/>
                  <w:tcBorders>
                    <w:tl2br w:val="nil"/>
                    <w:tr2bl w:val="nil"/>
                  </w:tcBorders>
                  <w:noWrap w:val="0"/>
                  <w:vAlign w:val="center"/>
                </w:tcPr>
                <w:p w14:paraId="4346695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城子河区污水处理厂收水标准</w:t>
                  </w:r>
                </w:p>
              </w:tc>
            </w:tr>
            <w:tr w14:paraId="12606800">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4" w:type="pct"/>
                  <w:vMerge w:val="restart"/>
                  <w:tcBorders>
                    <w:tl2br w:val="nil"/>
                    <w:tr2bl w:val="nil"/>
                  </w:tcBorders>
                  <w:noWrap w:val="0"/>
                  <w:vAlign w:val="center"/>
                </w:tcPr>
                <w:p w14:paraId="11F8A78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编号及名称</w:t>
                  </w:r>
                </w:p>
              </w:tc>
              <w:tc>
                <w:tcPr>
                  <w:tcW w:w="804" w:type="pct"/>
                  <w:vMerge w:val="restart"/>
                  <w:tcBorders>
                    <w:tl2br w:val="nil"/>
                    <w:tr2bl w:val="nil"/>
                  </w:tcBorders>
                  <w:noWrap w:val="0"/>
                  <w:vAlign w:val="center"/>
                </w:tcPr>
                <w:p w14:paraId="468C269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类型</w:t>
                  </w:r>
                </w:p>
              </w:tc>
              <w:tc>
                <w:tcPr>
                  <w:tcW w:w="1819" w:type="pct"/>
                  <w:gridSpan w:val="2"/>
                  <w:tcBorders>
                    <w:tl2br w:val="nil"/>
                    <w:tr2bl w:val="nil"/>
                  </w:tcBorders>
                  <w:noWrap w:val="0"/>
                  <w:vAlign w:val="center"/>
                </w:tcPr>
                <w:p w14:paraId="5BEF92C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地理坐标/°</w:t>
                  </w:r>
                </w:p>
              </w:tc>
              <w:tc>
                <w:tcPr>
                  <w:tcW w:w="663" w:type="pct"/>
                  <w:vMerge w:val="continue"/>
                  <w:tcBorders>
                    <w:tl2br w:val="nil"/>
                    <w:tr2bl w:val="nil"/>
                  </w:tcBorders>
                  <w:noWrap w:val="0"/>
                  <w:vAlign w:val="center"/>
                </w:tcPr>
                <w:p w14:paraId="336809B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522" w:type="pct"/>
                  <w:vMerge w:val="continue"/>
                  <w:tcBorders>
                    <w:tl2br w:val="nil"/>
                    <w:tr2bl w:val="nil"/>
                  </w:tcBorders>
                  <w:noWrap w:val="0"/>
                  <w:vAlign w:val="center"/>
                </w:tcPr>
                <w:p w14:paraId="1251E5F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656" w:type="pct"/>
                  <w:vMerge w:val="continue"/>
                  <w:tcBorders>
                    <w:tl2br w:val="nil"/>
                    <w:tr2bl w:val="nil"/>
                  </w:tcBorders>
                  <w:noWrap w:val="0"/>
                  <w:vAlign w:val="center"/>
                </w:tcPr>
                <w:p w14:paraId="73FC4A1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r>
            <w:tr w14:paraId="44D85FFC">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4" w:type="pct"/>
                  <w:vMerge w:val="continue"/>
                  <w:tcBorders>
                    <w:tl2br w:val="nil"/>
                    <w:tr2bl w:val="nil"/>
                  </w:tcBorders>
                  <w:noWrap w:val="0"/>
                  <w:vAlign w:val="center"/>
                </w:tcPr>
                <w:p w14:paraId="74548CA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804" w:type="pct"/>
                  <w:vMerge w:val="continue"/>
                  <w:tcBorders>
                    <w:tl2br w:val="nil"/>
                    <w:tr2bl w:val="nil"/>
                  </w:tcBorders>
                  <w:noWrap w:val="0"/>
                  <w:vAlign w:val="center"/>
                </w:tcPr>
                <w:p w14:paraId="6B6885C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843" w:type="pct"/>
                  <w:tcBorders>
                    <w:tl2br w:val="nil"/>
                    <w:tr2bl w:val="nil"/>
                  </w:tcBorders>
                  <w:noWrap w:val="0"/>
                  <w:vAlign w:val="center"/>
                </w:tcPr>
                <w:p w14:paraId="29A250A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经度</w:t>
                  </w:r>
                </w:p>
              </w:tc>
              <w:tc>
                <w:tcPr>
                  <w:tcW w:w="976" w:type="pct"/>
                  <w:tcBorders>
                    <w:tl2br w:val="nil"/>
                    <w:tr2bl w:val="nil"/>
                  </w:tcBorders>
                  <w:noWrap w:val="0"/>
                  <w:vAlign w:val="center"/>
                </w:tcPr>
                <w:p w14:paraId="27FDE24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纬度</w:t>
                  </w:r>
                </w:p>
              </w:tc>
              <w:tc>
                <w:tcPr>
                  <w:tcW w:w="663" w:type="pct"/>
                  <w:vMerge w:val="continue"/>
                  <w:tcBorders>
                    <w:tl2br w:val="nil"/>
                    <w:tr2bl w:val="nil"/>
                  </w:tcBorders>
                  <w:noWrap w:val="0"/>
                  <w:vAlign w:val="center"/>
                </w:tcPr>
                <w:p w14:paraId="19BACFA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522" w:type="pct"/>
                  <w:vMerge w:val="continue"/>
                  <w:tcBorders>
                    <w:tl2br w:val="nil"/>
                    <w:tr2bl w:val="nil"/>
                  </w:tcBorders>
                  <w:noWrap w:val="0"/>
                  <w:vAlign w:val="center"/>
                </w:tcPr>
                <w:p w14:paraId="5453B95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656" w:type="pct"/>
                  <w:vMerge w:val="continue"/>
                  <w:tcBorders>
                    <w:tl2br w:val="nil"/>
                    <w:tr2bl w:val="nil"/>
                  </w:tcBorders>
                  <w:noWrap w:val="0"/>
                  <w:vAlign w:val="center"/>
                </w:tcPr>
                <w:p w14:paraId="25F8105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r>
            <w:tr w14:paraId="28840FFF">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5" w:hRule="exact"/>
                <w:jc w:val="center"/>
              </w:trPr>
              <w:tc>
                <w:tcPr>
                  <w:tcW w:w="534" w:type="pct"/>
                  <w:vMerge w:val="restart"/>
                  <w:tcBorders>
                    <w:tl2br w:val="nil"/>
                    <w:tr2bl w:val="nil"/>
                  </w:tcBorders>
                  <w:noWrap w:val="0"/>
                  <w:vAlign w:val="center"/>
                </w:tcPr>
                <w:p w14:paraId="61CB1D0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DW</w:t>
                  </w:r>
                </w:p>
                <w:p w14:paraId="260431F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001</w:t>
                  </w:r>
                </w:p>
              </w:tc>
              <w:tc>
                <w:tcPr>
                  <w:tcW w:w="804" w:type="pct"/>
                  <w:vMerge w:val="restart"/>
                  <w:tcBorders>
                    <w:tl2br w:val="nil"/>
                    <w:tr2bl w:val="nil"/>
                  </w:tcBorders>
                  <w:noWrap w:val="0"/>
                  <w:vAlign w:val="center"/>
                </w:tcPr>
                <w:p w14:paraId="4DD0922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污水总排口</w:t>
                  </w:r>
                </w:p>
              </w:tc>
              <w:tc>
                <w:tcPr>
                  <w:tcW w:w="843" w:type="pct"/>
                  <w:vMerge w:val="restart"/>
                  <w:tcBorders>
                    <w:tl2br w:val="nil"/>
                    <w:tr2bl w:val="nil"/>
                  </w:tcBorders>
                  <w:noWrap w:val="0"/>
                  <w:vAlign w:val="center"/>
                </w:tcPr>
                <w:p w14:paraId="764240D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131.013190</w:t>
                  </w:r>
                </w:p>
              </w:tc>
              <w:tc>
                <w:tcPr>
                  <w:tcW w:w="976" w:type="pct"/>
                  <w:vMerge w:val="restart"/>
                  <w:tcBorders>
                    <w:tl2br w:val="nil"/>
                    <w:tr2bl w:val="nil"/>
                  </w:tcBorders>
                  <w:noWrap w:val="0"/>
                  <w:vAlign w:val="center"/>
                </w:tcPr>
                <w:p w14:paraId="2929B64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45.348170</w:t>
                  </w:r>
                </w:p>
              </w:tc>
              <w:tc>
                <w:tcPr>
                  <w:tcW w:w="663" w:type="pct"/>
                  <w:tcBorders>
                    <w:tl2br w:val="nil"/>
                    <w:tr2bl w:val="nil"/>
                  </w:tcBorders>
                  <w:noWrap w:val="0"/>
                  <w:vAlign w:val="center"/>
                </w:tcPr>
                <w:p w14:paraId="593B4B1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CODcr</w:t>
                  </w:r>
                </w:p>
              </w:tc>
              <w:tc>
                <w:tcPr>
                  <w:tcW w:w="522" w:type="pct"/>
                  <w:tcBorders>
                    <w:tl2br w:val="nil"/>
                    <w:tr2bl w:val="nil"/>
                  </w:tcBorders>
                  <w:noWrap w:val="0"/>
                  <w:vAlign w:val="center"/>
                </w:tcPr>
                <w:p w14:paraId="6048A3E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eastAsia" w:ascii="Times New Roman" w:hAnsi="Times New Roman" w:cs="Times New Roman"/>
                      <w:caps w:val="0"/>
                      <w:color w:val="auto"/>
                      <w:spacing w:val="0"/>
                      <w:kern w:val="2"/>
                      <w:sz w:val="21"/>
                      <w:szCs w:val="21"/>
                      <w:highlight w:val="none"/>
                      <w:lang w:val="en-US" w:eastAsia="zh-CN" w:bidi="ar-SA"/>
                    </w:rPr>
                    <w:t>250</w:t>
                  </w:r>
                </w:p>
              </w:tc>
              <w:tc>
                <w:tcPr>
                  <w:tcW w:w="656" w:type="pct"/>
                  <w:tcBorders>
                    <w:tl2br w:val="nil"/>
                    <w:tr2bl w:val="nil"/>
                  </w:tcBorders>
                  <w:shd w:val="clear" w:color="auto" w:fill="auto"/>
                  <w:noWrap w:val="0"/>
                  <w:vAlign w:val="center"/>
                </w:tcPr>
                <w:p w14:paraId="4E723E3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eastAsia" w:ascii="Times New Roman" w:hAnsi="Times New Roman" w:cs="Times New Roman"/>
                      <w:caps w:val="0"/>
                      <w:color w:val="auto"/>
                      <w:spacing w:val="0"/>
                      <w:kern w:val="2"/>
                      <w:sz w:val="21"/>
                      <w:szCs w:val="21"/>
                      <w:highlight w:val="none"/>
                      <w:lang w:val="en-US" w:eastAsia="zh-CN" w:bidi="ar-SA"/>
                    </w:rPr>
                    <w:t>250</w:t>
                  </w:r>
                </w:p>
              </w:tc>
            </w:tr>
            <w:tr w14:paraId="62108336">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34" w:type="pct"/>
                  <w:vMerge w:val="continue"/>
                  <w:tcBorders>
                    <w:tl2br w:val="nil"/>
                    <w:tr2bl w:val="nil"/>
                  </w:tcBorders>
                  <w:noWrap w:val="0"/>
                  <w:vAlign w:val="center"/>
                </w:tcPr>
                <w:p w14:paraId="6A760B1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804" w:type="pct"/>
                  <w:vMerge w:val="continue"/>
                  <w:tcBorders>
                    <w:tl2br w:val="nil"/>
                    <w:tr2bl w:val="nil"/>
                  </w:tcBorders>
                  <w:noWrap w:val="0"/>
                  <w:vAlign w:val="center"/>
                </w:tcPr>
                <w:p w14:paraId="6ECFC63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843" w:type="pct"/>
                  <w:vMerge w:val="continue"/>
                  <w:tcBorders>
                    <w:tl2br w:val="nil"/>
                    <w:tr2bl w:val="nil"/>
                  </w:tcBorders>
                  <w:noWrap w:val="0"/>
                  <w:vAlign w:val="center"/>
                </w:tcPr>
                <w:p w14:paraId="2D6A0DF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976" w:type="pct"/>
                  <w:vMerge w:val="continue"/>
                  <w:tcBorders>
                    <w:tl2br w:val="nil"/>
                    <w:tr2bl w:val="nil"/>
                  </w:tcBorders>
                  <w:noWrap w:val="0"/>
                  <w:vAlign w:val="center"/>
                </w:tcPr>
                <w:p w14:paraId="4E32D6C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663" w:type="pct"/>
                  <w:tcBorders>
                    <w:tl2br w:val="nil"/>
                    <w:tr2bl w:val="nil"/>
                  </w:tcBorders>
                  <w:noWrap w:val="0"/>
                  <w:vAlign w:val="center"/>
                </w:tcPr>
                <w:p w14:paraId="40C1E21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TDS</w:t>
                  </w:r>
                </w:p>
              </w:tc>
              <w:tc>
                <w:tcPr>
                  <w:tcW w:w="522" w:type="pct"/>
                  <w:tcBorders>
                    <w:tl2br w:val="nil"/>
                    <w:tr2bl w:val="nil"/>
                  </w:tcBorders>
                  <w:noWrap w:val="0"/>
                  <w:vAlign w:val="center"/>
                </w:tcPr>
                <w:p w14:paraId="6DCDEDB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w:t>
                  </w:r>
                </w:p>
              </w:tc>
              <w:tc>
                <w:tcPr>
                  <w:tcW w:w="656" w:type="pct"/>
                  <w:tcBorders>
                    <w:tl2br w:val="nil"/>
                    <w:tr2bl w:val="nil"/>
                  </w:tcBorders>
                  <w:noWrap w:val="0"/>
                  <w:vAlign w:val="center"/>
                </w:tcPr>
                <w:p w14:paraId="74B8E88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w:t>
                  </w:r>
                </w:p>
              </w:tc>
            </w:tr>
          </w:tbl>
          <w:p w14:paraId="42EEE7B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caps w:val="0"/>
                <w:color w:val="auto"/>
                <w:spacing w:val="0"/>
                <w:sz w:val="24"/>
                <w:highlight w:val="none"/>
                <w:lang w:val="en-US" w:eastAsia="zh-CN"/>
              </w:rPr>
            </w:pPr>
            <w:r>
              <w:rPr>
                <w:rFonts w:hint="default" w:ascii="Times New Roman" w:hAnsi="Times New Roman" w:eastAsia="宋体" w:cs="Times New Roman"/>
                <w:b w:val="0"/>
                <w:bCs/>
                <w:caps w:val="0"/>
                <w:color w:val="auto"/>
                <w:spacing w:val="0"/>
                <w:sz w:val="24"/>
                <w:highlight w:val="none"/>
                <w:lang w:val="en-US" w:eastAsia="zh-CN"/>
              </w:rPr>
              <w:t>废水排放达标情况如下：</w:t>
            </w:r>
          </w:p>
          <w:p w14:paraId="1AEF7A40">
            <w:pPr>
              <w:adjustRightInd w:val="0"/>
              <w:snapToGrid w:val="0"/>
              <w:spacing w:line="240" w:lineRule="auto"/>
              <w:jc w:val="center"/>
              <w:rPr>
                <w:rFonts w:hint="default" w:ascii="Times New Roman" w:hAnsi="Times New Roman" w:eastAsia="宋体" w:cs="Times New Roman"/>
                <w:b/>
                <w:caps w:val="0"/>
                <w:color w:val="auto"/>
                <w:spacing w:val="0"/>
                <w:sz w:val="21"/>
                <w:szCs w:val="21"/>
                <w:highlight w:val="none"/>
              </w:rPr>
            </w:pPr>
            <w:r>
              <w:rPr>
                <w:rFonts w:hint="default" w:ascii="Times New Roman" w:hAnsi="Times New Roman" w:eastAsia="宋体" w:cs="Times New Roman"/>
                <w:b/>
                <w:caps w:val="0"/>
                <w:color w:val="auto"/>
                <w:spacing w:val="0"/>
                <w:sz w:val="21"/>
                <w:szCs w:val="21"/>
                <w:highlight w:val="none"/>
              </w:rPr>
              <w:t>表4-</w:t>
            </w:r>
            <w:r>
              <w:rPr>
                <w:rFonts w:hint="default" w:ascii="Times New Roman" w:hAnsi="Times New Roman" w:eastAsia="宋体" w:cs="Times New Roman"/>
                <w:b/>
                <w:caps w:val="0"/>
                <w:color w:val="auto"/>
                <w:spacing w:val="0"/>
                <w:sz w:val="21"/>
                <w:szCs w:val="21"/>
                <w:highlight w:val="none"/>
                <w:lang w:val="en-US" w:eastAsia="zh-CN"/>
              </w:rPr>
              <w:t>1</w:t>
            </w:r>
            <w:r>
              <w:rPr>
                <w:rFonts w:hint="default" w:ascii="Times New Roman" w:hAnsi="Times New Roman" w:cs="Times New Roman"/>
                <w:b/>
                <w:caps w:val="0"/>
                <w:color w:val="auto"/>
                <w:spacing w:val="0"/>
                <w:sz w:val="21"/>
                <w:szCs w:val="21"/>
                <w:highlight w:val="none"/>
                <w:lang w:val="en-US" w:eastAsia="zh-CN"/>
              </w:rPr>
              <w:t>1</w:t>
            </w:r>
            <w:r>
              <w:rPr>
                <w:rFonts w:hint="default" w:ascii="Times New Roman" w:hAnsi="Times New Roman" w:eastAsia="宋体" w:cs="Times New Roman"/>
                <w:b/>
                <w:caps w:val="0"/>
                <w:color w:val="auto"/>
                <w:spacing w:val="0"/>
                <w:sz w:val="21"/>
                <w:szCs w:val="21"/>
                <w:highlight w:val="none"/>
              </w:rPr>
              <w:t xml:space="preserve">  废水污染物排放情况一览表单位：mg/L（pH</w:t>
            </w:r>
            <w:r>
              <w:rPr>
                <w:rFonts w:hint="default" w:ascii="Times New Roman" w:hAnsi="Times New Roman" w:eastAsia="宋体" w:cs="Times New Roman"/>
                <w:b/>
                <w:caps w:val="0"/>
                <w:color w:val="auto"/>
                <w:spacing w:val="0"/>
                <w:sz w:val="21"/>
                <w:szCs w:val="21"/>
                <w:highlight w:val="none"/>
                <w:lang w:val="en-US" w:eastAsia="zh-CN"/>
              </w:rPr>
              <w:t>除外</w:t>
            </w:r>
            <w:r>
              <w:rPr>
                <w:rFonts w:hint="default" w:ascii="Times New Roman" w:hAnsi="Times New Roman" w:eastAsia="宋体" w:cs="Times New Roman"/>
                <w:b/>
                <w:caps w:val="0"/>
                <w:color w:val="auto"/>
                <w:spacing w:val="0"/>
                <w:sz w:val="21"/>
                <w:szCs w:val="21"/>
                <w:highlight w:val="none"/>
              </w:rPr>
              <w:t>）</w:t>
            </w:r>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30"/>
              <w:gridCol w:w="1515"/>
              <w:gridCol w:w="1515"/>
              <w:gridCol w:w="1702"/>
            </w:tblGrid>
            <w:tr w14:paraId="4FB9F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27" w:type="pct"/>
                  <w:tcBorders>
                    <w:top w:val="single" w:color="auto" w:sz="12" w:space="0"/>
                    <w:left w:val="nil"/>
                  </w:tcBorders>
                  <w:noWrap w:val="0"/>
                  <w:vAlign w:val="center"/>
                </w:tcPr>
                <w:p w14:paraId="50F72F5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水质指标</w:t>
                  </w:r>
                </w:p>
              </w:tc>
              <w:tc>
                <w:tcPr>
                  <w:tcW w:w="951" w:type="pct"/>
                  <w:tcBorders>
                    <w:top w:val="single" w:color="auto" w:sz="12" w:space="0"/>
                  </w:tcBorders>
                  <w:noWrap w:val="0"/>
                  <w:vAlign w:val="center"/>
                </w:tcPr>
                <w:p w14:paraId="59C1EF5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pH</w:t>
                  </w:r>
                </w:p>
              </w:tc>
              <w:tc>
                <w:tcPr>
                  <w:tcW w:w="951" w:type="pct"/>
                  <w:tcBorders>
                    <w:top w:val="single" w:color="auto" w:sz="12" w:space="0"/>
                  </w:tcBorders>
                  <w:noWrap w:val="0"/>
                  <w:vAlign w:val="center"/>
                </w:tcPr>
                <w:p w14:paraId="3B601AA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CODcr</w:t>
                  </w:r>
                </w:p>
              </w:tc>
              <w:tc>
                <w:tcPr>
                  <w:tcW w:w="1068" w:type="pct"/>
                  <w:tcBorders>
                    <w:top w:val="single" w:color="auto" w:sz="12" w:space="0"/>
                  </w:tcBorders>
                  <w:noWrap w:val="0"/>
                  <w:vAlign w:val="center"/>
                </w:tcPr>
                <w:p w14:paraId="678E429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TDS</w:t>
                  </w:r>
                </w:p>
              </w:tc>
            </w:tr>
            <w:tr w14:paraId="1F21B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27" w:type="pct"/>
                  <w:tcBorders>
                    <w:left w:val="nil"/>
                  </w:tcBorders>
                  <w:noWrap w:val="0"/>
                  <w:vAlign w:val="center"/>
                </w:tcPr>
                <w:p w14:paraId="0961A3C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锅炉</w:t>
                  </w:r>
                  <w:r>
                    <w:rPr>
                      <w:rFonts w:hint="eastAsia" w:ascii="Times New Roman" w:hAnsi="Times New Roman" w:cs="Times New Roman"/>
                      <w:caps w:val="0"/>
                      <w:color w:val="auto"/>
                      <w:spacing w:val="0"/>
                      <w:kern w:val="2"/>
                      <w:sz w:val="21"/>
                      <w:szCs w:val="21"/>
                      <w:highlight w:val="none"/>
                      <w:lang w:val="en-US" w:eastAsia="zh-CN" w:bidi="ar-SA"/>
                    </w:rPr>
                    <w:t>污</w:t>
                  </w:r>
                  <w:r>
                    <w:rPr>
                      <w:rFonts w:hint="default" w:ascii="Times New Roman" w:hAnsi="Times New Roman" w:eastAsia="宋体" w:cs="Times New Roman"/>
                      <w:caps w:val="0"/>
                      <w:color w:val="auto"/>
                      <w:spacing w:val="0"/>
                      <w:kern w:val="2"/>
                      <w:sz w:val="21"/>
                      <w:szCs w:val="21"/>
                      <w:highlight w:val="none"/>
                      <w:lang w:val="en-US" w:eastAsia="zh-CN" w:bidi="ar-SA"/>
                    </w:rPr>
                    <w:t>水</w:t>
                  </w:r>
                </w:p>
              </w:tc>
              <w:tc>
                <w:tcPr>
                  <w:tcW w:w="951" w:type="pct"/>
                  <w:noWrap w:val="0"/>
                  <w:vAlign w:val="center"/>
                </w:tcPr>
                <w:p w14:paraId="44E9238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6-9</w:t>
                  </w:r>
                </w:p>
              </w:tc>
              <w:tc>
                <w:tcPr>
                  <w:tcW w:w="951" w:type="pct"/>
                  <w:noWrap w:val="0"/>
                  <w:vAlign w:val="center"/>
                </w:tcPr>
                <w:p w14:paraId="495FE2B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eastAsia" w:ascii="Times New Roman" w:hAnsi="Times New Roman" w:cs="Times New Roman"/>
                      <w:caps w:val="0"/>
                      <w:color w:val="auto"/>
                      <w:spacing w:val="0"/>
                      <w:kern w:val="2"/>
                      <w:sz w:val="21"/>
                      <w:szCs w:val="21"/>
                      <w:highlight w:val="none"/>
                      <w:lang w:val="en-US" w:eastAsia="zh-CN" w:bidi="ar-SA"/>
                    </w:rPr>
                    <w:t>8.07</w:t>
                  </w:r>
                </w:p>
              </w:tc>
              <w:tc>
                <w:tcPr>
                  <w:tcW w:w="1068" w:type="pct"/>
                  <w:noWrap w:val="0"/>
                  <w:vAlign w:val="center"/>
                </w:tcPr>
                <w:p w14:paraId="069F03F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1200</w:t>
                  </w:r>
                </w:p>
              </w:tc>
            </w:tr>
            <w:tr w14:paraId="337BE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27" w:type="pct"/>
                  <w:tcBorders>
                    <w:left w:val="nil"/>
                    <w:bottom w:val="single" w:color="auto" w:sz="12" w:space="0"/>
                  </w:tcBorders>
                  <w:noWrap w:val="0"/>
                  <w:vAlign w:val="center"/>
                </w:tcPr>
                <w:p w14:paraId="49C21F9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eastAsia" w:ascii="Times New Roman" w:hAnsi="Times New Roman" w:eastAsia="宋体" w:cs="Times New Roman"/>
                      <w:caps w:val="0"/>
                      <w:color w:val="auto"/>
                      <w:spacing w:val="0"/>
                      <w:kern w:val="2"/>
                      <w:sz w:val="21"/>
                      <w:szCs w:val="21"/>
                      <w:highlight w:val="none"/>
                      <w:lang w:val="en-US" w:eastAsia="zh-CN" w:bidi="ar-SA"/>
                    </w:rPr>
                    <w:t>《医疗机构水污染物排放标准》（GB18466-2005）</w:t>
                  </w:r>
                </w:p>
              </w:tc>
              <w:tc>
                <w:tcPr>
                  <w:tcW w:w="951" w:type="pct"/>
                  <w:tcBorders>
                    <w:bottom w:val="single" w:color="auto" w:sz="12" w:space="0"/>
                  </w:tcBorders>
                  <w:noWrap w:val="0"/>
                  <w:vAlign w:val="center"/>
                </w:tcPr>
                <w:p w14:paraId="0676FB9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6-9</w:t>
                  </w:r>
                </w:p>
              </w:tc>
              <w:tc>
                <w:tcPr>
                  <w:tcW w:w="951" w:type="pct"/>
                  <w:tcBorders>
                    <w:bottom w:val="single" w:color="auto" w:sz="12" w:space="0"/>
                  </w:tcBorders>
                  <w:noWrap w:val="0"/>
                  <w:vAlign w:val="center"/>
                </w:tcPr>
                <w:p w14:paraId="58C58E6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eastAsia" w:ascii="Times New Roman" w:hAnsi="Times New Roman" w:cs="Times New Roman"/>
                      <w:caps w:val="0"/>
                      <w:color w:val="auto"/>
                      <w:spacing w:val="0"/>
                      <w:kern w:val="2"/>
                      <w:sz w:val="21"/>
                      <w:szCs w:val="21"/>
                      <w:highlight w:val="none"/>
                      <w:lang w:val="en-US" w:eastAsia="zh-CN" w:bidi="ar-SA"/>
                    </w:rPr>
                    <w:t>250</w:t>
                  </w:r>
                </w:p>
              </w:tc>
              <w:tc>
                <w:tcPr>
                  <w:tcW w:w="1068" w:type="pct"/>
                  <w:tcBorders>
                    <w:bottom w:val="single" w:color="auto" w:sz="12" w:space="0"/>
                  </w:tcBorders>
                  <w:noWrap w:val="0"/>
                  <w:vAlign w:val="center"/>
                </w:tcPr>
                <w:p w14:paraId="2E87E7B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w:t>
                  </w:r>
                </w:p>
              </w:tc>
            </w:tr>
          </w:tbl>
          <w:p w14:paraId="774E70BE">
            <w:pPr>
              <w:pStyle w:val="9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jc w:val="left"/>
              <w:textAlignment w:val="baseline"/>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aps w:val="0"/>
                <w:color w:val="auto"/>
                <w:spacing w:val="0"/>
                <w:sz w:val="24"/>
                <w:szCs w:val="24"/>
                <w:highlight w:val="none"/>
                <w:lang w:val="en-US" w:eastAsia="zh-CN"/>
              </w:rPr>
              <w:t>外排废水满足</w:t>
            </w:r>
            <w:r>
              <w:rPr>
                <w:rFonts w:hint="default" w:ascii="Times New Roman" w:hAnsi="Times New Roman" w:eastAsia="宋体" w:cs="Times New Roman"/>
                <w:caps w:val="0"/>
                <w:snapToGrid w:val="0"/>
                <w:color w:val="auto"/>
                <w:spacing w:val="0"/>
                <w:sz w:val="24"/>
                <w:szCs w:val="24"/>
                <w:highlight w:val="none"/>
                <w:lang w:val="en-US" w:eastAsia="zh-CN"/>
              </w:rPr>
              <w:t>城子河区</w:t>
            </w:r>
            <w:r>
              <w:rPr>
                <w:rFonts w:hint="default" w:ascii="Times New Roman" w:hAnsi="Times New Roman" w:cs="Times New Roman"/>
                <w:caps w:val="0"/>
                <w:snapToGrid w:val="0"/>
                <w:color w:val="auto"/>
                <w:spacing w:val="0"/>
                <w:sz w:val="24"/>
                <w:szCs w:val="24"/>
                <w:highlight w:val="none"/>
                <w:lang w:val="en-US" w:eastAsia="zh-CN"/>
              </w:rPr>
              <w:t>污水处理厂</w:t>
            </w:r>
            <w:r>
              <w:rPr>
                <w:rFonts w:hint="default" w:ascii="Times New Roman" w:hAnsi="Times New Roman" w:eastAsia="宋体" w:cs="Times New Roman"/>
                <w:caps w:val="0"/>
                <w:snapToGrid w:val="0"/>
                <w:color w:val="auto"/>
                <w:spacing w:val="0"/>
                <w:sz w:val="24"/>
                <w:szCs w:val="24"/>
                <w:highlight w:val="none"/>
                <w:lang w:val="en-US" w:eastAsia="zh-CN"/>
              </w:rPr>
              <w:t>收水标准。外排废水去向合理，</w:t>
            </w:r>
            <w:r>
              <w:rPr>
                <w:rFonts w:hint="default" w:ascii="Times New Roman" w:hAnsi="Times New Roman" w:eastAsia="宋体" w:cs="Times New Roman"/>
                <w:bCs/>
                <w:caps w:val="0"/>
                <w:color w:val="auto"/>
                <w:spacing w:val="0"/>
                <w:kern w:val="0"/>
                <w:sz w:val="24"/>
                <w:highlight w:val="none"/>
              </w:rPr>
              <w:t>不会对周围环境产生明显的不利影响。</w:t>
            </w:r>
          </w:p>
          <w:p w14:paraId="7D037F55">
            <w:pPr>
              <w:pStyle w:val="9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2" w:firstLineChars="200"/>
              <w:jc w:val="left"/>
              <w:textAlignment w:val="baseline"/>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eastAsia="宋体" w:cs="Times New Roman"/>
                <w:b/>
                <w:bCs w:val="0"/>
                <w:color w:val="auto"/>
                <w:spacing w:val="0"/>
                <w:sz w:val="24"/>
                <w:szCs w:val="24"/>
                <w:highlight w:val="none"/>
                <w:lang w:val="en-US" w:eastAsia="zh-CN"/>
              </w:rPr>
              <w:t>2.</w:t>
            </w:r>
            <w:r>
              <w:rPr>
                <w:rFonts w:hint="default" w:ascii="Times New Roman" w:hAnsi="Times New Roman" w:cs="Times New Roman"/>
                <w:b/>
                <w:bCs w:val="0"/>
                <w:color w:val="auto"/>
                <w:spacing w:val="0"/>
                <w:sz w:val="24"/>
                <w:szCs w:val="24"/>
                <w:highlight w:val="none"/>
                <w:lang w:val="en-US" w:eastAsia="zh-CN"/>
              </w:rPr>
              <w:t>3</w:t>
            </w:r>
            <w:r>
              <w:rPr>
                <w:rFonts w:hint="default" w:ascii="Times New Roman" w:hAnsi="Times New Roman" w:eastAsia="宋体" w:cs="Times New Roman"/>
                <w:b/>
                <w:bCs w:val="0"/>
                <w:color w:val="auto"/>
                <w:spacing w:val="0"/>
                <w:sz w:val="24"/>
                <w:szCs w:val="24"/>
                <w:highlight w:val="none"/>
                <w:lang w:val="en-US" w:eastAsia="zh-CN"/>
              </w:rPr>
              <w:t>依托污水处理厂可行性分析</w:t>
            </w:r>
          </w:p>
          <w:p w14:paraId="1E661F5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kern w:val="0"/>
                <w:sz w:val="24"/>
                <w:szCs w:val="24"/>
                <w:highlight w:val="none"/>
                <w:lang w:val="en-US"/>
              </w:rPr>
            </w:pPr>
            <w:r>
              <w:rPr>
                <w:rFonts w:hint="default" w:ascii="Times New Roman" w:hAnsi="Times New Roman" w:cs="Times New Roman"/>
                <w:color w:val="auto"/>
                <w:szCs w:val="21"/>
                <w:highlight w:val="none"/>
                <w:shd w:val="clear" w:color="auto" w:fill="FFFFFF"/>
              </w:rPr>
              <w:t>城子河区污水处理厂位于鸡西市城子河区永丰乡新华村东侧建鸡高速北侧，采用“格栅调节-AAO生物处理-沉淀-TF过滤-消毒”的工艺，污水设计处理规模为20000m</w:t>
            </w:r>
            <w:r>
              <w:rPr>
                <w:rFonts w:hint="default" w:ascii="Times New Roman" w:hAnsi="Times New Roman" w:cs="Times New Roman"/>
                <w:color w:val="auto"/>
                <w:szCs w:val="21"/>
                <w:highlight w:val="none"/>
                <w:shd w:val="clear" w:color="auto" w:fill="FFFFFF"/>
                <w:vertAlign w:val="superscript"/>
              </w:rPr>
              <w:t>3</w:t>
            </w:r>
            <w:r>
              <w:rPr>
                <w:rFonts w:hint="default" w:ascii="Times New Roman" w:hAnsi="Times New Roman" w:cs="Times New Roman"/>
                <w:color w:val="auto"/>
                <w:szCs w:val="21"/>
                <w:highlight w:val="none"/>
                <w:shd w:val="clear" w:color="auto" w:fill="FFFFFF"/>
              </w:rPr>
              <w:t>/d，出水满足《城镇污水处理厂污染物排放标准》(GB19818-2002)一级A标准后排入穆棱河。排污口行政许可审批文号：鸡排污口许可(2019)1号。排污许可编号：11230306001730902L003V，环保手续齐全。根据2024年排污许可执行报告（年报），污水处理厂达标排放，满足总量控制要求。</w:t>
            </w:r>
            <w:r>
              <w:rPr>
                <w:rFonts w:hint="default" w:ascii="Times New Roman" w:hAnsi="Times New Roman" w:cs="Times New Roman"/>
                <w:color w:val="auto"/>
                <w:szCs w:val="21"/>
                <w:highlight w:val="none"/>
                <w:shd w:val="clear" w:color="auto" w:fill="FFFFFF"/>
                <w:lang w:val="en-US" w:eastAsia="zh-CN"/>
              </w:rPr>
              <w:t>目前该</w:t>
            </w:r>
            <w:r>
              <w:rPr>
                <w:rFonts w:hint="default" w:ascii="Times New Roman" w:hAnsi="Times New Roman" w:eastAsia="宋体" w:cs="Times New Roman"/>
                <w:color w:val="auto"/>
                <w:szCs w:val="21"/>
                <w:highlight w:val="none"/>
                <w:shd w:val="clear" w:color="auto" w:fill="FFFFFF"/>
                <w:lang w:val="en-US" w:eastAsia="zh-CN"/>
              </w:rPr>
              <w:t>污水处理厂尚有9856</w:t>
            </w:r>
            <w:r>
              <w:rPr>
                <w:rFonts w:hint="default" w:ascii="Times New Roman" w:hAnsi="Times New Roman" w:eastAsia="宋体" w:cs="Times New Roman"/>
                <w:color w:val="auto"/>
                <w:szCs w:val="21"/>
                <w:highlight w:val="none"/>
                <w:shd w:val="clear" w:color="auto" w:fill="FFFFFF"/>
              </w:rPr>
              <w:t>m</w:t>
            </w:r>
            <w:r>
              <w:rPr>
                <w:rFonts w:hint="default" w:ascii="Times New Roman" w:hAnsi="Times New Roman" w:eastAsia="宋体" w:cs="Times New Roman"/>
                <w:color w:val="auto"/>
                <w:szCs w:val="21"/>
                <w:highlight w:val="none"/>
                <w:shd w:val="clear" w:color="auto" w:fill="FFFFFF"/>
                <w:vertAlign w:val="superscript"/>
              </w:rPr>
              <w:t>3</w:t>
            </w:r>
            <w:r>
              <w:rPr>
                <w:rFonts w:hint="default" w:ascii="Times New Roman" w:hAnsi="Times New Roman" w:eastAsia="宋体" w:cs="Times New Roman"/>
                <w:color w:val="auto"/>
                <w:szCs w:val="21"/>
                <w:highlight w:val="none"/>
                <w:shd w:val="clear" w:color="auto" w:fill="FFFFFF"/>
              </w:rPr>
              <w:t>/d</w:t>
            </w:r>
            <w:r>
              <w:rPr>
                <w:rFonts w:hint="default" w:ascii="Times New Roman" w:hAnsi="Times New Roman" w:eastAsia="宋体" w:cs="Times New Roman"/>
                <w:color w:val="auto"/>
                <w:szCs w:val="21"/>
                <w:highlight w:val="none"/>
                <w:shd w:val="clear" w:color="auto" w:fill="FFFFFF"/>
                <w:lang w:val="en-US" w:eastAsia="zh-CN"/>
              </w:rPr>
              <w:t>余量，</w:t>
            </w:r>
            <w:r>
              <w:rPr>
                <w:rFonts w:hint="default" w:ascii="Times New Roman" w:hAnsi="Times New Roman" w:eastAsia="宋体" w:cs="Times New Roman"/>
                <w:color w:val="auto"/>
                <w:szCs w:val="21"/>
                <w:highlight w:val="none"/>
                <w:shd w:val="clear" w:color="auto" w:fill="FFFFFF"/>
              </w:rPr>
              <w:t>本项目排水量为</w:t>
            </w:r>
            <w:r>
              <w:rPr>
                <w:rFonts w:hint="eastAsia" w:ascii="Times New Roman" w:hAnsi="Times New Roman" w:cs="Times New Roman"/>
                <w:color w:val="auto"/>
                <w:szCs w:val="21"/>
                <w:highlight w:val="none"/>
                <w:shd w:val="clear" w:color="auto" w:fill="FFFFFF"/>
                <w:lang w:val="en-US" w:eastAsia="zh-CN"/>
              </w:rPr>
              <w:t>30.94</w:t>
            </w:r>
            <w:r>
              <w:rPr>
                <w:rFonts w:hint="default" w:ascii="Times New Roman" w:hAnsi="Times New Roman" w:eastAsia="宋体" w:cs="Times New Roman"/>
                <w:color w:val="auto"/>
                <w:szCs w:val="21"/>
                <w:highlight w:val="none"/>
                <w:shd w:val="clear" w:color="auto" w:fill="FFFFFF"/>
                <w:lang w:val="en-US" w:eastAsia="zh-CN"/>
              </w:rPr>
              <w:t>t</w:t>
            </w:r>
            <w:r>
              <w:rPr>
                <w:rFonts w:hint="default" w:ascii="Times New Roman" w:hAnsi="Times New Roman" w:eastAsia="宋体" w:cs="Times New Roman"/>
                <w:color w:val="auto"/>
                <w:szCs w:val="21"/>
                <w:highlight w:val="none"/>
                <w:shd w:val="clear" w:color="auto" w:fill="FFFFFF"/>
              </w:rPr>
              <w:t>/</w:t>
            </w:r>
            <w:r>
              <w:rPr>
                <w:rFonts w:hint="default" w:ascii="Times New Roman" w:hAnsi="Times New Roman" w:eastAsia="宋体" w:cs="Times New Roman"/>
                <w:color w:val="auto"/>
                <w:szCs w:val="21"/>
                <w:highlight w:val="none"/>
                <w:shd w:val="clear" w:color="auto" w:fill="FFFFFF"/>
                <w:lang w:val="en-US" w:eastAsia="zh-CN"/>
              </w:rPr>
              <w:t>d</w:t>
            </w:r>
            <w:r>
              <w:rPr>
                <w:rFonts w:hint="default" w:ascii="Times New Roman" w:hAnsi="Times New Roman" w:eastAsia="宋体" w:cs="Times New Roman"/>
                <w:color w:val="auto"/>
                <w:szCs w:val="21"/>
                <w:highlight w:val="none"/>
                <w:shd w:val="clear" w:color="auto" w:fill="FFFFFF"/>
              </w:rPr>
              <w:t>，</w:t>
            </w:r>
            <w:r>
              <w:rPr>
                <w:rFonts w:hint="eastAsia" w:ascii="Times New Roman" w:hAnsi="Times New Roman" w:eastAsia="宋体" w:cs="Times New Roman"/>
                <w:color w:val="auto"/>
                <w:szCs w:val="21"/>
                <w:highlight w:val="none"/>
                <w:shd w:val="clear" w:color="auto" w:fill="FFFFFF"/>
                <w:lang w:val="en-US" w:eastAsia="zh-CN"/>
              </w:rPr>
              <w:t>污水排放执行《医疗机构水污染物排放标准》（GB18466-2005）</w:t>
            </w:r>
            <w:r>
              <w:rPr>
                <w:rFonts w:hint="eastAsia" w:ascii="Times New Roman" w:hAnsi="Times New Roman" w:cs="Times New Roman"/>
                <w:color w:val="auto"/>
                <w:szCs w:val="21"/>
                <w:highlight w:val="none"/>
                <w:shd w:val="clear" w:color="auto" w:fill="FFFFFF"/>
                <w:lang w:val="en-US" w:eastAsia="zh-CN"/>
              </w:rPr>
              <w:t>表2</w:t>
            </w:r>
            <w:r>
              <w:rPr>
                <w:rFonts w:hint="eastAsia" w:ascii="Times New Roman" w:hAnsi="Times New Roman" w:eastAsia="宋体" w:cs="Times New Roman"/>
                <w:color w:val="auto"/>
                <w:szCs w:val="21"/>
                <w:highlight w:val="none"/>
                <w:shd w:val="clear" w:color="auto" w:fill="FFFFFF"/>
                <w:lang w:val="en-US" w:eastAsia="zh-CN"/>
              </w:rPr>
              <w:t>中预处理标准，</w:t>
            </w:r>
            <w:r>
              <w:rPr>
                <w:rFonts w:hint="default" w:ascii="Times New Roman" w:hAnsi="Times New Roman" w:eastAsia="宋体" w:cs="Times New Roman"/>
                <w:color w:val="auto"/>
                <w:szCs w:val="21"/>
                <w:highlight w:val="none"/>
                <w:shd w:val="clear" w:color="auto" w:fill="FFFFFF"/>
              </w:rPr>
              <w:t>鸡西市城子河区污水处理厂进水水质指标（SS≤210mg/L、COD≤345mg/L、BOD5≤210mg/L、氨氮≤30mg/L），</w:t>
            </w:r>
            <w:r>
              <w:rPr>
                <w:rFonts w:hint="eastAsia" w:ascii="Times New Roman" w:hAnsi="Times New Roman" w:eastAsia="宋体" w:cs="Times New Roman"/>
                <w:color w:val="auto"/>
                <w:szCs w:val="21"/>
                <w:highlight w:val="none"/>
                <w:shd w:val="clear" w:color="auto" w:fill="FFFFFF"/>
                <w:lang w:val="en-US" w:eastAsia="zh-CN"/>
              </w:rPr>
              <w:t>本项目污染物排放浓度</w:t>
            </w:r>
            <w:r>
              <w:rPr>
                <w:rFonts w:hint="eastAsia" w:ascii="Times New Roman" w:hAnsi="Times New Roman" w:cs="Times New Roman"/>
                <w:color w:val="auto"/>
                <w:szCs w:val="21"/>
                <w:highlight w:val="none"/>
                <w:shd w:val="clear" w:color="auto" w:fill="FFFFFF"/>
                <w:lang w:val="en-US" w:eastAsia="zh-CN"/>
              </w:rPr>
              <w:t>限值低</w:t>
            </w:r>
            <w:r>
              <w:rPr>
                <w:rFonts w:hint="eastAsia" w:ascii="Times New Roman" w:hAnsi="Times New Roman" w:eastAsia="宋体" w:cs="Times New Roman"/>
                <w:color w:val="auto"/>
                <w:szCs w:val="21"/>
                <w:highlight w:val="none"/>
                <w:shd w:val="clear" w:color="auto" w:fill="FFFFFF"/>
                <w:lang w:val="en-US" w:eastAsia="zh-CN"/>
              </w:rPr>
              <w:t>于城子河区污水处理厂的进水指标，</w:t>
            </w:r>
            <w:r>
              <w:rPr>
                <w:rFonts w:hint="default" w:ascii="Times New Roman" w:hAnsi="Times New Roman" w:eastAsia="宋体" w:cs="Times New Roman"/>
                <w:color w:val="auto"/>
                <w:szCs w:val="21"/>
                <w:highlight w:val="none"/>
                <w:shd w:val="clear" w:color="auto" w:fill="FFFFFF"/>
              </w:rPr>
              <w:t>同时水量较小，不会对污水处理厂造成冲击，依托可行。</w:t>
            </w:r>
          </w:p>
          <w:p w14:paraId="272186A7">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color w:val="auto"/>
                <w:spacing w:val="0"/>
                <w:highlight w:val="none"/>
              </w:rPr>
            </w:pPr>
            <w:r>
              <w:rPr>
                <w:rFonts w:hint="default" w:ascii="Times New Roman" w:hAnsi="Times New Roman" w:eastAsia="宋体" w:cs="Times New Roman"/>
                <w:b/>
                <w:color w:val="auto"/>
                <w:spacing w:val="0"/>
                <w:kern w:val="0"/>
                <w:sz w:val="24"/>
                <w:szCs w:val="24"/>
                <w:highlight w:val="none"/>
                <w:lang w:val="en-US" w:eastAsia="zh-CN" w:bidi="ar"/>
              </w:rPr>
              <w:t>2.4废水监测计划</w:t>
            </w:r>
          </w:p>
          <w:p w14:paraId="0F8EC796">
            <w:pPr>
              <w:snapToGrid w:val="0"/>
              <w:spacing w:line="360" w:lineRule="auto"/>
              <w:ind w:firstLine="480" w:firstLineChars="200"/>
              <w:rPr>
                <w:rFonts w:hint="default" w:ascii="Times New Roman" w:hAnsi="Times New Roman" w:eastAsia="宋体" w:cs="Times New Roman"/>
                <w:color w:val="auto"/>
                <w:szCs w:val="21"/>
                <w:highlight w:val="none"/>
                <w:shd w:val="clear" w:color="auto" w:fill="FFFFFF"/>
                <w:lang w:val="en-US" w:eastAsia="zh-CN"/>
              </w:rPr>
            </w:pPr>
            <w:r>
              <w:rPr>
                <w:rFonts w:hint="default" w:ascii="Times New Roman" w:hAnsi="Times New Roman" w:eastAsia="宋体" w:cs="Times New Roman"/>
                <w:color w:val="auto"/>
                <w:spacing w:val="0"/>
                <w:kern w:val="0"/>
                <w:sz w:val="24"/>
                <w:szCs w:val="24"/>
                <w:highlight w:val="none"/>
                <w:lang w:val="en-US" w:eastAsia="zh-CN" w:bidi="ar"/>
              </w:rPr>
              <w:t>依据《</w:t>
            </w:r>
            <w:r>
              <w:rPr>
                <w:rFonts w:hint="default" w:ascii="Times New Roman" w:hAnsi="Times New Roman" w:eastAsia="宋体" w:cs="Times New Roman"/>
                <w:color w:val="auto"/>
                <w:szCs w:val="21"/>
                <w:highlight w:val="none"/>
                <w:shd w:val="clear" w:color="auto" w:fill="FFFFFF"/>
                <w:lang w:val="en-US" w:eastAsia="zh-CN"/>
              </w:rPr>
              <w:fldChar w:fldCharType="begin"/>
            </w:r>
            <w:r>
              <w:rPr>
                <w:rFonts w:hint="default" w:ascii="Times New Roman" w:hAnsi="Times New Roman" w:eastAsia="宋体" w:cs="Times New Roman"/>
                <w:color w:val="auto"/>
                <w:szCs w:val="21"/>
                <w:highlight w:val="none"/>
                <w:shd w:val="clear" w:color="auto" w:fill="FFFFFF"/>
                <w:lang w:val="en-US" w:eastAsia="zh-CN"/>
              </w:rPr>
              <w:instrText xml:space="preserve"> HYPERLINK "https://www.mee.gov.cn/ywgz/fgbz/bz/bzwb/shjbh/xgbzh/201705/W020170511332490849000.pdf" </w:instrText>
            </w:r>
            <w:r>
              <w:rPr>
                <w:rFonts w:hint="default" w:ascii="Times New Roman" w:hAnsi="Times New Roman" w:eastAsia="宋体" w:cs="Times New Roman"/>
                <w:color w:val="auto"/>
                <w:szCs w:val="21"/>
                <w:highlight w:val="none"/>
                <w:shd w:val="clear" w:color="auto" w:fill="FFFFFF"/>
                <w:lang w:val="en-US" w:eastAsia="zh-CN"/>
              </w:rPr>
              <w:fldChar w:fldCharType="separate"/>
            </w:r>
            <w:r>
              <w:rPr>
                <w:rFonts w:hint="default" w:ascii="Times New Roman" w:hAnsi="Times New Roman" w:eastAsia="宋体" w:cs="Times New Roman"/>
                <w:color w:val="auto"/>
                <w:szCs w:val="21"/>
                <w:highlight w:val="none"/>
                <w:shd w:val="clear" w:color="auto" w:fill="FFFFFF"/>
                <w:lang w:val="en-US" w:eastAsia="zh-CN"/>
              </w:rPr>
              <w:t>排污单位自行监测技术指南 总则》（HJ 819-2017）</w:t>
            </w:r>
            <w:r>
              <w:rPr>
                <w:rFonts w:hint="default" w:ascii="Times New Roman" w:hAnsi="Times New Roman" w:eastAsia="宋体" w:cs="Times New Roman"/>
                <w:color w:val="auto"/>
                <w:szCs w:val="21"/>
                <w:highlight w:val="none"/>
                <w:shd w:val="clear" w:color="auto" w:fill="FFFFFF"/>
                <w:lang w:val="en-US" w:eastAsia="zh-CN"/>
              </w:rPr>
              <w:fldChar w:fldCharType="end"/>
            </w:r>
            <w:r>
              <w:rPr>
                <w:rFonts w:hint="default" w:ascii="Times New Roman" w:hAnsi="Times New Roman" w:eastAsia="宋体" w:cs="Times New Roman"/>
                <w:color w:val="auto"/>
                <w:szCs w:val="21"/>
                <w:highlight w:val="none"/>
                <w:shd w:val="clear" w:color="auto" w:fill="FFFFFF"/>
                <w:lang w:val="en-US" w:eastAsia="zh-CN"/>
              </w:rPr>
              <w:t>、</w:t>
            </w:r>
            <w:r>
              <w:rPr>
                <w:rFonts w:hint="default" w:ascii="Times New Roman" w:hAnsi="Times New Roman" w:eastAsia="宋体" w:cs="Times New Roman"/>
                <w:color w:val="auto"/>
                <w:szCs w:val="21"/>
                <w:highlight w:val="none"/>
                <w:shd w:val="clear" w:color="auto" w:fill="FFFFFF"/>
              </w:rPr>
              <w:t>《排污单位自行监测技术指南火力发电及锅炉（HJ820-2017）》</w:t>
            </w:r>
            <w:r>
              <w:rPr>
                <w:rFonts w:hint="eastAsia" w:ascii="Times New Roman" w:hAnsi="Times New Roman" w:eastAsia="宋体" w:cs="Times New Roman"/>
                <w:color w:val="auto"/>
                <w:szCs w:val="21"/>
                <w:highlight w:val="none"/>
                <w:shd w:val="clear" w:color="auto" w:fill="FFFFFF"/>
                <w:lang w:eastAsia="zh-CN"/>
              </w:rPr>
              <w:t>、《</w:t>
            </w:r>
            <w:r>
              <w:rPr>
                <w:rFonts w:hint="default" w:ascii="Times New Roman" w:hAnsi="Times New Roman" w:eastAsia="宋体" w:cs="Times New Roman"/>
                <w:color w:val="auto"/>
                <w:szCs w:val="21"/>
                <w:highlight w:val="none"/>
                <w:shd w:val="clear" w:color="auto" w:fill="FFFFFF"/>
              </w:rPr>
              <w:t>排污许可证申请与核发技术规范医疗机构</w:t>
            </w:r>
            <w:r>
              <w:rPr>
                <w:rFonts w:hint="eastAsia" w:ascii="Times New Roman" w:hAnsi="Times New Roman" w:eastAsia="宋体" w:cs="Times New Roman"/>
                <w:color w:val="auto"/>
                <w:szCs w:val="21"/>
                <w:highlight w:val="none"/>
                <w:shd w:val="clear" w:color="auto" w:fill="FFFFFF"/>
                <w:lang w:eastAsia="zh-CN"/>
              </w:rPr>
              <w:t>》（</w:t>
            </w:r>
            <w:r>
              <w:rPr>
                <w:rFonts w:hint="eastAsia" w:ascii="Times New Roman" w:hAnsi="Times New Roman" w:eastAsia="宋体" w:cs="Times New Roman"/>
                <w:color w:val="auto"/>
                <w:szCs w:val="21"/>
                <w:highlight w:val="none"/>
                <w:shd w:val="clear" w:color="auto" w:fill="FFFFFF"/>
                <w:lang w:val="en-US" w:eastAsia="zh-CN"/>
              </w:rPr>
              <w:t>HJ1105-2020</w:t>
            </w:r>
            <w:r>
              <w:rPr>
                <w:rFonts w:hint="eastAsia" w:ascii="Times New Roman" w:hAnsi="Times New Roman" w:eastAsia="宋体" w:cs="Times New Roman"/>
                <w:color w:val="auto"/>
                <w:szCs w:val="21"/>
                <w:highlight w:val="none"/>
                <w:shd w:val="clear" w:color="auto" w:fill="FFFFFF"/>
                <w:lang w:eastAsia="zh-CN"/>
              </w:rPr>
              <w:t>）</w:t>
            </w:r>
            <w:r>
              <w:rPr>
                <w:rFonts w:hint="default" w:ascii="Times New Roman" w:hAnsi="Times New Roman" w:eastAsia="宋体" w:cs="Times New Roman"/>
                <w:color w:val="auto"/>
                <w:szCs w:val="21"/>
                <w:highlight w:val="none"/>
                <w:shd w:val="clear" w:color="auto" w:fill="FFFFFF"/>
                <w:lang w:val="en-US" w:eastAsia="zh-CN"/>
              </w:rPr>
              <w:t>，</w:t>
            </w:r>
            <w:r>
              <w:rPr>
                <w:rFonts w:hint="eastAsia" w:ascii="Times New Roman" w:hAnsi="Times New Roman" w:cs="Times New Roman"/>
                <w:color w:val="auto"/>
                <w:szCs w:val="21"/>
                <w:highlight w:val="none"/>
                <w:shd w:val="clear" w:color="auto" w:fill="FFFFFF"/>
                <w:lang w:val="en-US" w:eastAsia="zh-CN"/>
              </w:rPr>
              <w:t>由于本项目污水通过院区污水总排口进行排放，为保证现有工程排放污染物的全面性，污水污染物及监测频次应同步院区现有自行监测频次及内容确定，故此次锅炉建设项目的污水监测计划依据本院排污许可证副本（于2025年9月11日变更）内容进行监测。</w:t>
            </w:r>
            <w:r>
              <w:rPr>
                <w:rFonts w:hint="default" w:ascii="Times New Roman" w:hAnsi="Times New Roman" w:eastAsia="宋体" w:cs="Times New Roman"/>
                <w:color w:val="auto"/>
                <w:szCs w:val="21"/>
                <w:highlight w:val="none"/>
                <w:shd w:val="clear" w:color="auto" w:fill="FFFFFF"/>
                <w:lang w:val="en-US" w:eastAsia="zh-CN"/>
              </w:rPr>
              <w:t>本项目废水日常监测计划详见下表。</w:t>
            </w:r>
          </w:p>
          <w:p w14:paraId="1A431C77">
            <w:pPr>
              <w:pStyle w:val="12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kern w:val="0"/>
                <w:sz w:val="21"/>
                <w:szCs w:val="21"/>
                <w:highlight w:val="none"/>
                <w:lang w:val="en-US" w:eastAsia="zh-CN" w:bidi="ar"/>
              </w:rPr>
            </w:pPr>
            <w:r>
              <w:rPr>
                <w:rFonts w:hint="default" w:ascii="Times New Roman" w:hAnsi="Times New Roman" w:eastAsia="宋体" w:cs="Times New Roman"/>
                <w:b/>
                <w:bCs/>
                <w:color w:val="auto"/>
                <w:spacing w:val="0"/>
                <w:kern w:val="0"/>
                <w:sz w:val="21"/>
                <w:szCs w:val="21"/>
                <w:highlight w:val="none"/>
                <w:lang w:val="en-US" w:eastAsia="zh-CN" w:bidi="ar"/>
              </w:rPr>
              <w:t>表4-12  废水污染源监测计划</w:t>
            </w:r>
          </w:p>
          <w:tbl>
            <w:tblPr>
              <w:tblStyle w:val="3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6"/>
              <w:gridCol w:w="883"/>
              <w:gridCol w:w="771"/>
              <w:gridCol w:w="672"/>
              <w:gridCol w:w="1098"/>
              <w:gridCol w:w="797"/>
              <w:gridCol w:w="797"/>
              <w:gridCol w:w="993"/>
              <w:gridCol w:w="763"/>
              <w:gridCol w:w="632"/>
            </w:tblGrid>
            <w:tr w14:paraId="42462D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 w:type="pct"/>
                  <w:tcBorders>
                    <w:tl2br w:val="nil"/>
                    <w:tr2bl w:val="nil"/>
                  </w:tcBorders>
                  <w:noWrap w:val="0"/>
                  <w:vAlign w:val="center"/>
                </w:tcPr>
                <w:p w14:paraId="44F0B96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排放口编号</w:t>
                  </w:r>
                </w:p>
              </w:tc>
              <w:tc>
                <w:tcPr>
                  <w:tcW w:w="553" w:type="pct"/>
                  <w:tcBorders>
                    <w:tl2br w:val="nil"/>
                    <w:tr2bl w:val="nil"/>
                  </w:tcBorders>
                  <w:noWrap w:val="0"/>
                  <w:vAlign w:val="center"/>
                </w:tcPr>
                <w:p w14:paraId="6CF1764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污染物名称</w:t>
                  </w:r>
                </w:p>
              </w:tc>
              <w:tc>
                <w:tcPr>
                  <w:tcW w:w="483" w:type="pct"/>
                  <w:tcBorders>
                    <w:tl2br w:val="nil"/>
                    <w:tr2bl w:val="nil"/>
                  </w:tcBorders>
                  <w:noWrap w:val="0"/>
                  <w:vAlign w:val="center"/>
                </w:tcPr>
                <w:p w14:paraId="0E852F2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监测设施</w:t>
                  </w:r>
                </w:p>
              </w:tc>
              <w:tc>
                <w:tcPr>
                  <w:tcW w:w="421" w:type="pct"/>
                  <w:tcBorders>
                    <w:tl2br w:val="nil"/>
                    <w:tr2bl w:val="nil"/>
                  </w:tcBorders>
                  <w:noWrap w:val="0"/>
                  <w:vAlign w:val="center"/>
                </w:tcPr>
                <w:p w14:paraId="478FEFC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自动监测设施安装位置</w:t>
                  </w:r>
                </w:p>
              </w:tc>
              <w:tc>
                <w:tcPr>
                  <w:tcW w:w="688" w:type="pct"/>
                  <w:tcBorders>
                    <w:tl2br w:val="nil"/>
                    <w:tr2bl w:val="nil"/>
                  </w:tcBorders>
                  <w:noWrap w:val="0"/>
                  <w:vAlign w:val="center"/>
                </w:tcPr>
                <w:p w14:paraId="6BE822C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自动监测设施的安装、运行、维护等相关管理要求</w:t>
                  </w:r>
                </w:p>
              </w:tc>
              <w:tc>
                <w:tcPr>
                  <w:tcW w:w="499" w:type="pct"/>
                  <w:tcBorders>
                    <w:tl2br w:val="nil"/>
                    <w:tr2bl w:val="nil"/>
                  </w:tcBorders>
                  <w:noWrap w:val="0"/>
                  <w:vAlign w:val="center"/>
                </w:tcPr>
                <w:p w14:paraId="463A562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自动监测是否联网</w:t>
                  </w:r>
                </w:p>
              </w:tc>
              <w:tc>
                <w:tcPr>
                  <w:tcW w:w="499" w:type="pct"/>
                  <w:tcBorders>
                    <w:tl2br w:val="nil"/>
                    <w:tr2bl w:val="nil"/>
                  </w:tcBorders>
                  <w:noWrap w:val="0"/>
                  <w:vAlign w:val="center"/>
                </w:tcPr>
                <w:p w14:paraId="137AE98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自动监测仪器名称</w:t>
                  </w:r>
                </w:p>
              </w:tc>
              <w:tc>
                <w:tcPr>
                  <w:tcW w:w="622" w:type="pct"/>
                  <w:tcBorders>
                    <w:tl2br w:val="nil"/>
                    <w:tr2bl w:val="nil"/>
                  </w:tcBorders>
                  <w:noWrap w:val="0"/>
                  <w:vAlign w:val="center"/>
                </w:tcPr>
                <w:p w14:paraId="0FA7670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手工监测采样方法及个数</w:t>
                  </w:r>
                </w:p>
              </w:tc>
              <w:tc>
                <w:tcPr>
                  <w:tcW w:w="478" w:type="pct"/>
                  <w:tcBorders>
                    <w:tl2br w:val="nil"/>
                    <w:tr2bl w:val="nil"/>
                  </w:tcBorders>
                  <w:noWrap w:val="0"/>
                  <w:vAlign w:val="center"/>
                </w:tcPr>
                <w:p w14:paraId="1A86F3E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手工监测频次</w:t>
                  </w:r>
                </w:p>
              </w:tc>
              <w:tc>
                <w:tcPr>
                  <w:tcW w:w="396" w:type="pct"/>
                  <w:tcBorders>
                    <w:tl2br w:val="nil"/>
                    <w:tr2bl w:val="nil"/>
                  </w:tcBorders>
                  <w:noWrap w:val="0"/>
                  <w:vAlign w:val="center"/>
                </w:tcPr>
                <w:p w14:paraId="5207D24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手工测定方法</w:t>
                  </w:r>
                </w:p>
              </w:tc>
            </w:tr>
            <w:tr w14:paraId="699C84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354" w:type="pct"/>
                  <w:vMerge w:val="restart"/>
                  <w:tcBorders>
                    <w:tl2br w:val="nil"/>
                    <w:tr2bl w:val="nil"/>
                  </w:tcBorders>
                  <w:noWrap w:val="0"/>
                  <w:vAlign w:val="center"/>
                </w:tcPr>
                <w:p w14:paraId="63D6C29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DW</w:t>
                  </w:r>
                </w:p>
                <w:p w14:paraId="67D00F5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00</w:t>
                  </w:r>
                  <w:r>
                    <w:rPr>
                      <w:rFonts w:hint="eastAsia" w:ascii="Times New Roman" w:hAnsi="Times New Roman" w:cs="Times New Roman"/>
                      <w:caps w:val="0"/>
                      <w:color w:val="auto"/>
                      <w:spacing w:val="0"/>
                      <w:kern w:val="2"/>
                      <w:sz w:val="21"/>
                      <w:szCs w:val="21"/>
                      <w:highlight w:val="none"/>
                      <w:lang w:val="en-US" w:eastAsia="zh-CN" w:bidi="ar-SA"/>
                    </w:rPr>
                    <w:t>3</w:t>
                  </w:r>
                </w:p>
              </w:tc>
              <w:tc>
                <w:tcPr>
                  <w:tcW w:w="553" w:type="pct"/>
                  <w:tcBorders>
                    <w:tl2br w:val="nil"/>
                    <w:tr2bl w:val="nil"/>
                  </w:tcBorders>
                  <w:noWrap w:val="0"/>
                  <w:vAlign w:val="center"/>
                </w:tcPr>
                <w:p w14:paraId="70B399F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eastAsia" w:ascii="Times New Roman" w:hAnsi="Times New Roman" w:eastAsia="宋体" w:cs="Times New Roman"/>
                      <w:caps w:val="0"/>
                      <w:color w:val="auto"/>
                      <w:spacing w:val="0"/>
                      <w:kern w:val="2"/>
                      <w:sz w:val="21"/>
                      <w:szCs w:val="21"/>
                      <w:highlight w:val="none"/>
                      <w:lang w:val="en-US" w:eastAsia="zh-CN" w:bidi="ar-SA"/>
                    </w:rPr>
                    <w:t>pH值</w:t>
                  </w:r>
                </w:p>
              </w:tc>
              <w:tc>
                <w:tcPr>
                  <w:tcW w:w="483" w:type="pct"/>
                  <w:tcBorders>
                    <w:tl2br w:val="nil"/>
                    <w:tr2bl w:val="nil"/>
                  </w:tcBorders>
                  <w:noWrap w:val="0"/>
                  <w:vAlign w:val="center"/>
                </w:tcPr>
                <w:p w14:paraId="52F79AE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⎕自动</w:t>
                  </w:r>
                </w:p>
                <w:p w14:paraId="1AC179D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w:t>
                  </w:r>
                </w:p>
                <w:p w14:paraId="09359EE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手</w:t>
                  </w:r>
                </w:p>
                <w:p w14:paraId="0338D92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工</w:t>
                  </w:r>
                </w:p>
              </w:tc>
              <w:tc>
                <w:tcPr>
                  <w:tcW w:w="421" w:type="pct"/>
                  <w:tcBorders>
                    <w:tl2br w:val="nil"/>
                    <w:tr2bl w:val="nil"/>
                  </w:tcBorders>
                  <w:noWrap w:val="0"/>
                  <w:vAlign w:val="center"/>
                </w:tcPr>
                <w:p w14:paraId="1AE3A05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不涉及</w:t>
                  </w:r>
                </w:p>
              </w:tc>
              <w:tc>
                <w:tcPr>
                  <w:tcW w:w="688" w:type="pct"/>
                  <w:tcBorders>
                    <w:tl2br w:val="nil"/>
                    <w:tr2bl w:val="nil"/>
                  </w:tcBorders>
                  <w:noWrap w:val="0"/>
                  <w:vAlign w:val="center"/>
                </w:tcPr>
                <w:p w14:paraId="208EC17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不涉及</w:t>
                  </w:r>
                </w:p>
              </w:tc>
              <w:tc>
                <w:tcPr>
                  <w:tcW w:w="499" w:type="pct"/>
                  <w:tcBorders>
                    <w:tl2br w:val="nil"/>
                    <w:tr2bl w:val="nil"/>
                  </w:tcBorders>
                  <w:noWrap w:val="0"/>
                  <w:vAlign w:val="center"/>
                </w:tcPr>
                <w:p w14:paraId="138376D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不涉及</w:t>
                  </w:r>
                </w:p>
              </w:tc>
              <w:tc>
                <w:tcPr>
                  <w:tcW w:w="499" w:type="pct"/>
                  <w:tcBorders>
                    <w:tl2br w:val="nil"/>
                    <w:tr2bl w:val="nil"/>
                  </w:tcBorders>
                  <w:noWrap w:val="0"/>
                  <w:vAlign w:val="center"/>
                </w:tcPr>
                <w:p w14:paraId="42783FD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不涉及</w:t>
                  </w:r>
                </w:p>
              </w:tc>
              <w:tc>
                <w:tcPr>
                  <w:tcW w:w="622" w:type="pct"/>
                  <w:tcBorders>
                    <w:tl2br w:val="nil"/>
                    <w:tr2bl w:val="nil"/>
                  </w:tcBorders>
                  <w:noWrap w:val="0"/>
                  <w:vAlign w:val="center"/>
                </w:tcPr>
                <w:p w14:paraId="187AE2F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瞬时采</w:t>
                  </w:r>
                </w:p>
                <w:p w14:paraId="31D4BF2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样（三个瞬时样）</w:t>
                  </w:r>
                </w:p>
              </w:tc>
              <w:tc>
                <w:tcPr>
                  <w:tcW w:w="478" w:type="pct"/>
                  <w:tcBorders>
                    <w:tl2br w:val="nil"/>
                    <w:tr2bl w:val="nil"/>
                  </w:tcBorders>
                  <w:noWrap w:val="0"/>
                  <w:vAlign w:val="center"/>
                </w:tcPr>
                <w:p w14:paraId="4DACC73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1次/</w:t>
                  </w:r>
                  <w:r>
                    <w:rPr>
                      <w:rFonts w:hint="eastAsia" w:ascii="Times New Roman" w:hAnsi="Times New Roman" w:cs="Times New Roman"/>
                      <w:caps w:val="0"/>
                      <w:color w:val="auto"/>
                      <w:spacing w:val="0"/>
                      <w:kern w:val="2"/>
                      <w:sz w:val="21"/>
                      <w:szCs w:val="21"/>
                      <w:highlight w:val="none"/>
                      <w:lang w:val="en-US" w:eastAsia="zh-CN" w:bidi="ar-SA"/>
                    </w:rPr>
                    <w:t>12h</w:t>
                  </w:r>
                </w:p>
              </w:tc>
              <w:tc>
                <w:tcPr>
                  <w:tcW w:w="396" w:type="pct"/>
                  <w:vMerge w:val="restart"/>
                  <w:tcBorders>
                    <w:tl2br w:val="nil"/>
                    <w:tr2bl w:val="nil"/>
                  </w:tcBorders>
                  <w:noWrap w:val="0"/>
                  <w:vAlign w:val="center"/>
                </w:tcPr>
                <w:p w14:paraId="450F890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w:t>
                  </w:r>
                </w:p>
              </w:tc>
            </w:tr>
            <w:tr w14:paraId="42CF2F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8" w:hRule="atLeast"/>
                <w:jc w:val="center"/>
              </w:trPr>
              <w:tc>
                <w:tcPr>
                  <w:tcW w:w="354" w:type="pct"/>
                  <w:vMerge w:val="continue"/>
                  <w:tcBorders>
                    <w:tl2br w:val="nil"/>
                    <w:tr2bl w:val="nil"/>
                  </w:tcBorders>
                  <w:noWrap w:val="0"/>
                  <w:vAlign w:val="center"/>
                </w:tcPr>
                <w:p w14:paraId="1272F81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553" w:type="pct"/>
                  <w:tcBorders>
                    <w:tl2br w:val="nil"/>
                    <w:tr2bl w:val="nil"/>
                  </w:tcBorders>
                  <w:noWrap w:val="0"/>
                  <w:vAlign w:val="center"/>
                </w:tcPr>
                <w:p w14:paraId="7E673D5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化学需氧量、悬浮物</w:t>
                  </w:r>
                </w:p>
              </w:tc>
              <w:tc>
                <w:tcPr>
                  <w:tcW w:w="483" w:type="pct"/>
                  <w:tcBorders>
                    <w:tl2br w:val="nil"/>
                    <w:tr2bl w:val="nil"/>
                  </w:tcBorders>
                  <w:shd w:val="clear" w:color="auto" w:fill="auto"/>
                  <w:noWrap w:val="0"/>
                  <w:vAlign w:val="center"/>
                </w:tcPr>
                <w:p w14:paraId="6D60727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⎕自动</w:t>
                  </w:r>
                </w:p>
                <w:p w14:paraId="30219AB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w:t>
                  </w:r>
                </w:p>
                <w:p w14:paraId="3C62AA3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手</w:t>
                  </w:r>
                </w:p>
                <w:p w14:paraId="28BAB46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工</w:t>
                  </w:r>
                </w:p>
              </w:tc>
              <w:tc>
                <w:tcPr>
                  <w:tcW w:w="421" w:type="pct"/>
                  <w:tcBorders>
                    <w:tl2br w:val="nil"/>
                    <w:tr2bl w:val="nil"/>
                  </w:tcBorders>
                  <w:shd w:val="clear" w:color="auto" w:fill="auto"/>
                  <w:noWrap w:val="0"/>
                  <w:vAlign w:val="center"/>
                </w:tcPr>
                <w:p w14:paraId="3074DD2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不涉及</w:t>
                  </w:r>
                </w:p>
              </w:tc>
              <w:tc>
                <w:tcPr>
                  <w:tcW w:w="688" w:type="pct"/>
                  <w:tcBorders>
                    <w:tl2br w:val="nil"/>
                    <w:tr2bl w:val="nil"/>
                  </w:tcBorders>
                  <w:shd w:val="clear" w:color="auto" w:fill="auto"/>
                  <w:noWrap w:val="0"/>
                  <w:vAlign w:val="center"/>
                </w:tcPr>
                <w:p w14:paraId="5127347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不涉及</w:t>
                  </w:r>
                </w:p>
              </w:tc>
              <w:tc>
                <w:tcPr>
                  <w:tcW w:w="499" w:type="pct"/>
                  <w:tcBorders>
                    <w:tl2br w:val="nil"/>
                    <w:tr2bl w:val="nil"/>
                  </w:tcBorders>
                  <w:shd w:val="clear" w:color="auto" w:fill="auto"/>
                  <w:noWrap w:val="0"/>
                  <w:vAlign w:val="center"/>
                </w:tcPr>
                <w:p w14:paraId="6B2BBB6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不涉及</w:t>
                  </w:r>
                </w:p>
              </w:tc>
              <w:tc>
                <w:tcPr>
                  <w:tcW w:w="499" w:type="pct"/>
                  <w:tcBorders>
                    <w:tl2br w:val="nil"/>
                    <w:tr2bl w:val="nil"/>
                  </w:tcBorders>
                  <w:shd w:val="clear" w:color="auto" w:fill="auto"/>
                  <w:noWrap w:val="0"/>
                  <w:vAlign w:val="center"/>
                </w:tcPr>
                <w:p w14:paraId="3499E83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不涉及</w:t>
                  </w:r>
                </w:p>
              </w:tc>
              <w:tc>
                <w:tcPr>
                  <w:tcW w:w="622" w:type="pct"/>
                  <w:tcBorders>
                    <w:tl2br w:val="nil"/>
                    <w:tr2bl w:val="nil"/>
                  </w:tcBorders>
                  <w:shd w:val="clear" w:color="auto" w:fill="auto"/>
                  <w:noWrap w:val="0"/>
                  <w:vAlign w:val="center"/>
                </w:tcPr>
                <w:p w14:paraId="5898E5F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瞬时采</w:t>
                  </w:r>
                </w:p>
                <w:p w14:paraId="1B1A12F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样（三个瞬时样）</w:t>
                  </w:r>
                </w:p>
              </w:tc>
              <w:tc>
                <w:tcPr>
                  <w:tcW w:w="478" w:type="pct"/>
                  <w:tcBorders>
                    <w:tl2br w:val="nil"/>
                    <w:tr2bl w:val="nil"/>
                  </w:tcBorders>
                  <w:noWrap w:val="0"/>
                  <w:vAlign w:val="center"/>
                </w:tcPr>
                <w:p w14:paraId="050DA11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1次/</w:t>
                  </w:r>
                  <w:r>
                    <w:rPr>
                      <w:rFonts w:hint="eastAsia" w:ascii="Times New Roman" w:hAnsi="Times New Roman" w:cs="Times New Roman"/>
                      <w:caps w:val="0"/>
                      <w:color w:val="auto"/>
                      <w:spacing w:val="0"/>
                      <w:kern w:val="2"/>
                      <w:sz w:val="21"/>
                      <w:szCs w:val="21"/>
                      <w:highlight w:val="none"/>
                      <w:lang w:val="en-US" w:eastAsia="zh-CN" w:bidi="ar-SA"/>
                    </w:rPr>
                    <w:t>周</w:t>
                  </w:r>
                </w:p>
              </w:tc>
              <w:tc>
                <w:tcPr>
                  <w:tcW w:w="396" w:type="pct"/>
                  <w:vMerge w:val="continue"/>
                  <w:tcBorders>
                    <w:tl2br w:val="nil"/>
                    <w:tr2bl w:val="nil"/>
                  </w:tcBorders>
                  <w:noWrap w:val="0"/>
                  <w:vAlign w:val="center"/>
                </w:tcPr>
                <w:p w14:paraId="552569B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r>
            <w:tr w14:paraId="17A71C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354" w:type="pct"/>
                  <w:vMerge w:val="continue"/>
                  <w:tcBorders>
                    <w:tl2br w:val="nil"/>
                    <w:tr2bl w:val="nil"/>
                  </w:tcBorders>
                  <w:noWrap w:val="0"/>
                  <w:vAlign w:val="center"/>
                </w:tcPr>
                <w:p w14:paraId="7E28415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553" w:type="pct"/>
                  <w:tcBorders>
                    <w:tl2br w:val="nil"/>
                    <w:tr2bl w:val="nil"/>
                  </w:tcBorders>
                  <w:noWrap w:val="0"/>
                  <w:vAlign w:val="center"/>
                </w:tcPr>
                <w:p w14:paraId="1367292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粪大肠菌群数</w:t>
                  </w:r>
                </w:p>
              </w:tc>
              <w:tc>
                <w:tcPr>
                  <w:tcW w:w="483" w:type="pct"/>
                  <w:tcBorders>
                    <w:tl2br w:val="nil"/>
                    <w:tr2bl w:val="nil"/>
                  </w:tcBorders>
                  <w:shd w:val="clear" w:color="auto" w:fill="auto"/>
                  <w:noWrap w:val="0"/>
                  <w:vAlign w:val="center"/>
                </w:tcPr>
                <w:p w14:paraId="4C1CA68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⎕自动</w:t>
                  </w:r>
                </w:p>
                <w:p w14:paraId="5F312B6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w:t>
                  </w:r>
                </w:p>
                <w:p w14:paraId="4A601FB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手</w:t>
                  </w:r>
                </w:p>
                <w:p w14:paraId="3ED4634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工</w:t>
                  </w:r>
                </w:p>
              </w:tc>
              <w:tc>
                <w:tcPr>
                  <w:tcW w:w="421" w:type="pct"/>
                  <w:tcBorders>
                    <w:tl2br w:val="nil"/>
                    <w:tr2bl w:val="nil"/>
                  </w:tcBorders>
                  <w:shd w:val="clear" w:color="auto" w:fill="auto"/>
                  <w:noWrap w:val="0"/>
                  <w:vAlign w:val="center"/>
                </w:tcPr>
                <w:p w14:paraId="12F04EB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不涉及</w:t>
                  </w:r>
                </w:p>
              </w:tc>
              <w:tc>
                <w:tcPr>
                  <w:tcW w:w="688" w:type="pct"/>
                  <w:tcBorders>
                    <w:tl2br w:val="nil"/>
                    <w:tr2bl w:val="nil"/>
                  </w:tcBorders>
                  <w:shd w:val="clear" w:color="auto" w:fill="auto"/>
                  <w:noWrap w:val="0"/>
                  <w:vAlign w:val="center"/>
                </w:tcPr>
                <w:p w14:paraId="414F469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不涉及</w:t>
                  </w:r>
                </w:p>
              </w:tc>
              <w:tc>
                <w:tcPr>
                  <w:tcW w:w="499" w:type="pct"/>
                  <w:tcBorders>
                    <w:tl2br w:val="nil"/>
                    <w:tr2bl w:val="nil"/>
                  </w:tcBorders>
                  <w:shd w:val="clear" w:color="auto" w:fill="auto"/>
                  <w:noWrap w:val="0"/>
                  <w:vAlign w:val="center"/>
                </w:tcPr>
                <w:p w14:paraId="1C80900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不涉及</w:t>
                  </w:r>
                </w:p>
              </w:tc>
              <w:tc>
                <w:tcPr>
                  <w:tcW w:w="499" w:type="pct"/>
                  <w:tcBorders>
                    <w:tl2br w:val="nil"/>
                    <w:tr2bl w:val="nil"/>
                  </w:tcBorders>
                  <w:shd w:val="clear" w:color="auto" w:fill="auto"/>
                  <w:noWrap w:val="0"/>
                  <w:vAlign w:val="center"/>
                </w:tcPr>
                <w:p w14:paraId="03C3F04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不涉及</w:t>
                  </w:r>
                </w:p>
              </w:tc>
              <w:tc>
                <w:tcPr>
                  <w:tcW w:w="622" w:type="pct"/>
                  <w:tcBorders>
                    <w:tl2br w:val="nil"/>
                    <w:tr2bl w:val="nil"/>
                  </w:tcBorders>
                  <w:shd w:val="clear" w:color="auto" w:fill="auto"/>
                  <w:noWrap w:val="0"/>
                  <w:vAlign w:val="center"/>
                </w:tcPr>
                <w:p w14:paraId="5D1574C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瞬时采</w:t>
                  </w:r>
                </w:p>
                <w:p w14:paraId="128C3E7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样（三个瞬时样）</w:t>
                  </w:r>
                </w:p>
              </w:tc>
              <w:tc>
                <w:tcPr>
                  <w:tcW w:w="478" w:type="pct"/>
                  <w:tcBorders>
                    <w:tl2br w:val="nil"/>
                    <w:tr2bl w:val="nil"/>
                  </w:tcBorders>
                  <w:noWrap w:val="0"/>
                  <w:vAlign w:val="center"/>
                </w:tcPr>
                <w:p w14:paraId="3A0FA3A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1次/</w:t>
                  </w:r>
                  <w:r>
                    <w:rPr>
                      <w:rFonts w:hint="eastAsia" w:ascii="Times New Roman" w:hAnsi="Times New Roman" w:cs="Times New Roman"/>
                      <w:caps w:val="0"/>
                      <w:color w:val="auto"/>
                      <w:spacing w:val="0"/>
                      <w:kern w:val="2"/>
                      <w:sz w:val="21"/>
                      <w:szCs w:val="21"/>
                      <w:highlight w:val="none"/>
                      <w:lang w:val="en-US" w:eastAsia="zh-CN" w:bidi="ar-SA"/>
                    </w:rPr>
                    <w:t>月</w:t>
                  </w:r>
                </w:p>
              </w:tc>
              <w:tc>
                <w:tcPr>
                  <w:tcW w:w="396" w:type="pct"/>
                  <w:vMerge w:val="continue"/>
                  <w:tcBorders>
                    <w:tl2br w:val="nil"/>
                    <w:tr2bl w:val="nil"/>
                  </w:tcBorders>
                  <w:noWrap w:val="0"/>
                  <w:vAlign w:val="center"/>
                </w:tcPr>
                <w:p w14:paraId="157BCDB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r>
            <w:tr w14:paraId="729294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 w:type="pct"/>
                  <w:vMerge w:val="continue"/>
                  <w:tcBorders>
                    <w:tl2br w:val="nil"/>
                    <w:tr2bl w:val="nil"/>
                  </w:tcBorders>
                  <w:noWrap w:val="0"/>
                  <w:vAlign w:val="center"/>
                </w:tcPr>
                <w:p w14:paraId="4D5BF73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553" w:type="pct"/>
                  <w:tcBorders>
                    <w:tl2br w:val="nil"/>
                    <w:tr2bl w:val="nil"/>
                  </w:tcBorders>
                  <w:noWrap w:val="0"/>
                  <w:vAlign w:val="center"/>
                </w:tcPr>
                <w:p w14:paraId="7AE58B0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动植物油、五日生化需氧量、总余氯</w:t>
                  </w:r>
                  <w:r>
                    <w:rPr>
                      <w:rFonts w:hint="eastAsia" w:ascii="Times New Roman" w:hAnsi="Times New Roman" w:cs="Times New Roman"/>
                      <w:caps w:val="0"/>
                      <w:color w:val="auto"/>
                      <w:spacing w:val="0"/>
                      <w:kern w:val="2"/>
                      <w:sz w:val="21"/>
                      <w:szCs w:val="21"/>
                      <w:highlight w:val="none"/>
                      <w:lang w:val="en-US" w:eastAsia="zh-CN" w:bidi="ar-SA"/>
                    </w:rPr>
                    <w:t>、阴离子表面活性剂、石油类、挥发酚、总氰化物</w:t>
                  </w:r>
                </w:p>
              </w:tc>
              <w:tc>
                <w:tcPr>
                  <w:tcW w:w="483" w:type="pct"/>
                  <w:tcBorders>
                    <w:tl2br w:val="nil"/>
                    <w:tr2bl w:val="nil"/>
                  </w:tcBorders>
                  <w:shd w:val="clear" w:color="auto" w:fill="auto"/>
                  <w:noWrap w:val="0"/>
                  <w:vAlign w:val="center"/>
                </w:tcPr>
                <w:p w14:paraId="2B96AF1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⎕自动</w:t>
                  </w:r>
                </w:p>
                <w:p w14:paraId="75E7FA3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w:t>
                  </w:r>
                </w:p>
                <w:p w14:paraId="0A00B6E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手</w:t>
                  </w:r>
                </w:p>
                <w:p w14:paraId="3AF4680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工</w:t>
                  </w:r>
                </w:p>
              </w:tc>
              <w:tc>
                <w:tcPr>
                  <w:tcW w:w="421" w:type="pct"/>
                  <w:tcBorders>
                    <w:tl2br w:val="nil"/>
                    <w:tr2bl w:val="nil"/>
                  </w:tcBorders>
                  <w:shd w:val="clear" w:color="auto" w:fill="auto"/>
                  <w:noWrap w:val="0"/>
                  <w:vAlign w:val="center"/>
                </w:tcPr>
                <w:p w14:paraId="3F72415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不涉及</w:t>
                  </w:r>
                </w:p>
              </w:tc>
              <w:tc>
                <w:tcPr>
                  <w:tcW w:w="688" w:type="pct"/>
                  <w:tcBorders>
                    <w:tl2br w:val="nil"/>
                    <w:tr2bl w:val="nil"/>
                  </w:tcBorders>
                  <w:shd w:val="clear" w:color="auto" w:fill="auto"/>
                  <w:noWrap w:val="0"/>
                  <w:vAlign w:val="center"/>
                </w:tcPr>
                <w:p w14:paraId="5728137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不涉及</w:t>
                  </w:r>
                </w:p>
              </w:tc>
              <w:tc>
                <w:tcPr>
                  <w:tcW w:w="499" w:type="pct"/>
                  <w:tcBorders>
                    <w:tl2br w:val="nil"/>
                    <w:tr2bl w:val="nil"/>
                  </w:tcBorders>
                  <w:shd w:val="clear" w:color="auto" w:fill="auto"/>
                  <w:noWrap w:val="0"/>
                  <w:vAlign w:val="center"/>
                </w:tcPr>
                <w:p w14:paraId="73E115D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不涉及</w:t>
                  </w:r>
                </w:p>
              </w:tc>
              <w:tc>
                <w:tcPr>
                  <w:tcW w:w="499" w:type="pct"/>
                  <w:tcBorders>
                    <w:tl2br w:val="nil"/>
                    <w:tr2bl w:val="nil"/>
                  </w:tcBorders>
                  <w:shd w:val="clear" w:color="auto" w:fill="auto"/>
                  <w:noWrap w:val="0"/>
                  <w:vAlign w:val="center"/>
                </w:tcPr>
                <w:p w14:paraId="073058C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不涉及</w:t>
                  </w:r>
                </w:p>
              </w:tc>
              <w:tc>
                <w:tcPr>
                  <w:tcW w:w="622" w:type="pct"/>
                  <w:tcBorders>
                    <w:tl2br w:val="nil"/>
                    <w:tr2bl w:val="nil"/>
                  </w:tcBorders>
                  <w:shd w:val="clear" w:color="auto" w:fill="auto"/>
                  <w:noWrap w:val="0"/>
                  <w:vAlign w:val="center"/>
                </w:tcPr>
                <w:p w14:paraId="4E3FDE7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瞬时采</w:t>
                  </w:r>
                </w:p>
                <w:p w14:paraId="2756671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样（三个瞬时样）</w:t>
                  </w:r>
                </w:p>
              </w:tc>
              <w:tc>
                <w:tcPr>
                  <w:tcW w:w="478" w:type="pct"/>
                  <w:tcBorders>
                    <w:tl2br w:val="nil"/>
                    <w:tr2bl w:val="nil"/>
                  </w:tcBorders>
                  <w:noWrap w:val="0"/>
                  <w:vAlign w:val="center"/>
                </w:tcPr>
                <w:p w14:paraId="65DCB70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1次/</w:t>
                  </w:r>
                  <w:r>
                    <w:rPr>
                      <w:rFonts w:hint="eastAsia" w:ascii="Times New Roman" w:hAnsi="Times New Roman" w:cs="Times New Roman"/>
                      <w:caps w:val="0"/>
                      <w:color w:val="auto"/>
                      <w:spacing w:val="0"/>
                      <w:kern w:val="2"/>
                      <w:sz w:val="21"/>
                      <w:szCs w:val="21"/>
                      <w:highlight w:val="none"/>
                      <w:lang w:val="en-US" w:eastAsia="zh-CN" w:bidi="ar-SA"/>
                    </w:rPr>
                    <w:t>季度</w:t>
                  </w:r>
                </w:p>
              </w:tc>
              <w:tc>
                <w:tcPr>
                  <w:tcW w:w="396" w:type="pct"/>
                  <w:vMerge w:val="continue"/>
                  <w:tcBorders>
                    <w:tl2br w:val="nil"/>
                    <w:tr2bl w:val="nil"/>
                  </w:tcBorders>
                  <w:noWrap w:val="0"/>
                  <w:vAlign w:val="center"/>
                </w:tcPr>
                <w:p w14:paraId="0B2517E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r>
            <w:tr w14:paraId="12B7F4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 w:type="pct"/>
                  <w:vMerge w:val="continue"/>
                  <w:tcBorders>
                    <w:tl2br w:val="nil"/>
                    <w:tr2bl w:val="nil"/>
                  </w:tcBorders>
                  <w:noWrap w:val="0"/>
                  <w:vAlign w:val="center"/>
                </w:tcPr>
                <w:p w14:paraId="5BB9AA3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553" w:type="pct"/>
                  <w:tcBorders>
                    <w:tl2br w:val="nil"/>
                    <w:tr2bl w:val="nil"/>
                  </w:tcBorders>
                  <w:noWrap w:val="0"/>
                  <w:vAlign w:val="center"/>
                </w:tcPr>
                <w:p w14:paraId="5E7EA59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eastAsia" w:ascii="Times New Roman" w:hAnsi="Times New Roman" w:eastAsia="宋体" w:cs="Times New Roman"/>
                      <w:caps w:val="0"/>
                      <w:color w:val="auto"/>
                      <w:spacing w:val="0"/>
                      <w:kern w:val="2"/>
                      <w:sz w:val="21"/>
                      <w:szCs w:val="21"/>
                      <w:highlight w:val="none"/>
                      <w:lang w:val="en-US" w:eastAsia="zh-CN" w:bidi="ar-SA"/>
                    </w:rPr>
                    <w:t>TDS</w:t>
                  </w:r>
                </w:p>
              </w:tc>
              <w:tc>
                <w:tcPr>
                  <w:tcW w:w="483" w:type="pct"/>
                  <w:tcBorders>
                    <w:tl2br w:val="nil"/>
                    <w:tr2bl w:val="nil"/>
                  </w:tcBorders>
                  <w:shd w:val="clear" w:color="auto" w:fill="auto"/>
                  <w:noWrap w:val="0"/>
                  <w:vAlign w:val="center"/>
                </w:tcPr>
                <w:p w14:paraId="2FE287D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⎕自动</w:t>
                  </w:r>
                </w:p>
                <w:p w14:paraId="6B7EC07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w:t>
                  </w:r>
                </w:p>
                <w:p w14:paraId="2AFB573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手</w:t>
                  </w:r>
                </w:p>
                <w:p w14:paraId="514807C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工</w:t>
                  </w:r>
                </w:p>
              </w:tc>
              <w:tc>
                <w:tcPr>
                  <w:tcW w:w="421" w:type="pct"/>
                  <w:tcBorders>
                    <w:tl2br w:val="nil"/>
                    <w:tr2bl w:val="nil"/>
                  </w:tcBorders>
                  <w:shd w:val="clear" w:color="auto" w:fill="auto"/>
                  <w:noWrap w:val="0"/>
                  <w:vAlign w:val="center"/>
                </w:tcPr>
                <w:p w14:paraId="21F0568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不涉及</w:t>
                  </w:r>
                </w:p>
              </w:tc>
              <w:tc>
                <w:tcPr>
                  <w:tcW w:w="688" w:type="pct"/>
                  <w:tcBorders>
                    <w:tl2br w:val="nil"/>
                    <w:tr2bl w:val="nil"/>
                  </w:tcBorders>
                  <w:shd w:val="clear" w:color="auto" w:fill="auto"/>
                  <w:noWrap w:val="0"/>
                  <w:vAlign w:val="center"/>
                </w:tcPr>
                <w:p w14:paraId="44F4B85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不涉及</w:t>
                  </w:r>
                </w:p>
              </w:tc>
              <w:tc>
                <w:tcPr>
                  <w:tcW w:w="499" w:type="pct"/>
                  <w:tcBorders>
                    <w:tl2br w:val="nil"/>
                    <w:tr2bl w:val="nil"/>
                  </w:tcBorders>
                  <w:shd w:val="clear" w:color="auto" w:fill="auto"/>
                  <w:noWrap w:val="0"/>
                  <w:vAlign w:val="center"/>
                </w:tcPr>
                <w:p w14:paraId="20D6E38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不涉及</w:t>
                  </w:r>
                </w:p>
              </w:tc>
              <w:tc>
                <w:tcPr>
                  <w:tcW w:w="499" w:type="pct"/>
                  <w:tcBorders>
                    <w:tl2br w:val="nil"/>
                    <w:tr2bl w:val="nil"/>
                  </w:tcBorders>
                  <w:shd w:val="clear" w:color="auto" w:fill="auto"/>
                  <w:noWrap w:val="0"/>
                  <w:vAlign w:val="center"/>
                </w:tcPr>
                <w:p w14:paraId="6FC59C5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不涉及</w:t>
                  </w:r>
                </w:p>
              </w:tc>
              <w:tc>
                <w:tcPr>
                  <w:tcW w:w="622" w:type="pct"/>
                  <w:tcBorders>
                    <w:tl2br w:val="nil"/>
                    <w:tr2bl w:val="nil"/>
                  </w:tcBorders>
                  <w:shd w:val="clear" w:color="auto" w:fill="auto"/>
                  <w:noWrap w:val="0"/>
                  <w:vAlign w:val="center"/>
                </w:tcPr>
                <w:p w14:paraId="46FE12D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瞬时采</w:t>
                  </w:r>
                </w:p>
                <w:p w14:paraId="3B280B1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样（三个瞬时样）</w:t>
                  </w:r>
                </w:p>
              </w:tc>
              <w:tc>
                <w:tcPr>
                  <w:tcW w:w="478" w:type="pct"/>
                  <w:tcBorders>
                    <w:tl2br w:val="nil"/>
                    <w:tr2bl w:val="nil"/>
                  </w:tcBorders>
                  <w:noWrap w:val="0"/>
                  <w:vAlign w:val="center"/>
                </w:tcPr>
                <w:p w14:paraId="1E75B55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1次/</w:t>
                  </w:r>
                  <w:r>
                    <w:rPr>
                      <w:rFonts w:hint="eastAsia" w:ascii="Times New Roman" w:hAnsi="Times New Roman" w:cs="Times New Roman"/>
                      <w:caps w:val="0"/>
                      <w:color w:val="auto"/>
                      <w:spacing w:val="0"/>
                      <w:kern w:val="2"/>
                      <w:sz w:val="21"/>
                      <w:szCs w:val="21"/>
                      <w:highlight w:val="none"/>
                      <w:lang w:val="en-US" w:eastAsia="zh-CN" w:bidi="ar-SA"/>
                    </w:rPr>
                    <w:t>年</w:t>
                  </w:r>
                </w:p>
              </w:tc>
              <w:tc>
                <w:tcPr>
                  <w:tcW w:w="396" w:type="pct"/>
                  <w:vMerge w:val="continue"/>
                  <w:tcBorders>
                    <w:tl2br w:val="nil"/>
                    <w:tr2bl w:val="nil"/>
                  </w:tcBorders>
                  <w:noWrap w:val="0"/>
                  <w:vAlign w:val="center"/>
                </w:tcPr>
                <w:p w14:paraId="2FC2475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r>
            <w:tr w14:paraId="1F4F37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 w:type="pct"/>
                  <w:vMerge w:val="continue"/>
                  <w:tcBorders>
                    <w:tl2br w:val="nil"/>
                    <w:tr2bl w:val="nil"/>
                  </w:tcBorders>
                  <w:noWrap w:val="0"/>
                  <w:vAlign w:val="center"/>
                </w:tcPr>
                <w:p w14:paraId="7BD8004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553" w:type="pct"/>
                  <w:tcBorders>
                    <w:tl2br w:val="nil"/>
                    <w:tr2bl w:val="nil"/>
                  </w:tcBorders>
                  <w:noWrap w:val="0"/>
                  <w:vAlign w:val="center"/>
                </w:tcPr>
                <w:p w14:paraId="60BF0AC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eastAsia" w:ascii="Times New Roman" w:hAnsi="Times New Roman" w:cs="Times New Roman"/>
                      <w:caps w:val="0"/>
                      <w:color w:val="auto"/>
                      <w:spacing w:val="0"/>
                      <w:kern w:val="2"/>
                      <w:sz w:val="21"/>
                      <w:szCs w:val="21"/>
                      <w:highlight w:val="none"/>
                      <w:lang w:val="en-US" w:eastAsia="zh-CN" w:bidi="ar-SA"/>
                    </w:rPr>
                    <w:t>流量</w:t>
                  </w:r>
                </w:p>
              </w:tc>
              <w:tc>
                <w:tcPr>
                  <w:tcW w:w="483" w:type="pct"/>
                  <w:tcBorders>
                    <w:tl2br w:val="nil"/>
                    <w:tr2bl w:val="nil"/>
                  </w:tcBorders>
                  <w:shd w:val="clear" w:color="auto" w:fill="auto"/>
                  <w:noWrap w:val="0"/>
                  <w:vAlign w:val="center"/>
                </w:tcPr>
                <w:p w14:paraId="0FE7B36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w:t>
                  </w:r>
                </w:p>
                <w:p w14:paraId="0993B27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自动⎕</w:t>
                  </w:r>
                </w:p>
                <w:p w14:paraId="7EDB2B9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手</w:t>
                  </w:r>
                </w:p>
                <w:p w14:paraId="7E86FCA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工</w:t>
                  </w:r>
                </w:p>
              </w:tc>
              <w:tc>
                <w:tcPr>
                  <w:tcW w:w="421" w:type="pct"/>
                  <w:tcBorders>
                    <w:tl2br w:val="nil"/>
                    <w:tr2bl w:val="nil"/>
                  </w:tcBorders>
                  <w:shd w:val="clear" w:color="auto" w:fill="auto"/>
                  <w:noWrap w:val="0"/>
                  <w:vAlign w:val="center"/>
                </w:tcPr>
                <w:p w14:paraId="5F83016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eastAsia" w:ascii="Times New Roman" w:hAnsi="Times New Roman" w:cs="Times New Roman"/>
                      <w:caps w:val="0"/>
                      <w:color w:val="auto"/>
                      <w:spacing w:val="0"/>
                      <w:kern w:val="2"/>
                      <w:sz w:val="21"/>
                      <w:szCs w:val="21"/>
                      <w:highlight w:val="none"/>
                      <w:lang w:val="en-US" w:eastAsia="zh-CN" w:bidi="ar-SA"/>
                    </w:rPr>
                    <w:t>污水总排口管道</w:t>
                  </w:r>
                </w:p>
              </w:tc>
              <w:tc>
                <w:tcPr>
                  <w:tcW w:w="688" w:type="pct"/>
                  <w:tcBorders>
                    <w:tl2br w:val="nil"/>
                    <w:tr2bl w:val="nil"/>
                  </w:tcBorders>
                  <w:shd w:val="clear" w:color="auto" w:fill="auto"/>
                  <w:noWrap w:val="0"/>
                  <w:vAlign w:val="center"/>
                </w:tcPr>
                <w:p w14:paraId="2700F3E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涉及</w:t>
                  </w:r>
                </w:p>
              </w:tc>
              <w:tc>
                <w:tcPr>
                  <w:tcW w:w="499" w:type="pct"/>
                  <w:tcBorders>
                    <w:tl2br w:val="nil"/>
                    <w:tr2bl w:val="nil"/>
                  </w:tcBorders>
                  <w:shd w:val="clear" w:color="auto" w:fill="auto"/>
                  <w:noWrap w:val="0"/>
                  <w:vAlign w:val="center"/>
                </w:tcPr>
                <w:p w14:paraId="0D2D8CB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eastAsia" w:ascii="Times New Roman" w:hAnsi="Times New Roman" w:cs="Times New Roman"/>
                      <w:caps w:val="0"/>
                      <w:color w:val="auto"/>
                      <w:spacing w:val="0"/>
                      <w:kern w:val="2"/>
                      <w:sz w:val="21"/>
                      <w:szCs w:val="21"/>
                      <w:highlight w:val="none"/>
                      <w:lang w:val="en-US" w:eastAsia="zh-CN" w:bidi="ar-SA"/>
                    </w:rPr>
                    <w:t>是</w:t>
                  </w:r>
                </w:p>
              </w:tc>
              <w:tc>
                <w:tcPr>
                  <w:tcW w:w="499" w:type="pct"/>
                  <w:tcBorders>
                    <w:tl2br w:val="nil"/>
                    <w:tr2bl w:val="nil"/>
                  </w:tcBorders>
                  <w:shd w:val="clear" w:color="auto" w:fill="auto"/>
                  <w:noWrap w:val="0"/>
                  <w:vAlign w:val="center"/>
                </w:tcPr>
                <w:p w14:paraId="0C4ED18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不涉及</w:t>
                  </w:r>
                </w:p>
              </w:tc>
              <w:tc>
                <w:tcPr>
                  <w:tcW w:w="622" w:type="pct"/>
                  <w:tcBorders>
                    <w:tl2br w:val="nil"/>
                    <w:tr2bl w:val="nil"/>
                  </w:tcBorders>
                  <w:shd w:val="clear" w:color="auto" w:fill="auto"/>
                  <w:noWrap w:val="0"/>
                  <w:vAlign w:val="center"/>
                </w:tcPr>
                <w:p w14:paraId="1E4E4E5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瞬时采</w:t>
                  </w:r>
                </w:p>
                <w:p w14:paraId="19E0ABE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caps w:val="0"/>
                      <w:color w:val="auto"/>
                      <w:spacing w:val="0"/>
                      <w:kern w:val="2"/>
                      <w:sz w:val="21"/>
                      <w:szCs w:val="21"/>
                      <w:highlight w:val="none"/>
                      <w:lang w:val="en-US" w:eastAsia="zh-CN" w:bidi="ar-SA"/>
                    </w:rPr>
                  </w:pPr>
                  <w:r>
                    <w:rPr>
                      <w:rFonts w:hint="default" w:ascii="Times New Roman" w:hAnsi="Times New Roman" w:eastAsia="宋体" w:cs="Times New Roman"/>
                      <w:caps w:val="0"/>
                      <w:color w:val="auto"/>
                      <w:spacing w:val="0"/>
                      <w:kern w:val="2"/>
                      <w:sz w:val="21"/>
                      <w:szCs w:val="21"/>
                      <w:highlight w:val="none"/>
                      <w:lang w:val="en-US" w:eastAsia="zh-CN" w:bidi="ar-SA"/>
                    </w:rPr>
                    <w:t>样（三个瞬时样）</w:t>
                  </w:r>
                </w:p>
              </w:tc>
              <w:tc>
                <w:tcPr>
                  <w:tcW w:w="478" w:type="pct"/>
                  <w:tcBorders>
                    <w:tl2br w:val="nil"/>
                    <w:tr2bl w:val="nil"/>
                  </w:tcBorders>
                  <w:noWrap w:val="0"/>
                  <w:vAlign w:val="center"/>
                </w:tcPr>
                <w:p w14:paraId="686CB62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c>
                <w:tcPr>
                  <w:tcW w:w="396" w:type="pct"/>
                  <w:tcBorders>
                    <w:tl2br w:val="nil"/>
                    <w:tr2bl w:val="nil"/>
                  </w:tcBorders>
                  <w:noWrap w:val="0"/>
                  <w:vAlign w:val="center"/>
                </w:tcPr>
                <w:p w14:paraId="50E45D8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aps w:val="0"/>
                      <w:color w:val="auto"/>
                      <w:spacing w:val="0"/>
                      <w:kern w:val="2"/>
                      <w:sz w:val="21"/>
                      <w:szCs w:val="21"/>
                      <w:highlight w:val="none"/>
                      <w:lang w:val="en-US" w:eastAsia="zh-CN" w:bidi="ar-SA"/>
                    </w:rPr>
                  </w:pPr>
                </w:p>
              </w:tc>
            </w:tr>
          </w:tbl>
          <w:p w14:paraId="0E9BE827">
            <w:pPr>
              <w:pStyle w:val="9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jc w:val="left"/>
              <w:textAlignment w:val="baseline"/>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lang w:val="en-US" w:eastAsia="zh-CN"/>
              </w:rPr>
              <w:t>本项目外排废水主要为锅炉</w:t>
            </w:r>
            <w:r>
              <w:rPr>
                <w:rFonts w:hint="eastAsia" w:ascii="Times New Roman" w:hAnsi="Times New Roman" w:cs="Times New Roman"/>
                <w:color w:val="auto"/>
                <w:spacing w:val="0"/>
                <w:sz w:val="24"/>
                <w:szCs w:val="24"/>
                <w:highlight w:val="none"/>
                <w:lang w:val="en-US" w:eastAsia="zh-CN"/>
              </w:rPr>
              <w:t>污</w:t>
            </w:r>
            <w:r>
              <w:rPr>
                <w:rFonts w:hint="default" w:ascii="Times New Roman" w:hAnsi="Times New Roman" w:eastAsia="宋体" w:cs="Times New Roman"/>
                <w:color w:val="auto"/>
                <w:spacing w:val="0"/>
                <w:sz w:val="24"/>
                <w:szCs w:val="24"/>
                <w:highlight w:val="none"/>
                <w:lang w:val="en-US" w:eastAsia="zh-CN"/>
              </w:rPr>
              <w:t>水</w:t>
            </w:r>
            <w:r>
              <w:rPr>
                <w:rFonts w:hint="default" w:ascii="Times New Roman" w:hAnsi="Times New Roman" w:cs="Times New Roman"/>
                <w:color w:val="auto"/>
                <w:spacing w:val="0"/>
                <w:sz w:val="24"/>
                <w:szCs w:val="24"/>
                <w:highlight w:val="none"/>
                <w:lang w:val="en-US" w:eastAsia="zh-CN"/>
              </w:rPr>
              <w:t>，</w:t>
            </w:r>
            <w:r>
              <w:rPr>
                <w:rFonts w:hint="default" w:ascii="Times New Roman" w:hAnsi="Times New Roman" w:eastAsia="宋体" w:cs="Times New Roman"/>
                <w:caps w:val="0"/>
                <w:color w:val="auto"/>
                <w:spacing w:val="0"/>
                <w:sz w:val="24"/>
                <w:szCs w:val="24"/>
                <w:highlight w:val="none"/>
                <w:lang w:val="en-US" w:eastAsia="zh-CN"/>
              </w:rPr>
              <w:t>由上表可知，</w:t>
            </w:r>
            <w:r>
              <w:rPr>
                <w:rFonts w:hint="default" w:ascii="Times New Roman" w:hAnsi="Times New Roman" w:cs="Times New Roman"/>
                <w:caps w:val="0"/>
                <w:color w:val="auto"/>
                <w:spacing w:val="0"/>
                <w:sz w:val="24"/>
                <w:szCs w:val="24"/>
                <w:highlight w:val="none"/>
                <w:lang w:val="en-US" w:eastAsia="zh-CN"/>
              </w:rPr>
              <w:t>锅炉</w:t>
            </w:r>
            <w:r>
              <w:rPr>
                <w:rFonts w:hint="eastAsia" w:ascii="Times New Roman" w:hAnsi="Times New Roman" w:cs="Times New Roman"/>
                <w:caps w:val="0"/>
                <w:color w:val="auto"/>
                <w:spacing w:val="0"/>
                <w:sz w:val="24"/>
                <w:szCs w:val="24"/>
                <w:highlight w:val="none"/>
                <w:lang w:val="en-US" w:eastAsia="zh-CN"/>
              </w:rPr>
              <w:t>污</w:t>
            </w:r>
            <w:r>
              <w:rPr>
                <w:rFonts w:hint="default" w:ascii="Times New Roman" w:hAnsi="Times New Roman" w:cs="Times New Roman"/>
                <w:caps w:val="0"/>
                <w:color w:val="auto"/>
                <w:spacing w:val="0"/>
                <w:sz w:val="24"/>
                <w:szCs w:val="24"/>
                <w:highlight w:val="none"/>
                <w:lang w:val="en-US" w:eastAsia="zh-CN"/>
              </w:rPr>
              <w:t>水主要污染物为</w:t>
            </w:r>
            <w:r>
              <w:rPr>
                <w:rFonts w:hint="eastAsia" w:ascii="Times New Roman" w:hAnsi="Times New Roman" w:cs="Times New Roman"/>
                <w:caps w:val="0"/>
                <w:color w:val="auto"/>
                <w:spacing w:val="0"/>
                <w:sz w:val="24"/>
                <w:szCs w:val="24"/>
                <w:highlight w:val="none"/>
                <w:lang w:val="en-US" w:eastAsia="zh-CN"/>
              </w:rPr>
              <w:t>pH、</w:t>
            </w:r>
            <w:r>
              <w:rPr>
                <w:rFonts w:hint="default" w:ascii="Times New Roman" w:hAnsi="Times New Roman" w:cs="Times New Roman"/>
                <w:caps w:val="0"/>
                <w:color w:val="auto"/>
                <w:spacing w:val="0"/>
                <w:sz w:val="24"/>
                <w:szCs w:val="24"/>
                <w:highlight w:val="none"/>
                <w:lang w:val="en-US" w:eastAsia="zh-CN"/>
              </w:rPr>
              <w:t>COD、TDS，</w:t>
            </w:r>
            <w:r>
              <w:rPr>
                <w:rFonts w:hint="eastAsia" w:ascii="Times New Roman" w:hAnsi="Times New Roman" w:cs="Times New Roman"/>
                <w:caps w:val="0"/>
                <w:color w:val="auto"/>
                <w:spacing w:val="0"/>
                <w:sz w:val="24"/>
                <w:szCs w:val="24"/>
                <w:highlight w:val="none"/>
                <w:lang w:val="en-US" w:eastAsia="zh-CN"/>
              </w:rPr>
              <w:t>锅炉污水包含</w:t>
            </w:r>
            <w:r>
              <w:rPr>
                <w:rFonts w:hint="default" w:ascii="Times New Roman" w:hAnsi="Times New Roman" w:cs="Times New Roman"/>
                <w:b w:val="0"/>
                <w:bCs/>
                <w:color w:val="auto"/>
                <w:spacing w:val="0"/>
                <w:sz w:val="24"/>
                <w:szCs w:val="24"/>
                <w:highlight w:val="none"/>
                <w:lang w:val="en-US" w:eastAsia="zh-CN"/>
              </w:rPr>
              <w:t>锅炉排污水和软水制备废水</w:t>
            </w:r>
            <w:r>
              <w:rPr>
                <w:rFonts w:hint="eastAsia" w:ascii="Times New Roman" w:hAnsi="Times New Roman" w:cs="Times New Roman"/>
                <w:b w:val="0"/>
                <w:bCs/>
                <w:color w:val="auto"/>
                <w:spacing w:val="0"/>
                <w:sz w:val="24"/>
                <w:szCs w:val="24"/>
                <w:highlight w:val="none"/>
                <w:lang w:val="en-US" w:eastAsia="zh-CN"/>
              </w:rPr>
              <w:t>，少量</w:t>
            </w:r>
            <w:r>
              <w:rPr>
                <w:rFonts w:hint="default" w:ascii="Times New Roman" w:hAnsi="Times New Roman" w:cs="Times New Roman"/>
                <w:b w:val="0"/>
                <w:bCs/>
                <w:color w:val="auto"/>
                <w:spacing w:val="0"/>
                <w:sz w:val="24"/>
                <w:szCs w:val="24"/>
                <w:highlight w:val="none"/>
                <w:lang w:val="en-US" w:eastAsia="zh-CN"/>
              </w:rPr>
              <w:t>收集后用于灰渣</w:t>
            </w:r>
            <w:r>
              <w:rPr>
                <w:rFonts w:hint="eastAsia" w:ascii="Times New Roman" w:hAnsi="Times New Roman" w:cs="Times New Roman"/>
                <w:b w:val="0"/>
                <w:bCs/>
                <w:color w:val="auto"/>
                <w:spacing w:val="0"/>
                <w:sz w:val="24"/>
                <w:szCs w:val="24"/>
                <w:highlight w:val="none"/>
                <w:lang w:val="en-US" w:eastAsia="zh-CN"/>
              </w:rPr>
              <w:t>加湿其余锅炉污水通过院区污水总排口进入市政管网，排入城子河区污水处理厂进行处理</w:t>
            </w:r>
            <w:r>
              <w:rPr>
                <w:rFonts w:hint="default" w:ascii="Times New Roman" w:hAnsi="Times New Roman" w:eastAsia="宋体" w:cs="Times New Roman"/>
                <w:bCs/>
                <w:color w:val="auto"/>
                <w:spacing w:val="0"/>
                <w:sz w:val="24"/>
                <w:highlight w:val="none"/>
                <w:lang w:val="en-US" w:eastAsia="zh-CN" w:bidi="ar"/>
              </w:rPr>
              <w:t>。</w:t>
            </w:r>
            <w:r>
              <w:rPr>
                <w:rFonts w:hint="default" w:ascii="Times New Roman" w:hAnsi="Times New Roman" w:eastAsia="宋体" w:cs="Times New Roman"/>
                <w:caps w:val="0"/>
                <w:snapToGrid w:val="0"/>
                <w:color w:val="auto"/>
                <w:spacing w:val="0"/>
                <w:sz w:val="24"/>
                <w:szCs w:val="24"/>
                <w:highlight w:val="none"/>
                <w:lang w:val="en-US" w:eastAsia="zh-CN"/>
              </w:rPr>
              <w:t>废水去向合理，</w:t>
            </w:r>
            <w:r>
              <w:rPr>
                <w:rFonts w:hint="default" w:ascii="Times New Roman" w:hAnsi="Times New Roman" w:eastAsia="宋体" w:cs="Times New Roman"/>
                <w:bCs/>
                <w:caps w:val="0"/>
                <w:color w:val="auto"/>
                <w:spacing w:val="0"/>
                <w:kern w:val="0"/>
                <w:sz w:val="24"/>
                <w:highlight w:val="none"/>
              </w:rPr>
              <w:t>不会对周围环境产生明显的不利影响。</w:t>
            </w:r>
          </w:p>
          <w:p w14:paraId="5989771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aps w:val="0"/>
                <w:color w:val="auto"/>
                <w:spacing w:val="0"/>
                <w:sz w:val="24"/>
                <w:highlight w:val="none"/>
                <w:lang w:val="en-US" w:eastAsia="zh-CN" w:bidi="ar"/>
              </w:rPr>
            </w:pPr>
          </w:p>
        </w:tc>
      </w:tr>
    </w:tbl>
    <w:p w14:paraId="3261060E">
      <w:pPr>
        <w:rPr>
          <w:rFonts w:hint="default" w:ascii="Times New Roman" w:hAnsi="Times New Roman" w:eastAsia="宋体" w:cs="Times New Roman"/>
          <w:color w:val="auto"/>
          <w:spacing w:val="0"/>
          <w:highlight w:val="none"/>
        </w:rPr>
        <w:sectPr>
          <w:pgSz w:w="11907" w:h="16840"/>
          <w:pgMar w:top="1440" w:right="1803" w:bottom="1440" w:left="1803"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tbl>
      <w:tblPr>
        <w:tblStyle w:val="3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80"/>
        <w:gridCol w:w="8057"/>
      </w:tblGrid>
      <w:tr w14:paraId="7CAF56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564" w:hRule="atLeast"/>
          <w:jc w:val="center"/>
        </w:trPr>
        <w:tc>
          <w:tcPr>
            <w:tcW w:w="418" w:type="dxa"/>
            <w:noWrap w:val="0"/>
            <w:tcMar>
              <w:left w:w="28" w:type="dxa"/>
              <w:right w:w="28" w:type="dxa"/>
            </w:tcMar>
            <w:vAlign w:val="center"/>
          </w:tcPr>
          <w:p w14:paraId="135C3EFA">
            <w:pPr>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8343" w:type="dxa"/>
            <w:tcBorders>
              <w:top w:val="single" w:color="auto" w:sz="4" w:space="0"/>
              <w:bottom w:val="single" w:color="auto" w:sz="4" w:space="0"/>
            </w:tcBorders>
            <w:noWrap w:val="0"/>
            <w:vAlign w:val="center"/>
          </w:tcPr>
          <w:p w14:paraId="6DD0C908">
            <w:pPr>
              <w:ind w:left="0" w:leftChars="0" w:firstLine="0" w:firstLineChars="0"/>
              <w:rPr>
                <w:rFonts w:hint="default" w:ascii="Times New Roman" w:hAnsi="Times New Roman" w:eastAsia="宋体" w:cs="Times New Roman"/>
                <w:b/>
                <w:bCs w:val="0"/>
                <w:color w:val="auto"/>
                <w:spacing w:val="0"/>
                <w:sz w:val="28"/>
                <w:szCs w:val="28"/>
                <w:highlight w:val="none"/>
                <w:lang w:val="en-US" w:eastAsia="zh-CN"/>
              </w:rPr>
            </w:pPr>
            <w:r>
              <w:rPr>
                <w:rFonts w:hint="default" w:ascii="Times New Roman" w:hAnsi="Times New Roman" w:cs="Times New Roman"/>
                <w:b/>
                <w:bCs w:val="0"/>
                <w:color w:val="auto"/>
                <w:spacing w:val="0"/>
                <w:sz w:val="28"/>
                <w:szCs w:val="28"/>
                <w:highlight w:val="none"/>
                <w:lang w:val="en-US" w:eastAsia="zh-CN"/>
              </w:rPr>
              <w:t>3.</w:t>
            </w:r>
            <w:r>
              <w:rPr>
                <w:rFonts w:hint="default" w:ascii="Times New Roman" w:hAnsi="Times New Roman" w:eastAsia="宋体" w:cs="Times New Roman"/>
                <w:b/>
                <w:bCs w:val="0"/>
                <w:color w:val="auto"/>
                <w:spacing w:val="0"/>
                <w:sz w:val="28"/>
                <w:szCs w:val="28"/>
                <w:highlight w:val="none"/>
                <w:lang w:val="en-US" w:eastAsia="zh-CN"/>
              </w:rPr>
              <w:t>噪声</w:t>
            </w:r>
          </w:p>
          <w:p w14:paraId="520775FE">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b w:val="0"/>
                <w:bCs/>
                <w:color w:val="auto"/>
                <w:spacing w:val="0"/>
                <w:highlight w:val="none"/>
                <w:lang w:val="en-US" w:eastAsia="zh-CN"/>
              </w:rPr>
            </w:pPr>
            <w:r>
              <w:rPr>
                <w:rFonts w:hint="default" w:ascii="Times New Roman" w:hAnsi="Times New Roman" w:eastAsia="宋体" w:cs="Times New Roman"/>
                <w:b w:val="0"/>
                <w:bCs/>
                <w:color w:val="auto"/>
                <w:spacing w:val="0"/>
                <w:highlight w:val="none"/>
                <w:lang w:val="en-US" w:eastAsia="zh-CN"/>
              </w:rPr>
              <w:t>根据《环境影响评价技术导则声环境》（HJ2.4-2021），由于厂界周边50m范围内有声环境保护敏感目标，故</w:t>
            </w:r>
            <w:r>
              <w:rPr>
                <w:rFonts w:hint="default" w:ascii="Times New Roman" w:hAnsi="Times New Roman" w:cs="Times New Roman"/>
                <w:b w:val="0"/>
                <w:bCs/>
                <w:color w:val="auto"/>
                <w:spacing w:val="0"/>
                <w:highlight w:val="none"/>
                <w:lang w:val="en-US" w:eastAsia="zh-CN"/>
              </w:rPr>
              <w:t>应</w:t>
            </w:r>
            <w:r>
              <w:rPr>
                <w:rFonts w:hint="default" w:ascii="Times New Roman" w:hAnsi="Times New Roman" w:eastAsia="宋体" w:cs="Times New Roman"/>
                <w:b w:val="0"/>
                <w:bCs/>
                <w:color w:val="auto"/>
                <w:spacing w:val="0"/>
                <w:highlight w:val="none"/>
                <w:lang w:val="en-US" w:eastAsia="zh-CN"/>
              </w:rPr>
              <w:t>进行噪声厂界</w:t>
            </w:r>
            <w:r>
              <w:rPr>
                <w:rFonts w:hint="eastAsia" w:ascii="Times New Roman" w:hAnsi="Times New Roman" w:cs="Times New Roman"/>
                <w:b w:val="0"/>
                <w:bCs/>
                <w:color w:val="auto"/>
                <w:spacing w:val="0"/>
                <w:highlight w:val="none"/>
                <w:lang w:val="en-US" w:eastAsia="zh-CN"/>
              </w:rPr>
              <w:t>及</w:t>
            </w:r>
            <w:r>
              <w:rPr>
                <w:rFonts w:hint="default" w:ascii="Times New Roman" w:hAnsi="Times New Roman" w:cs="Times New Roman"/>
                <w:b w:val="0"/>
                <w:bCs/>
                <w:color w:val="auto"/>
                <w:spacing w:val="0"/>
                <w:highlight w:val="none"/>
                <w:lang w:val="en-US" w:eastAsia="zh-CN"/>
              </w:rPr>
              <w:t>敏感点</w:t>
            </w:r>
            <w:r>
              <w:rPr>
                <w:rFonts w:hint="default" w:ascii="Times New Roman" w:hAnsi="Times New Roman" w:eastAsia="宋体" w:cs="Times New Roman"/>
                <w:b w:val="0"/>
                <w:bCs/>
                <w:color w:val="auto"/>
                <w:spacing w:val="0"/>
                <w:highlight w:val="none"/>
                <w:lang w:val="en-US" w:eastAsia="zh-CN"/>
              </w:rPr>
              <w:t>达标</w:t>
            </w:r>
            <w:r>
              <w:rPr>
                <w:rFonts w:hint="default" w:ascii="Times New Roman" w:hAnsi="Times New Roman" w:cs="Times New Roman"/>
                <w:b w:val="0"/>
                <w:bCs/>
                <w:color w:val="auto"/>
                <w:spacing w:val="0"/>
                <w:highlight w:val="none"/>
                <w:lang w:val="en-US" w:eastAsia="zh-CN"/>
              </w:rPr>
              <w:t>情况</w:t>
            </w:r>
            <w:r>
              <w:rPr>
                <w:rFonts w:hint="default" w:ascii="Times New Roman" w:hAnsi="Times New Roman" w:eastAsia="宋体" w:cs="Times New Roman"/>
                <w:b w:val="0"/>
                <w:bCs/>
                <w:color w:val="auto"/>
                <w:spacing w:val="0"/>
                <w:highlight w:val="none"/>
                <w:lang w:val="en-US" w:eastAsia="zh-CN"/>
              </w:rPr>
              <w:t>分析。</w:t>
            </w:r>
          </w:p>
          <w:p w14:paraId="55CD2D74">
            <w:pPr>
              <w:pStyle w:val="11"/>
              <w:keepNext w:val="0"/>
              <w:keepLines w:val="0"/>
              <w:pageBreakBefore w:val="0"/>
              <w:widowControl/>
              <w:kinsoku/>
              <w:wordWrap/>
              <w:overflowPunct/>
              <w:topLinePunct w:val="0"/>
              <w:autoSpaceDE/>
              <w:autoSpaceDN/>
              <w:bidi w:val="0"/>
              <w:adjustRightInd w:val="0"/>
              <w:snapToGrid w:val="0"/>
              <w:spacing w:before="0" w:after="0" w:line="360" w:lineRule="auto"/>
              <w:ind w:left="0" w:leftChars="0" w:right="0" w:firstLine="482" w:firstLineChars="200"/>
              <w:textAlignment w:val="auto"/>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eastAsia="宋体" w:cs="Times New Roman"/>
                <w:b/>
                <w:bCs w:val="0"/>
                <w:color w:val="auto"/>
                <w:spacing w:val="0"/>
                <w:sz w:val="24"/>
                <w:szCs w:val="24"/>
                <w:highlight w:val="none"/>
                <w:lang w:val="en-US" w:eastAsia="zh-CN"/>
              </w:rPr>
              <w:t>3.1 噪声预测方法</w:t>
            </w:r>
          </w:p>
          <w:p w14:paraId="4433D59C">
            <w:pPr>
              <w:pStyle w:val="42"/>
              <w:rPr>
                <w:rFonts w:hint="default" w:ascii="Times New Roman" w:hAnsi="Times New Roman" w:eastAsia="宋体" w:cs="Times New Roman"/>
                <w:b w:val="0"/>
                <w:bCs/>
                <w:color w:val="auto"/>
                <w:spacing w:val="0"/>
                <w:highlight w:val="none"/>
                <w:lang w:val="en-US" w:eastAsia="zh-CN"/>
              </w:rPr>
            </w:pPr>
            <w:r>
              <w:rPr>
                <w:rFonts w:hint="default" w:ascii="Times New Roman" w:hAnsi="Times New Roman" w:eastAsia="宋体" w:cs="Times New Roman"/>
                <w:b w:val="0"/>
                <w:bCs/>
                <w:color w:val="auto"/>
                <w:spacing w:val="0"/>
                <w:highlight w:val="none"/>
                <w:lang w:val="en-US" w:eastAsia="zh-CN"/>
              </w:rPr>
              <w:t>本评价采用《环境影响评价技术导则 声环境》（HJ2.4-2021）中的噪声距离衰减和叠加模式进行预测，具体预测公式如下：</w:t>
            </w:r>
          </w:p>
          <w:p w14:paraId="4630E37A">
            <w:pPr>
              <w:pStyle w:val="43"/>
              <w:keepNext w:val="0"/>
              <w:keepLines w:val="0"/>
              <w:pageBreakBefore w:val="0"/>
              <w:widowControl w:val="0"/>
              <w:numPr>
                <w:ilvl w:val="0"/>
                <w:numId w:val="6"/>
              </w:numPr>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噪声距离衰减公式：</w:t>
            </w:r>
          </w:p>
          <w:p w14:paraId="20799A7A">
            <w:pPr>
              <w:pStyle w:val="43"/>
              <w:keepNext w:val="0"/>
              <w:keepLines w:val="0"/>
              <w:pageBreakBefore w:val="0"/>
              <w:widowControl w:val="0"/>
              <w:numPr>
                <w:ilvl w:val="0"/>
                <w:numId w:val="0"/>
              </w:numPr>
              <w:kinsoku/>
              <w:wordWrap/>
              <w:overflowPunct/>
              <w:topLinePunct w:val="0"/>
              <w:autoSpaceDE/>
              <w:autoSpaceDN/>
              <w:bidi w:val="0"/>
              <w:adjustRightInd w:val="0"/>
              <w:snapToGrid w:val="0"/>
              <w:ind w:left="2400" w:leftChars="1000"/>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LP</w:t>
            </w:r>
            <w:r>
              <w:rPr>
                <w:rFonts w:hint="default" w:ascii="Times New Roman" w:hAnsi="Times New Roman"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rPr>
              <w:t>r</w:t>
            </w:r>
            <w:r>
              <w:rPr>
                <w:rFonts w:hint="default" w:ascii="Times New Roman" w:hAnsi="Times New Roman"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rPr>
              <w:t>=LP(r0)-20lg(r/r0)-a(r-r0)</w:t>
            </w:r>
          </w:p>
          <w:p w14:paraId="7C9E04C0">
            <w:pPr>
              <w:pStyle w:val="43"/>
              <w:keepNext w:val="0"/>
              <w:keepLines w:val="0"/>
              <w:pageBreakBefore w:val="0"/>
              <w:widowControl w:val="0"/>
              <w:numPr>
                <w:ilvl w:val="0"/>
                <w:numId w:val="0"/>
              </w:numPr>
              <w:kinsoku/>
              <w:wordWrap/>
              <w:overflowPunct/>
              <w:topLinePunct w:val="0"/>
              <w:autoSpaceDE/>
              <w:autoSpaceDN/>
              <w:bidi w:val="0"/>
              <w:adjustRightInd w:val="0"/>
              <w:snapToGrid w:val="0"/>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式中</w:t>
            </w: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rPr>
              <w:t>LP（r）—预测点所接受的声压级，dB(A</w:t>
            </w:r>
            <w:r>
              <w:rPr>
                <w:rFonts w:hint="default" w:ascii="Times New Roman" w:hAnsi="Times New Roman"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rPr>
              <w:t>；</w:t>
            </w:r>
          </w:p>
          <w:p w14:paraId="02070C90">
            <w:pPr>
              <w:pStyle w:val="43"/>
              <w:keepNext w:val="0"/>
              <w:keepLines w:val="0"/>
              <w:pageBreakBefore w:val="0"/>
              <w:widowControl w:val="0"/>
              <w:numPr>
                <w:ilvl w:val="0"/>
                <w:numId w:val="0"/>
              </w:numPr>
              <w:kinsoku/>
              <w:wordWrap/>
              <w:overflowPunct/>
              <w:topLinePunct w:val="0"/>
              <w:autoSpaceDE/>
              <w:autoSpaceDN/>
              <w:bidi w:val="0"/>
              <w:adjustRightInd w:val="0"/>
              <w:snapToGrid w:val="0"/>
              <w:ind w:leftChars="0" w:firstLine="720" w:firstLineChars="300"/>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LP(r0)—参考位置r0的声压级，dB(A</w:t>
            </w:r>
            <w:r>
              <w:rPr>
                <w:rFonts w:hint="default" w:ascii="Times New Roman" w:hAnsi="Times New Roman"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rPr>
              <w:t>；</w:t>
            </w:r>
          </w:p>
          <w:p w14:paraId="51A703B3">
            <w:pPr>
              <w:pStyle w:val="43"/>
              <w:keepNext w:val="0"/>
              <w:keepLines w:val="0"/>
              <w:pageBreakBefore w:val="0"/>
              <w:widowControl w:val="0"/>
              <w:numPr>
                <w:ilvl w:val="0"/>
                <w:numId w:val="0"/>
              </w:numPr>
              <w:kinsoku/>
              <w:wordWrap/>
              <w:overflowPunct/>
              <w:topLinePunct w:val="0"/>
              <w:autoSpaceDE/>
              <w:autoSpaceDN/>
              <w:bidi w:val="0"/>
              <w:adjustRightInd w:val="0"/>
              <w:snapToGrid w:val="0"/>
              <w:ind w:leftChars="0" w:firstLine="720" w:firstLineChars="300"/>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r—预测点至声源的距离，m；</w:t>
            </w:r>
          </w:p>
          <w:p w14:paraId="659DAA72">
            <w:pPr>
              <w:pStyle w:val="43"/>
              <w:keepNext w:val="0"/>
              <w:keepLines w:val="0"/>
              <w:pageBreakBefore w:val="0"/>
              <w:widowControl w:val="0"/>
              <w:numPr>
                <w:ilvl w:val="0"/>
                <w:numId w:val="0"/>
              </w:numPr>
              <w:kinsoku/>
              <w:wordWrap/>
              <w:overflowPunct/>
              <w:topLinePunct w:val="0"/>
              <w:autoSpaceDE/>
              <w:autoSpaceDN/>
              <w:bidi w:val="0"/>
              <w:adjustRightInd w:val="0"/>
              <w:snapToGrid w:val="0"/>
              <w:ind w:leftChars="0" w:firstLine="720" w:firstLineChars="300"/>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r0—参考位置距声源的距离；</w:t>
            </w:r>
          </w:p>
          <w:p w14:paraId="0462134B">
            <w:pPr>
              <w:pStyle w:val="43"/>
              <w:keepNext w:val="0"/>
              <w:keepLines w:val="0"/>
              <w:pageBreakBefore w:val="0"/>
              <w:widowControl w:val="0"/>
              <w:numPr>
                <w:ilvl w:val="0"/>
                <w:numId w:val="0"/>
              </w:numPr>
              <w:kinsoku/>
              <w:wordWrap/>
              <w:overflowPunct/>
              <w:topLinePunct w:val="0"/>
              <w:autoSpaceDE/>
              <w:autoSpaceDN/>
              <w:bidi w:val="0"/>
              <w:adjustRightInd w:val="0"/>
              <w:snapToGrid w:val="0"/>
              <w:ind w:leftChars="0" w:firstLine="720" w:firstLineChars="300"/>
              <w:textAlignment w:val="auto"/>
              <w:rPr>
                <w:rFonts w:hint="default" w:ascii="Times New Roman" w:hAnsi="Times New Roman" w:eastAsia="宋体" w:cs="Times New Roman"/>
                <w:b/>
                <w:bCs w:val="0"/>
                <w:color w:val="auto"/>
                <w:spacing w:val="0"/>
                <w:highlight w:val="none"/>
                <w:lang w:val="en-US" w:eastAsia="zh-CN"/>
              </w:rPr>
            </w:pPr>
            <w:r>
              <w:rPr>
                <w:rFonts w:hint="default" w:ascii="Times New Roman" w:hAnsi="Times New Roman" w:eastAsia="宋体" w:cs="Times New Roman"/>
                <w:color w:val="auto"/>
                <w:spacing w:val="0"/>
                <w:sz w:val="24"/>
                <w:szCs w:val="24"/>
                <w:highlight w:val="none"/>
              </w:rPr>
              <w:t>a—大气对声波的吸收系数，dB(A)/m，平均值为0.008dB(A)/m；</w:t>
            </w:r>
          </w:p>
          <w:p w14:paraId="20FA5341">
            <w:pPr>
              <w:keepNext w:val="0"/>
              <w:keepLines w:val="0"/>
              <w:pageBreakBefore w:val="0"/>
              <w:widowControl w:val="0"/>
              <w:numPr>
                <w:ilvl w:val="0"/>
                <w:numId w:val="6"/>
              </w:numPr>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color w:val="auto"/>
                <w:spacing w:val="0"/>
                <w:highlight w:val="none"/>
                <w:lang w:val="en-US" w:eastAsia="zh-CN"/>
              </w:rPr>
            </w:pPr>
            <w:r>
              <w:rPr>
                <w:rFonts w:hint="default" w:ascii="Times New Roman" w:hAnsi="Times New Roman" w:eastAsia="宋体" w:cs="Times New Roman"/>
                <w:color w:val="auto"/>
                <w:spacing w:val="0"/>
                <w:highlight w:val="none"/>
                <w:lang w:val="en-US" w:eastAsia="zh-CN"/>
              </w:rPr>
              <w:t>噪声叠加模式：</w:t>
            </w:r>
          </w:p>
          <w:p w14:paraId="7E4AF3D2">
            <w:pPr>
              <w:pStyle w:val="11"/>
              <w:numPr>
                <w:ilvl w:val="0"/>
                <w:numId w:val="0"/>
              </w:numPr>
              <w:ind w:leftChars="200" w:right="113" w:rightChars="0"/>
              <w:jc w:val="center"/>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drawing>
                <wp:inline distT="0" distB="0" distL="114300" distR="114300">
                  <wp:extent cx="1676400" cy="628650"/>
                  <wp:effectExtent l="0" t="0" r="0" b="0"/>
                  <wp:docPr id="21"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55"/>
                          <pic:cNvPicPr>
                            <a:picLocks noChangeAspect="1"/>
                          </pic:cNvPicPr>
                        </pic:nvPicPr>
                        <pic:blipFill>
                          <a:blip r:embed="rId28"/>
                          <a:srcRect l="25424"/>
                          <a:stretch>
                            <a:fillRect/>
                          </a:stretch>
                        </pic:blipFill>
                        <pic:spPr>
                          <a:xfrm>
                            <a:off x="0" y="0"/>
                            <a:ext cx="1676400" cy="628650"/>
                          </a:xfrm>
                          <a:prstGeom prst="rect">
                            <a:avLst/>
                          </a:prstGeom>
                          <a:noFill/>
                          <a:ln>
                            <a:noFill/>
                          </a:ln>
                        </pic:spPr>
                      </pic:pic>
                    </a:graphicData>
                  </a:graphic>
                </wp:inline>
              </w:drawing>
            </w:r>
          </w:p>
          <w:p w14:paraId="6890E101">
            <w:pPr>
              <w:pStyle w:val="42"/>
              <w:ind w:left="0" w:leftChars="0" w:firstLine="0" w:firstLineChars="0"/>
              <w:rPr>
                <w:rFonts w:hint="default" w:ascii="Times New Roman" w:hAnsi="Times New Roman" w:eastAsia="宋体" w:cs="Times New Roman"/>
                <w:color w:val="auto"/>
                <w:spacing w:val="0"/>
                <w:highlight w:val="none"/>
                <w:lang w:val="en-US" w:eastAsia="zh-CN"/>
              </w:rPr>
            </w:pPr>
            <w:r>
              <w:rPr>
                <w:rFonts w:hint="default" w:ascii="Times New Roman" w:hAnsi="Times New Roman" w:eastAsia="宋体" w:cs="Times New Roman"/>
                <w:color w:val="auto"/>
                <w:spacing w:val="0"/>
                <w:highlight w:val="none"/>
                <w:lang w:val="en-US" w:eastAsia="zh-CN"/>
              </w:rPr>
              <w:t>式中：L－为n个噪声源的声级，dB（A）；</w:t>
            </w:r>
          </w:p>
          <w:p w14:paraId="01656E32">
            <w:pPr>
              <w:pStyle w:val="42"/>
              <w:keepNext w:val="0"/>
              <w:keepLines w:val="0"/>
              <w:pageBreakBefore w:val="0"/>
              <w:kinsoku/>
              <w:wordWrap/>
              <w:overflowPunct/>
              <w:topLinePunct w:val="0"/>
              <w:autoSpaceDE/>
              <w:autoSpaceDN/>
              <w:bidi w:val="0"/>
              <w:adjustRightInd w:val="0"/>
              <w:snapToGrid w:val="0"/>
              <w:ind w:firstLine="720" w:firstLineChars="300"/>
              <w:textAlignment w:val="auto"/>
              <w:rPr>
                <w:rFonts w:hint="default" w:ascii="Times New Roman" w:hAnsi="Times New Roman" w:eastAsia="宋体" w:cs="Times New Roman"/>
                <w:color w:val="auto"/>
                <w:spacing w:val="0"/>
                <w:highlight w:val="none"/>
                <w:lang w:val="en-US" w:eastAsia="zh-CN"/>
              </w:rPr>
            </w:pPr>
            <w:r>
              <w:rPr>
                <w:rFonts w:hint="default" w:ascii="Times New Roman" w:hAnsi="Times New Roman" w:eastAsia="宋体" w:cs="Times New Roman"/>
                <w:color w:val="auto"/>
                <w:spacing w:val="0"/>
                <w:highlight w:val="none"/>
                <w:lang w:val="en-US" w:eastAsia="zh-CN"/>
              </w:rPr>
              <w:t>Li－第i个噪声源的声级，dB(A</w:t>
            </w:r>
            <w:r>
              <w:rPr>
                <w:rFonts w:hint="default" w:ascii="Times New Roman" w:hAnsi="Times New Roman" w:cs="Times New Roman"/>
                <w:color w:val="auto"/>
                <w:spacing w:val="0"/>
                <w:highlight w:val="none"/>
                <w:lang w:val="en-US" w:eastAsia="zh-CN"/>
              </w:rPr>
              <w:t>)</w:t>
            </w:r>
            <w:r>
              <w:rPr>
                <w:rFonts w:hint="default" w:ascii="Times New Roman" w:hAnsi="Times New Roman" w:eastAsia="宋体" w:cs="Times New Roman"/>
                <w:color w:val="auto"/>
                <w:spacing w:val="0"/>
                <w:highlight w:val="none"/>
                <w:lang w:val="en-US" w:eastAsia="zh-CN"/>
              </w:rPr>
              <w:t>；</w:t>
            </w:r>
          </w:p>
          <w:p w14:paraId="39EB92DD">
            <w:pPr>
              <w:pStyle w:val="43"/>
              <w:keepNext w:val="0"/>
              <w:keepLines w:val="0"/>
              <w:pageBreakBefore w:val="0"/>
              <w:widowControl w:val="0"/>
              <w:kinsoku/>
              <w:wordWrap/>
              <w:overflowPunct/>
              <w:topLinePunct w:val="0"/>
              <w:autoSpaceDE/>
              <w:autoSpaceDN/>
              <w:bidi w:val="0"/>
              <w:adjustRightInd w:val="0"/>
              <w:snapToGrid w:val="0"/>
              <w:ind w:left="0" w:leftChars="0" w:firstLine="720" w:firstLineChars="300"/>
              <w:textAlignment w:val="auto"/>
              <w:rPr>
                <w:rFonts w:hint="default" w:ascii="Times New Roman" w:hAnsi="Times New Roman" w:eastAsia="宋体" w:cs="Times New Roman"/>
                <w:color w:val="auto"/>
                <w:spacing w:val="0"/>
                <w:highlight w:val="none"/>
                <w:lang w:val="en-US" w:eastAsia="zh-CN"/>
              </w:rPr>
            </w:pPr>
            <w:r>
              <w:rPr>
                <w:rFonts w:hint="default" w:ascii="Times New Roman" w:hAnsi="Times New Roman" w:eastAsia="宋体" w:cs="Times New Roman"/>
                <w:color w:val="auto"/>
                <w:spacing w:val="0"/>
                <w:sz w:val="24"/>
                <w:szCs w:val="24"/>
                <w:highlight w:val="none"/>
              </w:rPr>
              <w:t>n—为噪声源的个数。</w:t>
            </w:r>
          </w:p>
          <w:p w14:paraId="12AA26B3">
            <w:pPr>
              <w:keepNext w:val="0"/>
              <w:keepLines w:val="0"/>
              <w:pageBreakBefore w:val="0"/>
              <w:widowControl w:val="0"/>
              <w:kinsoku/>
              <w:wordWrap/>
              <w:overflowPunct/>
              <w:topLinePunct w:val="0"/>
              <w:autoSpaceDE/>
              <w:autoSpaceDN/>
              <w:bidi w:val="0"/>
              <w:adjustRightInd w:val="0"/>
              <w:snapToGrid w:val="0"/>
              <w:ind w:left="0" w:leftChars="0" w:firstLine="482" w:firstLineChars="200"/>
              <w:textAlignment w:val="auto"/>
              <w:rPr>
                <w:rFonts w:hint="default" w:ascii="Times New Roman" w:hAnsi="Times New Roman" w:eastAsia="宋体" w:cs="Times New Roman"/>
                <w:b/>
                <w:bCs w:val="0"/>
                <w:color w:val="auto"/>
                <w:spacing w:val="0"/>
                <w:highlight w:val="none"/>
                <w:lang w:val="en-US" w:eastAsia="zh-CN"/>
              </w:rPr>
            </w:pPr>
            <w:r>
              <w:rPr>
                <w:rFonts w:hint="default" w:ascii="Times New Roman" w:hAnsi="Times New Roman" w:eastAsia="宋体" w:cs="Times New Roman"/>
                <w:b/>
                <w:bCs w:val="0"/>
                <w:color w:val="auto"/>
                <w:spacing w:val="0"/>
                <w:sz w:val="24"/>
                <w:szCs w:val="24"/>
                <w:highlight w:val="none"/>
              </w:rPr>
              <w:t>3.2 噪声源强及治理措施</w:t>
            </w:r>
          </w:p>
          <w:p w14:paraId="22443433">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color w:val="auto"/>
                <w:spacing w:val="0"/>
                <w:sz w:val="24"/>
                <w:szCs w:val="24"/>
                <w:highlight w:val="none"/>
              </w:rPr>
            </w:pPr>
            <w:r>
              <w:rPr>
                <w:rFonts w:hint="eastAsia" w:ascii="Times New Roman" w:hAnsi="Times New Roman" w:cs="Times New Roman"/>
                <w:color w:val="auto"/>
                <w:spacing w:val="0"/>
                <w:sz w:val="24"/>
                <w:szCs w:val="24"/>
                <w:highlight w:val="none"/>
                <w:lang w:val="en-US" w:eastAsia="zh-CN"/>
              </w:rPr>
              <w:t>拟建</w:t>
            </w:r>
            <w:r>
              <w:rPr>
                <w:rFonts w:hint="default" w:ascii="Times New Roman" w:hAnsi="Times New Roman" w:eastAsia="宋体" w:cs="Times New Roman"/>
                <w:color w:val="auto"/>
                <w:spacing w:val="0"/>
                <w:sz w:val="24"/>
                <w:szCs w:val="24"/>
                <w:highlight w:val="none"/>
              </w:rPr>
              <w:t>项目噪声源主要是</w:t>
            </w:r>
            <w:r>
              <w:rPr>
                <w:rFonts w:hint="default" w:ascii="Times New Roman" w:hAnsi="Times New Roman" w:eastAsia="宋体" w:cs="Times New Roman"/>
                <w:color w:val="auto"/>
                <w:spacing w:val="0"/>
                <w:sz w:val="24"/>
                <w:szCs w:val="24"/>
                <w:highlight w:val="none"/>
                <w:lang w:val="en-US" w:eastAsia="zh-CN"/>
              </w:rPr>
              <w:t>锅炉</w:t>
            </w:r>
            <w:r>
              <w:rPr>
                <w:rFonts w:hint="default" w:ascii="Times New Roman" w:hAnsi="Times New Roman" w:eastAsia="宋体" w:cs="Times New Roman"/>
                <w:color w:val="auto"/>
                <w:spacing w:val="0"/>
                <w:sz w:val="24"/>
                <w:szCs w:val="24"/>
                <w:highlight w:val="none"/>
              </w:rPr>
              <w:t>运行过程中产生的噪声，噪声源强在</w:t>
            </w:r>
            <w:r>
              <w:rPr>
                <w:rFonts w:hint="default" w:ascii="Times New Roman" w:hAnsi="Times New Roman" w:eastAsia="宋体" w:cs="Times New Roman"/>
                <w:color w:val="auto"/>
                <w:spacing w:val="0"/>
                <w:sz w:val="24"/>
                <w:szCs w:val="24"/>
                <w:highlight w:val="none"/>
                <w:lang w:val="en-US" w:eastAsia="zh-CN"/>
              </w:rPr>
              <w:t>7</w:t>
            </w:r>
            <w:r>
              <w:rPr>
                <w:rFonts w:hint="default" w:ascii="Times New Roman" w:hAnsi="Times New Roman" w:cs="Times New Roman"/>
                <w:color w:val="auto"/>
                <w:spacing w:val="0"/>
                <w:sz w:val="24"/>
                <w:szCs w:val="24"/>
                <w:highlight w:val="none"/>
                <w:lang w:val="en-US" w:eastAsia="zh-CN"/>
              </w:rPr>
              <w:t>5</w:t>
            </w:r>
            <w:r>
              <w:rPr>
                <w:rFonts w:hint="default" w:ascii="Times New Roman" w:hAnsi="Times New Roman" w:eastAsia="宋体" w:cs="Times New Roman"/>
                <w:color w:val="auto"/>
                <w:spacing w:val="0"/>
                <w:sz w:val="24"/>
                <w:szCs w:val="24"/>
                <w:highlight w:val="none"/>
              </w:rPr>
              <w:t>～8</w:t>
            </w:r>
            <w:r>
              <w:rPr>
                <w:rFonts w:hint="default" w:ascii="Times New Roman" w:hAnsi="Times New Roman" w:eastAsia="宋体" w:cs="Times New Roman"/>
                <w:color w:val="auto"/>
                <w:spacing w:val="0"/>
                <w:sz w:val="24"/>
                <w:szCs w:val="24"/>
                <w:highlight w:val="none"/>
                <w:lang w:val="en-US" w:eastAsia="zh-CN"/>
              </w:rPr>
              <w:t>0</w:t>
            </w:r>
            <w:r>
              <w:rPr>
                <w:rFonts w:hint="default" w:ascii="Times New Roman" w:hAnsi="Times New Roman" w:eastAsia="宋体" w:cs="Times New Roman"/>
                <w:color w:val="auto"/>
                <w:spacing w:val="0"/>
                <w:sz w:val="24"/>
                <w:szCs w:val="24"/>
                <w:highlight w:val="none"/>
              </w:rPr>
              <w:t>dB（A）之间。</w:t>
            </w:r>
            <w:r>
              <w:rPr>
                <w:rFonts w:hint="default" w:ascii="Times New Roman" w:hAnsi="Times New Roman" w:cs="Times New Roman"/>
                <w:color w:val="auto"/>
                <w:spacing w:val="0"/>
                <w:sz w:val="24"/>
                <w:szCs w:val="24"/>
                <w:highlight w:val="none"/>
                <w:lang w:val="en-US" w:eastAsia="zh-CN"/>
              </w:rPr>
              <w:t>产噪设备主要为</w:t>
            </w:r>
            <w:r>
              <w:rPr>
                <w:rFonts w:hint="default" w:ascii="Times New Roman" w:hAnsi="Times New Roman" w:cs="Times New Roman"/>
                <w:color w:val="auto"/>
                <w:highlight w:val="none"/>
                <w:lang w:val="en-US" w:eastAsia="zh-CN"/>
              </w:rPr>
              <w:t>锅炉、循环水泵</w:t>
            </w:r>
            <w:r>
              <w:rPr>
                <w:rFonts w:hint="default" w:ascii="Times New Roman" w:hAnsi="Times New Roman" w:cs="Times New Roman"/>
                <w:color w:val="auto"/>
                <w:highlight w:val="none"/>
              </w:rPr>
              <w:t>和风机等</w:t>
            </w:r>
            <w:r>
              <w:rPr>
                <w:rFonts w:hint="default" w:ascii="Times New Roman" w:hAnsi="Times New Roman" w:cs="Times New Roman"/>
                <w:color w:val="auto"/>
                <w:spacing w:val="0"/>
                <w:sz w:val="24"/>
                <w:szCs w:val="24"/>
                <w:highlight w:val="none"/>
                <w:lang w:val="en-US" w:eastAsia="zh-CN"/>
              </w:rPr>
              <w:t>，</w:t>
            </w:r>
            <w:r>
              <w:rPr>
                <w:rFonts w:hint="eastAsia" w:ascii="Times New Roman" w:hAnsi="Times New Roman" w:cs="Times New Roman"/>
                <w:color w:val="auto"/>
                <w:spacing w:val="0"/>
                <w:sz w:val="24"/>
                <w:szCs w:val="24"/>
                <w:highlight w:val="none"/>
                <w:lang w:val="en-US" w:eastAsia="zh-CN"/>
              </w:rPr>
              <w:t>由于本项目为扩建项目，</w:t>
            </w:r>
            <w:r>
              <w:rPr>
                <w:rFonts w:hint="default" w:ascii="Times New Roman" w:hAnsi="Times New Roman" w:eastAsia="宋体" w:cs="Times New Roman"/>
                <w:color w:val="auto"/>
                <w:spacing w:val="0"/>
                <w:sz w:val="24"/>
                <w:szCs w:val="24"/>
                <w:highlight w:val="none"/>
              </w:rPr>
              <w:t>根据工程分析，</w:t>
            </w:r>
            <w:r>
              <w:rPr>
                <w:rFonts w:hint="eastAsia" w:ascii="Times New Roman" w:hAnsi="Times New Roman" w:cs="Times New Roman"/>
                <w:color w:val="auto"/>
                <w:spacing w:val="0"/>
                <w:sz w:val="24"/>
                <w:szCs w:val="24"/>
                <w:highlight w:val="none"/>
                <w:lang w:val="en-US" w:eastAsia="zh-CN"/>
              </w:rPr>
              <w:t>拟建项目噪声预测应叠加现有工程噪声贡献值。根据</w:t>
            </w:r>
            <w:r>
              <w:rPr>
                <w:rFonts w:hint="default" w:ascii="Times New Roman" w:hAnsi="Times New Roman" w:cs="Times New Roman"/>
                <w:bCs/>
                <w:color w:val="auto"/>
                <w:spacing w:val="0"/>
                <w:sz w:val="24"/>
                <w:szCs w:val="24"/>
                <w:highlight w:val="none"/>
                <w:shd w:val="clear"/>
                <w:lang w:val="en-US" w:eastAsia="zh-CN"/>
              </w:rPr>
              <w:t>《鸡西鸡矿医院有限公司城子河医院现状环境影响评估报告》</w:t>
            </w:r>
            <w:r>
              <w:rPr>
                <w:rFonts w:hint="eastAsia" w:ascii="Times New Roman" w:hAnsi="Times New Roman" w:cs="Times New Roman"/>
                <w:bCs/>
                <w:color w:val="auto"/>
                <w:spacing w:val="0"/>
                <w:sz w:val="24"/>
                <w:szCs w:val="24"/>
                <w:highlight w:val="none"/>
                <w:shd w:val="clear"/>
                <w:lang w:val="en-US" w:eastAsia="zh-CN"/>
              </w:rPr>
              <w:t>现有工程产噪设备为水泵、排风机噪声、污水处理站噪声；根据</w:t>
            </w:r>
            <w:r>
              <w:rPr>
                <w:rFonts w:hint="default" w:ascii="Times New Roman" w:hAnsi="Times New Roman" w:cs="Times New Roman"/>
                <w:bCs/>
                <w:color w:val="auto"/>
                <w:spacing w:val="0"/>
                <w:sz w:val="24"/>
                <w:szCs w:val="24"/>
                <w:highlight w:val="none"/>
                <w:shd w:val="clear"/>
                <w:lang w:val="en-US" w:eastAsia="zh-CN"/>
              </w:rPr>
              <w:t>《鸡西矿业集团鸡矿医院有限公司城子河医院门诊综合楼项目》</w:t>
            </w:r>
            <w:r>
              <w:rPr>
                <w:rFonts w:hint="eastAsia" w:ascii="Times New Roman" w:hAnsi="Times New Roman" w:cs="Times New Roman"/>
                <w:bCs/>
                <w:color w:val="auto"/>
                <w:spacing w:val="0"/>
                <w:sz w:val="24"/>
                <w:szCs w:val="24"/>
                <w:highlight w:val="none"/>
                <w:shd w:val="clear"/>
                <w:lang w:val="en-US" w:eastAsia="zh-CN"/>
              </w:rPr>
              <w:t>现有工程产噪设备为卫生间换气机。全院</w:t>
            </w:r>
            <w:r>
              <w:rPr>
                <w:rFonts w:hint="default" w:ascii="Times New Roman" w:hAnsi="Times New Roman" w:eastAsia="宋体" w:cs="Times New Roman"/>
                <w:color w:val="auto"/>
                <w:spacing w:val="0"/>
                <w:sz w:val="24"/>
                <w:szCs w:val="24"/>
                <w:highlight w:val="none"/>
              </w:rPr>
              <w:t>主要声源设备通过采</w:t>
            </w:r>
            <w:r>
              <w:rPr>
                <w:rFonts w:hint="default" w:ascii="Times New Roman" w:hAnsi="Times New Roman" w:eastAsia="宋体" w:cs="Times New Roman"/>
                <w:color w:val="auto"/>
                <w:spacing w:val="0"/>
                <w:sz w:val="24"/>
                <w:szCs w:val="24"/>
                <w:highlight w:val="none"/>
                <w:lang w:val="en-US" w:eastAsia="zh-CN"/>
              </w:rPr>
              <w:t>用</w:t>
            </w:r>
            <w:r>
              <w:rPr>
                <w:rFonts w:hint="default" w:ascii="Times New Roman" w:hAnsi="Times New Roman" w:eastAsia="宋体" w:cs="Times New Roman"/>
                <w:color w:val="auto"/>
                <w:spacing w:val="0"/>
                <w:sz w:val="24"/>
                <w:szCs w:val="24"/>
                <w:highlight w:val="none"/>
              </w:rPr>
              <w:t>基础减振、厂房隔声等措施，</w:t>
            </w:r>
            <w:r>
              <w:rPr>
                <w:rFonts w:hint="eastAsia" w:ascii="Times New Roman" w:hAnsi="Times New Roman" w:cs="Times New Roman"/>
                <w:color w:val="auto"/>
                <w:spacing w:val="0"/>
                <w:sz w:val="24"/>
                <w:szCs w:val="24"/>
                <w:highlight w:val="none"/>
                <w:lang w:val="en-US" w:eastAsia="zh-CN"/>
              </w:rPr>
              <w:t>现有工程及拟建项目</w:t>
            </w:r>
            <w:r>
              <w:rPr>
                <w:rFonts w:hint="default" w:ascii="Times New Roman" w:hAnsi="Times New Roman" w:eastAsia="宋体" w:cs="Times New Roman"/>
                <w:color w:val="auto"/>
                <w:spacing w:val="0"/>
                <w:sz w:val="24"/>
                <w:szCs w:val="24"/>
                <w:highlight w:val="none"/>
              </w:rPr>
              <w:t>各噪声源调查信息汇总见下表。</w:t>
            </w:r>
          </w:p>
        </w:tc>
      </w:tr>
    </w:tbl>
    <w:p w14:paraId="744DC369">
      <w:pPr>
        <w:rPr>
          <w:rFonts w:hint="default" w:ascii="Times New Roman" w:hAnsi="Times New Roman" w:eastAsia="宋体" w:cs="Times New Roman"/>
          <w:color w:val="auto"/>
          <w:spacing w:val="0"/>
          <w:kern w:val="0"/>
          <w:highlight w:val="none"/>
        </w:rPr>
        <w:sectPr>
          <w:pgSz w:w="11907" w:h="16840"/>
          <w:pgMar w:top="1440" w:right="1803" w:bottom="1440" w:left="1803"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14:paraId="2C93CB6F">
      <w:pPr>
        <w:pStyle w:val="11"/>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eastAsia="宋体" w:cs="Times New Roman"/>
          <w:b/>
          <w:bCs/>
          <w:color w:val="auto"/>
          <w:spacing w:val="0"/>
          <w:sz w:val="21"/>
          <w:szCs w:val="21"/>
          <w:highlight w:val="none"/>
          <w:lang w:val="en-US" w:eastAsia="zh-CN"/>
        </w:rPr>
        <w:t>表4-1</w:t>
      </w:r>
      <w:r>
        <w:rPr>
          <w:rFonts w:hint="eastAsia" w:cs="Times New Roman"/>
          <w:b/>
          <w:bCs/>
          <w:color w:val="auto"/>
          <w:spacing w:val="0"/>
          <w:sz w:val="21"/>
          <w:szCs w:val="21"/>
          <w:highlight w:val="none"/>
          <w:lang w:val="en-US" w:eastAsia="zh-CN"/>
        </w:rPr>
        <w:t>3</w:t>
      </w:r>
      <w:r>
        <w:rPr>
          <w:rFonts w:hint="default" w:ascii="Times New Roman" w:hAnsi="Times New Roman" w:cs="Times New Roman"/>
          <w:b/>
          <w:bCs/>
          <w:color w:val="auto"/>
          <w:spacing w:val="0"/>
          <w:sz w:val="21"/>
          <w:szCs w:val="21"/>
          <w:highlight w:val="none"/>
          <w:lang w:val="en-US" w:eastAsia="zh-CN"/>
        </w:rPr>
        <w:t>本项目</w:t>
      </w:r>
      <w:r>
        <w:rPr>
          <w:rFonts w:hint="default" w:ascii="Times New Roman" w:hAnsi="Times New Roman" w:eastAsia="宋体" w:cs="Times New Roman"/>
          <w:b/>
          <w:bCs/>
          <w:color w:val="auto"/>
          <w:spacing w:val="0"/>
          <w:sz w:val="21"/>
          <w:szCs w:val="21"/>
          <w:highlight w:val="none"/>
          <w:lang w:val="en-US" w:eastAsia="zh-CN"/>
        </w:rPr>
        <w:t>噪声源强调查清单（室内声源）</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5"/>
        <w:gridCol w:w="683"/>
        <w:gridCol w:w="532"/>
        <w:gridCol w:w="709"/>
        <w:gridCol w:w="681"/>
        <w:gridCol w:w="557"/>
        <w:gridCol w:w="484"/>
        <w:gridCol w:w="484"/>
        <w:gridCol w:w="433"/>
        <w:gridCol w:w="600"/>
        <w:gridCol w:w="514"/>
        <w:gridCol w:w="514"/>
        <w:gridCol w:w="517"/>
        <w:gridCol w:w="600"/>
        <w:gridCol w:w="600"/>
        <w:gridCol w:w="600"/>
        <w:gridCol w:w="603"/>
        <w:gridCol w:w="471"/>
        <w:gridCol w:w="681"/>
        <w:gridCol w:w="600"/>
        <w:gridCol w:w="600"/>
        <w:gridCol w:w="600"/>
        <w:gridCol w:w="628"/>
        <w:gridCol w:w="380"/>
      </w:tblGrid>
      <w:tr w14:paraId="5C0DC9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3" w:type="pct"/>
            <w:vMerge w:val="restart"/>
            <w:tcBorders>
              <w:tl2br w:val="nil"/>
              <w:tr2bl w:val="nil"/>
            </w:tcBorders>
            <w:noWrap w:val="0"/>
            <w:vAlign w:val="center"/>
          </w:tcPr>
          <w:p w14:paraId="5E64D6A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序号</w:t>
            </w:r>
          </w:p>
        </w:tc>
        <w:tc>
          <w:tcPr>
            <w:tcW w:w="253" w:type="pct"/>
            <w:vMerge w:val="restart"/>
            <w:tcBorders>
              <w:tl2br w:val="nil"/>
              <w:tr2bl w:val="nil"/>
            </w:tcBorders>
            <w:noWrap w:val="0"/>
            <w:vAlign w:val="center"/>
          </w:tcPr>
          <w:p w14:paraId="4DF82B9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建筑物名称</w:t>
            </w:r>
          </w:p>
        </w:tc>
        <w:tc>
          <w:tcPr>
            <w:tcW w:w="197" w:type="pct"/>
            <w:vMerge w:val="restart"/>
            <w:tcBorders>
              <w:tl2br w:val="nil"/>
              <w:tr2bl w:val="nil"/>
            </w:tcBorders>
            <w:noWrap w:val="0"/>
            <w:vAlign w:val="center"/>
          </w:tcPr>
          <w:p w14:paraId="4CBDB2D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声源名称</w:t>
            </w:r>
          </w:p>
        </w:tc>
        <w:tc>
          <w:tcPr>
            <w:tcW w:w="263" w:type="pct"/>
            <w:vMerge w:val="restart"/>
            <w:tcBorders>
              <w:tl2br w:val="nil"/>
              <w:tr2bl w:val="nil"/>
            </w:tcBorders>
            <w:noWrap w:val="0"/>
            <w:vAlign w:val="center"/>
          </w:tcPr>
          <w:p w14:paraId="066C227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型号</w:t>
            </w:r>
          </w:p>
        </w:tc>
        <w:tc>
          <w:tcPr>
            <w:tcW w:w="253" w:type="pct"/>
            <w:tcBorders>
              <w:tl2br w:val="nil"/>
              <w:tr2bl w:val="nil"/>
            </w:tcBorders>
            <w:noWrap w:val="0"/>
            <w:vAlign w:val="center"/>
          </w:tcPr>
          <w:p w14:paraId="1DEBB1C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声源源强（任选一种）</w:t>
            </w:r>
          </w:p>
        </w:tc>
        <w:tc>
          <w:tcPr>
            <w:tcW w:w="206" w:type="pct"/>
            <w:vMerge w:val="restart"/>
            <w:tcBorders>
              <w:tl2br w:val="nil"/>
              <w:tr2bl w:val="nil"/>
            </w:tcBorders>
            <w:noWrap w:val="0"/>
            <w:vAlign w:val="center"/>
          </w:tcPr>
          <w:p w14:paraId="7B35ABB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声源控制措施</w:t>
            </w:r>
          </w:p>
        </w:tc>
        <w:tc>
          <w:tcPr>
            <w:tcW w:w="520" w:type="pct"/>
            <w:gridSpan w:val="3"/>
            <w:tcBorders>
              <w:tl2br w:val="nil"/>
              <w:tr2bl w:val="nil"/>
            </w:tcBorders>
            <w:noWrap w:val="0"/>
            <w:vAlign w:val="center"/>
          </w:tcPr>
          <w:p w14:paraId="46A4248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空间相对位置/m</w:t>
            </w:r>
          </w:p>
        </w:tc>
        <w:tc>
          <w:tcPr>
            <w:tcW w:w="797" w:type="pct"/>
            <w:gridSpan w:val="4"/>
            <w:tcBorders>
              <w:tl2br w:val="nil"/>
              <w:tr2bl w:val="nil"/>
            </w:tcBorders>
            <w:noWrap w:val="0"/>
            <w:vAlign w:val="center"/>
          </w:tcPr>
          <w:p w14:paraId="43766AE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距室内边界距离/m</w:t>
            </w:r>
          </w:p>
        </w:tc>
        <w:tc>
          <w:tcPr>
            <w:tcW w:w="892" w:type="pct"/>
            <w:gridSpan w:val="4"/>
            <w:tcBorders>
              <w:tl2br w:val="nil"/>
              <w:tr2bl w:val="nil"/>
            </w:tcBorders>
            <w:noWrap w:val="0"/>
            <w:vAlign w:val="center"/>
          </w:tcPr>
          <w:p w14:paraId="2EB9939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室内边界省级/dB（A）</w:t>
            </w:r>
          </w:p>
        </w:tc>
        <w:tc>
          <w:tcPr>
            <w:tcW w:w="175" w:type="pct"/>
            <w:vMerge w:val="restart"/>
            <w:tcBorders>
              <w:tl2br w:val="nil"/>
              <w:tr2bl w:val="nil"/>
            </w:tcBorders>
            <w:noWrap w:val="0"/>
            <w:vAlign w:val="center"/>
          </w:tcPr>
          <w:p w14:paraId="3F9CDB3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运行时段</w:t>
            </w:r>
          </w:p>
        </w:tc>
        <w:tc>
          <w:tcPr>
            <w:tcW w:w="253" w:type="pct"/>
            <w:vMerge w:val="restart"/>
            <w:tcBorders>
              <w:tl2br w:val="nil"/>
              <w:tr2bl w:val="nil"/>
            </w:tcBorders>
            <w:noWrap w:val="0"/>
            <w:vAlign w:val="center"/>
          </w:tcPr>
          <w:p w14:paraId="579A8A5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建筑物插入损失/dB（A）</w:t>
            </w:r>
          </w:p>
        </w:tc>
        <w:tc>
          <w:tcPr>
            <w:tcW w:w="1043" w:type="pct"/>
            <w:gridSpan w:val="5"/>
            <w:tcBorders>
              <w:tl2br w:val="nil"/>
              <w:tr2bl w:val="nil"/>
            </w:tcBorders>
            <w:noWrap w:val="0"/>
            <w:vAlign w:val="center"/>
          </w:tcPr>
          <w:p w14:paraId="0CA993E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建筑物外噪声</w:t>
            </w:r>
          </w:p>
        </w:tc>
      </w:tr>
      <w:tr w14:paraId="08BA51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143" w:type="pct"/>
            <w:vMerge w:val="continue"/>
            <w:tcBorders>
              <w:tl2br w:val="nil"/>
              <w:tr2bl w:val="nil"/>
            </w:tcBorders>
            <w:noWrap w:val="0"/>
            <w:vAlign w:val="center"/>
          </w:tcPr>
          <w:p w14:paraId="795A20C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rPr>
            </w:pPr>
          </w:p>
        </w:tc>
        <w:tc>
          <w:tcPr>
            <w:tcW w:w="253" w:type="pct"/>
            <w:vMerge w:val="continue"/>
            <w:tcBorders>
              <w:tl2br w:val="nil"/>
              <w:tr2bl w:val="nil"/>
            </w:tcBorders>
            <w:noWrap w:val="0"/>
            <w:vAlign w:val="center"/>
          </w:tcPr>
          <w:p w14:paraId="29856B8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rPr>
            </w:pPr>
          </w:p>
        </w:tc>
        <w:tc>
          <w:tcPr>
            <w:tcW w:w="197" w:type="pct"/>
            <w:vMerge w:val="continue"/>
            <w:tcBorders>
              <w:tl2br w:val="nil"/>
              <w:tr2bl w:val="nil"/>
            </w:tcBorders>
            <w:noWrap w:val="0"/>
            <w:vAlign w:val="center"/>
          </w:tcPr>
          <w:p w14:paraId="1BF0032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rPr>
            </w:pPr>
          </w:p>
        </w:tc>
        <w:tc>
          <w:tcPr>
            <w:tcW w:w="263" w:type="pct"/>
            <w:vMerge w:val="continue"/>
            <w:tcBorders>
              <w:tl2br w:val="nil"/>
              <w:tr2bl w:val="nil"/>
            </w:tcBorders>
            <w:noWrap w:val="0"/>
            <w:vAlign w:val="center"/>
          </w:tcPr>
          <w:p w14:paraId="48773BC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rPr>
            </w:pPr>
          </w:p>
        </w:tc>
        <w:tc>
          <w:tcPr>
            <w:tcW w:w="253" w:type="pct"/>
            <w:vMerge w:val="restart"/>
            <w:tcBorders>
              <w:tl2br w:val="nil"/>
              <w:tr2bl w:val="nil"/>
            </w:tcBorders>
            <w:noWrap w:val="0"/>
            <w:vAlign w:val="center"/>
          </w:tcPr>
          <w:p w14:paraId="36D0F06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声功率级/dB（A）</w:t>
            </w:r>
          </w:p>
        </w:tc>
        <w:tc>
          <w:tcPr>
            <w:tcW w:w="206" w:type="pct"/>
            <w:vMerge w:val="continue"/>
            <w:tcBorders>
              <w:tl2br w:val="nil"/>
              <w:tr2bl w:val="nil"/>
            </w:tcBorders>
            <w:noWrap w:val="0"/>
            <w:vAlign w:val="center"/>
          </w:tcPr>
          <w:p w14:paraId="5795438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rPr>
            </w:pPr>
          </w:p>
        </w:tc>
        <w:tc>
          <w:tcPr>
            <w:tcW w:w="179" w:type="pct"/>
            <w:vMerge w:val="restart"/>
            <w:tcBorders>
              <w:tl2br w:val="nil"/>
              <w:tr2bl w:val="nil"/>
            </w:tcBorders>
            <w:noWrap w:val="0"/>
            <w:vAlign w:val="center"/>
          </w:tcPr>
          <w:p w14:paraId="0FE9FD9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X</w:t>
            </w:r>
          </w:p>
        </w:tc>
        <w:tc>
          <w:tcPr>
            <w:tcW w:w="179" w:type="pct"/>
            <w:vMerge w:val="restart"/>
            <w:tcBorders>
              <w:tl2br w:val="nil"/>
              <w:tr2bl w:val="nil"/>
            </w:tcBorders>
            <w:noWrap w:val="0"/>
            <w:vAlign w:val="center"/>
          </w:tcPr>
          <w:p w14:paraId="3E3CACD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Y</w:t>
            </w:r>
          </w:p>
        </w:tc>
        <w:tc>
          <w:tcPr>
            <w:tcW w:w="160" w:type="pct"/>
            <w:vMerge w:val="restart"/>
            <w:tcBorders>
              <w:tl2br w:val="nil"/>
              <w:tr2bl w:val="nil"/>
            </w:tcBorders>
            <w:noWrap w:val="0"/>
            <w:vAlign w:val="center"/>
          </w:tcPr>
          <w:p w14:paraId="14987EA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Z</w:t>
            </w:r>
          </w:p>
        </w:tc>
        <w:tc>
          <w:tcPr>
            <w:tcW w:w="222" w:type="pct"/>
            <w:vMerge w:val="restart"/>
            <w:tcBorders>
              <w:tl2br w:val="nil"/>
              <w:tr2bl w:val="nil"/>
            </w:tcBorders>
            <w:noWrap w:val="0"/>
            <w:vAlign w:val="center"/>
          </w:tcPr>
          <w:p w14:paraId="6AAF42C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bidi="zh-CN"/>
              </w:rPr>
            </w:pPr>
            <w:r>
              <w:rPr>
                <w:rFonts w:hint="default" w:ascii="Times New Roman" w:hAnsi="Times New Roman" w:eastAsia="宋体" w:cs="Times New Roman"/>
                <w:color w:val="auto"/>
                <w:spacing w:val="0"/>
                <w:sz w:val="21"/>
                <w:szCs w:val="21"/>
                <w:highlight w:val="none"/>
                <w:vertAlign w:val="baseline"/>
                <w:lang w:val="en-US" w:eastAsia="zh-CN"/>
              </w:rPr>
              <w:t>东</w:t>
            </w:r>
          </w:p>
        </w:tc>
        <w:tc>
          <w:tcPr>
            <w:tcW w:w="190" w:type="pct"/>
            <w:vMerge w:val="restart"/>
            <w:tcBorders>
              <w:tl2br w:val="nil"/>
              <w:tr2bl w:val="nil"/>
            </w:tcBorders>
            <w:noWrap w:val="0"/>
            <w:vAlign w:val="center"/>
          </w:tcPr>
          <w:p w14:paraId="0AB2BC7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bidi="zh-CN"/>
              </w:rPr>
            </w:pPr>
            <w:r>
              <w:rPr>
                <w:rFonts w:hint="default" w:ascii="Times New Roman" w:hAnsi="Times New Roman" w:eastAsia="宋体" w:cs="Times New Roman"/>
                <w:color w:val="auto"/>
                <w:spacing w:val="0"/>
                <w:sz w:val="21"/>
                <w:szCs w:val="21"/>
                <w:highlight w:val="none"/>
                <w:vertAlign w:val="baseline"/>
                <w:lang w:val="en-US" w:eastAsia="zh-CN"/>
              </w:rPr>
              <w:t>南</w:t>
            </w:r>
          </w:p>
        </w:tc>
        <w:tc>
          <w:tcPr>
            <w:tcW w:w="190" w:type="pct"/>
            <w:vMerge w:val="restart"/>
            <w:tcBorders>
              <w:tl2br w:val="nil"/>
              <w:tr2bl w:val="nil"/>
            </w:tcBorders>
            <w:noWrap w:val="0"/>
            <w:vAlign w:val="center"/>
          </w:tcPr>
          <w:p w14:paraId="54D04A7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bidi="zh-CN"/>
              </w:rPr>
            </w:pPr>
            <w:r>
              <w:rPr>
                <w:rFonts w:hint="default" w:ascii="Times New Roman" w:hAnsi="Times New Roman" w:eastAsia="宋体" w:cs="Times New Roman"/>
                <w:color w:val="auto"/>
                <w:spacing w:val="0"/>
                <w:sz w:val="21"/>
                <w:szCs w:val="21"/>
                <w:highlight w:val="none"/>
                <w:vertAlign w:val="baseline"/>
                <w:lang w:val="en-US" w:eastAsia="zh-CN"/>
              </w:rPr>
              <w:t>西</w:t>
            </w:r>
          </w:p>
        </w:tc>
        <w:tc>
          <w:tcPr>
            <w:tcW w:w="192" w:type="pct"/>
            <w:vMerge w:val="restart"/>
            <w:tcBorders>
              <w:tl2br w:val="nil"/>
              <w:tr2bl w:val="nil"/>
            </w:tcBorders>
            <w:noWrap w:val="0"/>
            <w:vAlign w:val="center"/>
          </w:tcPr>
          <w:p w14:paraId="294FCB6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bidi="zh-CN"/>
              </w:rPr>
            </w:pPr>
            <w:r>
              <w:rPr>
                <w:rFonts w:hint="default" w:ascii="Times New Roman" w:hAnsi="Times New Roman" w:eastAsia="宋体" w:cs="Times New Roman"/>
                <w:color w:val="auto"/>
                <w:spacing w:val="0"/>
                <w:sz w:val="21"/>
                <w:szCs w:val="21"/>
                <w:highlight w:val="none"/>
                <w:vertAlign w:val="baseline"/>
                <w:lang w:val="en-US" w:eastAsia="zh-CN"/>
              </w:rPr>
              <w:t>北</w:t>
            </w:r>
          </w:p>
        </w:tc>
        <w:tc>
          <w:tcPr>
            <w:tcW w:w="222" w:type="pct"/>
            <w:vMerge w:val="restart"/>
            <w:tcBorders>
              <w:tl2br w:val="nil"/>
              <w:tr2bl w:val="nil"/>
            </w:tcBorders>
            <w:noWrap w:val="0"/>
            <w:vAlign w:val="center"/>
          </w:tcPr>
          <w:p w14:paraId="69E69DE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bidi="zh-CN"/>
              </w:rPr>
            </w:pPr>
            <w:r>
              <w:rPr>
                <w:rFonts w:hint="default" w:ascii="Times New Roman" w:hAnsi="Times New Roman" w:eastAsia="宋体" w:cs="Times New Roman"/>
                <w:color w:val="auto"/>
                <w:spacing w:val="0"/>
                <w:sz w:val="21"/>
                <w:szCs w:val="21"/>
                <w:highlight w:val="none"/>
                <w:vertAlign w:val="baseline"/>
                <w:lang w:val="en-US" w:eastAsia="zh-CN"/>
              </w:rPr>
              <w:t>东</w:t>
            </w:r>
          </w:p>
        </w:tc>
        <w:tc>
          <w:tcPr>
            <w:tcW w:w="222" w:type="pct"/>
            <w:vMerge w:val="restart"/>
            <w:tcBorders>
              <w:tl2br w:val="nil"/>
              <w:tr2bl w:val="nil"/>
            </w:tcBorders>
            <w:noWrap w:val="0"/>
            <w:vAlign w:val="center"/>
          </w:tcPr>
          <w:p w14:paraId="282BEDD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bidi="zh-CN"/>
              </w:rPr>
            </w:pPr>
            <w:r>
              <w:rPr>
                <w:rFonts w:hint="default" w:ascii="Times New Roman" w:hAnsi="Times New Roman" w:eastAsia="宋体" w:cs="Times New Roman"/>
                <w:color w:val="auto"/>
                <w:spacing w:val="0"/>
                <w:sz w:val="21"/>
                <w:szCs w:val="21"/>
                <w:highlight w:val="none"/>
                <w:vertAlign w:val="baseline"/>
                <w:lang w:val="en-US" w:eastAsia="zh-CN"/>
              </w:rPr>
              <w:t>南</w:t>
            </w:r>
          </w:p>
        </w:tc>
        <w:tc>
          <w:tcPr>
            <w:tcW w:w="222" w:type="pct"/>
            <w:vMerge w:val="restart"/>
            <w:tcBorders>
              <w:tl2br w:val="nil"/>
              <w:tr2bl w:val="nil"/>
            </w:tcBorders>
            <w:noWrap w:val="0"/>
            <w:vAlign w:val="center"/>
          </w:tcPr>
          <w:p w14:paraId="70E1D62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bidi="zh-CN"/>
              </w:rPr>
            </w:pPr>
            <w:r>
              <w:rPr>
                <w:rFonts w:hint="default" w:ascii="Times New Roman" w:hAnsi="Times New Roman" w:eastAsia="宋体" w:cs="Times New Roman"/>
                <w:color w:val="auto"/>
                <w:spacing w:val="0"/>
                <w:sz w:val="21"/>
                <w:szCs w:val="21"/>
                <w:highlight w:val="none"/>
                <w:vertAlign w:val="baseline"/>
                <w:lang w:val="en-US" w:eastAsia="zh-CN"/>
              </w:rPr>
              <w:t>西</w:t>
            </w:r>
          </w:p>
        </w:tc>
        <w:tc>
          <w:tcPr>
            <w:tcW w:w="224" w:type="pct"/>
            <w:vMerge w:val="restart"/>
            <w:tcBorders>
              <w:tl2br w:val="nil"/>
              <w:tr2bl w:val="nil"/>
            </w:tcBorders>
            <w:noWrap w:val="0"/>
            <w:vAlign w:val="center"/>
          </w:tcPr>
          <w:p w14:paraId="5D8FBF8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bidi="zh-CN"/>
              </w:rPr>
            </w:pPr>
            <w:r>
              <w:rPr>
                <w:rFonts w:hint="default" w:ascii="Times New Roman" w:hAnsi="Times New Roman" w:eastAsia="宋体" w:cs="Times New Roman"/>
                <w:color w:val="auto"/>
                <w:spacing w:val="0"/>
                <w:sz w:val="21"/>
                <w:szCs w:val="21"/>
                <w:highlight w:val="none"/>
                <w:vertAlign w:val="baseline"/>
                <w:lang w:val="en-US" w:eastAsia="zh-CN"/>
              </w:rPr>
              <w:t>北</w:t>
            </w:r>
          </w:p>
        </w:tc>
        <w:tc>
          <w:tcPr>
            <w:tcW w:w="175" w:type="pct"/>
            <w:vMerge w:val="continue"/>
            <w:tcBorders>
              <w:tl2br w:val="nil"/>
              <w:tr2bl w:val="nil"/>
            </w:tcBorders>
            <w:noWrap w:val="0"/>
            <w:vAlign w:val="center"/>
          </w:tcPr>
          <w:p w14:paraId="2E6C8C8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olor w:val="auto"/>
                <w:spacing w:val="0"/>
                <w:sz w:val="21"/>
                <w:szCs w:val="21"/>
                <w:highlight w:val="none"/>
                <w:vertAlign w:val="baseline"/>
              </w:rPr>
            </w:pPr>
          </w:p>
        </w:tc>
        <w:tc>
          <w:tcPr>
            <w:tcW w:w="253" w:type="pct"/>
            <w:vMerge w:val="continue"/>
            <w:tcBorders>
              <w:tl2br w:val="nil"/>
              <w:tr2bl w:val="nil"/>
            </w:tcBorders>
            <w:noWrap w:val="0"/>
            <w:vAlign w:val="center"/>
          </w:tcPr>
          <w:p w14:paraId="133A74C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olor w:val="auto"/>
                <w:spacing w:val="0"/>
                <w:sz w:val="21"/>
                <w:szCs w:val="21"/>
                <w:highlight w:val="none"/>
                <w:vertAlign w:val="baseline"/>
              </w:rPr>
            </w:pPr>
          </w:p>
        </w:tc>
        <w:tc>
          <w:tcPr>
            <w:tcW w:w="902" w:type="pct"/>
            <w:gridSpan w:val="4"/>
            <w:tcBorders>
              <w:tl2br w:val="nil"/>
              <w:tr2bl w:val="nil"/>
            </w:tcBorders>
            <w:noWrap w:val="0"/>
            <w:vAlign w:val="center"/>
          </w:tcPr>
          <w:p w14:paraId="02F284F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声压级/dB（A）</w:t>
            </w:r>
          </w:p>
        </w:tc>
        <w:tc>
          <w:tcPr>
            <w:tcW w:w="141" w:type="pct"/>
            <w:vMerge w:val="restart"/>
            <w:tcBorders>
              <w:tl2br w:val="nil"/>
              <w:tr2bl w:val="nil"/>
            </w:tcBorders>
            <w:noWrap w:val="0"/>
            <w:vAlign w:val="center"/>
          </w:tcPr>
          <w:p w14:paraId="2F37BAE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建筑物外距离m</w:t>
            </w:r>
          </w:p>
        </w:tc>
      </w:tr>
      <w:tr w14:paraId="0CB871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143" w:type="pct"/>
            <w:vMerge w:val="continue"/>
            <w:tcBorders>
              <w:tl2br w:val="nil"/>
              <w:tr2bl w:val="nil"/>
            </w:tcBorders>
            <w:noWrap w:val="0"/>
            <w:vAlign w:val="center"/>
          </w:tcPr>
          <w:p w14:paraId="6AFAD3D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253" w:type="pct"/>
            <w:vMerge w:val="continue"/>
            <w:tcBorders>
              <w:tl2br w:val="nil"/>
              <w:tr2bl w:val="nil"/>
            </w:tcBorders>
            <w:noWrap w:val="0"/>
            <w:vAlign w:val="center"/>
          </w:tcPr>
          <w:p w14:paraId="262547C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197" w:type="pct"/>
            <w:vMerge w:val="continue"/>
            <w:tcBorders>
              <w:tl2br w:val="nil"/>
              <w:tr2bl w:val="nil"/>
            </w:tcBorders>
            <w:noWrap w:val="0"/>
            <w:vAlign w:val="center"/>
          </w:tcPr>
          <w:p w14:paraId="56ED2A3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263" w:type="pct"/>
            <w:vMerge w:val="continue"/>
            <w:tcBorders>
              <w:tl2br w:val="nil"/>
              <w:tr2bl w:val="nil"/>
            </w:tcBorders>
            <w:noWrap w:val="0"/>
            <w:vAlign w:val="center"/>
          </w:tcPr>
          <w:p w14:paraId="7F2C07C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253" w:type="pct"/>
            <w:vMerge w:val="continue"/>
            <w:tcBorders>
              <w:tl2br w:val="nil"/>
              <w:tr2bl w:val="nil"/>
            </w:tcBorders>
            <w:noWrap w:val="0"/>
            <w:vAlign w:val="center"/>
          </w:tcPr>
          <w:p w14:paraId="07C113C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206" w:type="pct"/>
            <w:vMerge w:val="continue"/>
            <w:tcBorders>
              <w:tl2br w:val="nil"/>
              <w:tr2bl w:val="nil"/>
            </w:tcBorders>
            <w:noWrap w:val="0"/>
            <w:vAlign w:val="center"/>
          </w:tcPr>
          <w:p w14:paraId="741783F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179" w:type="pct"/>
            <w:vMerge w:val="continue"/>
            <w:tcBorders>
              <w:tl2br w:val="nil"/>
              <w:tr2bl w:val="nil"/>
            </w:tcBorders>
            <w:noWrap w:val="0"/>
            <w:vAlign w:val="center"/>
          </w:tcPr>
          <w:p w14:paraId="0194A07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179" w:type="pct"/>
            <w:vMerge w:val="continue"/>
            <w:tcBorders>
              <w:tl2br w:val="nil"/>
              <w:tr2bl w:val="nil"/>
            </w:tcBorders>
            <w:noWrap w:val="0"/>
            <w:vAlign w:val="center"/>
          </w:tcPr>
          <w:p w14:paraId="178FB02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160" w:type="pct"/>
            <w:vMerge w:val="continue"/>
            <w:tcBorders>
              <w:tl2br w:val="nil"/>
              <w:tr2bl w:val="nil"/>
            </w:tcBorders>
            <w:noWrap w:val="0"/>
            <w:vAlign w:val="center"/>
          </w:tcPr>
          <w:p w14:paraId="4B86A2D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222" w:type="pct"/>
            <w:vMerge w:val="continue"/>
            <w:tcBorders>
              <w:tl2br w:val="nil"/>
              <w:tr2bl w:val="nil"/>
            </w:tcBorders>
            <w:noWrap w:val="0"/>
            <w:vAlign w:val="center"/>
          </w:tcPr>
          <w:p w14:paraId="0822FCA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190" w:type="pct"/>
            <w:vMerge w:val="continue"/>
            <w:tcBorders>
              <w:tl2br w:val="nil"/>
              <w:tr2bl w:val="nil"/>
            </w:tcBorders>
            <w:noWrap w:val="0"/>
            <w:vAlign w:val="center"/>
          </w:tcPr>
          <w:p w14:paraId="5C64B14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190" w:type="pct"/>
            <w:vMerge w:val="continue"/>
            <w:tcBorders>
              <w:tl2br w:val="nil"/>
              <w:tr2bl w:val="nil"/>
            </w:tcBorders>
            <w:noWrap w:val="0"/>
            <w:vAlign w:val="center"/>
          </w:tcPr>
          <w:p w14:paraId="6EAEB1D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192" w:type="pct"/>
            <w:vMerge w:val="continue"/>
            <w:tcBorders>
              <w:tl2br w:val="nil"/>
              <w:tr2bl w:val="nil"/>
            </w:tcBorders>
            <w:noWrap w:val="0"/>
            <w:vAlign w:val="center"/>
          </w:tcPr>
          <w:p w14:paraId="783A099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222" w:type="pct"/>
            <w:vMerge w:val="continue"/>
            <w:tcBorders>
              <w:tl2br w:val="nil"/>
              <w:tr2bl w:val="nil"/>
            </w:tcBorders>
            <w:noWrap w:val="0"/>
            <w:vAlign w:val="center"/>
          </w:tcPr>
          <w:p w14:paraId="2D4F539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222" w:type="pct"/>
            <w:vMerge w:val="continue"/>
            <w:tcBorders>
              <w:tl2br w:val="nil"/>
              <w:tr2bl w:val="nil"/>
            </w:tcBorders>
            <w:noWrap w:val="0"/>
            <w:vAlign w:val="center"/>
          </w:tcPr>
          <w:p w14:paraId="5274AED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222" w:type="pct"/>
            <w:vMerge w:val="continue"/>
            <w:tcBorders>
              <w:tl2br w:val="nil"/>
              <w:tr2bl w:val="nil"/>
            </w:tcBorders>
            <w:noWrap w:val="0"/>
            <w:vAlign w:val="center"/>
          </w:tcPr>
          <w:p w14:paraId="380190C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224" w:type="pct"/>
            <w:vMerge w:val="continue"/>
            <w:tcBorders>
              <w:tl2br w:val="nil"/>
              <w:tr2bl w:val="nil"/>
            </w:tcBorders>
            <w:noWrap w:val="0"/>
            <w:vAlign w:val="center"/>
          </w:tcPr>
          <w:p w14:paraId="4ABF261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175" w:type="pct"/>
            <w:vMerge w:val="continue"/>
            <w:tcBorders>
              <w:tl2br w:val="nil"/>
              <w:tr2bl w:val="nil"/>
            </w:tcBorders>
            <w:noWrap w:val="0"/>
            <w:vAlign w:val="center"/>
          </w:tcPr>
          <w:p w14:paraId="6FF65AC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253" w:type="pct"/>
            <w:vMerge w:val="continue"/>
            <w:tcBorders>
              <w:tl2br w:val="nil"/>
              <w:tr2bl w:val="nil"/>
            </w:tcBorders>
            <w:noWrap w:val="0"/>
            <w:vAlign w:val="center"/>
          </w:tcPr>
          <w:p w14:paraId="36F0313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222" w:type="pct"/>
            <w:tcBorders>
              <w:tl2br w:val="nil"/>
              <w:tr2bl w:val="nil"/>
            </w:tcBorders>
            <w:noWrap w:val="0"/>
            <w:vAlign w:val="center"/>
          </w:tcPr>
          <w:p w14:paraId="502C20A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bidi="zh-CN"/>
              </w:rPr>
            </w:pPr>
            <w:r>
              <w:rPr>
                <w:rFonts w:hint="default" w:ascii="Times New Roman" w:hAnsi="Times New Roman" w:eastAsia="宋体" w:cs="Times New Roman"/>
                <w:color w:val="auto"/>
                <w:spacing w:val="0"/>
                <w:sz w:val="21"/>
                <w:szCs w:val="21"/>
                <w:highlight w:val="none"/>
                <w:vertAlign w:val="baseline"/>
                <w:lang w:val="en-US" w:eastAsia="zh-CN"/>
              </w:rPr>
              <w:t>东</w:t>
            </w:r>
          </w:p>
        </w:tc>
        <w:tc>
          <w:tcPr>
            <w:tcW w:w="222" w:type="pct"/>
            <w:tcBorders>
              <w:tl2br w:val="nil"/>
              <w:tr2bl w:val="nil"/>
            </w:tcBorders>
            <w:noWrap w:val="0"/>
            <w:vAlign w:val="center"/>
          </w:tcPr>
          <w:p w14:paraId="40230B3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bidi="zh-CN"/>
              </w:rPr>
            </w:pPr>
            <w:r>
              <w:rPr>
                <w:rFonts w:hint="default" w:ascii="Times New Roman" w:hAnsi="Times New Roman" w:eastAsia="宋体" w:cs="Times New Roman"/>
                <w:color w:val="auto"/>
                <w:spacing w:val="0"/>
                <w:sz w:val="21"/>
                <w:szCs w:val="21"/>
                <w:highlight w:val="none"/>
                <w:vertAlign w:val="baseline"/>
                <w:lang w:val="en-US" w:eastAsia="zh-CN"/>
              </w:rPr>
              <w:t>南</w:t>
            </w:r>
          </w:p>
        </w:tc>
        <w:tc>
          <w:tcPr>
            <w:tcW w:w="222" w:type="pct"/>
            <w:tcBorders>
              <w:tl2br w:val="nil"/>
              <w:tr2bl w:val="nil"/>
            </w:tcBorders>
            <w:noWrap w:val="0"/>
            <w:vAlign w:val="center"/>
          </w:tcPr>
          <w:p w14:paraId="0D49C99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bidi="zh-CN"/>
              </w:rPr>
            </w:pPr>
            <w:r>
              <w:rPr>
                <w:rFonts w:hint="default" w:ascii="Times New Roman" w:hAnsi="Times New Roman" w:eastAsia="宋体" w:cs="Times New Roman"/>
                <w:color w:val="auto"/>
                <w:spacing w:val="0"/>
                <w:sz w:val="21"/>
                <w:szCs w:val="21"/>
                <w:highlight w:val="none"/>
                <w:vertAlign w:val="baseline"/>
                <w:lang w:val="en-US" w:eastAsia="zh-CN"/>
              </w:rPr>
              <w:t>西</w:t>
            </w:r>
          </w:p>
        </w:tc>
        <w:tc>
          <w:tcPr>
            <w:tcW w:w="233" w:type="pct"/>
            <w:tcBorders>
              <w:tl2br w:val="nil"/>
              <w:tr2bl w:val="nil"/>
            </w:tcBorders>
            <w:noWrap w:val="0"/>
            <w:vAlign w:val="center"/>
          </w:tcPr>
          <w:p w14:paraId="4032FA00">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bidi="zh-CN"/>
              </w:rPr>
            </w:pPr>
            <w:r>
              <w:rPr>
                <w:rFonts w:hint="default" w:ascii="Times New Roman" w:hAnsi="Times New Roman" w:eastAsia="宋体" w:cs="Times New Roman"/>
                <w:color w:val="auto"/>
                <w:spacing w:val="0"/>
                <w:sz w:val="21"/>
                <w:szCs w:val="21"/>
                <w:highlight w:val="none"/>
                <w:vertAlign w:val="baseline"/>
                <w:lang w:val="en-US" w:eastAsia="zh-CN"/>
              </w:rPr>
              <w:t>北</w:t>
            </w:r>
          </w:p>
        </w:tc>
        <w:tc>
          <w:tcPr>
            <w:tcW w:w="141" w:type="pct"/>
            <w:vMerge w:val="continue"/>
            <w:tcBorders>
              <w:tl2br w:val="nil"/>
              <w:tr2bl w:val="nil"/>
            </w:tcBorders>
            <w:noWrap w:val="0"/>
            <w:vAlign w:val="center"/>
          </w:tcPr>
          <w:p w14:paraId="480B340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bidi="zh-CN"/>
              </w:rPr>
            </w:pPr>
          </w:p>
        </w:tc>
      </w:tr>
      <w:tr w14:paraId="62026A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143" w:type="pct"/>
            <w:tcBorders>
              <w:tl2br w:val="nil"/>
              <w:tr2bl w:val="nil"/>
            </w:tcBorders>
            <w:noWrap w:val="0"/>
            <w:vAlign w:val="center"/>
          </w:tcPr>
          <w:p w14:paraId="7B349FA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1</w:t>
            </w:r>
          </w:p>
        </w:tc>
        <w:tc>
          <w:tcPr>
            <w:tcW w:w="253" w:type="pct"/>
            <w:vMerge w:val="restart"/>
            <w:tcBorders>
              <w:tl2br w:val="nil"/>
              <w:tr2bl w:val="nil"/>
            </w:tcBorders>
            <w:noWrap w:val="0"/>
            <w:vAlign w:val="center"/>
          </w:tcPr>
          <w:p w14:paraId="16DF9C9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住院部（现有工程）</w:t>
            </w:r>
          </w:p>
        </w:tc>
        <w:tc>
          <w:tcPr>
            <w:tcW w:w="197" w:type="pct"/>
            <w:tcBorders>
              <w:tl2br w:val="nil"/>
              <w:tr2bl w:val="nil"/>
            </w:tcBorders>
            <w:noWrap w:val="0"/>
            <w:vAlign w:val="center"/>
          </w:tcPr>
          <w:p w14:paraId="61E8B4E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泵</w:t>
            </w:r>
          </w:p>
        </w:tc>
        <w:tc>
          <w:tcPr>
            <w:tcW w:w="263" w:type="pct"/>
            <w:tcBorders>
              <w:tl2br w:val="nil"/>
              <w:tr2bl w:val="nil"/>
            </w:tcBorders>
            <w:noWrap w:val="0"/>
            <w:vAlign w:val="center"/>
          </w:tcPr>
          <w:p w14:paraId="4404F59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w:t>
            </w:r>
          </w:p>
        </w:tc>
        <w:tc>
          <w:tcPr>
            <w:tcW w:w="253" w:type="pct"/>
            <w:tcBorders>
              <w:tl2br w:val="nil"/>
              <w:tr2bl w:val="nil"/>
            </w:tcBorders>
            <w:noWrap w:val="0"/>
            <w:vAlign w:val="center"/>
          </w:tcPr>
          <w:p w14:paraId="1A29923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90</w:t>
            </w:r>
          </w:p>
        </w:tc>
        <w:tc>
          <w:tcPr>
            <w:tcW w:w="206" w:type="pct"/>
            <w:vMerge w:val="restart"/>
            <w:tcBorders>
              <w:tl2br w:val="nil"/>
              <w:tr2bl w:val="nil"/>
            </w:tcBorders>
            <w:noWrap w:val="0"/>
            <w:vAlign w:val="center"/>
          </w:tcPr>
          <w:p w14:paraId="2BBB24C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cs="Times New Roman"/>
                <w:color w:val="auto"/>
                <w:spacing w:val="0"/>
                <w:sz w:val="21"/>
                <w:szCs w:val="21"/>
                <w:highlight w:val="none"/>
                <w:vertAlign w:val="baseline"/>
                <w:lang w:val="en-US" w:eastAsia="zh-CN"/>
              </w:rPr>
              <w:t>基础减振、厂房隔声</w:t>
            </w:r>
          </w:p>
        </w:tc>
        <w:tc>
          <w:tcPr>
            <w:tcW w:w="179" w:type="pct"/>
            <w:tcBorders>
              <w:tl2br w:val="nil"/>
              <w:tr2bl w:val="nil"/>
            </w:tcBorders>
            <w:noWrap w:val="0"/>
            <w:vAlign w:val="center"/>
          </w:tcPr>
          <w:p w14:paraId="56118A0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35.5</w:t>
            </w:r>
          </w:p>
        </w:tc>
        <w:tc>
          <w:tcPr>
            <w:tcW w:w="179" w:type="pct"/>
            <w:tcBorders>
              <w:tl2br w:val="nil"/>
              <w:tr2bl w:val="nil"/>
            </w:tcBorders>
            <w:noWrap w:val="0"/>
            <w:vAlign w:val="center"/>
          </w:tcPr>
          <w:p w14:paraId="4783EC8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96.4</w:t>
            </w:r>
          </w:p>
        </w:tc>
        <w:tc>
          <w:tcPr>
            <w:tcW w:w="160" w:type="pct"/>
            <w:tcBorders>
              <w:tl2br w:val="nil"/>
              <w:tr2bl w:val="nil"/>
            </w:tcBorders>
            <w:noWrap w:val="0"/>
            <w:vAlign w:val="center"/>
          </w:tcPr>
          <w:p w14:paraId="09A2782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10</w:t>
            </w:r>
          </w:p>
        </w:tc>
        <w:tc>
          <w:tcPr>
            <w:tcW w:w="222" w:type="pct"/>
            <w:tcBorders>
              <w:tl2br w:val="nil"/>
              <w:tr2bl w:val="nil"/>
            </w:tcBorders>
            <w:noWrap w:val="0"/>
            <w:vAlign w:val="center"/>
          </w:tcPr>
          <w:p w14:paraId="34920CC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43.21</w:t>
            </w:r>
          </w:p>
        </w:tc>
        <w:tc>
          <w:tcPr>
            <w:tcW w:w="190" w:type="pct"/>
            <w:tcBorders>
              <w:tl2br w:val="nil"/>
              <w:tr2bl w:val="nil"/>
            </w:tcBorders>
            <w:noWrap w:val="0"/>
            <w:vAlign w:val="center"/>
          </w:tcPr>
          <w:p w14:paraId="5AC6D34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6.55</w:t>
            </w:r>
          </w:p>
        </w:tc>
        <w:tc>
          <w:tcPr>
            <w:tcW w:w="190" w:type="pct"/>
            <w:tcBorders>
              <w:tl2br w:val="nil"/>
              <w:tr2bl w:val="nil"/>
            </w:tcBorders>
            <w:noWrap w:val="0"/>
            <w:vAlign w:val="center"/>
          </w:tcPr>
          <w:p w14:paraId="2023C59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43.84</w:t>
            </w:r>
          </w:p>
        </w:tc>
        <w:tc>
          <w:tcPr>
            <w:tcW w:w="192" w:type="pct"/>
            <w:tcBorders>
              <w:tl2br w:val="nil"/>
              <w:tr2bl w:val="nil"/>
            </w:tcBorders>
            <w:noWrap w:val="0"/>
            <w:vAlign w:val="center"/>
          </w:tcPr>
          <w:p w14:paraId="2754649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8.96</w:t>
            </w:r>
          </w:p>
        </w:tc>
        <w:tc>
          <w:tcPr>
            <w:tcW w:w="222" w:type="pct"/>
            <w:tcBorders>
              <w:tl2br w:val="nil"/>
              <w:tr2bl w:val="nil"/>
            </w:tcBorders>
            <w:noWrap w:val="0"/>
            <w:vAlign w:val="center"/>
          </w:tcPr>
          <w:p w14:paraId="06C412A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64.96</w:t>
            </w:r>
          </w:p>
        </w:tc>
        <w:tc>
          <w:tcPr>
            <w:tcW w:w="222" w:type="pct"/>
            <w:tcBorders>
              <w:tl2br w:val="nil"/>
              <w:tr2bl w:val="nil"/>
            </w:tcBorders>
            <w:noWrap w:val="0"/>
            <w:vAlign w:val="center"/>
          </w:tcPr>
          <w:p w14:paraId="289D7CD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68.3</w:t>
            </w:r>
          </w:p>
        </w:tc>
        <w:tc>
          <w:tcPr>
            <w:tcW w:w="222" w:type="pct"/>
            <w:tcBorders>
              <w:tl2br w:val="nil"/>
              <w:tr2bl w:val="nil"/>
            </w:tcBorders>
            <w:noWrap w:val="0"/>
            <w:vAlign w:val="center"/>
          </w:tcPr>
          <w:p w14:paraId="7829B3F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64.96</w:t>
            </w:r>
          </w:p>
        </w:tc>
        <w:tc>
          <w:tcPr>
            <w:tcW w:w="224" w:type="pct"/>
            <w:tcBorders>
              <w:tl2br w:val="nil"/>
              <w:tr2bl w:val="nil"/>
            </w:tcBorders>
            <w:noWrap w:val="0"/>
            <w:vAlign w:val="center"/>
          </w:tcPr>
          <w:p w14:paraId="27CEE1D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67.02</w:t>
            </w:r>
          </w:p>
        </w:tc>
        <w:tc>
          <w:tcPr>
            <w:tcW w:w="175" w:type="pct"/>
            <w:vMerge w:val="restart"/>
            <w:tcBorders>
              <w:tl2br w:val="nil"/>
              <w:tr2bl w:val="nil"/>
            </w:tcBorders>
            <w:noWrap w:val="0"/>
            <w:vAlign w:val="center"/>
          </w:tcPr>
          <w:p w14:paraId="0B2A904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cs="Times New Roman"/>
                <w:color w:val="auto"/>
                <w:spacing w:val="0"/>
                <w:sz w:val="21"/>
                <w:szCs w:val="21"/>
                <w:highlight w:val="none"/>
                <w:vertAlign w:val="baseline"/>
                <w:lang w:val="en-US" w:eastAsia="zh-CN"/>
              </w:rPr>
              <w:t>24h</w:t>
            </w:r>
          </w:p>
        </w:tc>
        <w:tc>
          <w:tcPr>
            <w:tcW w:w="253" w:type="pct"/>
            <w:tcBorders>
              <w:tl2br w:val="nil"/>
              <w:tr2bl w:val="nil"/>
            </w:tcBorders>
            <w:noWrap w:val="0"/>
            <w:vAlign w:val="center"/>
          </w:tcPr>
          <w:p w14:paraId="4F73984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30</w:t>
            </w:r>
          </w:p>
        </w:tc>
        <w:tc>
          <w:tcPr>
            <w:tcW w:w="222" w:type="pct"/>
            <w:tcBorders>
              <w:tl2br w:val="nil"/>
              <w:tr2bl w:val="nil"/>
            </w:tcBorders>
            <w:noWrap w:val="0"/>
            <w:vAlign w:val="center"/>
          </w:tcPr>
          <w:p w14:paraId="71794C3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53.1</w:t>
            </w:r>
          </w:p>
        </w:tc>
        <w:tc>
          <w:tcPr>
            <w:tcW w:w="222" w:type="pct"/>
            <w:tcBorders>
              <w:tl2br w:val="nil"/>
              <w:tr2bl w:val="nil"/>
            </w:tcBorders>
            <w:noWrap w:val="0"/>
            <w:vAlign w:val="center"/>
          </w:tcPr>
          <w:p w14:paraId="298F583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48.29</w:t>
            </w:r>
          </w:p>
        </w:tc>
        <w:tc>
          <w:tcPr>
            <w:tcW w:w="222" w:type="pct"/>
            <w:tcBorders>
              <w:tl2br w:val="nil"/>
              <w:tr2bl w:val="nil"/>
            </w:tcBorders>
            <w:noWrap w:val="0"/>
            <w:vAlign w:val="center"/>
          </w:tcPr>
          <w:p w14:paraId="5470E829">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54.39</w:t>
            </w:r>
          </w:p>
        </w:tc>
        <w:tc>
          <w:tcPr>
            <w:tcW w:w="233" w:type="pct"/>
            <w:tcBorders>
              <w:tl2br w:val="nil"/>
              <w:tr2bl w:val="nil"/>
            </w:tcBorders>
            <w:noWrap w:val="0"/>
            <w:vAlign w:val="center"/>
          </w:tcPr>
          <w:p w14:paraId="5BB4D9E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48.28</w:t>
            </w:r>
          </w:p>
        </w:tc>
        <w:tc>
          <w:tcPr>
            <w:tcW w:w="141" w:type="pct"/>
            <w:tcBorders>
              <w:tl2br w:val="nil"/>
              <w:tr2bl w:val="nil"/>
            </w:tcBorders>
            <w:noWrap w:val="0"/>
            <w:vAlign w:val="center"/>
          </w:tcPr>
          <w:p w14:paraId="54A056F8">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bidi="zh-CN"/>
              </w:rPr>
            </w:pPr>
            <w:r>
              <w:rPr>
                <w:rFonts w:hint="eastAsia" w:ascii="Times New Roman" w:hAnsi="Times New Roman" w:cs="Times New Roman"/>
                <w:color w:val="auto"/>
                <w:spacing w:val="0"/>
                <w:sz w:val="21"/>
                <w:szCs w:val="21"/>
                <w:highlight w:val="none"/>
                <w:vertAlign w:val="baseline"/>
                <w:lang w:val="en-US" w:eastAsia="zh-CN" w:bidi="zh-CN"/>
              </w:rPr>
              <w:t>1</w:t>
            </w:r>
          </w:p>
        </w:tc>
      </w:tr>
      <w:tr w14:paraId="711780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143" w:type="pct"/>
            <w:tcBorders>
              <w:tl2br w:val="nil"/>
              <w:tr2bl w:val="nil"/>
            </w:tcBorders>
            <w:noWrap w:val="0"/>
            <w:vAlign w:val="center"/>
          </w:tcPr>
          <w:p w14:paraId="0F1E280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2</w:t>
            </w:r>
          </w:p>
        </w:tc>
        <w:tc>
          <w:tcPr>
            <w:tcW w:w="253" w:type="pct"/>
            <w:vMerge w:val="continue"/>
            <w:tcBorders>
              <w:tl2br w:val="nil"/>
              <w:tr2bl w:val="nil"/>
            </w:tcBorders>
            <w:noWrap w:val="0"/>
            <w:vAlign w:val="center"/>
          </w:tcPr>
          <w:p w14:paraId="269E1DB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197" w:type="pct"/>
            <w:tcBorders>
              <w:tl2br w:val="nil"/>
              <w:tr2bl w:val="nil"/>
            </w:tcBorders>
            <w:noWrap w:val="0"/>
            <w:vAlign w:val="center"/>
          </w:tcPr>
          <w:p w14:paraId="6E23316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风机</w:t>
            </w:r>
          </w:p>
        </w:tc>
        <w:tc>
          <w:tcPr>
            <w:tcW w:w="263" w:type="pct"/>
            <w:tcBorders>
              <w:tl2br w:val="nil"/>
              <w:tr2bl w:val="nil"/>
            </w:tcBorders>
            <w:noWrap w:val="0"/>
            <w:vAlign w:val="center"/>
          </w:tcPr>
          <w:p w14:paraId="1F7E437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w:t>
            </w:r>
          </w:p>
        </w:tc>
        <w:tc>
          <w:tcPr>
            <w:tcW w:w="253" w:type="pct"/>
            <w:tcBorders>
              <w:tl2br w:val="nil"/>
              <w:tr2bl w:val="nil"/>
            </w:tcBorders>
            <w:noWrap w:val="0"/>
            <w:vAlign w:val="center"/>
          </w:tcPr>
          <w:p w14:paraId="60FB2BD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85</w:t>
            </w:r>
          </w:p>
        </w:tc>
        <w:tc>
          <w:tcPr>
            <w:tcW w:w="206" w:type="pct"/>
            <w:vMerge w:val="continue"/>
            <w:tcBorders>
              <w:tl2br w:val="nil"/>
              <w:tr2bl w:val="nil"/>
            </w:tcBorders>
            <w:noWrap w:val="0"/>
            <w:vAlign w:val="center"/>
          </w:tcPr>
          <w:p w14:paraId="00D5428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p>
        </w:tc>
        <w:tc>
          <w:tcPr>
            <w:tcW w:w="179" w:type="pct"/>
            <w:tcBorders>
              <w:tl2br w:val="nil"/>
              <w:tr2bl w:val="nil"/>
            </w:tcBorders>
            <w:noWrap w:val="0"/>
            <w:vAlign w:val="center"/>
          </w:tcPr>
          <w:p w14:paraId="45EDB8B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35.2</w:t>
            </w:r>
          </w:p>
        </w:tc>
        <w:tc>
          <w:tcPr>
            <w:tcW w:w="179" w:type="pct"/>
            <w:tcBorders>
              <w:tl2br w:val="nil"/>
              <w:tr2bl w:val="nil"/>
            </w:tcBorders>
            <w:noWrap w:val="0"/>
            <w:vAlign w:val="center"/>
          </w:tcPr>
          <w:p w14:paraId="75CE9DA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85</w:t>
            </w:r>
          </w:p>
        </w:tc>
        <w:tc>
          <w:tcPr>
            <w:tcW w:w="160" w:type="pct"/>
            <w:tcBorders>
              <w:tl2br w:val="nil"/>
              <w:tr2bl w:val="nil"/>
            </w:tcBorders>
            <w:noWrap w:val="0"/>
            <w:vAlign w:val="center"/>
          </w:tcPr>
          <w:p w14:paraId="5F207F5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10</w:t>
            </w:r>
          </w:p>
        </w:tc>
        <w:tc>
          <w:tcPr>
            <w:tcW w:w="222" w:type="pct"/>
            <w:tcBorders>
              <w:tl2br w:val="nil"/>
              <w:tr2bl w:val="nil"/>
            </w:tcBorders>
            <w:noWrap w:val="0"/>
            <w:vAlign w:val="center"/>
          </w:tcPr>
          <w:p w14:paraId="799E815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54.59</w:t>
            </w:r>
          </w:p>
        </w:tc>
        <w:tc>
          <w:tcPr>
            <w:tcW w:w="190" w:type="pct"/>
            <w:tcBorders>
              <w:tl2br w:val="nil"/>
              <w:tr2bl w:val="nil"/>
            </w:tcBorders>
            <w:noWrap w:val="0"/>
            <w:vAlign w:val="center"/>
          </w:tcPr>
          <w:p w14:paraId="4F6AF5F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7.2</w:t>
            </w:r>
          </w:p>
        </w:tc>
        <w:tc>
          <w:tcPr>
            <w:tcW w:w="190" w:type="pct"/>
            <w:tcBorders>
              <w:tl2br w:val="nil"/>
              <w:tr2bl w:val="nil"/>
            </w:tcBorders>
            <w:noWrap w:val="0"/>
            <w:vAlign w:val="center"/>
          </w:tcPr>
          <w:p w14:paraId="161278C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32.46</w:t>
            </w:r>
          </w:p>
        </w:tc>
        <w:tc>
          <w:tcPr>
            <w:tcW w:w="192" w:type="pct"/>
            <w:tcBorders>
              <w:tl2br w:val="nil"/>
              <w:tr2bl w:val="nil"/>
            </w:tcBorders>
            <w:noWrap w:val="0"/>
            <w:vAlign w:val="center"/>
          </w:tcPr>
          <w:p w14:paraId="44C23FC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8.31</w:t>
            </w:r>
          </w:p>
        </w:tc>
        <w:tc>
          <w:tcPr>
            <w:tcW w:w="222" w:type="pct"/>
            <w:tcBorders>
              <w:tl2br w:val="nil"/>
              <w:tr2bl w:val="nil"/>
            </w:tcBorders>
            <w:noWrap w:val="0"/>
            <w:vAlign w:val="center"/>
          </w:tcPr>
          <w:p w14:paraId="509CD18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5.92</w:t>
            </w:r>
          </w:p>
        </w:tc>
        <w:tc>
          <w:tcPr>
            <w:tcW w:w="222" w:type="pct"/>
            <w:tcBorders>
              <w:tl2br w:val="nil"/>
              <w:tr2bl w:val="nil"/>
            </w:tcBorders>
            <w:noWrap w:val="0"/>
            <w:vAlign w:val="center"/>
          </w:tcPr>
          <w:p w14:paraId="3B6ED1A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62.87</w:t>
            </w:r>
          </w:p>
        </w:tc>
        <w:tc>
          <w:tcPr>
            <w:tcW w:w="222" w:type="pct"/>
            <w:tcBorders>
              <w:tl2br w:val="nil"/>
              <w:tr2bl w:val="nil"/>
            </w:tcBorders>
            <w:noWrap w:val="0"/>
            <w:vAlign w:val="center"/>
          </w:tcPr>
          <w:p w14:paraId="308E00D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60.05</w:t>
            </w:r>
          </w:p>
        </w:tc>
        <w:tc>
          <w:tcPr>
            <w:tcW w:w="224" w:type="pct"/>
            <w:tcBorders>
              <w:tl2br w:val="nil"/>
              <w:tr2bl w:val="nil"/>
            </w:tcBorders>
            <w:noWrap w:val="0"/>
            <w:vAlign w:val="center"/>
          </w:tcPr>
          <w:p w14:paraId="42B70B7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62.29</w:t>
            </w:r>
          </w:p>
        </w:tc>
        <w:tc>
          <w:tcPr>
            <w:tcW w:w="175" w:type="pct"/>
            <w:vMerge w:val="continue"/>
            <w:tcBorders>
              <w:tl2br w:val="nil"/>
              <w:tr2bl w:val="nil"/>
            </w:tcBorders>
            <w:noWrap w:val="0"/>
            <w:vAlign w:val="center"/>
          </w:tcPr>
          <w:p w14:paraId="23CDB59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253" w:type="pct"/>
            <w:tcBorders>
              <w:tl2br w:val="nil"/>
              <w:tr2bl w:val="nil"/>
            </w:tcBorders>
            <w:noWrap w:val="0"/>
            <w:vAlign w:val="center"/>
          </w:tcPr>
          <w:p w14:paraId="5833344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30</w:t>
            </w:r>
          </w:p>
        </w:tc>
        <w:tc>
          <w:tcPr>
            <w:tcW w:w="222" w:type="pct"/>
            <w:tcBorders>
              <w:tl2br w:val="nil"/>
              <w:tr2bl w:val="nil"/>
            </w:tcBorders>
            <w:noWrap w:val="0"/>
            <w:vAlign w:val="center"/>
          </w:tcPr>
          <w:p w14:paraId="6D0B23E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48.37</w:t>
            </w:r>
          </w:p>
        </w:tc>
        <w:tc>
          <w:tcPr>
            <w:tcW w:w="222" w:type="pct"/>
            <w:tcBorders>
              <w:tl2br w:val="nil"/>
              <w:tr2bl w:val="nil"/>
            </w:tcBorders>
            <w:noWrap w:val="0"/>
            <w:vAlign w:val="center"/>
          </w:tcPr>
          <w:p w14:paraId="6E7C0BA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43.24</w:t>
            </w:r>
          </w:p>
        </w:tc>
        <w:tc>
          <w:tcPr>
            <w:tcW w:w="222" w:type="pct"/>
            <w:tcBorders>
              <w:tl2br w:val="nil"/>
              <w:tr2bl w:val="nil"/>
            </w:tcBorders>
            <w:noWrap w:val="0"/>
            <w:vAlign w:val="center"/>
          </w:tcPr>
          <w:p w14:paraId="416180E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48.95</w:t>
            </w:r>
          </w:p>
        </w:tc>
        <w:tc>
          <w:tcPr>
            <w:tcW w:w="233" w:type="pct"/>
            <w:tcBorders>
              <w:tl2br w:val="nil"/>
              <w:tr2bl w:val="nil"/>
            </w:tcBorders>
            <w:noWrap w:val="0"/>
            <w:vAlign w:val="center"/>
          </w:tcPr>
          <w:p w14:paraId="56D75C9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43.38</w:t>
            </w:r>
          </w:p>
        </w:tc>
        <w:tc>
          <w:tcPr>
            <w:tcW w:w="141" w:type="pct"/>
            <w:tcBorders>
              <w:tl2br w:val="nil"/>
              <w:tr2bl w:val="nil"/>
            </w:tcBorders>
            <w:noWrap w:val="0"/>
            <w:vAlign w:val="center"/>
          </w:tcPr>
          <w:p w14:paraId="6CB2E3D8">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bidi="zh-CN"/>
              </w:rPr>
            </w:pPr>
            <w:r>
              <w:rPr>
                <w:rFonts w:hint="eastAsia" w:ascii="Times New Roman" w:hAnsi="Times New Roman" w:cs="Times New Roman"/>
                <w:color w:val="auto"/>
                <w:spacing w:val="0"/>
                <w:sz w:val="21"/>
                <w:szCs w:val="21"/>
                <w:highlight w:val="none"/>
                <w:vertAlign w:val="baseline"/>
                <w:lang w:val="en-US" w:eastAsia="zh-CN" w:bidi="zh-CN"/>
              </w:rPr>
              <w:t>1</w:t>
            </w:r>
          </w:p>
        </w:tc>
      </w:tr>
      <w:tr w14:paraId="6F893A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143" w:type="pct"/>
            <w:tcBorders>
              <w:tl2br w:val="nil"/>
              <w:tr2bl w:val="nil"/>
            </w:tcBorders>
            <w:noWrap w:val="0"/>
            <w:vAlign w:val="center"/>
          </w:tcPr>
          <w:p w14:paraId="2A1E921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3</w:t>
            </w:r>
          </w:p>
        </w:tc>
        <w:tc>
          <w:tcPr>
            <w:tcW w:w="253" w:type="pct"/>
            <w:tcBorders>
              <w:tl2br w:val="nil"/>
              <w:tr2bl w:val="nil"/>
            </w:tcBorders>
            <w:noWrap w:val="0"/>
            <w:vAlign w:val="center"/>
          </w:tcPr>
          <w:p w14:paraId="5423B95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门急诊综合楼（现有工程）</w:t>
            </w:r>
          </w:p>
        </w:tc>
        <w:tc>
          <w:tcPr>
            <w:tcW w:w="197" w:type="pct"/>
            <w:tcBorders>
              <w:tl2br w:val="nil"/>
              <w:tr2bl w:val="nil"/>
            </w:tcBorders>
            <w:noWrap w:val="0"/>
            <w:vAlign w:val="center"/>
          </w:tcPr>
          <w:p w14:paraId="16A7878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风机</w:t>
            </w:r>
          </w:p>
        </w:tc>
        <w:tc>
          <w:tcPr>
            <w:tcW w:w="263" w:type="pct"/>
            <w:tcBorders>
              <w:tl2br w:val="nil"/>
              <w:tr2bl w:val="nil"/>
            </w:tcBorders>
            <w:noWrap w:val="0"/>
            <w:vAlign w:val="center"/>
          </w:tcPr>
          <w:p w14:paraId="218990C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w:t>
            </w:r>
          </w:p>
        </w:tc>
        <w:tc>
          <w:tcPr>
            <w:tcW w:w="253" w:type="pct"/>
            <w:tcBorders>
              <w:tl2br w:val="nil"/>
              <w:tr2bl w:val="nil"/>
            </w:tcBorders>
            <w:noWrap w:val="0"/>
            <w:vAlign w:val="center"/>
          </w:tcPr>
          <w:p w14:paraId="01B8356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80</w:t>
            </w:r>
          </w:p>
        </w:tc>
        <w:tc>
          <w:tcPr>
            <w:tcW w:w="206" w:type="pct"/>
            <w:vMerge w:val="continue"/>
            <w:tcBorders>
              <w:tl2br w:val="nil"/>
              <w:tr2bl w:val="nil"/>
            </w:tcBorders>
            <w:noWrap w:val="0"/>
            <w:vAlign w:val="center"/>
          </w:tcPr>
          <w:p w14:paraId="7D56FDD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p>
        </w:tc>
        <w:tc>
          <w:tcPr>
            <w:tcW w:w="179" w:type="pct"/>
            <w:tcBorders>
              <w:tl2br w:val="nil"/>
              <w:tr2bl w:val="nil"/>
            </w:tcBorders>
            <w:noWrap w:val="0"/>
            <w:vAlign w:val="center"/>
          </w:tcPr>
          <w:p w14:paraId="49A8FC5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61.8</w:t>
            </w:r>
          </w:p>
        </w:tc>
        <w:tc>
          <w:tcPr>
            <w:tcW w:w="179" w:type="pct"/>
            <w:tcBorders>
              <w:tl2br w:val="nil"/>
              <w:tr2bl w:val="nil"/>
            </w:tcBorders>
            <w:noWrap w:val="0"/>
            <w:vAlign w:val="center"/>
          </w:tcPr>
          <w:p w14:paraId="3E67DF2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25.4</w:t>
            </w:r>
          </w:p>
        </w:tc>
        <w:tc>
          <w:tcPr>
            <w:tcW w:w="160" w:type="pct"/>
            <w:tcBorders>
              <w:tl2br w:val="nil"/>
              <w:tr2bl w:val="nil"/>
            </w:tcBorders>
            <w:noWrap w:val="0"/>
            <w:vAlign w:val="center"/>
          </w:tcPr>
          <w:p w14:paraId="40C5E5C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15</w:t>
            </w:r>
          </w:p>
        </w:tc>
        <w:tc>
          <w:tcPr>
            <w:tcW w:w="222" w:type="pct"/>
            <w:tcBorders>
              <w:tl2br w:val="nil"/>
              <w:tr2bl w:val="nil"/>
            </w:tcBorders>
            <w:noWrap w:val="0"/>
            <w:vAlign w:val="center"/>
          </w:tcPr>
          <w:p w14:paraId="6F9FFB3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5.82</w:t>
            </w:r>
          </w:p>
        </w:tc>
        <w:tc>
          <w:tcPr>
            <w:tcW w:w="190" w:type="pct"/>
            <w:tcBorders>
              <w:tl2br w:val="nil"/>
              <w:tr2bl w:val="nil"/>
            </w:tcBorders>
            <w:noWrap w:val="0"/>
            <w:vAlign w:val="center"/>
          </w:tcPr>
          <w:p w14:paraId="30AA460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28.79</w:t>
            </w:r>
          </w:p>
        </w:tc>
        <w:tc>
          <w:tcPr>
            <w:tcW w:w="190" w:type="pct"/>
            <w:tcBorders>
              <w:tl2br w:val="nil"/>
              <w:tr2bl w:val="nil"/>
            </w:tcBorders>
            <w:noWrap w:val="0"/>
            <w:vAlign w:val="center"/>
          </w:tcPr>
          <w:p w14:paraId="633F0EF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10.36</w:t>
            </w:r>
          </w:p>
        </w:tc>
        <w:tc>
          <w:tcPr>
            <w:tcW w:w="192" w:type="pct"/>
            <w:tcBorders>
              <w:tl2br w:val="nil"/>
              <w:tr2bl w:val="nil"/>
            </w:tcBorders>
            <w:noWrap w:val="0"/>
            <w:vAlign w:val="center"/>
          </w:tcPr>
          <w:p w14:paraId="530675E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30.1</w:t>
            </w:r>
          </w:p>
        </w:tc>
        <w:tc>
          <w:tcPr>
            <w:tcW w:w="222" w:type="pct"/>
            <w:tcBorders>
              <w:tl2br w:val="nil"/>
              <w:tr2bl w:val="nil"/>
            </w:tcBorders>
            <w:noWrap w:val="0"/>
            <w:vAlign w:val="center"/>
          </w:tcPr>
          <w:p w14:paraId="17C8799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60.12</w:t>
            </w:r>
          </w:p>
        </w:tc>
        <w:tc>
          <w:tcPr>
            <w:tcW w:w="222" w:type="pct"/>
            <w:tcBorders>
              <w:tl2br w:val="nil"/>
              <w:tr2bl w:val="nil"/>
            </w:tcBorders>
            <w:noWrap w:val="0"/>
            <w:vAlign w:val="center"/>
          </w:tcPr>
          <w:p w14:paraId="71B1C7C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57.61</w:t>
            </w:r>
          </w:p>
        </w:tc>
        <w:tc>
          <w:tcPr>
            <w:tcW w:w="222" w:type="pct"/>
            <w:tcBorders>
              <w:tl2br w:val="nil"/>
              <w:tr2bl w:val="nil"/>
            </w:tcBorders>
            <w:noWrap w:val="0"/>
            <w:vAlign w:val="center"/>
          </w:tcPr>
          <w:p w14:paraId="6F75B99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58.49</w:t>
            </w:r>
          </w:p>
        </w:tc>
        <w:tc>
          <w:tcPr>
            <w:tcW w:w="224" w:type="pct"/>
            <w:tcBorders>
              <w:tl2br w:val="nil"/>
              <w:tr2bl w:val="nil"/>
            </w:tcBorders>
            <w:noWrap w:val="0"/>
            <w:vAlign w:val="center"/>
          </w:tcPr>
          <w:p w14:paraId="48B6273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57.6</w:t>
            </w:r>
          </w:p>
        </w:tc>
        <w:tc>
          <w:tcPr>
            <w:tcW w:w="175" w:type="pct"/>
            <w:vMerge w:val="continue"/>
            <w:tcBorders>
              <w:tl2br w:val="nil"/>
              <w:tr2bl w:val="nil"/>
            </w:tcBorders>
            <w:noWrap w:val="0"/>
            <w:vAlign w:val="center"/>
          </w:tcPr>
          <w:p w14:paraId="54F9175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253" w:type="pct"/>
            <w:tcBorders>
              <w:tl2br w:val="nil"/>
              <w:tr2bl w:val="nil"/>
            </w:tcBorders>
            <w:noWrap w:val="0"/>
            <w:vAlign w:val="center"/>
          </w:tcPr>
          <w:p w14:paraId="7458312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20</w:t>
            </w:r>
          </w:p>
        </w:tc>
        <w:tc>
          <w:tcPr>
            <w:tcW w:w="222" w:type="pct"/>
            <w:tcBorders>
              <w:tl2br w:val="nil"/>
              <w:tr2bl w:val="nil"/>
            </w:tcBorders>
            <w:noWrap w:val="0"/>
            <w:vAlign w:val="center"/>
          </w:tcPr>
          <w:p w14:paraId="62D24869">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51.59</w:t>
            </w:r>
          </w:p>
        </w:tc>
        <w:tc>
          <w:tcPr>
            <w:tcW w:w="222" w:type="pct"/>
            <w:tcBorders>
              <w:tl2br w:val="nil"/>
              <w:tr2bl w:val="nil"/>
            </w:tcBorders>
            <w:noWrap w:val="0"/>
            <w:vAlign w:val="center"/>
          </w:tcPr>
          <w:p w14:paraId="380DD71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57.47</w:t>
            </w:r>
          </w:p>
        </w:tc>
        <w:tc>
          <w:tcPr>
            <w:tcW w:w="222" w:type="pct"/>
            <w:tcBorders>
              <w:tl2br w:val="nil"/>
              <w:tr2bl w:val="nil"/>
            </w:tcBorders>
            <w:noWrap w:val="0"/>
            <w:vAlign w:val="center"/>
          </w:tcPr>
          <w:p w14:paraId="5F4BC55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51.61</w:t>
            </w:r>
          </w:p>
        </w:tc>
        <w:tc>
          <w:tcPr>
            <w:tcW w:w="233" w:type="pct"/>
            <w:tcBorders>
              <w:tl2br w:val="nil"/>
              <w:tr2bl w:val="nil"/>
            </w:tcBorders>
            <w:noWrap w:val="0"/>
            <w:vAlign w:val="center"/>
          </w:tcPr>
          <w:p w14:paraId="590A9590">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55.84</w:t>
            </w:r>
          </w:p>
        </w:tc>
        <w:tc>
          <w:tcPr>
            <w:tcW w:w="141" w:type="pct"/>
            <w:tcBorders>
              <w:tl2br w:val="nil"/>
              <w:tr2bl w:val="nil"/>
            </w:tcBorders>
            <w:noWrap w:val="0"/>
            <w:vAlign w:val="center"/>
          </w:tcPr>
          <w:p w14:paraId="5AE8E5B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color w:val="auto"/>
                <w:spacing w:val="0"/>
                <w:sz w:val="21"/>
                <w:szCs w:val="21"/>
                <w:highlight w:val="none"/>
                <w:vertAlign w:val="baseline"/>
                <w:lang w:val="en-US" w:eastAsia="zh-CN" w:bidi="zh-CN"/>
              </w:rPr>
            </w:pPr>
            <w:r>
              <w:rPr>
                <w:rFonts w:hint="eastAsia" w:ascii="Times New Roman" w:hAnsi="Times New Roman" w:cs="Times New Roman"/>
                <w:color w:val="auto"/>
                <w:spacing w:val="0"/>
                <w:sz w:val="21"/>
                <w:szCs w:val="21"/>
                <w:highlight w:val="none"/>
                <w:vertAlign w:val="baseline"/>
                <w:lang w:val="en-US" w:eastAsia="zh-CN" w:bidi="zh-CN"/>
              </w:rPr>
              <w:t>1</w:t>
            </w:r>
          </w:p>
        </w:tc>
      </w:tr>
      <w:tr w14:paraId="19E57C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143" w:type="pct"/>
            <w:tcBorders>
              <w:tl2br w:val="nil"/>
              <w:tr2bl w:val="nil"/>
            </w:tcBorders>
            <w:noWrap w:val="0"/>
            <w:vAlign w:val="center"/>
          </w:tcPr>
          <w:p w14:paraId="45D331F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4</w:t>
            </w:r>
          </w:p>
        </w:tc>
        <w:tc>
          <w:tcPr>
            <w:tcW w:w="253" w:type="pct"/>
            <w:tcBorders>
              <w:tl2br w:val="nil"/>
              <w:tr2bl w:val="nil"/>
            </w:tcBorders>
            <w:noWrap w:val="0"/>
            <w:vAlign w:val="center"/>
          </w:tcPr>
          <w:p w14:paraId="019A0FE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污水处理站（现有工程）</w:t>
            </w:r>
          </w:p>
        </w:tc>
        <w:tc>
          <w:tcPr>
            <w:tcW w:w="197" w:type="pct"/>
            <w:tcBorders>
              <w:tl2br w:val="nil"/>
              <w:tr2bl w:val="nil"/>
            </w:tcBorders>
            <w:noWrap w:val="0"/>
            <w:vAlign w:val="center"/>
          </w:tcPr>
          <w:p w14:paraId="0103C8D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泵</w:t>
            </w:r>
          </w:p>
        </w:tc>
        <w:tc>
          <w:tcPr>
            <w:tcW w:w="263" w:type="pct"/>
            <w:tcBorders>
              <w:tl2br w:val="nil"/>
              <w:tr2bl w:val="nil"/>
            </w:tcBorders>
            <w:noWrap w:val="0"/>
            <w:vAlign w:val="center"/>
          </w:tcPr>
          <w:p w14:paraId="29F0F36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w:t>
            </w:r>
          </w:p>
        </w:tc>
        <w:tc>
          <w:tcPr>
            <w:tcW w:w="253" w:type="pct"/>
            <w:tcBorders>
              <w:tl2br w:val="nil"/>
              <w:tr2bl w:val="nil"/>
            </w:tcBorders>
            <w:noWrap w:val="0"/>
            <w:vAlign w:val="center"/>
          </w:tcPr>
          <w:p w14:paraId="283A1A0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90</w:t>
            </w:r>
          </w:p>
        </w:tc>
        <w:tc>
          <w:tcPr>
            <w:tcW w:w="206" w:type="pct"/>
            <w:vMerge w:val="continue"/>
            <w:tcBorders>
              <w:tl2br w:val="nil"/>
              <w:tr2bl w:val="nil"/>
            </w:tcBorders>
            <w:noWrap w:val="0"/>
            <w:vAlign w:val="center"/>
          </w:tcPr>
          <w:p w14:paraId="0484800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p>
        </w:tc>
        <w:tc>
          <w:tcPr>
            <w:tcW w:w="179" w:type="pct"/>
            <w:tcBorders>
              <w:tl2br w:val="nil"/>
              <w:tr2bl w:val="nil"/>
            </w:tcBorders>
            <w:noWrap w:val="0"/>
            <w:vAlign w:val="center"/>
          </w:tcPr>
          <w:p w14:paraId="576B962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-14.5</w:t>
            </w:r>
          </w:p>
        </w:tc>
        <w:tc>
          <w:tcPr>
            <w:tcW w:w="179" w:type="pct"/>
            <w:tcBorders>
              <w:tl2br w:val="nil"/>
              <w:tr2bl w:val="nil"/>
            </w:tcBorders>
            <w:noWrap w:val="0"/>
            <w:vAlign w:val="center"/>
          </w:tcPr>
          <w:p w14:paraId="5D01E9C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51.6</w:t>
            </w:r>
          </w:p>
        </w:tc>
        <w:tc>
          <w:tcPr>
            <w:tcW w:w="160" w:type="pct"/>
            <w:tcBorders>
              <w:tl2br w:val="nil"/>
              <w:tr2bl w:val="nil"/>
            </w:tcBorders>
            <w:noWrap w:val="0"/>
            <w:vAlign w:val="center"/>
          </w:tcPr>
          <w:p w14:paraId="27C475D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3</w:t>
            </w:r>
          </w:p>
        </w:tc>
        <w:tc>
          <w:tcPr>
            <w:tcW w:w="222" w:type="pct"/>
            <w:tcBorders>
              <w:tl2br w:val="nil"/>
              <w:tr2bl w:val="nil"/>
            </w:tcBorders>
            <w:noWrap w:val="0"/>
            <w:vAlign w:val="center"/>
          </w:tcPr>
          <w:p w14:paraId="593672B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2.16</w:t>
            </w:r>
          </w:p>
        </w:tc>
        <w:tc>
          <w:tcPr>
            <w:tcW w:w="190" w:type="pct"/>
            <w:tcBorders>
              <w:tl2br w:val="nil"/>
              <w:tr2bl w:val="nil"/>
            </w:tcBorders>
            <w:noWrap w:val="0"/>
            <w:vAlign w:val="center"/>
          </w:tcPr>
          <w:p w14:paraId="7BA2A4D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7.83</w:t>
            </w:r>
          </w:p>
        </w:tc>
        <w:tc>
          <w:tcPr>
            <w:tcW w:w="190" w:type="pct"/>
            <w:tcBorders>
              <w:tl2br w:val="nil"/>
              <w:tr2bl w:val="nil"/>
            </w:tcBorders>
            <w:noWrap w:val="0"/>
            <w:vAlign w:val="center"/>
          </w:tcPr>
          <w:p w14:paraId="14BEBEE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4.21</w:t>
            </w:r>
          </w:p>
        </w:tc>
        <w:tc>
          <w:tcPr>
            <w:tcW w:w="192" w:type="pct"/>
            <w:tcBorders>
              <w:tl2br w:val="nil"/>
              <w:tr2bl w:val="nil"/>
            </w:tcBorders>
            <w:noWrap w:val="0"/>
            <w:vAlign w:val="center"/>
          </w:tcPr>
          <w:p w14:paraId="6E610C3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8.78</w:t>
            </w:r>
          </w:p>
        </w:tc>
        <w:tc>
          <w:tcPr>
            <w:tcW w:w="222" w:type="pct"/>
            <w:tcBorders>
              <w:tl2br w:val="nil"/>
              <w:tr2bl w:val="nil"/>
            </w:tcBorders>
            <w:noWrap w:val="0"/>
            <w:vAlign w:val="center"/>
          </w:tcPr>
          <w:p w14:paraId="1E05026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80.05</w:t>
            </w:r>
          </w:p>
        </w:tc>
        <w:tc>
          <w:tcPr>
            <w:tcW w:w="222" w:type="pct"/>
            <w:tcBorders>
              <w:tl2br w:val="nil"/>
              <w:tr2bl w:val="nil"/>
            </w:tcBorders>
            <w:noWrap w:val="0"/>
            <w:vAlign w:val="center"/>
          </w:tcPr>
          <w:p w14:paraId="79C1BF9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78.43</w:t>
            </w:r>
          </w:p>
        </w:tc>
        <w:tc>
          <w:tcPr>
            <w:tcW w:w="222" w:type="pct"/>
            <w:tcBorders>
              <w:tl2br w:val="nil"/>
              <w:tr2bl w:val="nil"/>
            </w:tcBorders>
            <w:noWrap w:val="0"/>
            <w:vAlign w:val="center"/>
          </w:tcPr>
          <w:p w14:paraId="4EE8188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78.81</w:t>
            </w:r>
          </w:p>
        </w:tc>
        <w:tc>
          <w:tcPr>
            <w:tcW w:w="224" w:type="pct"/>
            <w:tcBorders>
              <w:tl2br w:val="nil"/>
              <w:tr2bl w:val="nil"/>
            </w:tcBorders>
            <w:noWrap w:val="0"/>
            <w:vAlign w:val="center"/>
          </w:tcPr>
          <w:p w14:paraId="67927BF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78.4</w:t>
            </w:r>
          </w:p>
        </w:tc>
        <w:tc>
          <w:tcPr>
            <w:tcW w:w="175" w:type="pct"/>
            <w:vMerge w:val="continue"/>
            <w:tcBorders>
              <w:tl2br w:val="nil"/>
              <w:tr2bl w:val="nil"/>
            </w:tcBorders>
            <w:noWrap w:val="0"/>
            <w:vAlign w:val="center"/>
          </w:tcPr>
          <w:p w14:paraId="67F08B9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253" w:type="pct"/>
            <w:tcBorders>
              <w:tl2br w:val="nil"/>
              <w:tr2bl w:val="nil"/>
            </w:tcBorders>
            <w:noWrap w:val="0"/>
            <w:vAlign w:val="center"/>
          </w:tcPr>
          <w:p w14:paraId="6BBCD91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30</w:t>
            </w:r>
          </w:p>
        </w:tc>
        <w:tc>
          <w:tcPr>
            <w:tcW w:w="222" w:type="pct"/>
            <w:tcBorders>
              <w:tl2br w:val="nil"/>
              <w:tr2bl w:val="nil"/>
            </w:tcBorders>
            <w:noWrap w:val="0"/>
            <w:vAlign w:val="center"/>
          </w:tcPr>
          <w:p w14:paraId="2EFB303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49.27</w:t>
            </w:r>
          </w:p>
        </w:tc>
        <w:tc>
          <w:tcPr>
            <w:tcW w:w="222" w:type="pct"/>
            <w:tcBorders>
              <w:tl2br w:val="nil"/>
              <w:tr2bl w:val="nil"/>
            </w:tcBorders>
            <w:noWrap w:val="0"/>
            <w:vAlign w:val="center"/>
          </w:tcPr>
          <w:p w14:paraId="1867D069">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51.24</w:t>
            </w:r>
          </w:p>
        </w:tc>
        <w:tc>
          <w:tcPr>
            <w:tcW w:w="222" w:type="pct"/>
            <w:tcBorders>
              <w:tl2br w:val="nil"/>
              <w:tr2bl w:val="nil"/>
            </w:tcBorders>
            <w:noWrap w:val="0"/>
            <w:vAlign w:val="center"/>
          </w:tcPr>
          <w:p w14:paraId="48478D5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48.03</w:t>
            </w:r>
          </w:p>
        </w:tc>
        <w:tc>
          <w:tcPr>
            <w:tcW w:w="233" w:type="pct"/>
            <w:tcBorders>
              <w:tl2br w:val="nil"/>
              <w:tr2bl w:val="nil"/>
            </w:tcBorders>
            <w:noWrap w:val="0"/>
            <w:vAlign w:val="center"/>
          </w:tcPr>
          <w:p w14:paraId="59E5FA0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51.21</w:t>
            </w:r>
          </w:p>
        </w:tc>
        <w:tc>
          <w:tcPr>
            <w:tcW w:w="141" w:type="pct"/>
            <w:tcBorders>
              <w:tl2br w:val="nil"/>
              <w:tr2bl w:val="nil"/>
            </w:tcBorders>
            <w:noWrap w:val="0"/>
            <w:vAlign w:val="center"/>
          </w:tcPr>
          <w:p w14:paraId="5A00408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color w:val="auto"/>
                <w:spacing w:val="0"/>
                <w:sz w:val="21"/>
                <w:szCs w:val="21"/>
                <w:highlight w:val="none"/>
                <w:vertAlign w:val="baseline"/>
                <w:lang w:val="en-US" w:eastAsia="zh-CN" w:bidi="zh-CN"/>
              </w:rPr>
            </w:pPr>
            <w:r>
              <w:rPr>
                <w:rFonts w:hint="eastAsia" w:ascii="Times New Roman" w:hAnsi="Times New Roman" w:cs="Times New Roman"/>
                <w:color w:val="auto"/>
                <w:spacing w:val="0"/>
                <w:sz w:val="21"/>
                <w:szCs w:val="21"/>
                <w:highlight w:val="none"/>
                <w:vertAlign w:val="baseline"/>
                <w:lang w:val="en-US" w:eastAsia="zh-CN" w:bidi="zh-CN"/>
              </w:rPr>
              <w:t>1</w:t>
            </w:r>
          </w:p>
        </w:tc>
      </w:tr>
      <w:tr w14:paraId="4A89E3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9" w:hRule="exact"/>
          <w:jc w:val="center"/>
        </w:trPr>
        <w:tc>
          <w:tcPr>
            <w:tcW w:w="143" w:type="pct"/>
            <w:tcBorders>
              <w:tl2br w:val="nil"/>
              <w:tr2bl w:val="nil"/>
            </w:tcBorders>
            <w:noWrap w:val="0"/>
            <w:vAlign w:val="center"/>
          </w:tcPr>
          <w:p w14:paraId="75C98ED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5</w:t>
            </w:r>
          </w:p>
        </w:tc>
        <w:tc>
          <w:tcPr>
            <w:tcW w:w="253" w:type="pct"/>
            <w:vMerge w:val="restart"/>
            <w:tcBorders>
              <w:tl2br w:val="nil"/>
              <w:tr2bl w:val="nil"/>
            </w:tcBorders>
            <w:noWrap w:val="0"/>
            <w:vAlign w:val="center"/>
          </w:tcPr>
          <w:p w14:paraId="0C990D2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锅炉房</w:t>
            </w:r>
            <w:r>
              <w:rPr>
                <w:rFonts w:hint="eastAsia" w:ascii="Times New Roman" w:hAnsi="Times New Roman" w:cs="Times New Roman"/>
                <w:color w:val="auto"/>
                <w:spacing w:val="0"/>
                <w:sz w:val="21"/>
                <w:szCs w:val="21"/>
                <w:highlight w:val="none"/>
                <w:vertAlign w:val="baseline"/>
                <w:lang w:val="en-US" w:eastAsia="zh-CN"/>
              </w:rPr>
              <w:t>（拟建项目）</w:t>
            </w:r>
          </w:p>
        </w:tc>
        <w:tc>
          <w:tcPr>
            <w:tcW w:w="197" w:type="pct"/>
            <w:tcBorders>
              <w:tl2br w:val="nil"/>
              <w:tr2bl w:val="nil"/>
            </w:tcBorders>
            <w:noWrap w:val="0"/>
            <w:vAlign w:val="center"/>
          </w:tcPr>
          <w:p w14:paraId="7099196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r>
              <w:rPr>
                <w:rStyle w:val="136"/>
                <w:rFonts w:hint="default" w:ascii="Times New Roman" w:hAnsi="Times New Roman" w:eastAsia="宋体" w:cs="Times New Roman"/>
                <w:bCs w:val="0"/>
                <w:color w:val="auto"/>
                <w:spacing w:val="0"/>
                <w:sz w:val="21"/>
                <w:szCs w:val="21"/>
                <w:highlight w:val="none"/>
                <w:lang w:val="en-US" w:eastAsia="zh-CN" w:bidi="ar"/>
              </w:rPr>
              <w:t>锅炉</w:t>
            </w:r>
          </w:p>
        </w:tc>
        <w:tc>
          <w:tcPr>
            <w:tcW w:w="263" w:type="pct"/>
            <w:tcBorders>
              <w:tl2br w:val="nil"/>
              <w:tr2bl w:val="nil"/>
            </w:tcBorders>
            <w:noWrap w:val="0"/>
            <w:vAlign w:val="center"/>
          </w:tcPr>
          <w:p w14:paraId="1CA1359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vertAlign w:val="baseline"/>
                <w:lang w:val="en-US" w:eastAsia="zh-CN"/>
              </w:rPr>
              <w:t>CSHQ-180万kcal</w:t>
            </w:r>
          </w:p>
        </w:tc>
        <w:tc>
          <w:tcPr>
            <w:tcW w:w="253" w:type="pct"/>
            <w:tcBorders>
              <w:tl2br w:val="nil"/>
              <w:tr2bl w:val="nil"/>
            </w:tcBorders>
            <w:noWrap w:val="0"/>
            <w:vAlign w:val="center"/>
          </w:tcPr>
          <w:p w14:paraId="52D547B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pacing w:val="0"/>
                <w:kern w:val="0"/>
                <w:sz w:val="21"/>
                <w:szCs w:val="21"/>
                <w:highlight w:val="none"/>
                <w:lang w:val="en-US" w:eastAsia="zh-CN" w:bidi="zh-CN"/>
              </w:rPr>
            </w:pPr>
            <w:r>
              <w:rPr>
                <w:rFonts w:hint="default" w:ascii="Times New Roman" w:hAnsi="Times New Roman" w:cs="Times New Roman"/>
                <w:bCs/>
                <w:i w:val="0"/>
                <w:iCs w:val="0"/>
                <w:color w:val="auto"/>
                <w:kern w:val="0"/>
                <w:sz w:val="21"/>
                <w:szCs w:val="21"/>
                <w:highlight w:val="none"/>
                <w:u w:val="none"/>
                <w:lang w:val="en-US" w:eastAsia="zh-CN" w:bidi="ar"/>
              </w:rPr>
              <w:t>80</w:t>
            </w:r>
          </w:p>
        </w:tc>
        <w:tc>
          <w:tcPr>
            <w:tcW w:w="206" w:type="pct"/>
            <w:vMerge w:val="continue"/>
            <w:tcBorders>
              <w:tl2br w:val="nil"/>
              <w:tr2bl w:val="nil"/>
            </w:tcBorders>
            <w:noWrap w:val="0"/>
            <w:vAlign w:val="center"/>
          </w:tcPr>
          <w:p w14:paraId="737FA08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p>
        </w:tc>
        <w:tc>
          <w:tcPr>
            <w:tcW w:w="179" w:type="pct"/>
            <w:tcBorders>
              <w:tl2br w:val="nil"/>
              <w:tr2bl w:val="nil"/>
            </w:tcBorders>
            <w:noWrap w:val="0"/>
            <w:vAlign w:val="center"/>
          </w:tcPr>
          <w:p w14:paraId="4557715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-2.4</w:t>
            </w:r>
          </w:p>
        </w:tc>
        <w:tc>
          <w:tcPr>
            <w:tcW w:w="179" w:type="pct"/>
            <w:tcBorders>
              <w:tl2br w:val="nil"/>
              <w:tr2bl w:val="nil"/>
            </w:tcBorders>
            <w:noWrap w:val="0"/>
            <w:vAlign w:val="center"/>
          </w:tcPr>
          <w:p w14:paraId="199641E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2.8</w:t>
            </w:r>
          </w:p>
        </w:tc>
        <w:tc>
          <w:tcPr>
            <w:tcW w:w="160" w:type="pct"/>
            <w:tcBorders>
              <w:tl2br w:val="nil"/>
              <w:tr2bl w:val="nil"/>
            </w:tcBorders>
            <w:noWrap w:val="0"/>
            <w:vAlign w:val="center"/>
          </w:tcPr>
          <w:p w14:paraId="43FCF14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1.8</w:t>
            </w:r>
          </w:p>
        </w:tc>
        <w:tc>
          <w:tcPr>
            <w:tcW w:w="222" w:type="pct"/>
            <w:tcBorders>
              <w:tl2br w:val="nil"/>
              <w:tr2bl w:val="nil"/>
            </w:tcBorders>
            <w:noWrap w:val="0"/>
            <w:vAlign w:val="center"/>
          </w:tcPr>
          <w:p w14:paraId="7377171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pacing w:val="0"/>
                <w:kern w:val="0"/>
                <w:sz w:val="21"/>
                <w:szCs w:val="21"/>
                <w:highlight w:val="none"/>
                <w:lang w:val="en-US" w:eastAsia="zh-CN" w:bidi="zh-CN"/>
              </w:rPr>
            </w:pPr>
            <w:r>
              <w:rPr>
                <w:rFonts w:hint="default" w:ascii="Times New Roman" w:hAnsi="Times New Roman" w:cs="Times New Roman"/>
                <w:bCs/>
                <w:color w:val="auto"/>
                <w:spacing w:val="0"/>
                <w:kern w:val="0"/>
                <w:sz w:val="21"/>
                <w:szCs w:val="21"/>
                <w:highlight w:val="none"/>
                <w:lang w:val="en-US" w:eastAsia="zh-CN" w:bidi="zh-CN"/>
              </w:rPr>
              <w:t>9.27</w:t>
            </w:r>
          </w:p>
        </w:tc>
        <w:tc>
          <w:tcPr>
            <w:tcW w:w="190" w:type="pct"/>
            <w:tcBorders>
              <w:tl2br w:val="nil"/>
              <w:tr2bl w:val="nil"/>
            </w:tcBorders>
            <w:noWrap w:val="0"/>
            <w:vAlign w:val="center"/>
          </w:tcPr>
          <w:p w14:paraId="563BAFA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pacing w:val="0"/>
                <w:kern w:val="0"/>
                <w:sz w:val="21"/>
                <w:szCs w:val="21"/>
                <w:highlight w:val="none"/>
                <w:lang w:val="en-US" w:eastAsia="zh-CN" w:bidi="zh-CN"/>
              </w:rPr>
            </w:pPr>
            <w:r>
              <w:rPr>
                <w:rFonts w:hint="default" w:ascii="Times New Roman" w:hAnsi="Times New Roman" w:cs="Times New Roman"/>
                <w:bCs/>
                <w:color w:val="auto"/>
                <w:spacing w:val="0"/>
                <w:kern w:val="0"/>
                <w:sz w:val="21"/>
                <w:szCs w:val="21"/>
                <w:highlight w:val="none"/>
                <w:lang w:val="en-US" w:eastAsia="zh-CN" w:bidi="zh-CN"/>
              </w:rPr>
              <w:t>7.25</w:t>
            </w:r>
          </w:p>
        </w:tc>
        <w:tc>
          <w:tcPr>
            <w:tcW w:w="190" w:type="pct"/>
            <w:tcBorders>
              <w:tl2br w:val="nil"/>
              <w:tr2bl w:val="nil"/>
            </w:tcBorders>
            <w:noWrap w:val="0"/>
            <w:vAlign w:val="center"/>
          </w:tcPr>
          <w:p w14:paraId="3136A98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pacing w:val="0"/>
                <w:kern w:val="0"/>
                <w:sz w:val="21"/>
                <w:szCs w:val="21"/>
                <w:highlight w:val="none"/>
                <w:lang w:val="en-US" w:eastAsia="zh-CN" w:bidi="zh-CN"/>
              </w:rPr>
            </w:pPr>
            <w:r>
              <w:rPr>
                <w:rFonts w:hint="default" w:ascii="Times New Roman" w:hAnsi="Times New Roman" w:cs="Times New Roman"/>
                <w:bCs/>
                <w:color w:val="auto"/>
                <w:spacing w:val="0"/>
                <w:kern w:val="0"/>
                <w:sz w:val="21"/>
                <w:szCs w:val="21"/>
                <w:highlight w:val="none"/>
                <w:lang w:val="en-US" w:eastAsia="zh-CN" w:bidi="zh-CN"/>
              </w:rPr>
              <w:t>3.83</w:t>
            </w:r>
          </w:p>
        </w:tc>
        <w:tc>
          <w:tcPr>
            <w:tcW w:w="192" w:type="pct"/>
            <w:tcBorders>
              <w:tl2br w:val="nil"/>
              <w:tr2bl w:val="nil"/>
            </w:tcBorders>
            <w:noWrap w:val="0"/>
            <w:vAlign w:val="center"/>
          </w:tcPr>
          <w:p w14:paraId="472DCF5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pacing w:val="0"/>
                <w:kern w:val="0"/>
                <w:sz w:val="21"/>
                <w:szCs w:val="21"/>
                <w:highlight w:val="none"/>
                <w:lang w:val="en-US" w:eastAsia="zh-CN" w:bidi="zh-CN"/>
              </w:rPr>
            </w:pPr>
            <w:r>
              <w:rPr>
                <w:rFonts w:hint="default" w:ascii="Times New Roman" w:hAnsi="Times New Roman" w:cs="Times New Roman"/>
                <w:bCs/>
                <w:color w:val="auto"/>
                <w:spacing w:val="0"/>
                <w:kern w:val="0"/>
                <w:sz w:val="21"/>
                <w:szCs w:val="21"/>
                <w:highlight w:val="none"/>
                <w:lang w:val="en-US" w:eastAsia="zh-CN" w:bidi="zh-CN"/>
              </w:rPr>
              <w:t>4.06</w:t>
            </w:r>
          </w:p>
        </w:tc>
        <w:tc>
          <w:tcPr>
            <w:tcW w:w="222" w:type="pct"/>
            <w:tcBorders>
              <w:tl2br w:val="nil"/>
              <w:tr2bl w:val="nil"/>
            </w:tcBorders>
            <w:noWrap w:val="0"/>
            <w:vAlign w:val="center"/>
          </w:tcPr>
          <w:p w14:paraId="3AA09EC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66.92</w:t>
            </w:r>
          </w:p>
        </w:tc>
        <w:tc>
          <w:tcPr>
            <w:tcW w:w="222" w:type="pct"/>
            <w:tcBorders>
              <w:tl2br w:val="nil"/>
              <w:tr2bl w:val="nil"/>
            </w:tcBorders>
            <w:noWrap w:val="0"/>
            <w:vAlign w:val="center"/>
          </w:tcPr>
          <w:p w14:paraId="5996905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67.02</w:t>
            </w:r>
          </w:p>
        </w:tc>
        <w:tc>
          <w:tcPr>
            <w:tcW w:w="222" w:type="pct"/>
            <w:tcBorders>
              <w:tl2br w:val="nil"/>
              <w:tr2bl w:val="nil"/>
            </w:tcBorders>
            <w:noWrap w:val="0"/>
            <w:vAlign w:val="center"/>
          </w:tcPr>
          <w:p w14:paraId="09E924A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67.64</w:t>
            </w:r>
          </w:p>
        </w:tc>
        <w:tc>
          <w:tcPr>
            <w:tcW w:w="224" w:type="pct"/>
            <w:tcBorders>
              <w:tl2br w:val="nil"/>
              <w:tr2bl w:val="nil"/>
            </w:tcBorders>
            <w:noWrap w:val="0"/>
            <w:vAlign w:val="center"/>
          </w:tcPr>
          <w:p w14:paraId="79E6AF0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67.56</w:t>
            </w:r>
          </w:p>
        </w:tc>
        <w:tc>
          <w:tcPr>
            <w:tcW w:w="175" w:type="pct"/>
            <w:vMerge w:val="continue"/>
            <w:tcBorders>
              <w:tl2br w:val="nil"/>
              <w:tr2bl w:val="nil"/>
            </w:tcBorders>
            <w:noWrap w:val="0"/>
            <w:vAlign w:val="center"/>
          </w:tcPr>
          <w:p w14:paraId="0D861DD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p>
        </w:tc>
        <w:tc>
          <w:tcPr>
            <w:tcW w:w="253" w:type="pct"/>
            <w:tcBorders>
              <w:tl2br w:val="nil"/>
              <w:tr2bl w:val="nil"/>
            </w:tcBorders>
            <w:noWrap w:val="0"/>
            <w:vAlign w:val="center"/>
          </w:tcPr>
          <w:p w14:paraId="05E7E13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vertAlign w:val="baseline"/>
                <w:lang w:val="en-US" w:eastAsia="zh-CN"/>
              </w:rPr>
            </w:pPr>
            <w:r>
              <w:rPr>
                <w:rFonts w:hint="default" w:ascii="Times New Roman" w:hAnsi="Times New Roman" w:cs="Times New Roman"/>
                <w:bCs/>
                <w:color w:val="auto"/>
                <w:spacing w:val="0"/>
                <w:sz w:val="21"/>
                <w:szCs w:val="21"/>
                <w:highlight w:val="none"/>
                <w:vertAlign w:val="baseline"/>
                <w:lang w:val="en-US" w:eastAsia="zh-CN"/>
              </w:rPr>
              <w:t>30</w:t>
            </w:r>
          </w:p>
        </w:tc>
        <w:tc>
          <w:tcPr>
            <w:tcW w:w="222" w:type="pct"/>
            <w:tcBorders>
              <w:tl2br w:val="nil"/>
              <w:tr2bl w:val="nil"/>
            </w:tcBorders>
            <w:noWrap w:val="0"/>
            <w:vAlign w:val="center"/>
          </w:tcPr>
          <w:p w14:paraId="41C6913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vertAlign w:val="baseline"/>
                <w:lang w:val="en-US" w:eastAsia="zh-CN"/>
              </w:rPr>
            </w:pPr>
            <w:r>
              <w:rPr>
                <w:rFonts w:hint="default" w:ascii="Times New Roman" w:hAnsi="Times New Roman" w:cs="Times New Roman"/>
                <w:bCs/>
                <w:color w:val="auto"/>
                <w:spacing w:val="0"/>
                <w:sz w:val="21"/>
                <w:szCs w:val="21"/>
                <w:highlight w:val="none"/>
                <w:vertAlign w:val="baseline"/>
                <w:lang w:val="en-US" w:eastAsia="zh-CN"/>
              </w:rPr>
              <w:t>39.47</w:t>
            </w:r>
          </w:p>
        </w:tc>
        <w:tc>
          <w:tcPr>
            <w:tcW w:w="222" w:type="pct"/>
            <w:tcBorders>
              <w:tl2br w:val="nil"/>
              <w:tr2bl w:val="nil"/>
            </w:tcBorders>
            <w:noWrap w:val="0"/>
            <w:vAlign w:val="center"/>
          </w:tcPr>
          <w:p w14:paraId="4860540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vertAlign w:val="baseline"/>
                <w:lang w:val="en-US" w:eastAsia="zh-CN"/>
              </w:rPr>
            </w:pPr>
            <w:r>
              <w:rPr>
                <w:rFonts w:hint="default" w:ascii="Times New Roman" w:hAnsi="Times New Roman" w:cs="Times New Roman"/>
                <w:bCs/>
                <w:color w:val="auto"/>
                <w:spacing w:val="0"/>
                <w:sz w:val="21"/>
                <w:szCs w:val="21"/>
                <w:highlight w:val="none"/>
                <w:vertAlign w:val="baseline"/>
                <w:lang w:val="en-US" w:eastAsia="zh-CN"/>
              </w:rPr>
              <w:t>38.02</w:t>
            </w:r>
          </w:p>
        </w:tc>
        <w:tc>
          <w:tcPr>
            <w:tcW w:w="222" w:type="pct"/>
            <w:tcBorders>
              <w:tl2br w:val="nil"/>
              <w:tr2bl w:val="nil"/>
            </w:tcBorders>
            <w:noWrap w:val="0"/>
            <w:vAlign w:val="center"/>
          </w:tcPr>
          <w:p w14:paraId="7D3DF32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vertAlign w:val="baseline"/>
                <w:lang w:val="en-US" w:eastAsia="zh-CN"/>
              </w:rPr>
            </w:pPr>
            <w:r>
              <w:rPr>
                <w:rFonts w:hint="default" w:ascii="Times New Roman" w:hAnsi="Times New Roman" w:cs="Times New Roman"/>
                <w:bCs/>
                <w:color w:val="auto"/>
                <w:spacing w:val="0"/>
                <w:sz w:val="21"/>
                <w:szCs w:val="21"/>
                <w:highlight w:val="none"/>
                <w:vertAlign w:val="baseline"/>
                <w:lang w:val="en-US" w:eastAsia="zh-CN"/>
              </w:rPr>
              <w:t>40.20</w:t>
            </w:r>
          </w:p>
        </w:tc>
        <w:tc>
          <w:tcPr>
            <w:tcW w:w="233" w:type="pct"/>
            <w:tcBorders>
              <w:tl2br w:val="nil"/>
              <w:tr2bl w:val="nil"/>
            </w:tcBorders>
            <w:noWrap w:val="0"/>
            <w:vAlign w:val="center"/>
          </w:tcPr>
          <w:p w14:paraId="0C6E14F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vertAlign w:val="baseline"/>
                <w:lang w:val="en-US" w:eastAsia="zh-CN"/>
              </w:rPr>
            </w:pPr>
            <w:r>
              <w:rPr>
                <w:rFonts w:hint="default" w:ascii="Times New Roman" w:hAnsi="Times New Roman" w:cs="Times New Roman"/>
                <w:bCs/>
                <w:color w:val="auto"/>
                <w:spacing w:val="0"/>
                <w:sz w:val="21"/>
                <w:szCs w:val="21"/>
                <w:highlight w:val="none"/>
                <w:vertAlign w:val="baseline"/>
                <w:lang w:val="en-US" w:eastAsia="zh-CN"/>
              </w:rPr>
              <w:t>38.55</w:t>
            </w:r>
          </w:p>
        </w:tc>
        <w:tc>
          <w:tcPr>
            <w:tcW w:w="141" w:type="pct"/>
            <w:tcBorders>
              <w:tl2br w:val="nil"/>
              <w:tr2bl w:val="nil"/>
            </w:tcBorders>
            <w:noWrap w:val="0"/>
            <w:vAlign w:val="center"/>
          </w:tcPr>
          <w:p w14:paraId="33E409F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1</w:t>
            </w:r>
          </w:p>
        </w:tc>
      </w:tr>
      <w:tr w14:paraId="226657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7" w:hRule="exact"/>
          <w:jc w:val="center"/>
        </w:trPr>
        <w:tc>
          <w:tcPr>
            <w:tcW w:w="143" w:type="pct"/>
            <w:tcBorders>
              <w:tl2br w:val="nil"/>
              <w:tr2bl w:val="nil"/>
            </w:tcBorders>
            <w:noWrap w:val="0"/>
            <w:vAlign w:val="center"/>
          </w:tcPr>
          <w:p w14:paraId="0A84FBB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6</w:t>
            </w:r>
          </w:p>
        </w:tc>
        <w:tc>
          <w:tcPr>
            <w:tcW w:w="253" w:type="pct"/>
            <w:vMerge w:val="continue"/>
            <w:tcBorders>
              <w:tl2br w:val="nil"/>
              <w:tr2bl w:val="nil"/>
            </w:tcBorders>
            <w:noWrap w:val="0"/>
            <w:vAlign w:val="center"/>
          </w:tcPr>
          <w:p w14:paraId="61967F8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p>
        </w:tc>
        <w:tc>
          <w:tcPr>
            <w:tcW w:w="197" w:type="pct"/>
            <w:tcBorders>
              <w:tl2br w:val="nil"/>
              <w:tr2bl w:val="nil"/>
            </w:tcBorders>
            <w:noWrap w:val="0"/>
            <w:vAlign w:val="center"/>
          </w:tcPr>
          <w:p w14:paraId="64E32ED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r>
              <w:rPr>
                <w:rStyle w:val="136"/>
                <w:rFonts w:hint="default" w:ascii="Times New Roman" w:hAnsi="Times New Roman" w:cs="Times New Roman"/>
                <w:bCs w:val="0"/>
                <w:color w:val="auto"/>
                <w:spacing w:val="0"/>
                <w:sz w:val="21"/>
                <w:szCs w:val="21"/>
                <w:highlight w:val="none"/>
                <w:lang w:val="en-US" w:eastAsia="zh-CN" w:bidi="ar"/>
              </w:rPr>
              <w:t>水泵</w:t>
            </w:r>
          </w:p>
        </w:tc>
        <w:tc>
          <w:tcPr>
            <w:tcW w:w="263" w:type="pct"/>
            <w:tcBorders>
              <w:tl2br w:val="nil"/>
              <w:tr2bl w:val="nil"/>
            </w:tcBorders>
            <w:noWrap w:val="0"/>
            <w:vAlign w:val="center"/>
          </w:tcPr>
          <w:p w14:paraId="467378F1">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w:t>
            </w:r>
          </w:p>
        </w:tc>
        <w:tc>
          <w:tcPr>
            <w:tcW w:w="253" w:type="pct"/>
            <w:tcBorders>
              <w:tl2br w:val="nil"/>
              <w:tr2bl w:val="nil"/>
            </w:tcBorders>
            <w:noWrap w:val="0"/>
            <w:vAlign w:val="center"/>
          </w:tcPr>
          <w:p w14:paraId="3104D62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pacing w:val="0"/>
                <w:kern w:val="0"/>
                <w:sz w:val="21"/>
                <w:szCs w:val="21"/>
                <w:highlight w:val="none"/>
                <w:lang w:val="en-US" w:eastAsia="zh-CN" w:bidi="zh-CN"/>
              </w:rPr>
            </w:pPr>
            <w:r>
              <w:rPr>
                <w:rFonts w:hint="default" w:ascii="Times New Roman" w:hAnsi="Times New Roman" w:cs="Times New Roman"/>
                <w:color w:val="auto"/>
                <w:spacing w:val="0"/>
                <w:kern w:val="0"/>
                <w:sz w:val="21"/>
                <w:szCs w:val="21"/>
                <w:highlight w:val="none"/>
                <w:lang w:val="en-US" w:eastAsia="zh-CN" w:bidi="zh-CN"/>
              </w:rPr>
              <w:t>75</w:t>
            </w:r>
          </w:p>
        </w:tc>
        <w:tc>
          <w:tcPr>
            <w:tcW w:w="206" w:type="pct"/>
            <w:vMerge w:val="continue"/>
            <w:tcBorders>
              <w:tl2br w:val="nil"/>
              <w:tr2bl w:val="nil"/>
            </w:tcBorders>
            <w:noWrap w:val="0"/>
            <w:vAlign w:val="center"/>
          </w:tcPr>
          <w:p w14:paraId="07EF2B9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rPr>
            </w:pPr>
          </w:p>
        </w:tc>
        <w:tc>
          <w:tcPr>
            <w:tcW w:w="179" w:type="pct"/>
            <w:tcBorders>
              <w:tl2br w:val="nil"/>
              <w:tr2bl w:val="nil"/>
            </w:tcBorders>
            <w:noWrap w:val="0"/>
            <w:vAlign w:val="center"/>
          </w:tcPr>
          <w:p w14:paraId="5E28F4C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4.8</w:t>
            </w:r>
          </w:p>
        </w:tc>
        <w:tc>
          <w:tcPr>
            <w:tcW w:w="179" w:type="pct"/>
            <w:tcBorders>
              <w:tl2br w:val="nil"/>
              <w:tr2bl w:val="nil"/>
            </w:tcBorders>
            <w:noWrap w:val="0"/>
            <w:vAlign w:val="center"/>
          </w:tcPr>
          <w:p w14:paraId="20A5976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1</w:t>
            </w:r>
          </w:p>
        </w:tc>
        <w:tc>
          <w:tcPr>
            <w:tcW w:w="160" w:type="pct"/>
            <w:tcBorders>
              <w:tl2br w:val="nil"/>
              <w:tr2bl w:val="nil"/>
            </w:tcBorders>
            <w:noWrap w:val="0"/>
            <w:vAlign w:val="center"/>
          </w:tcPr>
          <w:p w14:paraId="305B77B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0.5</w:t>
            </w:r>
          </w:p>
        </w:tc>
        <w:tc>
          <w:tcPr>
            <w:tcW w:w="222" w:type="pct"/>
            <w:tcBorders>
              <w:tl2br w:val="nil"/>
              <w:tr2bl w:val="nil"/>
            </w:tcBorders>
            <w:noWrap w:val="0"/>
            <w:vAlign w:val="center"/>
          </w:tcPr>
          <w:p w14:paraId="3F86DA9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bCs/>
                <w:color w:val="auto"/>
                <w:spacing w:val="0"/>
                <w:kern w:val="0"/>
                <w:sz w:val="21"/>
                <w:szCs w:val="21"/>
                <w:highlight w:val="none"/>
                <w:lang w:val="en-US" w:eastAsia="zh-CN" w:bidi="zh-CN"/>
              </w:rPr>
            </w:pPr>
            <w:r>
              <w:rPr>
                <w:rFonts w:hint="default" w:ascii="Times New Roman" w:hAnsi="Times New Roman" w:cs="Times New Roman"/>
                <w:bCs/>
                <w:color w:val="auto"/>
                <w:spacing w:val="0"/>
                <w:kern w:val="0"/>
                <w:sz w:val="21"/>
                <w:szCs w:val="21"/>
                <w:highlight w:val="none"/>
                <w:lang w:val="en-US" w:eastAsia="zh-CN" w:bidi="zh-CN"/>
              </w:rPr>
              <w:t>2.11</w:t>
            </w:r>
          </w:p>
        </w:tc>
        <w:tc>
          <w:tcPr>
            <w:tcW w:w="190" w:type="pct"/>
            <w:tcBorders>
              <w:tl2br w:val="nil"/>
              <w:tr2bl w:val="nil"/>
            </w:tcBorders>
            <w:noWrap w:val="0"/>
            <w:vAlign w:val="center"/>
          </w:tcPr>
          <w:p w14:paraId="5479AAD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bCs/>
                <w:color w:val="auto"/>
                <w:spacing w:val="0"/>
                <w:kern w:val="0"/>
                <w:sz w:val="21"/>
                <w:szCs w:val="21"/>
                <w:highlight w:val="none"/>
                <w:lang w:val="en-US" w:eastAsia="zh-CN" w:bidi="zh-CN"/>
              </w:rPr>
            </w:pPr>
            <w:r>
              <w:rPr>
                <w:rFonts w:hint="default" w:ascii="Times New Roman" w:hAnsi="Times New Roman" w:cs="Times New Roman"/>
                <w:bCs/>
                <w:color w:val="auto"/>
                <w:spacing w:val="0"/>
                <w:kern w:val="0"/>
                <w:sz w:val="21"/>
                <w:szCs w:val="21"/>
                <w:highlight w:val="none"/>
                <w:lang w:val="en-US" w:eastAsia="zh-CN" w:bidi="zh-CN"/>
              </w:rPr>
              <w:t>5.33</w:t>
            </w:r>
          </w:p>
        </w:tc>
        <w:tc>
          <w:tcPr>
            <w:tcW w:w="190" w:type="pct"/>
            <w:tcBorders>
              <w:tl2br w:val="nil"/>
              <w:tr2bl w:val="nil"/>
            </w:tcBorders>
            <w:noWrap w:val="0"/>
            <w:vAlign w:val="center"/>
          </w:tcPr>
          <w:p w14:paraId="7D3B6D9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pacing w:val="0"/>
                <w:kern w:val="0"/>
                <w:sz w:val="21"/>
                <w:szCs w:val="21"/>
                <w:highlight w:val="none"/>
                <w:lang w:val="en-US" w:eastAsia="zh-CN" w:bidi="zh-CN"/>
              </w:rPr>
            </w:pPr>
            <w:r>
              <w:rPr>
                <w:rFonts w:hint="default" w:ascii="Times New Roman" w:hAnsi="Times New Roman" w:cs="Times New Roman"/>
                <w:bCs/>
                <w:color w:val="auto"/>
                <w:spacing w:val="0"/>
                <w:kern w:val="0"/>
                <w:sz w:val="21"/>
                <w:szCs w:val="21"/>
                <w:highlight w:val="none"/>
                <w:lang w:val="en-US" w:eastAsia="zh-CN" w:bidi="zh-CN"/>
              </w:rPr>
              <w:t>5.45</w:t>
            </w:r>
          </w:p>
        </w:tc>
        <w:tc>
          <w:tcPr>
            <w:tcW w:w="192" w:type="pct"/>
            <w:tcBorders>
              <w:tl2br w:val="nil"/>
              <w:tr2bl w:val="nil"/>
            </w:tcBorders>
            <w:noWrap w:val="0"/>
            <w:vAlign w:val="center"/>
          </w:tcPr>
          <w:p w14:paraId="665C4F1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pacing w:val="0"/>
                <w:kern w:val="0"/>
                <w:sz w:val="21"/>
                <w:szCs w:val="21"/>
                <w:highlight w:val="none"/>
                <w:lang w:val="en-US" w:eastAsia="zh-CN" w:bidi="zh-CN"/>
              </w:rPr>
            </w:pPr>
            <w:r>
              <w:rPr>
                <w:rFonts w:hint="default" w:ascii="Times New Roman" w:hAnsi="Times New Roman" w:cs="Times New Roman"/>
                <w:bCs/>
                <w:color w:val="auto"/>
                <w:spacing w:val="0"/>
                <w:kern w:val="0"/>
                <w:sz w:val="21"/>
                <w:szCs w:val="21"/>
                <w:highlight w:val="none"/>
                <w:lang w:val="en-US" w:eastAsia="zh-CN" w:bidi="zh-CN"/>
              </w:rPr>
              <w:t>5.97</w:t>
            </w:r>
          </w:p>
        </w:tc>
        <w:tc>
          <w:tcPr>
            <w:tcW w:w="222" w:type="pct"/>
            <w:tcBorders>
              <w:tl2br w:val="nil"/>
              <w:tr2bl w:val="nil"/>
            </w:tcBorders>
            <w:noWrap w:val="0"/>
            <w:vAlign w:val="center"/>
          </w:tcPr>
          <w:p w14:paraId="576D6E2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64.20</w:t>
            </w:r>
          </w:p>
        </w:tc>
        <w:tc>
          <w:tcPr>
            <w:tcW w:w="222" w:type="pct"/>
            <w:tcBorders>
              <w:tl2br w:val="nil"/>
              <w:tr2bl w:val="nil"/>
            </w:tcBorders>
            <w:noWrap w:val="0"/>
            <w:vAlign w:val="center"/>
          </w:tcPr>
          <w:p w14:paraId="132AD8C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62.24</w:t>
            </w:r>
          </w:p>
        </w:tc>
        <w:tc>
          <w:tcPr>
            <w:tcW w:w="222" w:type="pct"/>
            <w:tcBorders>
              <w:tl2br w:val="nil"/>
              <w:tr2bl w:val="nil"/>
            </w:tcBorders>
            <w:noWrap w:val="0"/>
            <w:vAlign w:val="center"/>
          </w:tcPr>
          <w:p w14:paraId="7269B8D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62.22</w:t>
            </w:r>
          </w:p>
        </w:tc>
        <w:tc>
          <w:tcPr>
            <w:tcW w:w="224" w:type="pct"/>
            <w:tcBorders>
              <w:tl2br w:val="nil"/>
              <w:tr2bl w:val="nil"/>
            </w:tcBorders>
            <w:noWrap w:val="0"/>
            <w:vAlign w:val="center"/>
          </w:tcPr>
          <w:p w14:paraId="36A6ECC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62.14</w:t>
            </w:r>
          </w:p>
        </w:tc>
        <w:tc>
          <w:tcPr>
            <w:tcW w:w="175" w:type="pct"/>
            <w:vMerge w:val="continue"/>
            <w:tcBorders>
              <w:tl2br w:val="nil"/>
              <w:tr2bl w:val="nil"/>
            </w:tcBorders>
            <w:noWrap w:val="0"/>
            <w:vAlign w:val="center"/>
          </w:tcPr>
          <w:p w14:paraId="447C17B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rPr>
            </w:pPr>
          </w:p>
        </w:tc>
        <w:tc>
          <w:tcPr>
            <w:tcW w:w="253" w:type="pct"/>
            <w:tcBorders>
              <w:tl2br w:val="nil"/>
              <w:tr2bl w:val="nil"/>
            </w:tcBorders>
            <w:noWrap w:val="0"/>
            <w:vAlign w:val="center"/>
          </w:tcPr>
          <w:p w14:paraId="704A407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cs="Times New Roman"/>
                <w:color w:val="auto"/>
                <w:spacing w:val="0"/>
                <w:sz w:val="21"/>
                <w:szCs w:val="21"/>
                <w:highlight w:val="none"/>
                <w:vertAlign w:val="baseline"/>
                <w:lang w:val="en-US" w:eastAsia="zh-CN"/>
              </w:rPr>
              <w:t>30</w:t>
            </w:r>
          </w:p>
        </w:tc>
        <w:tc>
          <w:tcPr>
            <w:tcW w:w="222" w:type="pct"/>
            <w:tcBorders>
              <w:tl2br w:val="nil"/>
              <w:tr2bl w:val="nil"/>
            </w:tcBorders>
            <w:noWrap w:val="0"/>
            <w:vAlign w:val="center"/>
          </w:tcPr>
          <w:p w14:paraId="60F6684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vertAlign w:val="baseline"/>
                <w:lang w:val="en-US" w:eastAsia="zh-CN"/>
              </w:rPr>
            </w:pPr>
            <w:r>
              <w:rPr>
                <w:rFonts w:hint="default" w:ascii="Times New Roman" w:hAnsi="Times New Roman" w:cs="Times New Roman"/>
                <w:bCs/>
                <w:color w:val="auto"/>
                <w:spacing w:val="0"/>
                <w:sz w:val="21"/>
                <w:szCs w:val="21"/>
                <w:highlight w:val="none"/>
                <w:vertAlign w:val="baseline"/>
                <w:lang w:val="en-US" w:eastAsia="zh-CN"/>
              </w:rPr>
              <w:t>35.20</w:t>
            </w:r>
          </w:p>
        </w:tc>
        <w:tc>
          <w:tcPr>
            <w:tcW w:w="222" w:type="pct"/>
            <w:tcBorders>
              <w:tl2br w:val="nil"/>
              <w:tr2bl w:val="nil"/>
            </w:tcBorders>
            <w:noWrap w:val="0"/>
            <w:vAlign w:val="center"/>
          </w:tcPr>
          <w:p w14:paraId="3F0E015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vertAlign w:val="baseline"/>
                <w:lang w:val="en-US" w:eastAsia="zh-CN"/>
              </w:rPr>
            </w:pPr>
            <w:r>
              <w:rPr>
                <w:rFonts w:hint="default" w:ascii="Times New Roman" w:hAnsi="Times New Roman" w:cs="Times New Roman"/>
                <w:bCs/>
                <w:color w:val="auto"/>
                <w:spacing w:val="0"/>
                <w:sz w:val="21"/>
                <w:szCs w:val="21"/>
                <w:highlight w:val="none"/>
                <w:vertAlign w:val="baseline"/>
                <w:lang w:val="en-US" w:eastAsia="zh-CN"/>
              </w:rPr>
              <w:t>34.79</w:t>
            </w:r>
          </w:p>
        </w:tc>
        <w:tc>
          <w:tcPr>
            <w:tcW w:w="222" w:type="pct"/>
            <w:tcBorders>
              <w:tl2br w:val="nil"/>
              <w:tr2bl w:val="nil"/>
            </w:tcBorders>
            <w:noWrap w:val="0"/>
            <w:vAlign w:val="center"/>
          </w:tcPr>
          <w:p w14:paraId="263D42D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vertAlign w:val="baseline"/>
                <w:lang w:val="en-US" w:eastAsia="zh-CN"/>
              </w:rPr>
            </w:pPr>
            <w:r>
              <w:rPr>
                <w:rFonts w:hint="default" w:ascii="Times New Roman" w:hAnsi="Times New Roman" w:cs="Times New Roman"/>
                <w:bCs/>
                <w:color w:val="auto"/>
                <w:spacing w:val="0"/>
                <w:sz w:val="21"/>
                <w:szCs w:val="21"/>
                <w:highlight w:val="none"/>
                <w:vertAlign w:val="baseline"/>
                <w:lang w:val="en-US" w:eastAsia="zh-CN"/>
              </w:rPr>
              <w:t>33.21</w:t>
            </w:r>
          </w:p>
        </w:tc>
        <w:tc>
          <w:tcPr>
            <w:tcW w:w="233" w:type="pct"/>
            <w:tcBorders>
              <w:tl2br w:val="nil"/>
              <w:tr2bl w:val="nil"/>
            </w:tcBorders>
            <w:noWrap w:val="0"/>
            <w:vAlign w:val="center"/>
          </w:tcPr>
          <w:p w14:paraId="7718C6E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vertAlign w:val="baseline"/>
                <w:lang w:val="en-US" w:eastAsia="zh-CN"/>
              </w:rPr>
            </w:pPr>
            <w:r>
              <w:rPr>
                <w:rFonts w:hint="default" w:ascii="Times New Roman" w:hAnsi="Times New Roman" w:cs="Times New Roman"/>
                <w:bCs/>
                <w:color w:val="auto"/>
                <w:spacing w:val="0"/>
                <w:sz w:val="21"/>
                <w:szCs w:val="21"/>
                <w:highlight w:val="none"/>
                <w:vertAlign w:val="baseline"/>
                <w:lang w:val="en-US" w:eastAsia="zh-CN"/>
              </w:rPr>
              <w:t>34.69</w:t>
            </w:r>
          </w:p>
        </w:tc>
        <w:tc>
          <w:tcPr>
            <w:tcW w:w="141" w:type="pct"/>
            <w:tcBorders>
              <w:tl2br w:val="nil"/>
              <w:tr2bl w:val="nil"/>
            </w:tcBorders>
            <w:noWrap w:val="0"/>
            <w:vAlign w:val="center"/>
          </w:tcPr>
          <w:p w14:paraId="1136362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cs="Times New Roman"/>
                <w:color w:val="auto"/>
                <w:spacing w:val="0"/>
                <w:sz w:val="21"/>
                <w:szCs w:val="21"/>
                <w:highlight w:val="none"/>
                <w:vertAlign w:val="baseline"/>
                <w:lang w:val="en-US" w:eastAsia="zh-CN"/>
              </w:rPr>
              <w:t>1</w:t>
            </w:r>
          </w:p>
        </w:tc>
      </w:tr>
      <w:tr w14:paraId="7F854F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7" w:hRule="exact"/>
          <w:jc w:val="center"/>
        </w:trPr>
        <w:tc>
          <w:tcPr>
            <w:tcW w:w="143" w:type="pct"/>
            <w:tcBorders>
              <w:tl2br w:val="nil"/>
              <w:tr2bl w:val="nil"/>
            </w:tcBorders>
            <w:noWrap w:val="0"/>
            <w:vAlign w:val="center"/>
          </w:tcPr>
          <w:p w14:paraId="158F2AB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7</w:t>
            </w:r>
          </w:p>
        </w:tc>
        <w:tc>
          <w:tcPr>
            <w:tcW w:w="253" w:type="pct"/>
            <w:vMerge w:val="continue"/>
            <w:tcBorders>
              <w:tl2br w:val="nil"/>
              <w:tr2bl w:val="nil"/>
            </w:tcBorders>
            <w:noWrap w:val="0"/>
            <w:vAlign w:val="center"/>
          </w:tcPr>
          <w:p w14:paraId="51E5AA6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p>
        </w:tc>
        <w:tc>
          <w:tcPr>
            <w:tcW w:w="197" w:type="pct"/>
            <w:tcBorders>
              <w:tl2br w:val="nil"/>
              <w:tr2bl w:val="nil"/>
            </w:tcBorders>
            <w:noWrap w:val="0"/>
            <w:vAlign w:val="center"/>
          </w:tcPr>
          <w:p w14:paraId="7CFCC80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cs="Times New Roman"/>
                <w:bCs w:val="0"/>
                <w:color w:val="auto"/>
                <w:spacing w:val="0"/>
                <w:sz w:val="21"/>
                <w:szCs w:val="21"/>
                <w:highlight w:val="none"/>
                <w:lang w:val="en-US" w:eastAsia="zh-CN" w:bidi="ar"/>
              </w:rPr>
            </w:pPr>
            <w:r>
              <w:rPr>
                <w:rStyle w:val="136"/>
                <w:rFonts w:hint="default" w:ascii="Times New Roman" w:hAnsi="Times New Roman" w:cs="Times New Roman"/>
                <w:bCs w:val="0"/>
                <w:color w:val="auto"/>
                <w:spacing w:val="0"/>
                <w:sz w:val="21"/>
                <w:szCs w:val="21"/>
                <w:highlight w:val="none"/>
                <w:lang w:val="en-US" w:eastAsia="zh-CN" w:bidi="ar"/>
              </w:rPr>
              <w:t>风机</w:t>
            </w:r>
          </w:p>
        </w:tc>
        <w:tc>
          <w:tcPr>
            <w:tcW w:w="263" w:type="pct"/>
            <w:tcBorders>
              <w:tl2br w:val="nil"/>
              <w:tr2bl w:val="nil"/>
            </w:tcBorders>
            <w:noWrap w:val="0"/>
            <w:vAlign w:val="center"/>
          </w:tcPr>
          <w:p w14:paraId="5E75D43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w:t>
            </w:r>
          </w:p>
        </w:tc>
        <w:tc>
          <w:tcPr>
            <w:tcW w:w="253" w:type="pct"/>
            <w:tcBorders>
              <w:tl2br w:val="nil"/>
              <w:tr2bl w:val="nil"/>
            </w:tcBorders>
            <w:noWrap w:val="0"/>
            <w:vAlign w:val="center"/>
          </w:tcPr>
          <w:p w14:paraId="157AD25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pacing w:val="0"/>
                <w:kern w:val="0"/>
                <w:sz w:val="21"/>
                <w:szCs w:val="21"/>
                <w:highlight w:val="none"/>
                <w:lang w:val="en-US" w:eastAsia="zh-CN" w:bidi="zh-CN"/>
              </w:rPr>
            </w:pPr>
            <w:r>
              <w:rPr>
                <w:rFonts w:hint="default" w:ascii="Times New Roman" w:hAnsi="Times New Roman" w:cs="Times New Roman"/>
                <w:color w:val="auto"/>
                <w:spacing w:val="0"/>
                <w:kern w:val="0"/>
                <w:sz w:val="21"/>
                <w:szCs w:val="21"/>
                <w:highlight w:val="none"/>
                <w:lang w:val="en-US" w:eastAsia="zh-CN" w:bidi="zh-CN"/>
              </w:rPr>
              <w:t>75</w:t>
            </w:r>
          </w:p>
        </w:tc>
        <w:tc>
          <w:tcPr>
            <w:tcW w:w="206" w:type="pct"/>
            <w:vMerge w:val="continue"/>
            <w:tcBorders>
              <w:tl2br w:val="nil"/>
              <w:tr2bl w:val="nil"/>
            </w:tcBorders>
            <w:noWrap w:val="0"/>
            <w:vAlign w:val="center"/>
          </w:tcPr>
          <w:p w14:paraId="624EF42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rPr>
            </w:pPr>
          </w:p>
        </w:tc>
        <w:tc>
          <w:tcPr>
            <w:tcW w:w="179" w:type="pct"/>
            <w:tcBorders>
              <w:tl2br w:val="nil"/>
              <w:tr2bl w:val="nil"/>
            </w:tcBorders>
            <w:noWrap w:val="0"/>
            <w:vAlign w:val="center"/>
          </w:tcPr>
          <w:p w14:paraId="10D2415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-4.7</w:t>
            </w:r>
          </w:p>
        </w:tc>
        <w:tc>
          <w:tcPr>
            <w:tcW w:w="179" w:type="pct"/>
            <w:tcBorders>
              <w:tl2br w:val="nil"/>
              <w:tr2bl w:val="nil"/>
            </w:tcBorders>
            <w:noWrap w:val="0"/>
            <w:vAlign w:val="center"/>
          </w:tcPr>
          <w:p w14:paraId="3D1FDD4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-3.2</w:t>
            </w:r>
          </w:p>
        </w:tc>
        <w:tc>
          <w:tcPr>
            <w:tcW w:w="160" w:type="pct"/>
            <w:tcBorders>
              <w:tl2br w:val="nil"/>
              <w:tr2bl w:val="nil"/>
            </w:tcBorders>
            <w:noWrap w:val="0"/>
            <w:vAlign w:val="center"/>
          </w:tcPr>
          <w:p w14:paraId="7C4E488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0.5</w:t>
            </w:r>
          </w:p>
        </w:tc>
        <w:tc>
          <w:tcPr>
            <w:tcW w:w="222" w:type="pct"/>
            <w:tcBorders>
              <w:tl2br w:val="nil"/>
              <w:tr2bl w:val="nil"/>
            </w:tcBorders>
            <w:noWrap w:val="0"/>
            <w:vAlign w:val="center"/>
          </w:tcPr>
          <w:p w14:paraId="732428E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bCs/>
                <w:color w:val="auto"/>
                <w:spacing w:val="0"/>
                <w:kern w:val="0"/>
                <w:sz w:val="21"/>
                <w:szCs w:val="21"/>
                <w:highlight w:val="none"/>
                <w:lang w:val="en-US" w:eastAsia="zh-CN" w:bidi="zh-CN"/>
              </w:rPr>
            </w:pPr>
            <w:r>
              <w:rPr>
                <w:rFonts w:hint="default" w:ascii="Times New Roman" w:hAnsi="Times New Roman" w:cs="Times New Roman"/>
                <w:bCs/>
                <w:color w:val="auto"/>
                <w:spacing w:val="0"/>
                <w:kern w:val="0"/>
                <w:sz w:val="21"/>
                <w:szCs w:val="21"/>
                <w:highlight w:val="none"/>
                <w:lang w:val="en-US" w:eastAsia="zh-CN" w:bidi="zh-CN"/>
              </w:rPr>
              <w:t>11.68</w:t>
            </w:r>
          </w:p>
        </w:tc>
        <w:tc>
          <w:tcPr>
            <w:tcW w:w="190" w:type="pct"/>
            <w:tcBorders>
              <w:tl2br w:val="nil"/>
              <w:tr2bl w:val="nil"/>
            </w:tcBorders>
            <w:noWrap w:val="0"/>
            <w:vAlign w:val="center"/>
          </w:tcPr>
          <w:p w14:paraId="1182AA9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bCs/>
                <w:color w:val="auto"/>
                <w:spacing w:val="0"/>
                <w:kern w:val="0"/>
                <w:sz w:val="21"/>
                <w:szCs w:val="21"/>
                <w:highlight w:val="none"/>
                <w:lang w:val="en-US" w:eastAsia="zh-CN" w:bidi="zh-CN"/>
              </w:rPr>
            </w:pPr>
            <w:r>
              <w:rPr>
                <w:rFonts w:hint="default" w:ascii="Times New Roman" w:hAnsi="Times New Roman" w:cs="Times New Roman"/>
                <w:bCs/>
                <w:color w:val="auto"/>
                <w:spacing w:val="0"/>
                <w:kern w:val="0"/>
                <w:sz w:val="21"/>
                <w:szCs w:val="21"/>
                <w:highlight w:val="none"/>
                <w:lang w:val="en-US" w:eastAsia="zh-CN" w:bidi="zh-CN"/>
              </w:rPr>
              <w:t>1.28</w:t>
            </w:r>
          </w:p>
        </w:tc>
        <w:tc>
          <w:tcPr>
            <w:tcW w:w="190" w:type="pct"/>
            <w:tcBorders>
              <w:tl2br w:val="nil"/>
              <w:tr2bl w:val="nil"/>
            </w:tcBorders>
            <w:noWrap w:val="0"/>
            <w:vAlign w:val="center"/>
          </w:tcPr>
          <w:p w14:paraId="33C8C2A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pacing w:val="0"/>
                <w:kern w:val="0"/>
                <w:sz w:val="21"/>
                <w:szCs w:val="21"/>
                <w:highlight w:val="none"/>
                <w:lang w:val="en-US" w:eastAsia="zh-CN" w:bidi="zh-CN"/>
              </w:rPr>
            </w:pPr>
            <w:r>
              <w:rPr>
                <w:rFonts w:hint="default" w:ascii="Times New Roman" w:hAnsi="Times New Roman" w:cs="Times New Roman"/>
                <w:bCs/>
                <w:color w:val="auto"/>
                <w:spacing w:val="0"/>
                <w:kern w:val="0"/>
                <w:sz w:val="21"/>
                <w:szCs w:val="21"/>
                <w:highlight w:val="none"/>
                <w:lang w:val="en-US" w:eastAsia="zh-CN" w:bidi="zh-CN"/>
              </w:rPr>
              <w:t>1.42</w:t>
            </w:r>
          </w:p>
        </w:tc>
        <w:tc>
          <w:tcPr>
            <w:tcW w:w="192" w:type="pct"/>
            <w:tcBorders>
              <w:tl2br w:val="nil"/>
              <w:tr2bl w:val="nil"/>
            </w:tcBorders>
            <w:noWrap w:val="0"/>
            <w:vAlign w:val="center"/>
          </w:tcPr>
          <w:p w14:paraId="0BA7A900">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pacing w:val="0"/>
                <w:kern w:val="0"/>
                <w:sz w:val="21"/>
                <w:szCs w:val="21"/>
                <w:highlight w:val="none"/>
                <w:lang w:val="en-US" w:eastAsia="zh-CN" w:bidi="zh-CN"/>
              </w:rPr>
            </w:pPr>
            <w:r>
              <w:rPr>
                <w:rFonts w:hint="default" w:ascii="Times New Roman" w:hAnsi="Times New Roman" w:cs="Times New Roman"/>
                <w:bCs/>
                <w:color w:val="auto"/>
                <w:spacing w:val="0"/>
                <w:kern w:val="0"/>
                <w:sz w:val="21"/>
                <w:szCs w:val="21"/>
                <w:highlight w:val="none"/>
                <w:lang w:val="en-US" w:eastAsia="zh-CN" w:bidi="zh-CN"/>
              </w:rPr>
              <w:t>1.46</w:t>
            </w:r>
          </w:p>
        </w:tc>
        <w:tc>
          <w:tcPr>
            <w:tcW w:w="222" w:type="pct"/>
            <w:tcBorders>
              <w:tl2br w:val="nil"/>
              <w:tr2bl w:val="nil"/>
            </w:tcBorders>
            <w:noWrap w:val="0"/>
            <w:vAlign w:val="center"/>
          </w:tcPr>
          <w:p w14:paraId="5FD13A7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61.86</w:t>
            </w:r>
          </w:p>
        </w:tc>
        <w:tc>
          <w:tcPr>
            <w:tcW w:w="222" w:type="pct"/>
            <w:tcBorders>
              <w:tl2br w:val="nil"/>
              <w:tr2bl w:val="nil"/>
            </w:tcBorders>
            <w:noWrap w:val="0"/>
            <w:vAlign w:val="center"/>
          </w:tcPr>
          <w:p w14:paraId="5B472BD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66.60</w:t>
            </w:r>
          </w:p>
        </w:tc>
        <w:tc>
          <w:tcPr>
            <w:tcW w:w="222" w:type="pct"/>
            <w:tcBorders>
              <w:tl2br w:val="nil"/>
              <w:tr2bl w:val="nil"/>
            </w:tcBorders>
            <w:noWrap w:val="0"/>
            <w:vAlign w:val="center"/>
          </w:tcPr>
          <w:p w14:paraId="227CC28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66.00</w:t>
            </w:r>
          </w:p>
        </w:tc>
        <w:tc>
          <w:tcPr>
            <w:tcW w:w="224" w:type="pct"/>
            <w:tcBorders>
              <w:tl2br w:val="nil"/>
              <w:tr2bl w:val="nil"/>
            </w:tcBorders>
            <w:noWrap w:val="0"/>
            <w:vAlign w:val="center"/>
          </w:tcPr>
          <w:p w14:paraId="77E1CBF9">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65.87</w:t>
            </w:r>
          </w:p>
        </w:tc>
        <w:tc>
          <w:tcPr>
            <w:tcW w:w="175" w:type="pct"/>
            <w:vMerge w:val="continue"/>
            <w:tcBorders>
              <w:tl2br w:val="nil"/>
              <w:tr2bl w:val="nil"/>
            </w:tcBorders>
            <w:noWrap w:val="0"/>
            <w:vAlign w:val="center"/>
          </w:tcPr>
          <w:p w14:paraId="276E3CF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rPr>
            </w:pPr>
          </w:p>
        </w:tc>
        <w:tc>
          <w:tcPr>
            <w:tcW w:w="253" w:type="pct"/>
            <w:tcBorders>
              <w:tl2br w:val="nil"/>
              <w:tr2bl w:val="nil"/>
            </w:tcBorders>
            <w:noWrap w:val="0"/>
            <w:vAlign w:val="center"/>
          </w:tcPr>
          <w:p w14:paraId="56724D0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cs="Times New Roman"/>
                <w:color w:val="auto"/>
                <w:spacing w:val="0"/>
                <w:sz w:val="21"/>
                <w:szCs w:val="21"/>
                <w:highlight w:val="none"/>
                <w:vertAlign w:val="baseline"/>
                <w:lang w:val="en-US" w:eastAsia="zh-CN"/>
              </w:rPr>
              <w:t>30</w:t>
            </w:r>
          </w:p>
        </w:tc>
        <w:tc>
          <w:tcPr>
            <w:tcW w:w="222" w:type="pct"/>
            <w:tcBorders>
              <w:tl2br w:val="nil"/>
              <w:tr2bl w:val="nil"/>
            </w:tcBorders>
            <w:noWrap w:val="0"/>
            <w:vAlign w:val="center"/>
          </w:tcPr>
          <w:p w14:paraId="6ECDC8C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vertAlign w:val="baseline"/>
                <w:lang w:val="en-US" w:eastAsia="zh-CN"/>
              </w:rPr>
            </w:pPr>
            <w:r>
              <w:rPr>
                <w:rFonts w:hint="default" w:ascii="Times New Roman" w:hAnsi="Times New Roman" w:cs="Times New Roman"/>
                <w:bCs/>
                <w:color w:val="auto"/>
                <w:spacing w:val="0"/>
                <w:sz w:val="21"/>
                <w:szCs w:val="21"/>
                <w:highlight w:val="none"/>
                <w:vertAlign w:val="baseline"/>
                <w:lang w:val="en-US" w:eastAsia="zh-CN"/>
              </w:rPr>
              <w:t>34.41</w:t>
            </w:r>
          </w:p>
        </w:tc>
        <w:tc>
          <w:tcPr>
            <w:tcW w:w="222" w:type="pct"/>
            <w:tcBorders>
              <w:tl2br w:val="nil"/>
              <w:tr2bl w:val="nil"/>
            </w:tcBorders>
            <w:noWrap w:val="0"/>
            <w:vAlign w:val="center"/>
          </w:tcPr>
          <w:p w14:paraId="419E065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vertAlign w:val="baseline"/>
                <w:lang w:val="en-US" w:eastAsia="zh-CN"/>
              </w:rPr>
            </w:pPr>
            <w:r>
              <w:rPr>
                <w:rFonts w:hint="default" w:ascii="Times New Roman" w:hAnsi="Times New Roman" w:cs="Times New Roman"/>
                <w:bCs/>
                <w:color w:val="auto"/>
                <w:spacing w:val="0"/>
                <w:sz w:val="21"/>
                <w:szCs w:val="21"/>
                <w:highlight w:val="none"/>
                <w:vertAlign w:val="baseline"/>
                <w:lang w:val="en-US" w:eastAsia="zh-CN"/>
              </w:rPr>
              <w:t>37.60</w:t>
            </w:r>
          </w:p>
        </w:tc>
        <w:tc>
          <w:tcPr>
            <w:tcW w:w="222" w:type="pct"/>
            <w:tcBorders>
              <w:tl2br w:val="nil"/>
              <w:tr2bl w:val="nil"/>
            </w:tcBorders>
            <w:noWrap w:val="0"/>
            <w:vAlign w:val="center"/>
          </w:tcPr>
          <w:p w14:paraId="67A09B7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vertAlign w:val="baseline"/>
                <w:lang w:val="en-US" w:eastAsia="zh-CN"/>
              </w:rPr>
            </w:pPr>
            <w:r>
              <w:rPr>
                <w:rFonts w:hint="default" w:ascii="Times New Roman" w:hAnsi="Times New Roman" w:cs="Times New Roman"/>
                <w:bCs/>
                <w:color w:val="auto"/>
                <w:spacing w:val="0"/>
                <w:sz w:val="21"/>
                <w:szCs w:val="21"/>
                <w:highlight w:val="none"/>
                <w:vertAlign w:val="baseline"/>
                <w:lang w:val="en-US" w:eastAsia="zh-CN"/>
              </w:rPr>
              <w:t>38.55</w:t>
            </w:r>
          </w:p>
        </w:tc>
        <w:tc>
          <w:tcPr>
            <w:tcW w:w="233" w:type="pct"/>
            <w:tcBorders>
              <w:tl2br w:val="nil"/>
              <w:tr2bl w:val="nil"/>
            </w:tcBorders>
            <w:noWrap w:val="0"/>
            <w:vAlign w:val="center"/>
          </w:tcPr>
          <w:p w14:paraId="4E0FB2F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vertAlign w:val="baseline"/>
                <w:lang w:val="en-US" w:eastAsia="zh-CN"/>
              </w:rPr>
            </w:pPr>
            <w:r>
              <w:rPr>
                <w:rFonts w:hint="default" w:ascii="Times New Roman" w:hAnsi="Times New Roman" w:cs="Times New Roman"/>
                <w:bCs/>
                <w:color w:val="auto"/>
                <w:spacing w:val="0"/>
                <w:sz w:val="21"/>
                <w:szCs w:val="21"/>
                <w:highlight w:val="none"/>
                <w:vertAlign w:val="baseline"/>
                <w:lang w:val="en-US" w:eastAsia="zh-CN"/>
              </w:rPr>
              <w:t>36.86</w:t>
            </w:r>
          </w:p>
        </w:tc>
        <w:tc>
          <w:tcPr>
            <w:tcW w:w="141" w:type="pct"/>
            <w:tcBorders>
              <w:tl2br w:val="nil"/>
              <w:tr2bl w:val="nil"/>
            </w:tcBorders>
            <w:noWrap w:val="0"/>
            <w:vAlign w:val="center"/>
          </w:tcPr>
          <w:p w14:paraId="3E58AAC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cs="Times New Roman"/>
                <w:color w:val="auto"/>
                <w:spacing w:val="0"/>
                <w:sz w:val="21"/>
                <w:szCs w:val="21"/>
                <w:highlight w:val="none"/>
                <w:vertAlign w:val="baseline"/>
                <w:lang w:val="en-US" w:eastAsia="zh-CN"/>
              </w:rPr>
              <w:t>1</w:t>
            </w:r>
          </w:p>
        </w:tc>
      </w:tr>
      <w:tr w14:paraId="6E75D5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2" w:hRule="exact"/>
          <w:jc w:val="center"/>
        </w:trPr>
        <w:tc>
          <w:tcPr>
            <w:tcW w:w="4858" w:type="pct"/>
            <w:gridSpan w:val="23"/>
            <w:tcBorders>
              <w:tl2br w:val="nil"/>
              <w:tr2bl w:val="nil"/>
            </w:tcBorders>
            <w:noWrap w:val="0"/>
            <w:vAlign w:val="center"/>
          </w:tcPr>
          <w:p w14:paraId="76C27A4A">
            <w:pPr>
              <w:pStyle w:val="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以</w:t>
            </w:r>
            <w:r>
              <w:rPr>
                <w:rFonts w:hint="default" w:ascii="Times New Roman" w:hAnsi="Times New Roman" w:cs="Times New Roman"/>
                <w:color w:val="auto"/>
                <w:spacing w:val="0"/>
                <w:sz w:val="21"/>
                <w:szCs w:val="21"/>
                <w:highlight w:val="none"/>
                <w:vertAlign w:val="baseline"/>
                <w:lang w:val="en-US" w:eastAsia="zh-CN"/>
              </w:rPr>
              <w:t>锅炉房</w:t>
            </w:r>
            <w:r>
              <w:rPr>
                <w:rFonts w:hint="default" w:ascii="Times New Roman" w:hAnsi="Times New Roman" w:eastAsia="宋体" w:cs="Times New Roman"/>
                <w:color w:val="auto"/>
                <w:spacing w:val="0"/>
                <w:sz w:val="21"/>
                <w:szCs w:val="21"/>
                <w:highlight w:val="none"/>
                <w:vertAlign w:val="baseline"/>
                <w:lang w:val="en-US" w:eastAsia="zh-CN"/>
              </w:rPr>
              <w:t>中心位置为坐标</w:t>
            </w:r>
            <w:r>
              <w:rPr>
                <w:rFonts w:hint="default" w:ascii="Times New Roman" w:hAnsi="Times New Roman" w:cs="Times New Roman"/>
                <w:color w:val="auto"/>
                <w:spacing w:val="0"/>
                <w:sz w:val="21"/>
                <w:szCs w:val="21"/>
                <w:highlight w:val="none"/>
                <w:vertAlign w:val="baseline"/>
                <w:lang w:val="en-US" w:eastAsia="zh-CN"/>
              </w:rPr>
              <w:t>原点</w:t>
            </w:r>
            <w:r>
              <w:rPr>
                <w:rFonts w:hint="default" w:ascii="Times New Roman" w:hAnsi="Times New Roman" w:eastAsia="宋体" w:cs="Times New Roman"/>
                <w:color w:val="auto"/>
                <w:spacing w:val="0"/>
                <w:sz w:val="21"/>
                <w:szCs w:val="21"/>
                <w:highlight w:val="none"/>
                <w:vertAlign w:val="baseline"/>
                <w:lang w:val="en-US" w:eastAsia="zh-CN"/>
              </w:rPr>
              <w:t>131.013458°</w:t>
            </w:r>
            <w:r>
              <w:rPr>
                <w:rFonts w:hint="default" w:ascii="Times New Roman" w:hAnsi="Times New Roman" w:cs="Times New Roman"/>
                <w:color w:val="auto"/>
                <w:spacing w:val="0"/>
                <w:sz w:val="21"/>
                <w:szCs w:val="21"/>
                <w:highlight w:val="none"/>
                <w:vertAlign w:val="baseline"/>
                <w:lang w:val="en-US" w:eastAsia="zh-CN"/>
              </w:rPr>
              <w:t>，</w:t>
            </w:r>
            <w:r>
              <w:rPr>
                <w:rFonts w:hint="default" w:ascii="Times New Roman" w:hAnsi="Times New Roman" w:eastAsia="宋体" w:cs="Times New Roman"/>
                <w:color w:val="auto"/>
                <w:spacing w:val="0"/>
                <w:sz w:val="21"/>
                <w:szCs w:val="21"/>
                <w:highlight w:val="none"/>
                <w:vertAlign w:val="baseline"/>
                <w:lang w:val="en-US" w:eastAsia="zh-CN"/>
              </w:rPr>
              <w:t>45.347904°，东西向为X南北向为Y，高度为Z</w:t>
            </w:r>
            <w:r>
              <w:rPr>
                <w:rFonts w:hint="default" w:ascii="Times New Roman" w:hAnsi="Times New Roman" w:cs="Times New Roman"/>
                <w:color w:val="auto"/>
                <w:spacing w:val="0"/>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锅炉房门、窗、墙等围护结构的隔声量为30dB(A)；室内平均吸声系数为0.1468。</w:t>
            </w:r>
          </w:p>
        </w:tc>
        <w:tc>
          <w:tcPr>
            <w:tcW w:w="141" w:type="pct"/>
            <w:tcBorders>
              <w:tl2br w:val="nil"/>
              <w:tr2bl w:val="nil"/>
            </w:tcBorders>
            <w:noWrap w:val="0"/>
            <w:vAlign w:val="center"/>
          </w:tcPr>
          <w:p w14:paraId="45B75C7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val="en-US" w:eastAsia="zh-CN"/>
              </w:rPr>
            </w:pPr>
          </w:p>
        </w:tc>
      </w:tr>
    </w:tbl>
    <w:p w14:paraId="55038347">
      <w:pPr>
        <w:pStyle w:val="118"/>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表4-1</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 xml:space="preserve"> 工业企业噪声源强调查清单（室外）</w:t>
      </w:r>
    </w:p>
    <w:tbl>
      <w:tblPr>
        <w:tblStyle w:val="3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2"/>
        <w:gridCol w:w="1427"/>
        <w:gridCol w:w="1834"/>
        <w:gridCol w:w="1677"/>
        <w:gridCol w:w="1335"/>
        <w:gridCol w:w="1424"/>
        <w:gridCol w:w="1104"/>
        <w:gridCol w:w="3005"/>
        <w:gridCol w:w="773"/>
      </w:tblGrid>
      <w:tr w14:paraId="77BF40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24" w:type="pct"/>
            <w:vMerge w:val="restart"/>
            <w:tcBorders>
              <w:tl2br w:val="nil"/>
              <w:tr2bl w:val="nil"/>
            </w:tcBorders>
            <w:vAlign w:val="center"/>
          </w:tcPr>
          <w:p w14:paraId="024BB6D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r>
              <w:rPr>
                <w:rStyle w:val="136"/>
                <w:rFonts w:hint="default" w:ascii="Times New Roman" w:hAnsi="Times New Roman" w:eastAsia="宋体" w:cs="Times New Roman"/>
                <w:bCs w:val="0"/>
                <w:color w:val="auto"/>
                <w:spacing w:val="0"/>
                <w:sz w:val="21"/>
                <w:szCs w:val="21"/>
                <w:highlight w:val="none"/>
                <w:lang w:val="en-US" w:eastAsia="zh-CN" w:bidi="ar"/>
              </w:rPr>
              <w:t>序号</w:t>
            </w:r>
          </w:p>
        </w:tc>
        <w:tc>
          <w:tcPr>
            <w:tcW w:w="530" w:type="pct"/>
            <w:vMerge w:val="restart"/>
            <w:tcBorders>
              <w:tl2br w:val="nil"/>
              <w:tr2bl w:val="nil"/>
            </w:tcBorders>
            <w:vAlign w:val="center"/>
          </w:tcPr>
          <w:p w14:paraId="693DBF5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r>
              <w:rPr>
                <w:rStyle w:val="136"/>
                <w:rFonts w:hint="default" w:ascii="Times New Roman" w:hAnsi="Times New Roman" w:eastAsia="宋体" w:cs="Times New Roman"/>
                <w:bCs w:val="0"/>
                <w:color w:val="auto"/>
                <w:spacing w:val="0"/>
                <w:sz w:val="21"/>
                <w:szCs w:val="21"/>
                <w:highlight w:val="none"/>
                <w:lang w:val="en-US" w:eastAsia="zh-CN" w:bidi="ar"/>
              </w:rPr>
              <w:t>声源名称</w:t>
            </w:r>
          </w:p>
        </w:tc>
        <w:tc>
          <w:tcPr>
            <w:tcW w:w="681" w:type="pct"/>
            <w:vMerge w:val="restart"/>
            <w:tcBorders>
              <w:tl2br w:val="nil"/>
              <w:tr2bl w:val="nil"/>
            </w:tcBorders>
            <w:vAlign w:val="center"/>
          </w:tcPr>
          <w:p w14:paraId="0FF5164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r>
              <w:rPr>
                <w:rStyle w:val="136"/>
                <w:rFonts w:hint="default" w:ascii="Times New Roman" w:hAnsi="Times New Roman" w:eastAsia="宋体" w:cs="Times New Roman"/>
                <w:bCs w:val="0"/>
                <w:color w:val="auto"/>
                <w:spacing w:val="0"/>
                <w:sz w:val="21"/>
                <w:szCs w:val="21"/>
                <w:highlight w:val="none"/>
                <w:lang w:val="en-US" w:eastAsia="zh-CN" w:bidi="ar"/>
              </w:rPr>
              <w:t>数量</w:t>
            </w:r>
          </w:p>
        </w:tc>
        <w:tc>
          <w:tcPr>
            <w:tcW w:w="1648" w:type="pct"/>
            <w:gridSpan w:val="3"/>
            <w:tcBorders>
              <w:tl2br w:val="nil"/>
              <w:tr2bl w:val="nil"/>
            </w:tcBorders>
            <w:vAlign w:val="center"/>
          </w:tcPr>
          <w:p w14:paraId="29FA212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r>
              <w:rPr>
                <w:rStyle w:val="136"/>
                <w:rFonts w:hint="default" w:ascii="Times New Roman" w:hAnsi="Times New Roman" w:eastAsia="宋体" w:cs="Times New Roman"/>
                <w:bCs w:val="0"/>
                <w:color w:val="auto"/>
                <w:spacing w:val="0"/>
                <w:sz w:val="21"/>
                <w:szCs w:val="21"/>
                <w:highlight w:val="none"/>
                <w:lang w:val="en-US" w:eastAsia="zh-CN" w:bidi="ar"/>
              </w:rPr>
              <w:t>空间相对位置</w:t>
            </w:r>
          </w:p>
        </w:tc>
        <w:tc>
          <w:tcPr>
            <w:tcW w:w="410" w:type="pct"/>
            <w:vMerge w:val="restart"/>
            <w:tcBorders>
              <w:tl2br w:val="nil"/>
              <w:tr2bl w:val="nil"/>
            </w:tcBorders>
            <w:vAlign w:val="center"/>
          </w:tcPr>
          <w:p w14:paraId="2AB4511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r>
              <w:rPr>
                <w:rStyle w:val="136"/>
                <w:rFonts w:hint="default" w:ascii="Times New Roman" w:hAnsi="Times New Roman" w:eastAsia="宋体" w:cs="Times New Roman"/>
                <w:bCs w:val="0"/>
                <w:color w:val="auto"/>
                <w:spacing w:val="0"/>
                <w:sz w:val="21"/>
                <w:szCs w:val="21"/>
                <w:highlight w:val="none"/>
                <w:lang w:val="en-US" w:eastAsia="zh-CN" w:bidi="ar"/>
              </w:rPr>
              <w:t>声功率级dB(A)</w:t>
            </w:r>
          </w:p>
        </w:tc>
        <w:tc>
          <w:tcPr>
            <w:tcW w:w="1116" w:type="pct"/>
            <w:vMerge w:val="restart"/>
            <w:tcBorders>
              <w:tl2br w:val="nil"/>
              <w:tr2bl w:val="nil"/>
            </w:tcBorders>
            <w:vAlign w:val="center"/>
          </w:tcPr>
          <w:p w14:paraId="60A510B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r>
              <w:rPr>
                <w:rStyle w:val="136"/>
                <w:rFonts w:hint="default" w:ascii="Times New Roman" w:hAnsi="Times New Roman" w:eastAsia="宋体" w:cs="Times New Roman"/>
                <w:bCs w:val="0"/>
                <w:color w:val="auto"/>
                <w:spacing w:val="0"/>
                <w:sz w:val="21"/>
                <w:szCs w:val="21"/>
                <w:highlight w:val="none"/>
                <w:lang w:val="en-US" w:eastAsia="zh-CN" w:bidi="ar"/>
              </w:rPr>
              <w:t>声源运行措施</w:t>
            </w:r>
          </w:p>
        </w:tc>
        <w:tc>
          <w:tcPr>
            <w:tcW w:w="287" w:type="pct"/>
            <w:vMerge w:val="restart"/>
            <w:tcBorders>
              <w:tl2br w:val="nil"/>
              <w:tr2bl w:val="nil"/>
            </w:tcBorders>
            <w:vAlign w:val="center"/>
          </w:tcPr>
          <w:p w14:paraId="49CA066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r>
              <w:rPr>
                <w:rStyle w:val="136"/>
                <w:rFonts w:hint="default" w:ascii="Times New Roman" w:hAnsi="Times New Roman" w:eastAsia="宋体" w:cs="Times New Roman"/>
                <w:bCs w:val="0"/>
                <w:color w:val="auto"/>
                <w:spacing w:val="0"/>
                <w:sz w:val="21"/>
                <w:szCs w:val="21"/>
                <w:highlight w:val="none"/>
                <w:lang w:val="en-US" w:eastAsia="zh-CN" w:bidi="ar"/>
              </w:rPr>
              <w:t>运行时段</w:t>
            </w:r>
          </w:p>
        </w:tc>
      </w:tr>
      <w:tr w14:paraId="1AFD82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324" w:type="pct"/>
            <w:vMerge w:val="continue"/>
            <w:tcBorders>
              <w:tl2br w:val="nil"/>
              <w:tr2bl w:val="nil"/>
            </w:tcBorders>
            <w:vAlign w:val="center"/>
          </w:tcPr>
          <w:p w14:paraId="250A7CB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p>
        </w:tc>
        <w:tc>
          <w:tcPr>
            <w:tcW w:w="530" w:type="pct"/>
            <w:vMerge w:val="continue"/>
            <w:tcBorders>
              <w:tl2br w:val="nil"/>
              <w:tr2bl w:val="nil"/>
            </w:tcBorders>
            <w:vAlign w:val="center"/>
          </w:tcPr>
          <w:p w14:paraId="4DAD3CD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p>
        </w:tc>
        <w:tc>
          <w:tcPr>
            <w:tcW w:w="681" w:type="pct"/>
            <w:vMerge w:val="continue"/>
            <w:tcBorders>
              <w:tl2br w:val="nil"/>
              <w:tr2bl w:val="nil"/>
            </w:tcBorders>
            <w:vAlign w:val="center"/>
          </w:tcPr>
          <w:p w14:paraId="77D9366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p>
        </w:tc>
        <w:tc>
          <w:tcPr>
            <w:tcW w:w="623" w:type="pct"/>
            <w:tcBorders>
              <w:tl2br w:val="nil"/>
              <w:tr2bl w:val="nil"/>
            </w:tcBorders>
            <w:vAlign w:val="center"/>
          </w:tcPr>
          <w:p w14:paraId="5EDC6F7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r>
              <w:rPr>
                <w:rStyle w:val="136"/>
                <w:rFonts w:hint="default" w:ascii="Times New Roman" w:hAnsi="Times New Roman" w:eastAsia="宋体" w:cs="Times New Roman"/>
                <w:bCs w:val="0"/>
                <w:color w:val="auto"/>
                <w:spacing w:val="0"/>
                <w:sz w:val="21"/>
                <w:szCs w:val="21"/>
                <w:highlight w:val="none"/>
                <w:lang w:val="en-US" w:eastAsia="zh-CN" w:bidi="ar"/>
              </w:rPr>
              <w:t>X</w:t>
            </w:r>
          </w:p>
        </w:tc>
        <w:tc>
          <w:tcPr>
            <w:tcW w:w="496" w:type="pct"/>
            <w:tcBorders>
              <w:tl2br w:val="nil"/>
              <w:tr2bl w:val="nil"/>
            </w:tcBorders>
            <w:vAlign w:val="center"/>
          </w:tcPr>
          <w:p w14:paraId="4007960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r>
              <w:rPr>
                <w:rStyle w:val="136"/>
                <w:rFonts w:hint="default" w:ascii="Times New Roman" w:hAnsi="Times New Roman" w:eastAsia="宋体" w:cs="Times New Roman"/>
                <w:bCs w:val="0"/>
                <w:color w:val="auto"/>
                <w:spacing w:val="0"/>
                <w:sz w:val="21"/>
                <w:szCs w:val="21"/>
                <w:highlight w:val="none"/>
                <w:lang w:val="en-US" w:eastAsia="zh-CN" w:bidi="ar"/>
              </w:rPr>
              <w:t>Y</w:t>
            </w:r>
          </w:p>
        </w:tc>
        <w:tc>
          <w:tcPr>
            <w:tcW w:w="529" w:type="pct"/>
            <w:tcBorders>
              <w:tl2br w:val="nil"/>
              <w:tr2bl w:val="nil"/>
            </w:tcBorders>
            <w:vAlign w:val="center"/>
          </w:tcPr>
          <w:p w14:paraId="46477FA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r>
              <w:rPr>
                <w:rStyle w:val="136"/>
                <w:rFonts w:hint="default" w:ascii="Times New Roman" w:hAnsi="Times New Roman" w:eastAsia="宋体" w:cs="Times New Roman"/>
                <w:bCs w:val="0"/>
                <w:color w:val="auto"/>
                <w:spacing w:val="0"/>
                <w:sz w:val="21"/>
                <w:szCs w:val="21"/>
                <w:highlight w:val="none"/>
                <w:lang w:val="en-US" w:eastAsia="zh-CN" w:bidi="ar"/>
              </w:rPr>
              <w:t>Z</w:t>
            </w:r>
          </w:p>
        </w:tc>
        <w:tc>
          <w:tcPr>
            <w:tcW w:w="410" w:type="pct"/>
            <w:vMerge w:val="continue"/>
            <w:tcBorders>
              <w:tl2br w:val="nil"/>
              <w:tr2bl w:val="nil"/>
            </w:tcBorders>
            <w:vAlign w:val="center"/>
          </w:tcPr>
          <w:p w14:paraId="183BE2E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p>
        </w:tc>
        <w:tc>
          <w:tcPr>
            <w:tcW w:w="1116" w:type="pct"/>
            <w:vMerge w:val="continue"/>
            <w:tcBorders>
              <w:tl2br w:val="nil"/>
              <w:tr2bl w:val="nil"/>
            </w:tcBorders>
            <w:vAlign w:val="center"/>
          </w:tcPr>
          <w:p w14:paraId="0684C0C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p>
        </w:tc>
        <w:tc>
          <w:tcPr>
            <w:tcW w:w="287" w:type="pct"/>
            <w:vMerge w:val="continue"/>
            <w:tcBorders>
              <w:tl2br w:val="nil"/>
              <w:tr2bl w:val="nil"/>
            </w:tcBorders>
            <w:vAlign w:val="center"/>
          </w:tcPr>
          <w:p w14:paraId="04038BF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p>
        </w:tc>
      </w:tr>
      <w:tr w14:paraId="3622F0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324" w:type="pct"/>
            <w:tcBorders>
              <w:tl2br w:val="nil"/>
              <w:tr2bl w:val="nil"/>
            </w:tcBorders>
            <w:vAlign w:val="center"/>
          </w:tcPr>
          <w:p w14:paraId="3355245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r>
              <w:rPr>
                <w:rStyle w:val="136"/>
                <w:rFonts w:hint="default" w:ascii="Times New Roman" w:hAnsi="Times New Roman" w:eastAsia="宋体" w:cs="Times New Roman"/>
                <w:bCs w:val="0"/>
                <w:color w:val="auto"/>
                <w:spacing w:val="0"/>
                <w:sz w:val="21"/>
                <w:szCs w:val="21"/>
                <w:highlight w:val="none"/>
                <w:lang w:val="en-US" w:eastAsia="zh-CN" w:bidi="ar"/>
              </w:rPr>
              <w:t>1</w:t>
            </w:r>
          </w:p>
        </w:tc>
        <w:tc>
          <w:tcPr>
            <w:tcW w:w="530" w:type="pct"/>
            <w:tcBorders>
              <w:tl2br w:val="nil"/>
              <w:tr2bl w:val="nil"/>
            </w:tcBorders>
            <w:vAlign w:val="center"/>
          </w:tcPr>
          <w:p w14:paraId="472288F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r>
              <w:rPr>
                <w:rStyle w:val="136"/>
                <w:rFonts w:hint="default" w:ascii="Times New Roman" w:hAnsi="Times New Roman" w:eastAsia="宋体" w:cs="Times New Roman"/>
                <w:bCs w:val="0"/>
                <w:color w:val="auto"/>
                <w:spacing w:val="0"/>
                <w:sz w:val="21"/>
                <w:szCs w:val="21"/>
                <w:highlight w:val="none"/>
                <w:lang w:val="en-US" w:eastAsia="zh-CN" w:bidi="ar"/>
              </w:rPr>
              <w:t>运输车</w:t>
            </w:r>
          </w:p>
        </w:tc>
        <w:tc>
          <w:tcPr>
            <w:tcW w:w="681" w:type="pct"/>
            <w:tcBorders>
              <w:tl2br w:val="nil"/>
              <w:tr2bl w:val="nil"/>
            </w:tcBorders>
            <w:vAlign w:val="center"/>
          </w:tcPr>
          <w:p w14:paraId="7E72C9E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r>
              <w:rPr>
                <w:rStyle w:val="136"/>
                <w:rFonts w:hint="default" w:ascii="Times New Roman" w:hAnsi="Times New Roman" w:eastAsia="宋体" w:cs="Times New Roman"/>
                <w:bCs w:val="0"/>
                <w:color w:val="auto"/>
                <w:spacing w:val="0"/>
                <w:sz w:val="21"/>
                <w:szCs w:val="21"/>
                <w:highlight w:val="none"/>
                <w:lang w:val="en-US" w:eastAsia="zh-CN" w:bidi="ar"/>
              </w:rPr>
              <w:t>1</w:t>
            </w:r>
          </w:p>
        </w:tc>
        <w:tc>
          <w:tcPr>
            <w:tcW w:w="1677" w:type="dxa"/>
            <w:tcBorders>
              <w:tl2br w:val="nil"/>
              <w:tr2bl w:val="nil"/>
            </w:tcBorders>
            <w:vAlign w:val="center"/>
          </w:tcPr>
          <w:p w14:paraId="57829B3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r>
              <w:rPr>
                <w:rStyle w:val="136"/>
                <w:rFonts w:hint="default" w:ascii="Times New Roman" w:hAnsi="Times New Roman" w:eastAsia="宋体" w:cs="Times New Roman"/>
                <w:bCs w:val="0"/>
                <w:color w:val="auto"/>
                <w:spacing w:val="0"/>
                <w:sz w:val="21"/>
                <w:szCs w:val="21"/>
                <w:highlight w:val="none"/>
                <w:lang w:val="en-US" w:eastAsia="zh-CN" w:bidi="ar"/>
              </w:rPr>
              <w:t>-8.8</w:t>
            </w:r>
          </w:p>
        </w:tc>
        <w:tc>
          <w:tcPr>
            <w:tcW w:w="1335" w:type="dxa"/>
            <w:tcBorders>
              <w:tl2br w:val="nil"/>
              <w:tr2bl w:val="nil"/>
            </w:tcBorders>
            <w:vAlign w:val="center"/>
          </w:tcPr>
          <w:p w14:paraId="108CA28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r>
              <w:rPr>
                <w:rStyle w:val="136"/>
                <w:rFonts w:hint="default" w:ascii="Times New Roman" w:hAnsi="Times New Roman" w:eastAsia="宋体" w:cs="Times New Roman"/>
                <w:bCs w:val="0"/>
                <w:color w:val="auto"/>
                <w:spacing w:val="0"/>
                <w:sz w:val="21"/>
                <w:szCs w:val="21"/>
                <w:highlight w:val="none"/>
                <w:lang w:val="en-US" w:eastAsia="zh-CN" w:bidi="ar"/>
              </w:rPr>
              <w:t>4.6</w:t>
            </w:r>
          </w:p>
        </w:tc>
        <w:tc>
          <w:tcPr>
            <w:tcW w:w="1424" w:type="dxa"/>
            <w:tcBorders>
              <w:tl2br w:val="nil"/>
              <w:tr2bl w:val="nil"/>
            </w:tcBorders>
            <w:vAlign w:val="center"/>
          </w:tcPr>
          <w:p w14:paraId="536486A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r>
              <w:rPr>
                <w:rStyle w:val="136"/>
                <w:rFonts w:hint="default" w:ascii="Times New Roman" w:hAnsi="Times New Roman" w:eastAsia="宋体" w:cs="Times New Roman"/>
                <w:bCs w:val="0"/>
                <w:color w:val="auto"/>
                <w:spacing w:val="0"/>
                <w:sz w:val="21"/>
                <w:szCs w:val="21"/>
                <w:highlight w:val="none"/>
                <w:lang w:val="en-US" w:eastAsia="zh-CN" w:bidi="ar"/>
              </w:rPr>
              <w:t>1.5</w:t>
            </w:r>
          </w:p>
        </w:tc>
        <w:tc>
          <w:tcPr>
            <w:tcW w:w="410" w:type="pct"/>
            <w:tcBorders>
              <w:tl2br w:val="nil"/>
              <w:tr2bl w:val="nil"/>
            </w:tcBorders>
            <w:vAlign w:val="center"/>
          </w:tcPr>
          <w:p w14:paraId="2A9BA3F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r>
              <w:rPr>
                <w:rStyle w:val="136"/>
                <w:rFonts w:hint="default" w:ascii="Times New Roman" w:hAnsi="Times New Roman" w:eastAsia="宋体" w:cs="Times New Roman"/>
                <w:bCs w:val="0"/>
                <w:color w:val="auto"/>
                <w:spacing w:val="0"/>
                <w:sz w:val="21"/>
                <w:szCs w:val="21"/>
                <w:highlight w:val="none"/>
                <w:lang w:val="en-US" w:eastAsia="zh-CN" w:bidi="ar"/>
              </w:rPr>
              <w:t>80</w:t>
            </w:r>
          </w:p>
        </w:tc>
        <w:tc>
          <w:tcPr>
            <w:tcW w:w="1116" w:type="pct"/>
            <w:tcBorders>
              <w:tl2br w:val="nil"/>
              <w:tr2bl w:val="nil"/>
            </w:tcBorders>
            <w:vAlign w:val="center"/>
          </w:tcPr>
          <w:p w14:paraId="4C6C807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r>
              <w:rPr>
                <w:rStyle w:val="136"/>
                <w:rFonts w:hint="default" w:ascii="Times New Roman" w:hAnsi="Times New Roman" w:eastAsia="宋体" w:cs="Times New Roman"/>
                <w:bCs w:val="0"/>
                <w:color w:val="auto"/>
                <w:spacing w:val="0"/>
                <w:sz w:val="21"/>
                <w:szCs w:val="21"/>
                <w:highlight w:val="none"/>
                <w:lang w:val="en-US" w:eastAsia="zh-CN" w:bidi="ar"/>
              </w:rPr>
              <w:t>厂区内车辆禁止鸣笛，限速行驶</w:t>
            </w:r>
          </w:p>
        </w:tc>
        <w:tc>
          <w:tcPr>
            <w:tcW w:w="287" w:type="pct"/>
            <w:tcBorders>
              <w:tl2br w:val="nil"/>
              <w:tr2bl w:val="nil"/>
            </w:tcBorders>
            <w:vAlign w:val="center"/>
          </w:tcPr>
          <w:p w14:paraId="1426C7D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6"/>
                <w:rFonts w:hint="default" w:ascii="Times New Roman" w:hAnsi="Times New Roman" w:eastAsia="宋体" w:cs="Times New Roman"/>
                <w:bCs w:val="0"/>
                <w:color w:val="auto"/>
                <w:spacing w:val="0"/>
                <w:sz w:val="21"/>
                <w:szCs w:val="21"/>
                <w:highlight w:val="none"/>
                <w:lang w:val="en-US" w:eastAsia="zh-CN" w:bidi="ar"/>
              </w:rPr>
            </w:pPr>
            <w:r>
              <w:rPr>
                <w:rStyle w:val="136"/>
                <w:rFonts w:hint="default" w:ascii="Times New Roman" w:hAnsi="Times New Roman" w:cs="Times New Roman"/>
                <w:bCs w:val="0"/>
                <w:color w:val="auto"/>
                <w:spacing w:val="0"/>
                <w:sz w:val="21"/>
                <w:szCs w:val="21"/>
                <w:highlight w:val="none"/>
                <w:lang w:val="en-US" w:eastAsia="zh-CN" w:bidi="ar"/>
              </w:rPr>
              <w:t>0.5</w:t>
            </w:r>
            <w:r>
              <w:rPr>
                <w:rStyle w:val="136"/>
                <w:rFonts w:hint="default" w:ascii="Times New Roman" w:hAnsi="Times New Roman" w:eastAsia="宋体" w:cs="Times New Roman"/>
                <w:bCs w:val="0"/>
                <w:color w:val="auto"/>
                <w:spacing w:val="0"/>
                <w:sz w:val="21"/>
                <w:szCs w:val="21"/>
                <w:highlight w:val="none"/>
                <w:lang w:val="en-US" w:eastAsia="zh-CN" w:bidi="ar"/>
              </w:rPr>
              <w:t>h/d</w:t>
            </w:r>
          </w:p>
        </w:tc>
      </w:tr>
    </w:tbl>
    <w:p w14:paraId="70645830">
      <w:pPr>
        <w:pStyle w:val="46"/>
        <w:rPr>
          <w:rFonts w:hint="default" w:ascii="Times New Roman" w:hAnsi="Times New Roman" w:cs="Times New Roman"/>
          <w:color w:val="auto"/>
          <w:highlight w:val="none"/>
          <w:u w:val="single"/>
          <w:lang w:eastAsia="zh-CN"/>
        </w:rPr>
        <w:sectPr>
          <w:pgSz w:w="16840" w:h="11907" w:orient="landscape"/>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1"/>
        <w:gridCol w:w="8296"/>
      </w:tblGrid>
      <w:tr w14:paraId="41761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27" w:type="dxa"/>
            <w:noWrap w:val="0"/>
            <w:vAlign w:val="top"/>
          </w:tcPr>
          <w:p w14:paraId="1C9E79DB">
            <w:pPr>
              <w:pStyle w:val="11"/>
              <w:rPr>
                <w:rFonts w:hint="default" w:ascii="Times New Roman" w:hAnsi="Times New Roman" w:eastAsia="宋体" w:cs="Times New Roman"/>
                <w:color w:val="auto"/>
                <w:spacing w:val="0"/>
                <w:highlight w:val="none"/>
                <w:vertAlign w:val="baseline"/>
              </w:rPr>
            </w:pPr>
          </w:p>
        </w:tc>
        <w:tc>
          <w:tcPr>
            <w:tcW w:w="8090" w:type="dxa"/>
            <w:noWrap w:val="0"/>
            <w:vAlign w:val="top"/>
          </w:tcPr>
          <w:p w14:paraId="10068E09">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eastAsia="宋体" w:cs="Times New Roman"/>
                <w:b/>
                <w:bCs w:val="0"/>
                <w:color w:val="auto"/>
                <w:spacing w:val="0"/>
                <w:sz w:val="24"/>
                <w:szCs w:val="24"/>
                <w:highlight w:val="none"/>
              </w:rPr>
            </w:pPr>
            <w:r>
              <w:rPr>
                <w:rFonts w:hint="default" w:ascii="Times New Roman" w:hAnsi="Times New Roman" w:eastAsia="宋体" w:cs="Times New Roman"/>
                <w:b/>
                <w:bCs w:val="0"/>
                <w:color w:val="auto"/>
                <w:spacing w:val="0"/>
                <w:sz w:val="24"/>
                <w:szCs w:val="24"/>
                <w:highlight w:val="none"/>
              </w:rPr>
              <w:t>3.3 噪声预测结果</w:t>
            </w:r>
          </w:p>
          <w:p w14:paraId="7649AB0C">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pacing w:val="0"/>
                <w:sz w:val="24"/>
                <w:szCs w:val="24"/>
                <w:highlight w:val="none"/>
                <w:lang w:eastAsia="zh-CN"/>
              </w:rPr>
            </w:pPr>
            <w:r>
              <w:rPr>
                <w:rFonts w:hint="default" w:ascii="Times New Roman" w:hAnsi="Times New Roman" w:eastAsia="宋体" w:cs="Times New Roman"/>
                <w:color w:val="auto"/>
                <w:spacing w:val="0"/>
                <w:sz w:val="24"/>
                <w:szCs w:val="24"/>
                <w:highlight w:val="none"/>
              </w:rPr>
              <w:t>本项目所在区域周边50m范围内</w:t>
            </w:r>
            <w:r>
              <w:rPr>
                <w:rFonts w:hint="default" w:ascii="Times New Roman" w:hAnsi="Times New Roman" w:cs="Times New Roman"/>
                <w:color w:val="auto"/>
                <w:spacing w:val="0"/>
                <w:sz w:val="24"/>
                <w:szCs w:val="24"/>
                <w:highlight w:val="none"/>
                <w:lang w:val="en-US" w:eastAsia="zh-CN"/>
              </w:rPr>
              <w:t>有</w:t>
            </w:r>
            <w:r>
              <w:rPr>
                <w:rFonts w:hint="default" w:ascii="Times New Roman" w:hAnsi="Times New Roman" w:eastAsia="宋体" w:cs="Times New Roman"/>
                <w:color w:val="auto"/>
                <w:spacing w:val="0"/>
                <w:sz w:val="24"/>
                <w:szCs w:val="24"/>
                <w:highlight w:val="none"/>
              </w:rPr>
              <w:t>声环境敏感目标，本次评价至项目</w:t>
            </w:r>
            <w:r>
              <w:rPr>
                <w:rFonts w:hint="default" w:ascii="Times New Roman" w:hAnsi="Times New Roman" w:cs="Times New Roman"/>
                <w:color w:val="auto"/>
                <w:spacing w:val="0"/>
                <w:sz w:val="24"/>
                <w:szCs w:val="24"/>
                <w:highlight w:val="none"/>
                <w:lang w:val="en-US" w:eastAsia="zh-CN"/>
              </w:rPr>
              <w:t>厂界</w:t>
            </w:r>
            <w:r>
              <w:rPr>
                <w:rFonts w:hint="default" w:ascii="Times New Roman" w:hAnsi="Times New Roman" w:eastAsia="宋体" w:cs="Times New Roman"/>
                <w:color w:val="auto"/>
                <w:spacing w:val="0"/>
                <w:sz w:val="24"/>
                <w:szCs w:val="24"/>
                <w:highlight w:val="none"/>
              </w:rPr>
              <w:t>外1m，进行厂界达标论证。采用上述预测方法，</w:t>
            </w:r>
            <w:r>
              <w:rPr>
                <w:rFonts w:hint="default" w:ascii="Times New Roman" w:hAnsi="Times New Roman" w:cs="Times New Roman"/>
                <w:color w:val="auto"/>
                <w:spacing w:val="0"/>
                <w:sz w:val="24"/>
                <w:szCs w:val="24"/>
                <w:highlight w:val="none"/>
                <w:lang w:val="en-US" w:eastAsia="zh-CN"/>
              </w:rPr>
              <w:t>本</w:t>
            </w:r>
            <w:r>
              <w:rPr>
                <w:rFonts w:hint="default" w:ascii="Times New Roman" w:hAnsi="Times New Roman" w:eastAsia="宋体" w:cs="Times New Roman"/>
                <w:color w:val="auto"/>
                <w:spacing w:val="0"/>
                <w:sz w:val="24"/>
                <w:szCs w:val="24"/>
                <w:highlight w:val="none"/>
              </w:rPr>
              <w:t>项目主要噪声源对厂界噪声贡献值预测计算结果汇总见下表</w:t>
            </w:r>
            <w:r>
              <w:rPr>
                <w:rFonts w:hint="default" w:ascii="Times New Roman" w:hAnsi="Times New Roman" w:cs="Times New Roman"/>
                <w:color w:val="auto"/>
                <w:spacing w:val="0"/>
                <w:sz w:val="24"/>
                <w:szCs w:val="24"/>
                <w:highlight w:val="none"/>
                <w:lang w:eastAsia="zh-CN"/>
              </w:rPr>
              <w:t>。</w:t>
            </w:r>
          </w:p>
          <w:p w14:paraId="10DA1EB9">
            <w:pPr>
              <w:pStyle w:val="118"/>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表4-15 噪声预测结果表  单位：dB（A）</w:t>
            </w:r>
          </w:p>
          <w:tbl>
            <w:tblPr>
              <w:tblStyle w:val="35"/>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85" w:type="dxa"/>
                <w:bottom w:w="0" w:type="dxa"/>
                <w:right w:w="85" w:type="dxa"/>
              </w:tblCellMar>
            </w:tblPr>
            <w:tblGrid>
              <w:gridCol w:w="328"/>
              <w:gridCol w:w="328"/>
              <w:gridCol w:w="525"/>
              <w:gridCol w:w="525"/>
              <w:gridCol w:w="367"/>
              <w:gridCol w:w="328"/>
              <w:gridCol w:w="328"/>
              <w:gridCol w:w="525"/>
              <w:gridCol w:w="525"/>
              <w:gridCol w:w="525"/>
              <w:gridCol w:w="525"/>
              <w:gridCol w:w="525"/>
              <w:gridCol w:w="525"/>
              <w:gridCol w:w="525"/>
              <w:gridCol w:w="525"/>
              <w:gridCol w:w="1151"/>
            </w:tblGrid>
            <w:tr w14:paraId="04C484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56" w:hRule="atLeast"/>
                <w:tblHeader/>
                <w:jc w:val="center"/>
              </w:trPr>
              <w:tc>
                <w:tcPr>
                  <w:tcW w:w="202" w:type="pct"/>
                  <w:vMerge w:val="restart"/>
                  <w:tcBorders>
                    <w:tl2br w:val="nil"/>
                    <w:tr2bl w:val="nil"/>
                  </w:tcBorders>
                  <w:vAlign w:val="center"/>
                </w:tcPr>
                <w:p w14:paraId="5E010BB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编号</w:t>
                  </w:r>
                </w:p>
              </w:tc>
              <w:tc>
                <w:tcPr>
                  <w:tcW w:w="202" w:type="pct"/>
                  <w:vMerge w:val="restart"/>
                  <w:tcBorders>
                    <w:tl2br w:val="nil"/>
                    <w:tr2bl w:val="nil"/>
                  </w:tcBorders>
                  <w:vAlign w:val="center"/>
                </w:tcPr>
                <w:p w14:paraId="69BA5B9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预测点名称</w:t>
                  </w:r>
                </w:p>
              </w:tc>
              <w:tc>
                <w:tcPr>
                  <w:tcW w:w="922" w:type="pct"/>
                  <w:gridSpan w:val="3"/>
                  <w:tcBorders>
                    <w:tl2br w:val="nil"/>
                    <w:tr2bl w:val="nil"/>
                  </w:tcBorders>
                  <w:vAlign w:val="center"/>
                </w:tcPr>
                <w:p w14:paraId="725C02D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位置</w:t>
                  </w:r>
                </w:p>
              </w:tc>
              <w:tc>
                <w:tcPr>
                  <w:tcW w:w="506" w:type="pct"/>
                  <w:gridSpan w:val="2"/>
                  <w:tcBorders>
                    <w:tl2br w:val="nil"/>
                    <w:tr2bl w:val="nil"/>
                  </w:tcBorders>
                  <w:vAlign w:val="center"/>
                </w:tcPr>
                <w:p w14:paraId="44BE395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背景值</w:t>
                  </w:r>
                </w:p>
              </w:tc>
              <w:tc>
                <w:tcPr>
                  <w:tcW w:w="658" w:type="pct"/>
                  <w:gridSpan w:val="2"/>
                  <w:tcBorders>
                    <w:tl2br w:val="nil"/>
                    <w:tr2bl w:val="nil"/>
                  </w:tcBorders>
                  <w:vAlign w:val="center"/>
                </w:tcPr>
                <w:p w14:paraId="30F2482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现有工程贡献值</w:t>
                  </w:r>
                </w:p>
              </w:tc>
              <w:tc>
                <w:tcPr>
                  <w:tcW w:w="675" w:type="pct"/>
                  <w:gridSpan w:val="2"/>
                  <w:tcBorders>
                    <w:tl2br w:val="nil"/>
                    <w:tr2bl w:val="nil"/>
                  </w:tcBorders>
                  <w:vAlign w:val="center"/>
                </w:tcPr>
                <w:p w14:paraId="2D3BFCC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拟建项目</w:t>
                  </w:r>
                  <w:r>
                    <w:rPr>
                      <w:rFonts w:hint="default" w:ascii="Times New Roman" w:hAnsi="Times New Roman" w:eastAsia="宋体" w:cs="Times New Roman"/>
                      <w:color w:val="auto"/>
                      <w:spacing w:val="0"/>
                      <w:sz w:val="21"/>
                      <w:szCs w:val="21"/>
                      <w:highlight w:val="none"/>
                      <w:vertAlign w:val="baseline"/>
                      <w:lang w:val="en-US" w:eastAsia="zh-CN"/>
                    </w:rPr>
                    <w:t>贡献值</w:t>
                  </w:r>
                </w:p>
              </w:tc>
              <w:tc>
                <w:tcPr>
                  <w:tcW w:w="683" w:type="pct"/>
                  <w:gridSpan w:val="2"/>
                  <w:tcBorders>
                    <w:tl2br w:val="nil"/>
                    <w:tr2bl w:val="nil"/>
                  </w:tcBorders>
                  <w:vAlign w:val="center"/>
                </w:tcPr>
                <w:p w14:paraId="6B3B6F7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预测值</w:t>
                  </w:r>
                </w:p>
              </w:tc>
              <w:tc>
                <w:tcPr>
                  <w:tcW w:w="671" w:type="pct"/>
                  <w:gridSpan w:val="2"/>
                  <w:tcBorders>
                    <w:tl2br w:val="nil"/>
                    <w:tr2bl w:val="nil"/>
                  </w:tcBorders>
                  <w:vAlign w:val="center"/>
                </w:tcPr>
                <w:p w14:paraId="58815E4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合计贡献值</w:t>
                  </w:r>
                </w:p>
              </w:tc>
              <w:tc>
                <w:tcPr>
                  <w:tcW w:w="477" w:type="pct"/>
                  <w:vMerge w:val="restart"/>
                  <w:tcBorders>
                    <w:tl2br w:val="nil"/>
                    <w:tr2bl w:val="nil"/>
                  </w:tcBorders>
                  <w:vAlign w:val="center"/>
                </w:tcPr>
                <w:p w14:paraId="2D812EC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执行标准</w:t>
                  </w:r>
                </w:p>
              </w:tc>
            </w:tr>
            <w:tr w14:paraId="349899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299" w:hRule="atLeast"/>
                <w:tblHeader/>
                <w:jc w:val="center"/>
              </w:trPr>
              <w:tc>
                <w:tcPr>
                  <w:tcW w:w="202" w:type="pct"/>
                  <w:vMerge w:val="continue"/>
                  <w:tcBorders>
                    <w:tl2br w:val="nil"/>
                    <w:tr2bl w:val="nil"/>
                  </w:tcBorders>
                  <w:vAlign w:val="center"/>
                </w:tcPr>
                <w:p w14:paraId="1EB746E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p>
              </w:tc>
              <w:tc>
                <w:tcPr>
                  <w:tcW w:w="202" w:type="pct"/>
                  <w:vMerge w:val="continue"/>
                  <w:tcBorders>
                    <w:tl2br w:val="nil"/>
                    <w:tr2bl w:val="nil"/>
                  </w:tcBorders>
                  <w:vAlign w:val="center"/>
                </w:tcPr>
                <w:p w14:paraId="403EB14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p>
              </w:tc>
              <w:tc>
                <w:tcPr>
                  <w:tcW w:w="324" w:type="pct"/>
                  <w:tcBorders>
                    <w:tl2br w:val="nil"/>
                    <w:tr2bl w:val="nil"/>
                  </w:tcBorders>
                  <w:vAlign w:val="center"/>
                </w:tcPr>
                <w:p w14:paraId="13FF378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X</w:t>
                  </w:r>
                </w:p>
              </w:tc>
              <w:tc>
                <w:tcPr>
                  <w:tcW w:w="324" w:type="pct"/>
                  <w:tcBorders>
                    <w:tl2br w:val="nil"/>
                    <w:tr2bl w:val="nil"/>
                  </w:tcBorders>
                  <w:vAlign w:val="center"/>
                </w:tcPr>
                <w:p w14:paraId="623605D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Y</w:t>
                  </w:r>
                </w:p>
              </w:tc>
              <w:tc>
                <w:tcPr>
                  <w:tcW w:w="273" w:type="pct"/>
                  <w:tcBorders>
                    <w:tl2br w:val="nil"/>
                    <w:tr2bl w:val="nil"/>
                  </w:tcBorders>
                  <w:shd w:val="clear" w:color="auto" w:fill="auto"/>
                  <w:vAlign w:val="center"/>
                </w:tcPr>
                <w:p w14:paraId="46F9DCA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Z</w:t>
                  </w:r>
                </w:p>
              </w:tc>
              <w:tc>
                <w:tcPr>
                  <w:tcW w:w="236" w:type="pct"/>
                  <w:tcBorders>
                    <w:tl2br w:val="nil"/>
                    <w:tr2bl w:val="nil"/>
                  </w:tcBorders>
                  <w:shd w:val="clear" w:color="auto" w:fill="auto"/>
                  <w:vAlign w:val="center"/>
                </w:tcPr>
                <w:p w14:paraId="012029B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昼间</w:t>
                  </w:r>
                </w:p>
              </w:tc>
              <w:tc>
                <w:tcPr>
                  <w:tcW w:w="270" w:type="pct"/>
                  <w:tcBorders>
                    <w:tl2br w:val="nil"/>
                    <w:tr2bl w:val="nil"/>
                  </w:tcBorders>
                  <w:shd w:val="clear" w:color="auto" w:fill="auto"/>
                  <w:vAlign w:val="center"/>
                </w:tcPr>
                <w:p w14:paraId="4F21CD8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夜间</w:t>
                  </w:r>
                </w:p>
              </w:tc>
              <w:tc>
                <w:tcPr>
                  <w:tcW w:w="320" w:type="pct"/>
                  <w:tcBorders>
                    <w:tl2br w:val="nil"/>
                    <w:tr2bl w:val="nil"/>
                  </w:tcBorders>
                  <w:shd w:val="clear" w:color="auto" w:fill="auto"/>
                  <w:vAlign w:val="center"/>
                </w:tcPr>
                <w:p w14:paraId="5741B45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kern w:val="2"/>
                      <w:sz w:val="21"/>
                      <w:szCs w:val="21"/>
                      <w:highlight w:val="none"/>
                      <w:vertAlign w:val="baseline"/>
                      <w:lang w:val="en-US" w:eastAsia="zh-CN" w:bidi="ar-SA"/>
                    </w:rPr>
                  </w:pPr>
                  <w:r>
                    <w:rPr>
                      <w:rFonts w:hint="default" w:ascii="Times New Roman" w:hAnsi="Times New Roman" w:eastAsia="宋体" w:cs="Times New Roman"/>
                      <w:color w:val="auto"/>
                      <w:spacing w:val="0"/>
                      <w:sz w:val="21"/>
                      <w:szCs w:val="21"/>
                      <w:highlight w:val="none"/>
                      <w:vertAlign w:val="baseline"/>
                      <w:lang w:val="en-US" w:eastAsia="zh-CN"/>
                    </w:rPr>
                    <w:t>昼间</w:t>
                  </w:r>
                </w:p>
              </w:tc>
              <w:tc>
                <w:tcPr>
                  <w:tcW w:w="337" w:type="pct"/>
                  <w:tcBorders>
                    <w:tl2br w:val="nil"/>
                    <w:tr2bl w:val="nil"/>
                  </w:tcBorders>
                  <w:shd w:val="clear" w:color="auto" w:fill="auto"/>
                  <w:vAlign w:val="center"/>
                </w:tcPr>
                <w:p w14:paraId="7D6290C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kern w:val="2"/>
                      <w:sz w:val="21"/>
                      <w:szCs w:val="21"/>
                      <w:highlight w:val="none"/>
                      <w:vertAlign w:val="baseline"/>
                      <w:lang w:val="en-US" w:eastAsia="zh-CN" w:bidi="ar-SA"/>
                    </w:rPr>
                  </w:pPr>
                  <w:r>
                    <w:rPr>
                      <w:rFonts w:hint="default" w:ascii="Times New Roman" w:hAnsi="Times New Roman" w:eastAsia="宋体" w:cs="Times New Roman"/>
                      <w:color w:val="auto"/>
                      <w:spacing w:val="0"/>
                      <w:sz w:val="21"/>
                      <w:szCs w:val="21"/>
                      <w:highlight w:val="none"/>
                      <w:vertAlign w:val="baseline"/>
                      <w:lang w:val="en-US" w:eastAsia="zh-CN"/>
                    </w:rPr>
                    <w:t>夜间</w:t>
                  </w:r>
                </w:p>
              </w:tc>
              <w:tc>
                <w:tcPr>
                  <w:tcW w:w="329" w:type="pct"/>
                  <w:tcBorders>
                    <w:tl2br w:val="nil"/>
                    <w:tr2bl w:val="nil"/>
                  </w:tcBorders>
                  <w:vAlign w:val="center"/>
                </w:tcPr>
                <w:p w14:paraId="49B878A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昼间</w:t>
                  </w:r>
                </w:p>
              </w:tc>
              <w:tc>
                <w:tcPr>
                  <w:tcW w:w="346" w:type="pct"/>
                  <w:tcBorders>
                    <w:top w:val="single" w:color="auto" w:sz="4" w:space="0"/>
                    <w:tl2br w:val="nil"/>
                    <w:tr2bl w:val="nil"/>
                  </w:tcBorders>
                  <w:vAlign w:val="center"/>
                </w:tcPr>
                <w:p w14:paraId="7FA8358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夜间</w:t>
                  </w:r>
                </w:p>
              </w:tc>
              <w:tc>
                <w:tcPr>
                  <w:tcW w:w="345" w:type="pct"/>
                  <w:tcBorders>
                    <w:top w:val="single" w:color="auto" w:sz="4" w:space="0"/>
                    <w:right w:val="single" w:color="auto" w:sz="4" w:space="0"/>
                    <w:tl2br w:val="nil"/>
                    <w:tr2bl w:val="nil"/>
                  </w:tcBorders>
                  <w:shd w:val="clear" w:color="auto" w:fill="auto"/>
                  <w:vAlign w:val="center"/>
                </w:tcPr>
                <w:p w14:paraId="6FBF4D4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昼间</w:t>
                  </w:r>
                </w:p>
              </w:tc>
              <w:tc>
                <w:tcPr>
                  <w:tcW w:w="337" w:type="pct"/>
                  <w:tcBorders>
                    <w:top w:val="single" w:color="auto" w:sz="4" w:space="0"/>
                    <w:left w:val="single" w:color="auto" w:sz="4" w:space="0"/>
                    <w:tl2br w:val="nil"/>
                    <w:tr2bl w:val="nil"/>
                  </w:tcBorders>
                  <w:shd w:val="clear" w:color="auto" w:fill="auto"/>
                  <w:vAlign w:val="center"/>
                </w:tcPr>
                <w:p w14:paraId="1D2D01F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夜间</w:t>
                  </w:r>
                </w:p>
              </w:tc>
              <w:tc>
                <w:tcPr>
                  <w:tcW w:w="363" w:type="pct"/>
                  <w:tcBorders>
                    <w:tl2br w:val="nil"/>
                    <w:tr2bl w:val="nil"/>
                  </w:tcBorders>
                  <w:shd w:val="clear" w:color="auto" w:fill="auto"/>
                  <w:vAlign w:val="center"/>
                </w:tcPr>
                <w:p w14:paraId="392CFE1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kern w:val="2"/>
                      <w:sz w:val="21"/>
                      <w:szCs w:val="21"/>
                      <w:highlight w:val="none"/>
                      <w:vertAlign w:val="baseline"/>
                      <w:lang w:val="en-US" w:eastAsia="zh-CN" w:bidi="ar-SA"/>
                    </w:rPr>
                  </w:pPr>
                  <w:r>
                    <w:rPr>
                      <w:rFonts w:hint="default" w:ascii="Times New Roman" w:hAnsi="Times New Roman" w:eastAsia="宋体" w:cs="Times New Roman"/>
                      <w:color w:val="auto"/>
                      <w:spacing w:val="0"/>
                      <w:sz w:val="21"/>
                      <w:szCs w:val="21"/>
                      <w:highlight w:val="none"/>
                      <w:vertAlign w:val="baseline"/>
                      <w:lang w:val="en-US" w:eastAsia="zh-CN"/>
                    </w:rPr>
                    <w:t>昼间</w:t>
                  </w:r>
                </w:p>
              </w:tc>
              <w:tc>
                <w:tcPr>
                  <w:tcW w:w="308" w:type="pct"/>
                  <w:tcBorders>
                    <w:tl2br w:val="nil"/>
                    <w:tr2bl w:val="nil"/>
                  </w:tcBorders>
                  <w:shd w:val="clear" w:color="auto" w:fill="auto"/>
                  <w:vAlign w:val="center"/>
                </w:tcPr>
                <w:p w14:paraId="5522A2E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kern w:val="2"/>
                      <w:sz w:val="21"/>
                      <w:szCs w:val="21"/>
                      <w:highlight w:val="none"/>
                      <w:vertAlign w:val="baseline"/>
                      <w:lang w:val="en-US" w:eastAsia="zh-CN" w:bidi="ar-SA"/>
                    </w:rPr>
                  </w:pPr>
                  <w:r>
                    <w:rPr>
                      <w:rFonts w:hint="default" w:ascii="Times New Roman" w:hAnsi="Times New Roman" w:eastAsia="宋体" w:cs="Times New Roman"/>
                      <w:color w:val="auto"/>
                      <w:spacing w:val="0"/>
                      <w:sz w:val="21"/>
                      <w:szCs w:val="21"/>
                      <w:highlight w:val="none"/>
                      <w:vertAlign w:val="baseline"/>
                      <w:lang w:val="en-US" w:eastAsia="zh-CN"/>
                    </w:rPr>
                    <w:t>夜间</w:t>
                  </w:r>
                </w:p>
              </w:tc>
              <w:tc>
                <w:tcPr>
                  <w:tcW w:w="477" w:type="pct"/>
                  <w:vMerge w:val="continue"/>
                  <w:tcBorders>
                    <w:tl2br w:val="nil"/>
                    <w:tr2bl w:val="nil"/>
                  </w:tcBorders>
                  <w:vAlign w:val="center"/>
                </w:tcPr>
                <w:p w14:paraId="6A1041F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p>
              </w:tc>
            </w:tr>
            <w:tr w14:paraId="45442A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299" w:hRule="atLeast"/>
                <w:jc w:val="center"/>
              </w:trPr>
              <w:tc>
                <w:tcPr>
                  <w:tcW w:w="202" w:type="pct"/>
                  <w:tcBorders>
                    <w:tl2br w:val="nil"/>
                    <w:tr2bl w:val="nil"/>
                  </w:tcBorders>
                  <w:vAlign w:val="center"/>
                </w:tcPr>
                <w:p w14:paraId="3574E9B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1</w:t>
                  </w:r>
                </w:p>
              </w:tc>
              <w:tc>
                <w:tcPr>
                  <w:tcW w:w="202" w:type="pct"/>
                  <w:tcBorders>
                    <w:tl2br w:val="nil"/>
                    <w:tr2bl w:val="nil"/>
                  </w:tcBorders>
                  <w:vAlign w:val="center"/>
                </w:tcPr>
                <w:p w14:paraId="4A94D4A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厂区东侧</w:t>
                  </w:r>
                </w:p>
              </w:tc>
              <w:tc>
                <w:tcPr>
                  <w:tcW w:w="324" w:type="pct"/>
                  <w:tcBorders>
                    <w:tl2br w:val="nil"/>
                    <w:tr2bl w:val="nil"/>
                  </w:tcBorders>
                  <w:vAlign w:val="center"/>
                </w:tcPr>
                <w:p w14:paraId="074152F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106.7</w:t>
                  </w:r>
                </w:p>
              </w:tc>
              <w:tc>
                <w:tcPr>
                  <w:tcW w:w="324" w:type="pct"/>
                  <w:tcBorders>
                    <w:tl2br w:val="nil"/>
                    <w:tr2bl w:val="nil"/>
                  </w:tcBorders>
                  <w:vAlign w:val="center"/>
                </w:tcPr>
                <w:p w14:paraId="4BF1384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75.9</w:t>
                  </w:r>
                </w:p>
              </w:tc>
              <w:tc>
                <w:tcPr>
                  <w:tcW w:w="273" w:type="pct"/>
                  <w:tcBorders>
                    <w:tl2br w:val="nil"/>
                    <w:tr2bl w:val="nil"/>
                  </w:tcBorders>
                  <w:shd w:val="clear" w:color="auto" w:fill="auto"/>
                  <w:vAlign w:val="center"/>
                </w:tcPr>
                <w:p w14:paraId="0F1ACDF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1.2</w:t>
                  </w:r>
                </w:p>
              </w:tc>
              <w:tc>
                <w:tcPr>
                  <w:tcW w:w="236" w:type="pct"/>
                  <w:tcBorders>
                    <w:tl2br w:val="nil"/>
                    <w:tr2bl w:val="nil"/>
                  </w:tcBorders>
                  <w:shd w:val="clear" w:color="auto" w:fill="auto"/>
                  <w:vAlign w:val="center"/>
                </w:tcPr>
                <w:p w14:paraId="01C3366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w:t>
                  </w:r>
                </w:p>
              </w:tc>
              <w:tc>
                <w:tcPr>
                  <w:tcW w:w="270" w:type="pct"/>
                  <w:tcBorders>
                    <w:tl2br w:val="nil"/>
                    <w:tr2bl w:val="nil"/>
                  </w:tcBorders>
                  <w:shd w:val="clear" w:color="auto" w:fill="auto"/>
                  <w:vAlign w:val="center"/>
                </w:tcPr>
                <w:p w14:paraId="0C19989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w:t>
                  </w:r>
                </w:p>
              </w:tc>
              <w:tc>
                <w:tcPr>
                  <w:tcW w:w="320" w:type="pct"/>
                  <w:tcBorders>
                    <w:tl2br w:val="nil"/>
                    <w:tr2bl w:val="nil"/>
                  </w:tcBorders>
                  <w:shd w:val="clear" w:color="auto" w:fill="auto"/>
                  <w:vAlign w:val="center"/>
                </w:tcPr>
                <w:p w14:paraId="5812BA3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23.99</w:t>
                  </w:r>
                </w:p>
              </w:tc>
              <w:tc>
                <w:tcPr>
                  <w:tcW w:w="337" w:type="pct"/>
                  <w:tcBorders>
                    <w:tl2br w:val="nil"/>
                    <w:tr2bl w:val="nil"/>
                  </w:tcBorders>
                  <w:shd w:val="clear" w:color="auto" w:fill="auto"/>
                  <w:vAlign w:val="center"/>
                </w:tcPr>
                <w:p w14:paraId="7983B8D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23.99</w:t>
                  </w:r>
                </w:p>
              </w:tc>
              <w:tc>
                <w:tcPr>
                  <w:tcW w:w="329" w:type="pct"/>
                  <w:tcBorders>
                    <w:tl2br w:val="nil"/>
                    <w:tr2bl w:val="nil"/>
                  </w:tcBorders>
                  <w:shd w:val="clear" w:color="auto" w:fill="auto"/>
                  <w:vAlign w:val="center"/>
                </w:tcPr>
                <w:p w14:paraId="5037C61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22.12</w:t>
                  </w:r>
                </w:p>
              </w:tc>
              <w:tc>
                <w:tcPr>
                  <w:tcW w:w="346" w:type="pct"/>
                  <w:tcBorders>
                    <w:tl2br w:val="nil"/>
                    <w:tr2bl w:val="nil"/>
                  </w:tcBorders>
                  <w:shd w:val="clear" w:color="auto" w:fill="auto"/>
                  <w:vAlign w:val="center"/>
                </w:tcPr>
                <w:p w14:paraId="50478A2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22.12</w:t>
                  </w:r>
                </w:p>
              </w:tc>
              <w:tc>
                <w:tcPr>
                  <w:tcW w:w="345" w:type="pct"/>
                  <w:tcBorders>
                    <w:right w:val="single" w:color="auto" w:sz="4" w:space="0"/>
                    <w:tl2br w:val="nil"/>
                    <w:tr2bl w:val="nil"/>
                  </w:tcBorders>
                  <w:vAlign w:val="center"/>
                </w:tcPr>
                <w:p w14:paraId="1DCB69E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w:t>
                  </w:r>
                </w:p>
              </w:tc>
              <w:tc>
                <w:tcPr>
                  <w:tcW w:w="337" w:type="pct"/>
                  <w:tcBorders>
                    <w:left w:val="single" w:color="auto" w:sz="4" w:space="0"/>
                    <w:tl2br w:val="nil"/>
                    <w:tr2bl w:val="nil"/>
                  </w:tcBorders>
                  <w:vAlign w:val="center"/>
                </w:tcPr>
                <w:p w14:paraId="6454C13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w:t>
                  </w:r>
                </w:p>
              </w:tc>
              <w:tc>
                <w:tcPr>
                  <w:tcW w:w="363" w:type="pct"/>
                  <w:tcBorders>
                    <w:tl2br w:val="nil"/>
                    <w:tr2bl w:val="nil"/>
                  </w:tcBorders>
                  <w:vAlign w:val="center"/>
                </w:tcPr>
                <w:p w14:paraId="033FE06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25.55</w:t>
                  </w:r>
                </w:p>
              </w:tc>
              <w:tc>
                <w:tcPr>
                  <w:tcW w:w="308" w:type="pct"/>
                  <w:tcBorders>
                    <w:tl2br w:val="nil"/>
                    <w:tr2bl w:val="nil"/>
                  </w:tcBorders>
                  <w:vAlign w:val="center"/>
                </w:tcPr>
                <w:p w14:paraId="0C9EB55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25.22</w:t>
                  </w:r>
                </w:p>
              </w:tc>
              <w:tc>
                <w:tcPr>
                  <w:tcW w:w="477" w:type="pct"/>
                  <w:vMerge w:val="restart"/>
                  <w:tcBorders>
                    <w:tl2br w:val="nil"/>
                    <w:tr2bl w:val="nil"/>
                  </w:tcBorders>
                  <w:vAlign w:val="center"/>
                </w:tcPr>
                <w:p w14:paraId="39403EA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GB12348-2008昼间≤60；夜间≤50</w:t>
                  </w:r>
                </w:p>
              </w:tc>
            </w:tr>
            <w:tr w14:paraId="085890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299" w:hRule="atLeast"/>
                <w:jc w:val="center"/>
              </w:trPr>
              <w:tc>
                <w:tcPr>
                  <w:tcW w:w="202" w:type="pct"/>
                  <w:tcBorders>
                    <w:tl2br w:val="nil"/>
                    <w:tr2bl w:val="nil"/>
                  </w:tcBorders>
                  <w:vAlign w:val="center"/>
                </w:tcPr>
                <w:p w14:paraId="34FB3DB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2</w:t>
                  </w:r>
                </w:p>
              </w:tc>
              <w:tc>
                <w:tcPr>
                  <w:tcW w:w="202" w:type="pct"/>
                  <w:tcBorders>
                    <w:tl2br w:val="nil"/>
                    <w:tr2bl w:val="nil"/>
                  </w:tcBorders>
                  <w:vAlign w:val="center"/>
                </w:tcPr>
                <w:p w14:paraId="7E52D41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厂区北侧</w:t>
                  </w:r>
                </w:p>
              </w:tc>
              <w:tc>
                <w:tcPr>
                  <w:tcW w:w="324" w:type="pct"/>
                  <w:tcBorders>
                    <w:tl2br w:val="nil"/>
                    <w:tr2bl w:val="nil"/>
                  </w:tcBorders>
                  <w:vAlign w:val="center"/>
                </w:tcPr>
                <w:p w14:paraId="135CC21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57.9</w:t>
                  </w:r>
                </w:p>
              </w:tc>
              <w:tc>
                <w:tcPr>
                  <w:tcW w:w="324" w:type="pct"/>
                  <w:tcBorders>
                    <w:tl2br w:val="nil"/>
                    <w:tr2bl w:val="nil"/>
                  </w:tcBorders>
                  <w:vAlign w:val="center"/>
                </w:tcPr>
                <w:p w14:paraId="22C91D6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177.8</w:t>
                  </w:r>
                </w:p>
              </w:tc>
              <w:tc>
                <w:tcPr>
                  <w:tcW w:w="273" w:type="pct"/>
                  <w:tcBorders>
                    <w:tl2br w:val="nil"/>
                    <w:tr2bl w:val="nil"/>
                  </w:tcBorders>
                  <w:shd w:val="clear" w:color="auto" w:fill="auto"/>
                  <w:vAlign w:val="center"/>
                </w:tcPr>
                <w:p w14:paraId="17F2E63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1.2</w:t>
                  </w:r>
                </w:p>
              </w:tc>
              <w:tc>
                <w:tcPr>
                  <w:tcW w:w="236" w:type="pct"/>
                  <w:tcBorders>
                    <w:tl2br w:val="nil"/>
                    <w:tr2bl w:val="nil"/>
                  </w:tcBorders>
                  <w:shd w:val="clear" w:color="auto" w:fill="auto"/>
                  <w:vAlign w:val="center"/>
                </w:tcPr>
                <w:p w14:paraId="40AE782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w:t>
                  </w:r>
                </w:p>
              </w:tc>
              <w:tc>
                <w:tcPr>
                  <w:tcW w:w="270" w:type="pct"/>
                  <w:tcBorders>
                    <w:tl2br w:val="nil"/>
                    <w:tr2bl w:val="nil"/>
                  </w:tcBorders>
                  <w:shd w:val="clear" w:color="auto" w:fill="auto"/>
                  <w:vAlign w:val="center"/>
                </w:tcPr>
                <w:p w14:paraId="20433B4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w:t>
                  </w:r>
                </w:p>
              </w:tc>
              <w:tc>
                <w:tcPr>
                  <w:tcW w:w="320" w:type="pct"/>
                  <w:tcBorders>
                    <w:tl2br w:val="nil"/>
                    <w:tr2bl w:val="nil"/>
                  </w:tcBorders>
                  <w:shd w:val="clear" w:color="auto" w:fill="auto"/>
                  <w:vAlign w:val="center"/>
                </w:tcPr>
                <w:p w14:paraId="694C0C1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19.00</w:t>
                  </w:r>
                </w:p>
              </w:tc>
              <w:tc>
                <w:tcPr>
                  <w:tcW w:w="337" w:type="pct"/>
                  <w:tcBorders>
                    <w:tl2br w:val="nil"/>
                    <w:tr2bl w:val="nil"/>
                  </w:tcBorders>
                  <w:shd w:val="clear" w:color="auto" w:fill="auto"/>
                  <w:vAlign w:val="center"/>
                </w:tcPr>
                <w:p w14:paraId="6F41E07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19.00</w:t>
                  </w:r>
                </w:p>
              </w:tc>
              <w:tc>
                <w:tcPr>
                  <w:tcW w:w="329" w:type="pct"/>
                  <w:tcBorders>
                    <w:tl2br w:val="nil"/>
                    <w:tr2bl w:val="nil"/>
                  </w:tcBorders>
                  <w:shd w:val="clear" w:color="auto" w:fill="auto"/>
                  <w:vAlign w:val="center"/>
                </w:tcPr>
                <w:p w14:paraId="1C94CAD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26.11</w:t>
                  </w:r>
                </w:p>
              </w:tc>
              <w:tc>
                <w:tcPr>
                  <w:tcW w:w="346" w:type="pct"/>
                  <w:tcBorders>
                    <w:tl2br w:val="nil"/>
                    <w:tr2bl w:val="nil"/>
                  </w:tcBorders>
                  <w:shd w:val="clear" w:color="auto" w:fill="auto"/>
                  <w:vAlign w:val="center"/>
                </w:tcPr>
                <w:p w14:paraId="45C7591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26.11</w:t>
                  </w:r>
                </w:p>
              </w:tc>
              <w:tc>
                <w:tcPr>
                  <w:tcW w:w="345" w:type="pct"/>
                  <w:tcBorders>
                    <w:tl2br w:val="nil"/>
                    <w:tr2bl w:val="nil"/>
                  </w:tcBorders>
                  <w:shd w:val="clear" w:color="auto" w:fill="auto"/>
                  <w:vAlign w:val="center"/>
                </w:tcPr>
                <w:p w14:paraId="2AAB34A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kern w:val="2"/>
                      <w:sz w:val="21"/>
                      <w:szCs w:val="21"/>
                      <w:highlight w:val="none"/>
                      <w:vertAlign w:val="baseline"/>
                      <w:lang w:val="en-US" w:eastAsia="zh-CN" w:bidi="ar-SA"/>
                    </w:rPr>
                  </w:pPr>
                  <w:r>
                    <w:rPr>
                      <w:rFonts w:hint="default" w:ascii="Times New Roman" w:hAnsi="Times New Roman" w:eastAsia="宋体" w:cs="Times New Roman"/>
                      <w:color w:val="auto"/>
                      <w:spacing w:val="0"/>
                      <w:sz w:val="21"/>
                      <w:szCs w:val="21"/>
                      <w:highlight w:val="none"/>
                      <w:vertAlign w:val="baseline"/>
                      <w:lang w:val="en-US" w:eastAsia="zh-CN"/>
                    </w:rPr>
                    <w:t>/</w:t>
                  </w:r>
                </w:p>
              </w:tc>
              <w:tc>
                <w:tcPr>
                  <w:tcW w:w="337" w:type="pct"/>
                  <w:tcBorders>
                    <w:tl2br w:val="nil"/>
                    <w:tr2bl w:val="nil"/>
                  </w:tcBorders>
                  <w:shd w:val="clear" w:color="auto" w:fill="auto"/>
                  <w:vAlign w:val="center"/>
                </w:tcPr>
                <w:p w14:paraId="59B2B87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kern w:val="2"/>
                      <w:sz w:val="21"/>
                      <w:szCs w:val="21"/>
                      <w:highlight w:val="none"/>
                      <w:vertAlign w:val="baseline"/>
                      <w:lang w:val="en-US" w:eastAsia="zh-CN" w:bidi="ar-SA"/>
                    </w:rPr>
                  </w:pPr>
                  <w:r>
                    <w:rPr>
                      <w:rFonts w:hint="default" w:ascii="Times New Roman" w:hAnsi="Times New Roman" w:eastAsia="宋体" w:cs="Times New Roman"/>
                      <w:color w:val="auto"/>
                      <w:spacing w:val="0"/>
                      <w:sz w:val="21"/>
                      <w:szCs w:val="21"/>
                      <w:highlight w:val="none"/>
                      <w:vertAlign w:val="baseline"/>
                      <w:lang w:val="en-US" w:eastAsia="zh-CN"/>
                    </w:rPr>
                    <w:t>/</w:t>
                  </w:r>
                </w:p>
              </w:tc>
              <w:tc>
                <w:tcPr>
                  <w:tcW w:w="363" w:type="pct"/>
                  <w:tcBorders>
                    <w:tl2br w:val="nil"/>
                    <w:tr2bl w:val="nil"/>
                  </w:tcBorders>
                  <w:vAlign w:val="center"/>
                </w:tcPr>
                <w:p w14:paraId="6B68D68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27.41</w:t>
                  </w:r>
                </w:p>
              </w:tc>
              <w:tc>
                <w:tcPr>
                  <w:tcW w:w="308" w:type="pct"/>
                  <w:tcBorders>
                    <w:tl2br w:val="nil"/>
                    <w:tr2bl w:val="nil"/>
                  </w:tcBorders>
                  <w:vAlign w:val="center"/>
                </w:tcPr>
                <w:p w14:paraId="1999F20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27.41</w:t>
                  </w:r>
                </w:p>
              </w:tc>
              <w:tc>
                <w:tcPr>
                  <w:tcW w:w="477" w:type="pct"/>
                  <w:vMerge w:val="continue"/>
                  <w:tcBorders>
                    <w:tl2br w:val="nil"/>
                    <w:tr2bl w:val="nil"/>
                  </w:tcBorders>
                  <w:vAlign w:val="center"/>
                </w:tcPr>
                <w:p w14:paraId="45F93E7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zh-CN" w:eastAsia="zh-CN"/>
                    </w:rPr>
                  </w:pPr>
                </w:p>
              </w:tc>
            </w:tr>
            <w:tr w14:paraId="1439F5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299" w:hRule="atLeast"/>
                <w:jc w:val="center"/>
              </w:trPr>
              <w:tc>
                <w:tcPr>
                  <w:tcW w:w="202" w:type="pct"/>
                  <w:tcBorders>
                    <w:tl2br w:val="nil"/>
                    <w:tr2bl w:val="nil"/>
                  </w:tcBorders>
                  <w:vAlign w:val="center"/>
                </w:tcPr>
                <w:p w14:paraId="224AB3E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3</w:t>
                  </w:r>
                </w:p>
              </w:tc>
              <w:tc>
                <w:tcPr>
                  <w:tcW w:w="202" w:type="pct"/>
                  <w:tcBorders>
                    <w:tl2br w:val="nil"/>
                    <w:tr2bl w:val="nil"/>
                  </w:tcBorders>
                  <w:vAlign w:val="center"/>
                </w:tcPr>
                <w:p w14:paraId="3EBD9ED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厂区西侧</w:t>
                  </w:r>
                </w:p>
              </w:tc>
              <w:tc>
                <w:tcPr>
                  <w:tcW w:w="324" w:type="pct"/>
                  <w:tcBorders>
                    <w:tl2br w:val="nil"/>
                    <w:tr2bl w:val="nil"/>
                  </w:tcBorders>
                  <w:vAlign w:val="center"/>
                </w:tcPr>
                <w:p w14:paraId="21E1F7C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-30.7</w:t>
                  </w:r>
                </w:p>
              </w:tc>
              <w:tc>
                <w:tcPr>
                  <w:tcW w:w="324" w:type="pct"/>
                  <w:tcBorders>
                    <w:tl2br w:val="nil"/>
                    <w:tr2bl w:val="nil"/>
                  </w:tcBorders>
                  <w:vAlign w:val="center"/>
                </w:tcPr>
                <w:p w14:paraId="312AC35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77.1</w:t>
                  </w:r>
                </w:p>
              </w:tc>
              <w:tc>
                <w:tcPr>
                  <w:tcW w:w="273" w:type="pct"/>
                  <w:tcBorders>
                    <w:tl2br w:val="nil"/>
                    <w:tr2bl w:val="nil"/>
                  </w:tcBorders>
                  <w:shd w:val="clear" w:color="auto" w:fill="auto"/>
                  <w:vAlign w:val="center"/>
                </w:tcPr>
                <w:p w14:paraId="549B2D6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1.2</w:t>
                  </w:r>
                </w:p>
              </w:tc>
              <w:tc>
                <w:tcPr>
                  <w:tcW w:w="236" w:type="pct"/>
                  <w:tcBorders>
                    <w:tl2br w:val="nil"/>
                    <w:tr2bl w:val="nil"/>
                  </w:tcBorders>
                  <w:shd w:val="clear" w:color="auto" w:fill="auto"/>
                  <w:vAlign w:val="center"/>
                </w:tcPr>
                <w:p w14:paraId="0551328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w:t>
                  </w:r>
                </w:p>
              </w:tc>
              <w:tc>
                <w:tcPr>
                  <w:tcW w:w="270" w:type="pct"/>
                  <w:tcBorders>
                    <w:tl2br w:val="nil"/>
                    <w:tr2bl w:val="nil"/>
                  </w:tcBorders>
                  <w:shd w:val="clear" w:color="auto" w:fill="auto"/>
                  <w:vAlign w:val="center"/>
                </w:tcPr>
                <w:p w14:paraId="7A24102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w:t>
                  </w:r>
                </w:p>
              </w:tc>
              <w:tc>
                <w:tcPr>
                  <w:tcW w:w="320" w:type="pct"/>
                  <w:tcBorders>
                    <w:tl2br w:val="nil"/>
                    <w:tr2bl w:val="nil"/>
                  </w:tcBorders>
                  <w:shd w:val="clear" w:color="auto" w:fill="auto"/>
                  <w:vAlign w:val="center"/>
                </w:tcPr>
                <w:p w14:paraId="3212FBA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21.52</w:t>
                  </w:r>
                </w:p>
              </w:tc>
              <w:tc>
                <w:tcPr>
                  <w:tcW w:w="337" w:type="pct"/>
                  <w:tcBorders>
                    <w:tl2br w:val="nil"/>
                    <w:tr2bl w:val="nil"/>
                  </w:tcBorders>
                  <w:shd w:val="clear" w:color="auto" w:fill="auto"/>
                  <w:vAlign w:val="center"/>
                </w:tcPr>
                <w:p w14:paraId="5DD1FA8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21.52</w:t>
                  </w:r>
                </w:p>
              </w:tc>
              <w:tc>
                <w:tcPr>
                  <w:tcW w:w="329" w:type="pct"/>
                  <w:tcBorders>
                    <w:tl2br w:val="nil"/>
                    <w:tr2bl w:val="nil"/>
                  </w:tcBorders>
                  <w:shd w:val="clear" w:color="auto" w:fill="auto"/>
                  <w:vAlign w:val="center"/>
                </w:tcPr>
                <w:p w14:paraId="2D7FAE3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34.21</w:t>
                  </w:r>
                </w:p>
              </w:tc>
              <w:tc>
                <w:tcPr>
                  <w:tcW w:w="346" w:type="pct"/>
                  <w:tcBorders>
                    <w:tl2br w:val="nil"/>
                    <w:tr2bl w:val="nil"/>
                  </w:tcBorders>
                  <w:shd w:val="clear" w:color="auto" w:fill="auto"/>
                  <w:vAlign w:val="center"/>
                </w:tcPr>
                <w:p w14:paraId="5A6479D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34.21</w:t>
                  </w:r>
                </w:p>
              </w:tc>
              <w:tc>
                <w:tcPr>
                  <w:tcW w:w="345" w:type="pct"/>
                  <w:tcBorders>
                    <w:tl2br w:val="nil"/>
                    <w:tr2bl w:val="nil"/>
                  </w:tcBorders>
                  <w:shd w:val="clear" w:color="auto" w:fill="auto"/>
                  <w:vAlign w:val="center"/>
                </w:tcPr>
                <w:p w14:paraId="57AE000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kern w:val="2"/>
                      <w:sz w:val="21"/>
                      <w:szCs w:val="21"/>
                      <w:highlight w:val="none"/>
                      <w:vertAlign w:val="baseline"/>
                      <w:lang w:val="en-US" w:eastAsia="zh-CN" w:bidi="ar-SA"/>
                    </w:rPr>
                  </w:pPr>
                  <w:r>
                    <w:rPr>
                      <w:rFonts w:hint="default" w:ascii="Times New Roman" w:hAnsi="Times New Roman" w:eastAsia="宋体" w:cs="Times New Roman"/>
                      <w:color w:val="auto"/>
                      <w:spacing w:val="0"/>
                      <w:sz w:val="21"/>
                      <w:szCs w:val="21"/>
                      <w:highlight w:val="none"/>
                      <w:vertAlign w:val="baseline"/>
                      <w:lang w:val="en-US" w:eastAsia="zh-CN"/>
                    </w:rPr>
                    <w:t>/</w:t>
                  </w:r>
                </w:p>
              </w:tc>
              <w:tc>
                <w:tcPr>
                  <w:tcW w:w="337" w:type="pct"/>
                  <w:tcBorders>
                    <w:tl2br w:val="nil"/>
                    <w:tr2bl w:val="nil"/>
                  </w:tcBorders>
                  <w:shd w:val="clear" w:color="auto" w:fill="auto"/>
                  <w:vAlign w:val="center"/>
                </w:tcPr>
                <w:p w14:paraId="55500DE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kern w:val="2"/>
                      <w:sz w:val="21"/>
                      <w:szCs w:val="21"/>
                      <w:highlight w:val="none"/>
                      <w:vertAlign w:val="baseline"/>
                      <w:lang w:val="en-US" w:eastAsia="zh-CN" w:bidi="ar-SA"/>
                    </w:rPr>
                  </w:pPr>
                  <w:r>
                    <w:rPr>
                      <w:rFonts w:hint="default" w:ascii="Times New Roman" w:hAnsi="Times New Roman" w:eastAsia="宋体" w:cs="Times New Roman"/>
                      <w:color w:val="auto"/>
                      <w:spacing w:val="0"/>
                      <w:sz w:val="21"/>
                      <w:szCs w:val="21"/>
                      <w:highlight w:val="none"/>
                      <w:vertAlign w:val="baseline"/>
                      <w:lang w:val="en-US" w:eastAsia="zh-CN"/>
                    </w:rPr>
                    <w:t>/</w:t>
                  </w:r>
                </w:p>
              </w:tc>
              <w:tc>
                <w:tcPr>
                  <w:tcW w:w="363" w:type="pct"/>
                  <w:tcBorders>
                    <w:tl2br w:val="nil"/>
                    <w:tr2bl w:val="nil"/>
                  </w:tcBorders>
                  <w:vAlign w:val="center"/>
                </w:tcPr>
                <w:p w14:paraId="1460462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34.43</w:t>
                  </w:r>
                </w:p>
              </w:tc>
              <w:tc>
                <w:tcPr>
                  <w:tcW w:w="308" w:type="pct"/>
                  <w:tcBorders>
                    <w:tl2br w:val="nil"/>
                    <w:tr2bl w:val="nil"/>
                  </w:tcBorders>
                  <w:vAlign w:val="center"/>
                </w:tcPr>
                <w:p w14:paraId="3382E5F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34.43</w:t>
                  </w:r>
                </w:p>
              </w:tc>
              <w:tc>
                <w:tcPr>
                  <w:tcW w:w="477" w:type="pct"/>
                  <w:vMerge w:val="continue"/>
                  <w:tcBorders>
                    <w:tl2br w:val="nil"/>
                    <w:tr2bl w:val="nil"/>
                  </w:tcBorders>
                  <w:vAlign w:val="center"/>
                </w:tcPr>
                <w:p w14:paraId="7230F5C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zh-CN" w:eastAsia="zh-CN"/>
                    </w:rPr>
                  </w:pPr>
                </w:p>
              </w:tc>
            </w:tr>
            <w:tr w14:paraId="1680E6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86" w:hRule="atLeast"/>
                <w:jc w:val="center"/>
              </w:trPr>
              <w:tc>
                <w:tcPr>
                  <w:tcW w:w="202" w:type="pct"/>
                  <w:tcBorders>
                    <w:tl2br w:val="nil"/>
                    <w:tr2bl w:val="nil"/>
                  </w:tcBorders>
                  <w:vAlign w:val="center"/>
                </w:tcPr>
                <w:p w14:paraId="762F26A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4</w:t>
                  </w:r>
                </w:p>
              </w:tc>
              <w:tc>
                <w:tcPr>
                  <w:tcW w:w="202" w:type="pct"/>
                  <w:tcBorders>
                    <w:tl2br w:val="nil"/>
                    <w:tr2bl w:val="nil"/>
                  </w:tcBorders>
                  <w:vAlign w:val="center"/>
                </w:tcPr>
                <w:p w14:paraId="6AD4BBA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厂区南侧</w:t>
                  </w:r>
                </w:p>
              </w:tc>
              <w:tc>
                <w:tcPr>
                  <w:tcW w:w="324" w:type="pct"/>
                  <w:tcBorders>
                    <w:tl2br w:val="nil"/>
                    <w:tr2bl w:val="nil"/>
                  </w:tcBorders>
                  <w:vAlign w:val="center"/>
                </w:tcPr>
                <w:p w14:paraId="6F28313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36</w:t>
                  </w:r>
                </w:p>
              </w:tc>
              <w:tc>
                <w:tcPr>
                  <w:tcW w:w="324" w:type="pct"/>
                  <w:tcBorders>
                    <w:tl2br w:val="nil"/>
                    <w:tr2bl w:val="nil"/>
                  </w:tcBorders>
                  <w:vAlign w:val="center"/>
                </w:tcPr>
                <w:p w14:paraId="10D5F42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-4.7</w:t>
                  </w:r>
                </w:p>
              </w:tc>
              <w:tc>
                <w:tcPr>
                  <w:tcW w:w="273" w:type="pct"/>
                  <w:tcBorders>
                    <w:tl2br w:val="nil"/>
                    <w:tr2bl w:val="nil"/>
                  </w:tcBorders>
                  <w:shd w:val="clear" w:color="auto" w:fill="auto"/>
                  <w:vAlign w:val="center"/>
                </w:tcPr>
                <w:p w14:paraId="60E915F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1.2</w:t>
                  </w:r>
                </w:p>
              </w:tc>
              <w:tc>
                <w:tcPr>
                  <w:tcW w:w="236" w:type="pct"/>
                  <w:tcBorders>
                    <w:tl2br w:val="nil"/>
                    <w:tr2bl w:val="nil"/>
                  </w:tcBorders>
                  <w:shd w:val="clear" w:color="auto" w:fill="auto"/>
                  <w:vAlign w:val="center"/>
                </w:tcPr>
                <w:p w14:paraId="2719099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w:t>
                  </w:r>
                </w:p>
              </w:tc>
              <w:tc>
                <w:tcPr>
                  <w:tcW w:w="270" w:type="pct"/>
                  <w:tcBorders>
                    <w:tl2br w:val="nil"/>
                    <w:tr2bl w:val="nil"/>
                  </w:tcBorders>
                  <w:shd w:val="clear" w:color="auto" w:fill="auto"/>
                  <w:vAlign w:val="center"/>
                </w:tcPr>
                <w:p w14:paraId="40F6E2A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w:t>
                  </w:r>
                </w:p>
              </w:tc>
              <w:tc>
                <w:tcPr>
                  <w:tcW w:w="320" w:type="pct"/>
                  <w:tcBorders>
                    <w:tl2br w:val="nil"/>
                    <w:tr2bl w:val="nil"/>
                  </w:tcBorders>
                  <w:shd w:val="clear" w:color="auto" w:fill="auto"/>
                  <w:vAlign w:val="center"/>
                </w:tcPr>
                <w:p w14:paraId="54F8AEE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25.13</w:t>
                  </w:r>
                </w:p>
              </w:tc>
              <w:tc>
                <w:tcPr>
                  <w:tcW w:w="337" w:type="pct"/>
                  <w:tcBorders>
                    <w:tl2br w:val="nil"/>
                    <w:tr2bl w:val="nil"/>
                  </w:tcBorders>
                  <w:shd w:val="clear" w:color="auto" w:fill="auto"/>
                  <w:vAlign w:val="center"/>
                </w:tcPr>
                <w:p w14:paraId="34B92E7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25.13</w:t>
                  </w:r>
                </w:p>
              </w:tc>
              <w:tc>
                <w:tcPr>
                  <w:tcW w:w="329" w:type="pct"/>
                  <w:tcBorders>
                    <w:tl2br w:val="nil"/>
                    <w:tr2bl w:val="nil"/>
                  </w:tcBorders>
                  <w:shd w:val="clear" w:color="auto" w:fill="auto"/>
                  <w:vAlign w:val="center"/>
                </w:tcPr>
                <w:p w14:paraId="77DBCA4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23.57</w:t>
                  </w:r>
                </w:p>
              </w:tc>
              <w:tc>
                <w:tcPr>
                  <w:tcW w:w="346" w:type="pct"/>
                  <w:tcBorders>
                    <w:tl2br w:val="nil"/>
                    <w:tr2bl w:val="nil"/>
                  </w:tcBorders>
                  <w:shd w:val="clear" w:color="auto" w:fill="auto"/>
                  <w:vAlign w:val="center"/>
                </w:tcPr>
                <w:p w14:paraId="71F0A1C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23.57</w:t>
                  </w:r>
                </w:p>
              </w:tc>
              <w:tc>
                <w:tcPr>
                  <w:tcW w:w="345" w:type="pct"/>
                  <w:tcBorders>
                    <w:tl2br w:val="nil"/>
                    <w:tr2bl w:val="nil"/>
                  </w:tcBorders>
                  <w:shd w:val="clear" w:color="auto" w:fill="auto"/>
                  <w:vAlign w:val="center"/>
                </w:tcPr>
                <w:p w14:paraId="7143E3F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kern w:val="2"/>
                      <w:sz w:val="21"/>
                      <w:szCs w:val="21"/>
                      <w:highlight w:val="none"/>
                      <w:vertAlign w:val="baseline"/>
                      <w:lang w:val="en-US" w:eastAsia="zh-CN" w:bidi="ar-SA"/>
                    </w:rPr>
                  </w:pPr>
                  <w:r>
                    <w:rPr>
                      <w:rFonts w:hint="default" w:ascii="Times New Roman" w:hAnsi="Times New Roman" w:eastAsia="宋体" w:cs="Times New Roman"/>
                      <w:color w:val="auto"/>
                      <w:spacing w:val="0"/>
                      <w:sz w:val="21"/>
                      <w:szCs w:val="21"/>
                      <w:highlight w:val="none"/>
                      <w:vertAlign w:val="baseline"/>
                      <w:lang w:val="en-US" w:eastAsia="zh-CN"/>
                    </w:rPr>
                    <w:t>/</w:t>
                  </w:r>
                </w:p>
              </w:tc>
              <w:tc>
                <w:tcPr>
                  <w:tcW w:w="337" w:type="pct"/>
                  <w:tcBorders>
                    <w:tl2br w:val="nil"/>
                    <w:tr2bl w:val="nil"/>
                  </w:tcBorders>
                  <w:shd w:val="clear" w:color="auto" w:fill="auto"/>
                  <w:vAlign w:val="center"/>
                </w:tcPr>
                <w:p w14:paraId="408283E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auto"/>
                      <w:spacing w:val="0"/>
                      <w:kern w:val="2"/>
                      <w:sz w:val="21"/>
                      <w:szCs w:val="21"/>
                      <w:highlight w:val="none"/>
                      <w:vertAlign w:val="baseline"/>
                      <w:lang w:val="en-US" w:eastAsia="zh-CN" w:bidi="ar-SA"/>
                    </w:rPr>
                  </w:pPr>
                  <w:r>
                    <w:rPr>
                      <w:rFonts w:hint="default" w:ascii="Times New Roman" w:hAnsi="Times New Roman" w:eastAsia="宋体" w:cs="Times New Roman"/>
                      <w:color w:val="auto"/>
                      <w:spacing w:val="0"/>
                      <w:sz w:val="21"/>
                      <w:szCs w:val="21"/>
                      <w:highlight w:val="none"/>
                      <w:vertAlign w:val="baseline"/>
                      <w:lang w:val="en-US" w:eastAsia="zh-CN"/>
                    </w:rPr>
                    <w:t>/</w:t>
                  </w:r>
                </w:p>
              </w:tc>
              <w:tc>
                <w:tcPr>
                  <w:tcW w:w="363" w:type="pct"/>
                  <w:tcBorders>
                    <w:tl2br w:val="nil"/>
                    <w:tr2bl w:val="nil"/>
                  </w:tcBorders>
                  <w:vAlign w:val="center"/>
                </w:tcPr>
                <w:p w14:paraId="2C8B1FC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27.43</w:t>
                  </w:r>
                </w:p>
              </w:tc>
              <w:tc>
                <w:tcPr>
                  <w:tcW w:w="308" w:type="pct"/>
                  <w:tcBorders>
                    <w:tl2br w:val="nil"/>
                    <w:tr2bl w:val="nil"/>
                  </w:tcBorders>
                  <w:vAlign w:val="center"/>
                </w:tcPr>
                <w:p w14:paraId="080ADD1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27.43</w:t>
                  </w:r>
                </w:p>
              </w:tc>
              <w:tc>
                <w:tcPr>
                  <w:tcW w:w="477" w:type="pct"/>
                  <w:vMerge w:val="continue"/>
                  <w:tcBorders>
                    <w:tl2br w:val="nil"/>
                    <w:tr2bl w:val="nil"/>
                  </w:tcBorders>
                  <w:vAlign w:val="center"/>
                </w:tcPr>
                <w:p w14:paraId="1DA090A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p>
              </w:tc>
            </w:tr>
            <w:tr w14:paraId="04D56FC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86" w:hRule="atLeast"/>
                <w:jc w:val="center"/>
              </w:trPr>
              <w:tc>
                <w:tcPr>
                  <w:tcW w:w="202" w:type="pct"/>
                  <w:tcBorders>
                    <w:tl2br w:val="nil"/>
                    <w:tr2bl w:val="nil"/>
                  </w:tcBorders>
                  <w:vAlign w:val="center"/>
                </w:tcPr>
                <w:p w14:paraId="7EC39CA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5</w:t>
                  </w:r>
                </w:p>
              </w:tc>
              <w:tc>
                <w:tcPr>
                  <w:tcW w:w="202" w:type="pct"/>
                  <w:tcBorders>
                    <w:tl2br w:val="nil"/>
                    <w:tr2bl w:val="nil"/>
                  </w:tcBorders>
                  <w:vAlign w:val="center"/>
                </w:tcPr>
                <w:p w14:paraId="2262A79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北侧居民</w:t>
                  </w:r>
                </w:p>
                <w:p w14:paraId="64F4C58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敏感点</w:t>
                  </w:r>
                </w:p>
              </w:tc>
              <w:tc>
                <w:tcPr>
                  <w:tcW w:w="324" w:type="pct"/>
                  <w:tcBorders>
                    <w:tl2br w:val="nil"/>
                    <w:tr2bl w:val="nil"/>
                  </w:tcBorders>
                  <w:vAlign w:val="center"/>
                </w:tcPr>
                <w:p w14:paraId="7E64E74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40.3</w:t>
                  </w:r>
                </w:p>
              </w:tc>
              <w:tc>
                <w:tcPr>
                  <w:tcW w:w="324" w:type="pct"/>
                  <w:tcBorders>
                    <w:tl2br w:val="nil"/>
                    <w:tr2bl w:val="nil"/>
                  </w:tcBorders>
                  <w:vAlign w:val="center"/>
                </w:tcPr>
                <w:p w14:paraId="277ECA1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202.5</w:t>
                  </w:r>
                </w:p>
              </w:tc>
              <w:tc>
                <w:tcPr>
                  <w:tcW w:w="273" w:type="pct"/>
                  <w:tcBorders>
                    <w:tl2br w:val="nil"/>
                    <w:tr2bl w:val="nil"/>
                  </w:tcBorders>
                  <w:shd w:val="clear" w:color="auto" w:fill="auto"/>
                  <w:vAlign w:val="center"/>
                </w:tcPr>
                <w:p w14:paraId="0FA09AE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1.2</w:t>
                  </w:r>
                </w:p>
              </w:tc>
              <w:tc>
                <w:tcPr>
                  <w:tcW w:w="236" w:type="pct"/>
                  <w:tcBorders>
                    <w:tl2br w:val="nil"/>
                    <w:tr2bl w:val="nil"/>
                  </w:tcBorders>
                  <w:shd w:val="clear" w:color="auto" w:fill="auto"/>
                  <w:vAlign w:val="center"/>
                </w:tcPr>
                <w:p w14:paraId="7764F66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55</w:t>
                  </w:r>
                </w:p>
              </w:tc>
              <w:tc>
                <w:tcPr>
                  <w:tcW w:w="270" w:type="pct"/>
                  <w:tcBorders>
                    <w:tl2br w:val="nil"/>
                    <w:tr2bl w:val="nil"/>
                  </w:tcBorders>
                  <w:shd w:val="clear" w:color="auto" w:fill="auto"/>
                  <w:vAlign w:val="center"/>
                </w:tcPr>
                <w:p w14:paraId="791FA8F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46</w:t>
                  </w:r>
                </w:p>
              </w:tc>
              <w:tc>
                <w:tcPr>
                  <w:tcW w:w="320" w:type="pct"/>
                  <w:tcBorders>
                    <w:tl2br w:val="nil"/>
                    <w:tr2bl w:val="nil"/>
                  </w:tcBorders>
                  <w:vAlign w:val="center"/>
                </w:tcPr>
                <w:p w14:paraId="1DE3B7B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w:t>
                  </w:r>
                </w:p>
              </w:tc>
              <w:tc>
                <w:tcPr>
                  <w:tcW w:w="337" w:type="pct"/>
                  <w:tcBorders>
                    <w:tl2br w:val="nil"/>
                    <w:tr2bl w:val="nil"/>
                  </w:tcBorders>
                  <w:vAlign w:val="center"/>
                </w:tcPr>
                <w:p w14:paraId="159F0B2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w:t>
                  </w:r>
                </w:p>
              </w:tc>
              <w:tc>
                <w:tcPr>
                  <w:tcW w:w="329" w:type="pct"/>
                  <w:tcBorders>
                    <w:tl2br w:val="nil"/>
                    <w:tr2bl w:val="nil"/>
                  </w:tcBorders>
                  <w:vAlign w:val="center"/>
                </w:tcPr>
                <w:p w14:paraId="7957F50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25.24</w:t>
                  </w:r>
                </w:p>
              </w:tc>
              <w:tc>
                <w:tcPr>
                  <w:tcW w:w="346" w:type="pct"/>
                  <w:tcBorders>
                    <w:tl2br w:val="nil"/>
                    <w:tr2bl w:val="nil"/>
                  </w:tcBorders>
                  <w:vAlign w:val="center"/>
                </w:tcPr>
                <w:p w14:paraId="5FD09DB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25.24</w:t>
                  </w:r>
                </w:p>
              </w:tc>
              <w:tc>
                <w:tcPr>
                  <w:tcW w:w="345" w:type="pct"/>
                  <w:tcBorders>
                    <w:tl2br w:val="nil"/>
                    <w:tr2bl w:val="nil"/>
                  </w:tcBorders>
                  <w:shd w:val="clear" w:color="auto" w:fill="auto"/>
                  <w:vAlign w:val="center"/>
                </w:tcPr>
                <w:p w14:paraId="331AC62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55.00</w:t>
                  </w:r>
                </w:p>
              </w:tc>
              <w:tc>
                <w:tcPr>
                  <w:tcW w:w="337" w:type="pct"/>
                  <w:tcBorders>
                    <w:tl2br w:val="nil"/>
                    <w:tr2bl w:val="nil"/>
                  </w:tcBorders>
                  <w:shd w:val="clear" w:color="auto" w:fill="auto"/>
                  <w:vAlign w:val="center"/>
                </w:tcPr>
                <w:p w14:paraId="3A47684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46.03</w:t>
                  </w:r>
                </w:p>
              </w:tc>
              <w:tc>
                <w:tcPr>
                  <w:tcW w:w="363" w:type="pct"/>
                  <w:tcBorders>
                    <w:tl2br w:val="nil"/>
                    <w:tr2bl w:val="nil"/>
                  </w:tcBorders>
                  <w:vAlign w:val="center"/>
                </w:tcPr>
                <w:p w14:paraId="2E407EC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w:t>
                  </w:r>
                </w:p>
              </w:tc>
              <w:tc>
                <w:tcPr>
                  <w:tcW w:w="308" w:type="pct"/>
                  <w:tcBorders>
                    <w:tl2br w:val="nil"/>
                    <w:tr2bl w:val="nil"/>
                  </w:tcBorders>
                  <w:vAlign w:val="center"/>
                </w:tcPr>
                <w:p w14:paraId="01F89FA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w:t>
                  </w:r>
                </w:p>
              </w:tc>
              <w:tc>
                <w:tcPr>
                  <w:tcW w:w="477" w:type="pct"/>
                  <w:vMerge w:val="restart"/>
                  <w:tcBorders>
                    <w:tl2br w:val="nil"/>
                    <w:tr2bl w:val="nil"/>
                  </w:tcBorders>
                  <w:vAlign w:val="center"/>
                </w:tcPr>
                <w:p w14:paraId="2BA4ADF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GB3096-2008昼间≤60；夜间≤50</w:t>
                  </w:r>
                </w:p>
              </w:tc>
            </w:tr>
            <w:tr w14:paraId="4263EA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86" w:hRule="atLeast"/>
                <w:jc w:val="center"/>
              </w:trPr>
              <w:tc>
                <w:tcPr>
                  <w:tcW w:w="202" w:type="pct"/>
                  <w:tcBorders>
                    <w:tl2br w:val="nil"/>
                    <w:tr2bl w:val="nil"/>
                  </w:tcBorders>
                  <w:vAlign w:val="center"/>
                </w:tcPr>
                <w:p w14:paraId="56ED452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6</w:t>
                  </w:r>
                </w:p>
              </w:tc>
              <w:tc>
                <w:tcPr>
                  <w:tcW w:w="202" w:type="pct"/>
                  <w:tcBorders>
                    <w:tl2br w:val="nil"/>
                    <w:tr2bl w:val="nil"/>
                  </w:tcBorders>
                  <w:vAlign w:val="center"/>
                </w:tcPr>
                <w:p w14:paraId="08CF1F8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西侧居民敏感点</w:t>
                  </w:r>
                </w:p>
              </w:tc>
              <w:tc>
                <w:tcPr>
                  <w:tcW w:w="324" w:type="pct"/>
                  <w:tcBorders>
                    <w:tl2br w:val="nil"/>
                    <w:tr2bl w:val="nil"/>
                  </w:tcBorders>
                  <w:vAlign w:val="center"/>
                </w:tcPr>
                <w:p w14:paraId="359991F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-74.5</w:t>
                  </w:r>
                </w:p>
              </w:tc>
              <w:tc>
                <w:tcPr>
                  <w:tcW w:w="324" w:type="pct"/>
                  <w:tcBorders>
                    <w:tl2br w:val="nil"/>
                    <w:tr2bl w:val="nil"/>
                  </w:tcBorders>
                  <w:vAlign w:val="center"/>
                </w:tcPr>
                <w:p w14:paraId="29B489B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-1.8</w:t>
                  </w:r>
                </w:p>
              </w:tc>
              <w:tc>
                <w:tcPr>
                  <w:tcW w:w="273" w:type="pct"/>
                  <w:tcBorders>
                    <w:tl2br w:val="nil"/>
                    <w:tr2bl w:val="nil"/>
                  </w:tcBorders>
                  <w:shd w:val="clear" w:color="auto" w:fill="auto"/>
                  <w:vAlign w:val="center"/>
                </w:tcPr>
                <w:p w14:paraId="11AEE08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1.2</w:t>
                  </w:r>
                </w:p>
              </w:tc>
              <w:tc>
                <w:tcPr>
                  <w:tcW w:w="236" w:type="pct"/>
                  <w:tcBorders>
                    <w:tl2br w:val="nil"/>
                    <w:tr2bl w:val="nil"/>
                  </w:tcBorders>
                  <w:shd w:val="clear" w:color="auto" w:fill="auto"/>
                  <w:vAlign w:val="center"/>
                </w:tcPr>
                <w:p w14:paraId="7AA3457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57</w:t>
                  </w:r>
                </w:p>
              </w:tc>
              <w:tc>
                <w:tcPr>
                  <w:tcW w:w="270" w:type="pct"/>
                  <w:tcBorders>
                    <w:tl2br w:val="nil"/>
                    <w:tr2bl w:val="nil"/>
                  </w:tcBorders>
                  <w:shd w:val="clear" w:color="auto" w:fill="auto"/>
                  <w:vAlign w:val="center"/>
                </w:tcPr>
                <w:p w14:paraId="01232B8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48</w:t>
                  </w:r>
                </w:p>
              </w:tc>
              <w:tc>
                <w:tcPr>
                  <w:tcW w:w="320" w:type="pct"/>
                  <w:tcBorders>
                    <w:tl2br w:val="nil"/>
                    <w:tr2bl w:val="nil"/>
                  </w:tcBorders>
                  <w:vAlign w:val="center"/>
                </w:tcPr>
                <w:p w14:paraId="074A19F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w:t>
                  </w:r>
                </w:p>
              </w:tc>
              <w:tc>
                <w:tcPr>
                  <w:tcW w:w="337" w:type="pct"/>
                  <w:tcBorders>
                    <w:tl2br w:val="nil"/>
                    <w:tr2bl w:val="nil"/>
                  </w:tcBorders>
                  <w:vAlign w:val="center"/>
                </w:tcPr>
                <w:p w14:paraId="6ECACB3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w:t>
                  </w:r>
                </w:p>
              </w:tc>
              <w:tc>
                <w:tcPr>
                  <w:tcW w:w="329" w:type="pct"/>
                  <w:tcBorders>
                    <w:tl2br w:val="nil"/>
                    <w:tr2bl w:val="nil"/>
                  </w:tcBorders>
                  <w:vAlign w:val="center"/>
                </w:tcPr>
                <w:p w14:paraId="0BB07AC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30.28</w:t>
                  </w:r>
                </w:p>
              </w:tc>
              <w:tc>
                <w:tcPr>
                  <w:tcW w:w="346" w:type="pct"/>
                  <w:tcBorders>
                    <w:tl2br w:val="nil"/>
                    <w:tr2bl w:val="nil"/>
                  </w:tcBorders>
                  <w:vAlign w:val="center"/>
                </w:tcPr>
                <w:p w14:paraId="3C5A555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31.29</w:t>
                  </w:r>
                </w:p>
              </w:tc>
              <w:tc>
                <w:tcPr>
                  <w:tcW w:w="345" w:type="pct"/>
                  <w:tcBorders>
                    <w:tl2br w:val="nil"/>
                    <w:tr2bl w:val="nil"/>
                  </w:tcBorders>
                  <w:shd w:val="clear" w:color="auto" w:fill="auto"/>
                  <w:vAlign w:val="center"/>
                </w:tcPr>
                <w:p w14:paraId="421B4A7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57.03</w:t>
                  </w:r>
                </w:p>
              </w:tc>
              <w:tc>
                <w:tcPr>
                  <w:tcW w:w="337" w:type="pct"/>
                  <w:tcBorders>
                    <w:tl2br w:val="nil"/>
                    <w:tr2bl w:val="nil"/>
                  </w:tcBorders>
                  <w:shd w:val="clear" w:color="auto" w:fill="auto"/>
                  <w:vAlign w:val="center"/>
                </w:tcPr>
                <w:p w14:paraId="0D65361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48.23</w:t>
                  </w:r>
                </w:p>
              </w:tc>
              <w:tc>
                <w:tcPr>
                  <w:tcW w:w="363" w:type="pct"/>
                  <w:tcBorders>
                    <w:tl2br w:val="nil"/>
                    <w:tr2bl w:val="nil"/>
                  </w:tcBorders>
                  <w:vAlign w:val="center"/>
                </w:tcPr>
                <w:p w14:paraId="7DDA6C9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w:t>
                  </w:r>
                </w:p>
              </w:tc>
              <w:tc>
                <w:tcPr>
                  <w:tcW w:w="308" w:type="pct"/>
                  <w:tcBorders>
                    <w:tl2br w:val="nil"/>
                    <w:tr2bl w:val="nil"/>
                  </w:tcBorders>
                  <w:vAlign w:val="center"/>
                </w:tcPr>
                <w:p w14:paraId="458D538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w:t>
                  </w:r>
                </w:p>
              </w:tc>
              <w:tc>
                <w:tcPr>
                  <w:tcW w:w="477" w:type="pct"/>
                  <w:vMerge w:val="continue"/>
                  <w:tcBorders>
                    <w:tl2br w:val="nil"/>
                    <w:tr2bl w:val="nil"/>
                  </w:tcBorders>
                  <w:vAlign w:val="center"/>
                </w:tcPr>
                <w:p w14:paraId="577EEB3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pacing w:val="0"/>
                      <w:sz w:val="21"/>
                      <w:szCs w:val="21"/>
                      <w:highlight w:val="none"/>
                      <w:vertAlign w:val="baseline"/>
                      <w:lang w:val="en-US" w:eastAsia="zh-CN"/>
                    </w:rPr>
                  </w:pPr>
                </w:p>
              </w:tc>
            </w:tr>
          </w:tbl>
          <w:p w14:paraId="6FA5E197">
            <w:pPr>
              <w:pStyle w:val="42"/>
              <w:rPr>
                <w:rFonts w:hint="default" w:ascii="Times New Roman" w:hAnsi="Times New Roman" w:eastAsia="宋体" w:cs="Times New Roman"/>
                <w:color w:val="auto"/>
                <w:spacing w:val="0"/>
                <w:highlight w:val="none"/>
                <w:lang w:val="en-US" w:eastAsia="zh-CN"/>
              </w:rPr>
            </w:pPr>
            <w:r>
              <w:rPr>
                <w:rFonts w:hint="default" w:ascii="Times New Roman" w:hAnsi="Times New Roman" w:eastAsia="宋体" w:cs="Times New Roman"/>
                <w:color w:val="auto"/>
                <w:sz w:val="24"/>
                <w:highlight w:val="none"/>
              </w:rPr>
              <w:t>由预测结果可知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kern w:val="0"/>
                <w:sz w:val="24"/>
                <w:highlight w:val="none"/>
              </w:rPr>
              <w:t>本</w:t>
            </w:r>
            <w:r>
              <w:rPr>
                <w:rFonts w:hint="default" w:ascii="Times New Roman" w:hAnsi="Times New Roman" w:eastAsia="宋体" w:cs="Times New Roman"/>
                <w:color w:val="auto"/>
                <w:kern w:val="0"/>
                <w:sz w:val="24"/>
                <w:highlight w:val="none"/>
                <w:lang w:val="en-US" w:eastAsia="zh-CN"/>
              </w:rPr>
              <w:t>项目</w:t>
            </w:r>
            <w:r>
              <w:rPr>
                <w:rFonts w:hint="default" w:ascii="Times New Roman" w:hAnsi="Times New Roman" w:eastAsia="宋体" w:cs="Times New Roman"/>
                <w:color w:val="auto"/>
                <w:kern w:val="0"/>
                <w:sz w:val="24"/>
                <w:highlight w:val="none"/>
              </w:rPr>
              <w:t>选用低噪声设备，经</w:t>
            </w:r>
            <w:r>
              <w:rPr>
                <w:rFonts w:hint="default" w:ascii="Times New Roman" w:hAnsi="Times New Roman" w:cs="Times New Roman"/>
                <w:color w:val="auto"/>
                <w:kern w:val="0"/>
                <w:sz w:val="24"/>
                <w:highlight w:val="none"/>
                <w:lang w:val="en-US" w:eastAsia="zh-CN"/>
              </w:rPr>
              <w:t>基础</w:t>
            </w:r>
            <w:r>
              <w:rPr>
                <w:rFonts w:hint="default" w:ascii="Times New Roman" w:hAnsi="Times New Roman" w:eastAsia="宋体" w:cs="Times New Roman"/>
                <w:color w:val="auto"/>
                <w:kern w:val="0"/>
                <w:sz w:val="24"/>
                <w:highlight w:val="none"/>
              </w:rPr>
              <w:t>减振、</w:t>
            </w:r>
            <w:r>
              <w:rPr>
                <w:rFonts w:hint="default" w:ascii="Times New Roman" w:hAnsi="Times New Roman" w:cs="Times New Roman"/>
                <w:color w:val="auto"/>
                <w:kern w:val="0"/>
                <w:sz w:val="24"/>
                <w:highlight w:val="none"/>
                <w:lang w:val="en-US" w:eastAsia="zh-CN"/>
              </w:rPr>
              <w:t>厂房建筑</w:t>
            </w:r>
            <w:r>
              <w:rPr>
                <w:rFonts w:hint="default" w:ascii="Times New Roman" w:hAnsi="Times New Roman" w:eastAsia="宋体" w:cs="Times New Roman"/>
                <w:color w:val="auto"/>
                <w:kern w:val="0"/>
                <w:sz w:val="24"/>
                <w:highlight w:val="none"/>
              </w:rPr>
              <w:t>隔声</w:t>
            </w:r>
            <w:r>
              <w:rPr>
                <w:rFonts w:hint="default" w:ascii="Times New Roman" w:hAnsi="Times New Roman" w:eastAsia="宋体" w:cs="Times New Roman"/>
                <w:color w:val="auto"/>
                <w:kern w:val="0"/>
                <w:sz w:val="24"/>
                <w:highlight w:val="none"/>
                <w:lang w:eastAsia="zh-CN"/>
              </w:rPr>
              <w:t>等</w:t>
            </w:r>
            <w:r>
              <w:rPr>
                <w:rFonts w:hint="default" w:ascii="Times New Roman" w:hAnsi="Times New Roman" w:eastAsia="宋体" w:cs="Times New Roman"/>
                <w:color w:val="auto"/>
                <w:kern w:val="0"/>
                <w:sz w:val="24"/>
                <w:highlight w:val="none"/>
              </w:rPr>
              <w:t>降噪措施后，</w:t>
            </w:r>
            <w:r>
              <w:rPr>
                <w:rFonts w:hint="default" w:ascii="Times New Roman" w:hAnsi="Times New Roman" w:cs="Times New Roman"/>
                <w:color w:val="auto"/>
                <w:kern w:val="0"/>
                <w:sz w:val="24"/>
                <w:highlight w:val="none"/>
                <w:lang w:val="en-US" w:eastAsia="zh-CN"/>
              </w:rPr>
              <w:t>项目</w:t>
            </w:r>
            <w:r>
              <w:rPr>
                <w:rFonts w:hint="default" w:ascii="Times New Roman" w:hAnsi="Times New Roman" w:eastAsia="宋体" w:cs="Times New Roman"/>
                <w:color w:val="auto"/>
                <w:kern w:val="0"/>
                <w:sz w:val="24"/>
                <w:highlight w:val="none"/>
              </w:rPr>
              <w:t>厂界</w:t>
            </w:r>
            <w:r>
              <w:rPr>
                <w:rFonts w:hint="default" w:ascii="Times New Roman" w:hAnsi="Times New Roman" w:cs="Times New Roman"/>
                <w:color w:val="auto"/>
                <w:kern w:val="0"/>
                <w:sz w:val="24"/>
                <w:highlight w:val="none"/>
                <w:lang w:val="en-US" w:eastAsia="zh-CN"/>
              </w:rPr>
              <w:t>四周</w:t>
            </w:r>
            <w:r>
              <w:rPr>
                <w:rFonts w:hint="default" w:ascii="Times New Roman" w:hAnsi="Times New Roman" w:eastAsia="宋体" w:cs="Times New Roman"/>
                <w:color w:val="auto"/>
                <w:kern w:val="0"/>
                <w:sz w:val="24"/>
                <w:highlight w:val="none"/>
              </w:rPr>
              <w:t>可满足《工业企业厂界环境噪声排放标准》（GB</w:t>
            </w:r>
            <w:r>
              <w:rPr>
                <w:rFonts w:hint="default" w:ascii="Times New Roman" w:hAnsi="Times New Roman" w:eastAsia="宋体" w:cs="Times New Roman"/>
                <w:color w:val="auto"/>
                <w:kern w:val="0"/>
                <w:sz w:val="24"/>
                <w:highlight w:val="none"/>
                <w:lang w:val="en-US" w:eastAsia="zh-CN"/>
              </w:rPr>
              <w:t xml:space="preserve"> </w:t>
            </w:r>
            <w:r>
              <w:rPr>
                <w:rFonts w:hint="default" w:ascii="Times New Roman" w:hAnsi="Times New Roman" w:eastAsia="宋体" w:cs="Times New Roman"/>
                <w:color w:val="auto"/>
                <w:kern w:val="0"/>
                <w:sz w:val="24"/>
                <w:highlight w:val="none"/>
              </w:rPr>
              <w:t>12348-2008）表1中</w:t>
            </w:r>
            <w:r>
              <w:rPr>
                <w:rFonts w:hint="default" w:ascii="Times New Roman" w:hAnsi="Times New Roman" w:cs="Times New Roman"/>
                <w:color w:val="auto"/>
                <w:kern w:val="0"/>
                <w:sz w:val="24"/>
                <w:highlight w:val="none"/>
                <w:lang w:val="en-US" w:eastAsia="zh-CN"/>
              </w:rPr>
              <w:t>2</w:t>
            </w:r>
            <w:r>
              <w:rPr>
                <w:rFonts w:hint="default" w:ascii="Times New Roman" w:hAnsi="Times New Roman" w:eastAsia="宋体" w:cs="Times New Roman"/>
                <w:color w:val="auto"/>
                <w:kern w:val="0"/>
                <w:sz w:val="24"/>
                <w:highlight w:val="none"/>
              </w:rPr>
              <w:t>类标准要求</w:t>
            </w:r>
            <w:r>
              <w:rPr>
                <w:rFonts w:hint="default" w:ascii="Times New Roman" w:hAnsi="Times New Roman" w:cs="Times New Roman"/>
                <w:color w:val="auto"/>
                <w:kern w:val="0"/>
                <w:sz w:val="24"/>
                <w:highlight w:val="none"/>
                <w:lang w:eastAsia="zh-CN"/>
              </w:rPr>
              <w:t>；</w:t>
            </w:r>
            <w:r>
              <w:rPr>
                <w:rFonts w:hint="default" w:ascii="Times New Roman" w:hAnsi="Times New Roman" w:eastAsia="宋体" w:cs="Times New Roman"/>
                <w:color w:val="auto"/>
                <w:sz w:val="24"/>
                <w:szCs w:val="24"/>
                <w:highlight w:val="none"/>
                <w:lang w:eastAsia="zh-CN"/>
              </w:rPr>
              <w:t>周围敏感点噪声能够满足</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声环境</w:t>
            </w:r>
            <w:r>
              <w:rPr>
                <w:rFonts w:hint="default" w:ascii="Times New Roman" w:hAnsi="Times New Roman" w:cs="Times New Roman"/>
                <w:color w:val="auto"/>
                <w:sz w:val="24"/>
                <w:szCs w:val="24"/>
                <w:highlight w:val="none"/>
              </w:rPr>
              <w:t>质量标准》（GB309</w:t>
            </w:r>
            <w:r>
              <w:rPr>
                <w:rFonts w:hint="default"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-20</w:t>
            </w:r>
            <w:r>
              <w:rPr>
                <w:rFonts w:hint="default" w:ascii="Times New Roman" w:hAnsi="Times New Roman" w:cs="Times New Roman"/>
                <w:color w:val="auto"/>
                <w:sz w:val="24"/>
                <w:szCs w:val="24"/>
                <w:highlight w:val="none"/>
                <w:lang w:val="en-US" w:eastAsia="zh-CN"/>
              </w:rPr>
              <w:t>08</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2类标准限值</w:t>
            </w:r>
            <w:r>
              <w:rPr>
                <w:rFonts w:hint="default" w:ascii="Times New Roman" w:hAnsi="Times New Roman" w:eastAsia="宋体" w:cs="Times New Roman"/>
                <w:color w:val="auto"/>
                <w:sz w:val="24"/>
                <w:szCs w:val="24"/>
                <w:highlight w:val="none"/>
              </w:rPr>
              <w:t>，对周围的环境影响较小</w:t>
            </w:r>
            <w:r>
              <w:rPr>
                <w:rFonts w:hint="default" w:ascii="Times New Roman" w:hAnsi="Times New Roman" w:cs="Times New Roman"/>
                <w:color w:val="auto"/>
                <w:sz w:val="24"/>
                <w:szCs w:val="24"/>
                <w:highlight w:val="none"/>
              </w:rPr>
              <w:t>。</w:t>
            </w:r>
          </w:p>
          <w:p w14:paraId="0446D969">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eastAsia="宋体" w:cs="Times New Roman"/>
                <w:b/>
                <w:color w:val="auto"/>
                <w:spacing w:val="0"/>
                <w:kern w:val="0"/>
                <w:sz w:val="24"/>
                <w:highlight w:val="none"/>
              </w:rPr>
            </w:pPr>
            <w:r>
              <w:rPr>
                <w:rFonts w:hint="default" w:ascii="Times New Roman" w:hAnsi="Times New Roman" w:eastAsia="宋体" w:cs="Times New Roman"/>
                <w:b/>
                <w:color w:val="auto"/>
                <w:spacing w:val="0"/>
                <w:kern w:val="0"/>
                <w:sz w:val="24"/>
                <w:highlight w:val="none"/>
                <w:lang w:val="en-US" w:eastAsia="zh-CN"/>
              </w:rPr>
              <w:t>3.4</w:t>
            </w:r>
            <w:r>
              <w:rPr>
                <w:rFonts w:hint="default" w:ascii="Times New Roman" w:hAnsi="Times New Roman" w:eastAsia="宋体" w:cs="Times New Roman"/>
                <w:b/>
                <w:color w:val="auto"/>
                <w:spacing w:val="0"/>
                <w:kern w:val="0"/>
                <w:sz w:val="24"/>
                <w:highlight w:val="none"/>
              </w:rPr>
              <w:t>噪声监测要求</w:t>
            </w:r>
          </w:p>
          <w:p w14:paraId="1800C7DC">
            <w:pPr>
              <w:adjustRightInd w:val="0"/>
              <w:snapToGrid w:val="0"/>
              <w:spacing w:line="360" w:lineRule="auto"/>
              <w:ind w:firstLine="480" w:firstLineChars="200"/>
              <w:rPr>
                <w:rFonts w:hint="default" w:ascii="Times New Roman" w:hAnsi="Times New Roman" w:eastAsia="宋体" w:cs="Times New Roman"/>
                <w:color w:val="auto"/>
                <w:spacing w:val="0"/>
                <w:sz w:val="24"/>
                <w:szCs w:val="21"/>
                <w:highlight w:val="none"/>
              </w:rPr>
            </w:pPr>
            <w:r>
              <w:rPr>
                <w:rFonts w:hint="default" w:ascii="Times New Roman" w:hAnsi="Times New Roman" w:eastAsia="宋体" w:cs="Times New Roman"/>
                <w:color w:val="auto"/>
                <w:spacing w:val="0"/>
                <w:sz w:val="24"/>
                <w:szCs w:val="21"/>
                <w:highlight w:val="none"/>
              </w:rPr>
              <w:t>依据</w:t>
            </w:r>
            <w:r>
              <w:rPr>
                <w:rFonts w:hint="default" w:ascii="Times New Roman" w:hAnsi="Times New Roman" w:eastAsia="宋体" w:cs="Times New Roman"/>
                <w:color w:val="auto"/>
                <w:spacing w:val="0"/>
                <w:sz w:val="24"/>
                <w:szCs w:val="21"/>
                <w:highlight w:val="none"/>
                <w:lang w:val="en-US" w:eastAsia="zh-CN"/>
              </w:rPr>
              <w:t>《</w:t>
            </w:r>
            <w:r>
              <w:rPr>
                <w:rFonts w:hint="default" w:ascii="Times New Roman" w:hAnsi="Times New Roman" w:eastAsia="宋体" w:cs="Times New Roman"/>
                <w:color w:val="auto"/>
                <w:spacing w:val="0"/>
                <w:sz w:val="24"/>
                <w:szCs w:val="21"/>
                <w:highlight w:val="none"/>
                <w:lang w:val="en-US" w:eastAsia="zh-CN"/>
              </w:rPr>
              <w:fldChar w:fldCharType="begin"/>
            </w:r>
            <w:r>
              <w:rPr>
                <w:rFonts w:hint="default" w:ascii="Times New Roman" w:hAnsi="Times New Roman" w:eastAsia="宋体" w:cs="Times New Roman"/>
                <w:color w:val="auto"/>
                <w:spacing w:val="0"/>
                <w:sz w:val="24"/>
                <w:szCs w:val="21"/>
                <w:highlight w:val="none"/>
                <w:lang w:val="en-US" w:eastAsia="zh-CN"/>
              </w:rPr>
              <w:instrText xml:space="preserve"> HYPERLINK "https://www.mee.gov.cn/ywgz/fgbz/bz/bzwb/shjbh/xgbzh/201705/W020170511332490849000.pdf" </w:instrText>
            </w:r>
            <w:r>
              <w:rPr>
                <w:rFonts w:hint="default" w:ascii="Times New Roman" w:hAnsi="Times New Roman" w:eastAsia="宋体" w:cs="Times New Roman"/>
                <w:color w:val="auto"/>
                <w:spacing w:val="0"/>
                <w:sz w:val="24"/>
                <w:szCs w:val="21"/>
                <w:highlight w:val="none"/>
                <w:lang w:val="en-US" w:eastAsia="zh-CN"/>
              </w:rPr>
              <w:fldChar w:fldCharType="separate"/>
            </w:r>
            <w:r>
              <w:rPr>
                <w:rFonts w:hint="default" w:ascii="Times New Roman" w:hAnsi="Times New Roman" w:eastAsia="宋体" w:cs="Times New Roman"/>
                <w:color w:val="auto"/>
                <w:spacing w:val="0"/>
                <w:sz w:val="24"/>
                <w:szCs w:val="21"/>
                <w:highlight w:val="none"/>
                <w:lang w:val="en-US" w:eastAsia="zh-CN"/>
              </w:rPr>
              <w:t>排污单位自行监测技术指南 总则》</w:t>
            </w:r>
            <w:r>
              <w:rPr>
                <w:rFonts w:hint="default" w:ascii="Times New Roman" w:hAnsi="Times New Roman" w:cs="Times New Roman"/>
                <w:color w:val="auto"/>
                <w:spacing w:val="0"/>
                <w:sz w:val="24"/>
                <w:szCs w:val="21"/>
                <w:highlight w:val="none"/>
                <w:lang w:val="en-US" w:eastAsia="zh-CN"/>
              </w:rPr>
              <w:t>（</w:t>
            </w:r>
            <w:r>
              <w:rPr>
                <w:rFonts w:hint="default" w:ascii="Times New Roman" w:hAnsi="Times New Roman" w:eastAsia="宋体" w:cs="Times New Roman"/>
                <w:color w:val="auto"/>
                <w:spacing w:val="0"/>
                <w:sz w:val="24"/>
                <w:szCs w:val="21"/>
                <w:highlight w:val="none"/>
                <w:lang w:val="en-US" w:eastAsia="zh-CN"/>
              </w:rPr>
              <w:t>HJ819-2017</w:t>
            </w:r>
            <w:r>
              <w:rPr>
                <w:rFonts w:hint="default" w:ascii="Times New Roman" w:hAnsi="Times New Roman" w:cs="Times New Roman"/>
                <w:color w:val="auto"/>
                <w:spacing w:val="0"/>
                <w:sz w:val="24"/>
                <w:szCs w:val="21"/>
                <w:highlight w:val="none"/>
                <w:lang w:val="en-US" w:eastAsia="zh-CN"/>
              </w:rPr>
              <w:t>）</w:t>
            </w:r>
            <w:r>
              <w:rPr>
                <w:rFonts w:hint="default" w:ascii="Times New Roman" w:hAnsi="Times New Roman" w:eastAsia="宋体" w:cs="Times New Roman"/>
                <w:color w:val="auto"/>
                <w:spacing w:val="0"/>
                <w:sz w:val="24"/>
                <w:szCs w:val="21"/>
                <w:highlight w:val="none"/>
                <w:lang w:val="en-US" w:eastAsia="zh-CN"/>
              </w:rPr>
              <w:fldChar w:fldCharType="end"/>
            </w:r>
            <w:r>
              <w:rPr>
                <w:rFonts w:hint="default" w:ascii="Times New Roman" w:hAnsi="Times New Roman" w:eastAsia="宋体" w:cs="Times New Roman"/>
                <w:color w:val="auto"/>
                <w:spacing w:val="0"/>
                <w:sz w:val="24"/>
                <w:szCs w:val="21"/>
                <w:highlight w:val="none"/>
              </w:rPr>
              <w:t>要求，运营期噪声监测计划如下：</w:t>
            </w:r>
          </w:p>
          <w:p w14:paraId="23C58C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rPr>
            </w:pPr>
            <w:r>
              <w:rPr>
                <w:rFonts w:hint="default" w:ascii="Times New Roman" w:hAnsi="Times New Roman" w:eastAsia="宋体" w:cs="Times New Roman"/>
                <w:b/>
                <w:color w:val="auto"/>
                <w:spacing w:val="0"/>
                <w:sz w:val="21"/>
                <w:szCs w:val="21"/>
                <w:highlight w:val="none"/>
              </w:rPr>
              <w:t>表4-</w:t>
            </w:r>
            <w:r>
              <w:rPr>
                <w:rFonts w:hint="default" w:ascii="Times New Roman" w:hAnsi="Times New Roman" w:eastAsia="宋体" w:cs="Times New Roman"/>
                <w:b/>
                <w:color w:val="auto"/>
                <w:spacing w:val="0"/>
                <w:sz w:val="21"/>
                <w:szCs w:val="21"/>
                <w:highlight w:val="none"/>
                <w:lang w:val="en-US" w:eastAsia="zh-CN"/>
              </w:rPr>
              <w:t>1</w:t>
            </w:r>
            <w:r>
              <w:rPr>
                <w:rFonts w:hint="eastAsia" w:ascii="Times New Roman" w:hAnsi="Times New Roman" w:cs="Times New Roman"/>
                <w:b/>
                <w:color w:val="auto"/>
                <w:spacing w:val="0"/>
                <w:sz w:val="21"/>
                <w:szCs w:val="21"/>
                <w:highlight w:val="none"/>
                <w:lang w:val="en-US" w:eastAsia="zh-CN"/>
              </w:rPr>
              <w:t>6</w:t>
            </w:r>
            <w:r>
              <w:rPr>
                <w:rFonts w:hint="default" w:ascii="Times New Roman" w:hAnsi="Times New Roman" w:eastAsia="宋体" w:cs="Times New Roman"/>
                <w:b/>
                <w:color w:val="auto"/>
                <w:spacing w:val="0"/>
                <w:sz w:val="21"/>
                <w:szCs w:val="21"/>
                <w:highlight w:val="none"/>
              </w:rPr>
              <w:t xml:space="preserve"> 噪声监测要求</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55"/>
              <w:gridCol w:w="2572"/>
              <w:gridCol w:w="1843"/>
            </w:tblGrid>
            <w:tr w14:paraId="24E7C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264" w:type="pct"/>
                  <w:tcBorders>
                    <w:top w:val="single" w:color="auto" w:sz="12" w:space="0"/>
                    <w:left w:val="nil"/>
                    <w:bottom w:val="single" w:color="auto" w:sz="8" w:space="0"/>
                  </w:tcBorders>
                  <w:noWrap w:val="0"/>
                  <w:vAlign w:val="center"/>
                </w:tcPr>
                <w:p w14:paraId="11D56F9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kern w:val="2"/>
                      <w:sz w:val="21"/>
                      <w:szCs w:val="21"/>
                      <w:highlight w:val="none"/>
                      <w:lang w:val="en-US" w:eastAsia="zh-CN" w:bidi="ar-SA"/>
                    </w:rPr>
                  </w:pPr>
                  <w:r>
                    <w:rPr>
                      <w:rFonts w:hint="default" w:ascii="Times New Roman" w:hAnsi="Times New Roman" w:eastAsia="宋体" w:cs="Times New Roman"/>
                      <w:b/>
                      <w:color w:val="auto"/>
                      <w:spacing w:val="0"/>
                      <w:sz w:val="21"/>
                      <w:szCs w:val="21"/>
                      <w:highlight w:val="none"/>
                    </w:rPr>
                    <w:t>噪声监测点位</w:t>
                  </w:r>
                </w:p>
              </w:tc>
              <w:tc>
                <w:tcPr>
                  <w:tcW w:w="1593" w:type="pct"/>
                  <w:tcBorders>
                    <w:top w:val="single" w:color="auto" w:sz="12" w:space="0"/>
                    <w:bottom w:val="single" w:color="auto" w:sz="8" w:space="0"/>
                  </w:tcBorders>
                  <w:noWrap w:val="0"/>
                  <w:vAlign w:val="center"/>
                </w:tcPr>
                <w:p w14:paraId="0F4F67C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kern w:val="2"/>
                      <w:sz w:val="21"/>
                      <w:szCs w:val="21"/>
                      <w:highlight w:val="none"/>
                      <w:lang w:val="en-US" w:eastAsia="zh-CN" w:bidi="ar-SA"/>
                    </w:rPr>
                  </w:pPr>
                  <w:r>
                    <w:rPr>
                      <w:rFonts w:hint="default" w:ascii="Times New Roman" w:hAnsi="Times New Roman" w:eastAsia="宋体" w:cs="Times New Roman"/>
                      <w:b/>
                      <w:color w:val="auto"/>
                      <w:spacing w:val="0"/>
                      <w:sz w:val="21"/>
                      <w:szCs w:val="21"/>
                      <w:highlight w:val="none"/>
                    </w:rPr>
                    <w:t>监测周期</w:t>
                  </w:r>
                </w:p>
              </w:tc>
              <w:tc>
                <w:tcPr>
                  <w:tcW w:w="1141" w:type="pct"/>
                  <w:tcBorders>
                    <w:top w:val="single" w:color="auto" w:sz="12" w:space="0"/>
                    <w:bottom w:val="single" w:color="auto" w:sz="8" w:space="0"/>
                    <w:right w:val="nil"/>
                  </w:tcBorders>
                  <w:noWrap w:val="0"/>
                  <w:vAlign w:val="center"/>
                </w:tcPr>
                <w:p w14:paraId="0E8CD7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kern w:val="2"/>
                      <w:sz w:val="21"/>
                      <w:szCs w:val="21"/>
                      <w:highlight w:val="none"/>
                      <w:lang w:val="en-US" w:eastAsia="zh-CN" w:bidi="ar-SA"/>
                    </w:rPr>
                  </w:pPr>
                  <w:r>
                    <w:rPr>
                      <w:rFonts w:hint="default" w:ascii="Times New Roman" w:hAnsi="Times New Roman" w:eastAsia="宋体" w:cs="Times New Roman"/>
                      <w:b/>
                      <w:color w:val="auto"/>
                      <w:spacing w:val="0"/>
                      <w:sz w:val="21"/>
                      <w:szCs w:val="21"/>
                      <w:highlight w:val="none"/>
                    </w:rPr>
                    <w:t>监测频次</w:t>
                  </w:r>
                </w:p>
              </w:tc>
            </w:tr>
            <w:tr w14:paraId="1DCF6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264" w:type="pct"/>
                  <w:tcBorders>
                    <w:top w:val="single" w:color="auto" w:sz="8" w:space="0"/>
                    <w:left w:val="nil"/>
                    <w:bottom w:val="single" w:color="auto" w:sz="12" w:space="0"/>
                  </w:tcBorders>
                  <w:noWrap w:val="0"/>
                  <w:vAlign w:val="center"/>
                </w:tcPr>
                <w:p w14:paraId="159E8A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东侧、南侧、西侧、北侧厂界外1m</w:t>
                  </w:r>
                </w:p>
              </w:tc>
              <w:tc>
                <w:tcPr>
                  <w:tcW w:w="1593" w:type="pct"/>
                  <w:tcBorders>
                    <w:top w:val="single" w:color="auto" w:sz="8" w:space="0"/>
                    <w:bottom w:val="single" w:color="auto" w:sz="12" w:space="0"/>
                  </w:tcBorders>
                  <w:noWrap w:val="0"/>
                  <w:vAlign w:val="center"/>
                </w:tcPr>
                <w:p w14:paraId="01CBA63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1天</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昼、夜间各一次</w:t>
                  </w:r>
                  <w:r>
                    <w:rPr>
                      <w:rFonts w:hint="default" w:ascii="Times New Roman" w:hAnsi="Times New Roman" w:cs="Times New Roman"/>
                      <w:color w:val="auto"/>
                      <w:spacing w:val="0"/>
                      <w:sz w:val="21"/>
                      <w:szCs w:val="21"/>
                      <w:highlight w:val="none"/>
                      <w:lang w:eastAsia="zh-CN"/>
                    </w:rPr>
                    <w:t>）</w:t>
                  </w:r>
                </w:p>
              </w:tc>
              <w:tc>
                <w:tcPr>
                  <w:tcW w:w="1141" w:type="pct"/>
                  <w:tcBorders>
                    <w:top w:val="single" w:color="auto" w:sz="8" w:space="0"/>
                    <w:bottom w:val="single" w:color="auto" w:sz="12" w:space="0"/>
                    <w:right w:val="nil"/>
                  </w:tcBorders>
                  <w:noWrap w:val="0"/>
                  <w:vAlign w:val="center"/>
                </w:tcPr>
                <w:p w14:paraId="0F589B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1次/季度</w:t>
                  </w:r>
                </w:p>
              </w:tc>
            </w:tr>
          </w:tbl>
          <w:p w14:paraId="17111FDA">
            <w:pPr>
              <w:spacing w:line="360" w:lineRule="auto"/>
              <w:ind w:left="0" w:leftChars="0" w:firstLine="0" w:firstLineChars="0"/>
              <w:rPr>
                <w:rFonts w:hint="default" w:ascii="Times New Roman" w:hAnsi="Times New Roman" w:eastAsia="宋体"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4.</w:t>
            </w:r>
            <w:r>
              <w:rPr>
                <w:rFonts w:hint="default" w:ascii="Times New Roman" w:hAnsi="Times New Roman" w:eastAsia="宋体" w:cs="Times New Roman"/>
                <w:b/>
                <w:bCs w:val="0"/>
                <w:color w:val="auto"/>
                <w:spacing w:val="0"/>
                <w:sz w:val="24"/>
                <w:szCs w:val="24"/>
                <w:highlight w:val="none"/>
                <w:lang w:val="en-US" w:eastAsia="zh-CN"/>
              </w:rPr>
              <w:t>固体废物</w:t>
            </w:r>
          </w:p>
          <w:p w14:paraId="2697E4C6">
            <w:pPr>
              <w:spacing w:line="360" w:lineRule="auto"/>
              <w:ind w:firstLine="480" w:firstLineChars="200"/>
              <w:rPr>
                <w:rFonts w:hint="default" w:ascii="Times New Roman" w:hAnsi="Times New Roman" w:eastAsia="宋体" w:cs="Times New Roman"/>
                <w:color w:val="auto"/>
                <w:spacing w:val="0"/>
                <w:szCs w:val="21"/>
                <w:highlight w:val="none"/>
                <w:lang w:eastAsia="zh-CN"/>
              </w:rPr>
            </w:pPr>
            <w:r>
              <w:rPr>
                <w:rFonts w:hint="default" w:ascii="Times New Roman" w:hAnsi="Times New Roman" w:eastAsia="宋体" w:cs="Times New Roman"/>
                <w:color w:val="auto"/>
                <w:spacing w:val="0"/>
                <w:sz w:val="24"/>
                <w:highlight w:val="none"/>
              </w:rPr>
              <w:t>本项目营运期产生的固体废物包括一般工业固体废物</w:t>
            </w:r>
            <w:r>
              <w:rPr>
                <w:rFonts w:hint="default" w:ascii="Times New Roman" w:hAnsi="Times New Roman" w:cs="Times New Roman"/>
                <w:color w:val="auto"/>
                <w:spacing w:val="0"/>
                <w:sz w:val="24"/>
                <w:highlight w:val="none"/>
                <w:lang w:val="en-US" w:eastAsia="zh-CN"/>
              </w:rPr>
              <w:t>和危险废物</w:t>
            </w:r>
            <w:r>
              <w:rPr>
                <w:rFonts w:hint="default" w:ascii="Times New Roman" w:hAnsi="Times New Roman" w:cs="Times New Roman"/>
                <w:color w:val="auto"/>
                <w:spacing w:val="0"/>
                <w:sz w:val="24"/>
                <w:highlight w:val="none"/>
                <w:lang w:eastAsia="zh-CN"/>
              </w:rPr>
              <w:t>。</w:t>
            </w:r>
          </w:p>
          <w:p w14:paraId="7818804F">
            <w:pPr>
              <w:keepNext w:val="0"/>
              <w:keepLines w:val="0"/>
              <w:pageBreakBefore w:val="0"/>
              <w:widowControl w:val="0"/>
              <w:kinsoku/>
              <w:wordWrap/>
              <w:overflowPunct/>
              <w:topLinePunct w:val="0"/>
              <w:autoSpaceDE/>
              <w:autoSpaceDN/>
              <w:bidi w:val="0"/>
              <w:adjustRightInd w:val="0"/>
              <w:snapToGrid w:val="0"/>
              <w:spacing w:line="360" w:lineRule="auto"/>
              <w:ind w:left="0" w:leftChars="0" w:right="72" w:rightChars="30" w:firstLine="482" w:firstLineChars="200"/>
              <w:jc w:val="left"/>
              <w:textAlignment w:val="auto"/>
              <w:rPr>
                <w:rFonts w:hint="default" w:ascii="Times New Roman" w:hAnsi="Times New Roman" w:eastAsia="宋体" w:cs="Times New Roman"/>
                <w:b/>
                <w:bCs/>
                <w:color w:val="auto"/>
                <w:spacing w:val="0"/>
                <w:sz w:val="24"/>
                <w:highlight w:val="none"/>
              </w:rPr>
            </w:pPr>
            <w:r>
              <w:rPr>
                <w:rFonts w:hint="default" w:ascii="Times New Roman" w:hAnsi="Times New Roman" w:eastAsia="宋体" w:cs="Times New Roman"/>
                <w:b/>
                <w:bCs/>
                <w:color w:val="auto"/>
                <w:spacing w:val="0"/>
                <w:sz w:val="24"/>
                <w:highlight w:val="none"/>
              </w:rPr>
              <w:t>4.1一般工业固体废物影响分析</w:t>
            </w:r>
          </w:p>
          <w:p w14:paraId="545A62F5">
            <w:pPr>
              <w:spacing w:line="360" w:lineRule="auto"/>
              <w:ind w:right="72" w:rightChars="30" w:firstLine="480" w:firstLineChars="200"/>
              <w:jc w:val="left"/>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rPr>
              <w:t>本项目</w:t>
            </w:r>
            <w:r>
              <w:rPr>
                <w:rFonts w:hint="default" w:ascii="Times New Roman" w:hAnsi="Times New Roman" w:eastAsia="宋体" w:cs="Times New Roman"/>
                <w:color w:val="auto"/>
                <w:spacing w:val="0"/>
                <w:sz w:val="24"/>
                <w:szCs w:val="24"/>
                <w:highlight w:val="none"/>
                <w:lang w:val="en-US" w:eastAsia="zh-CN"/>
              </w:rPr>
              <w:t>产生的主要固体废物为</w:t>
            </w:r>
            <w:r>
              <w:rPr>
                <w:rFonts w:hint="default" w:ascii="Times New Roman" w:hAnsi="Times New Roman" w:cs="Times New Roman"/>
                <w:color w:val="auto"/>
                <w:spacing w:val="0"/>
                <w:sz w:val="24"/>
                <w:szCs w:val="24"/>
                <w:highlight w:val="none"/>
                <w:lang w:val="en-US" w:eastAsia="zh-CN"/>
              </w:rPr>
              <w:t>废布袋、锅炉灰渣、</w:t>
            </w:r>
            <w:r>
              <w:rPr>
                <w:rFonts w:hint="eastAsia" w:ascii="Times New Roman" w:hAnsi="Times New Roman" w:cs="Times New Roman"/>
                <w:color w:val="auto"/>
                <w:spacing w:val="0"/>
                <w:sz w:val="24"/>
                <w:szCs w:val="24"/>
                <w:highlight w:val="none"/>
                <w:lang w:val="en-US" w:eastAsia="zh-CN"/>
              </w:rPr>
              <w:t>废离子交换树脂、</w:t>
            </w:r>
            <w:r>
              <w:rPr>
                <w:rFonts w:hint="default" w:ascii="Times New Roman" w:hAnsi="Times New Roman" w:cs="Times New Roman"/>
                <w:color w:val="auto"/>
                <w:spacing w:val="0"/>
                <w:sz w:val="24"/>
                <w:szCs w:val="24"/>
                <w:highlight w:val="none"/>
                <w:lang w:val="en-US" w:eastAsia="zh-CN"/>
              </w:rPr>
              <w:t>除尘器集尘、废机油、废油桶、含油抹布</w:t>
            </w:r>
            <w:r>
              <w:rPr>
                <w:rFonts w:hint="default" w:ascii="Times New Roman" w:hAnsi="Times New Roman" w:eastAsia="宋体" w:cs="Times New Roman"/>
                <w:color w:val="auto"/>
                <w:spacing w:val="0"/>
                <w:sz w:val="24"/>
                <w:szCs w:val="24"/>
                <w:highlight w:val="none"/>
                <w:lang w:val="en-US" w:eastAsia="zh-CN"/>
              </w:rPr>
              <w:t>。</w:t>
            </w:r>
          </w:p>
          <w:p w14:paraId="621728D3">
            <w:pPr>
              <w:adjustRightInd w:val="0"/>
              <w:snapToGrid w:val="0"/>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w:t>
            </w:r>
            <w:r>
              <w:rPr>
                <w:rFonts w:hint="default" w:ascii="Times New Roman" w:hAnsi="Times New Roman" w:cs="Times New Roman"/>
                <w:color w:val="auto"/>
                <w:kern w:val="0"/>
                <w:sz w:val="24"/>
                <w:highlight w:val="none"/>
                <w:lang w:val="en-US" w:eastAsia="zh-CN"/>
              </w:rPr>
              <w:t>1</w:t>
            </w:r>
            <w:r>
              <w:rPr>
                <w:rFonts w:hint="default" w:ascii="Times New Roman" w:hAnsi="Times New Roman" w:cs="Times New Roman"/>
                <w:color w:val="auto"/>
                <w:kern w:val="0"/>
                <w:sz w:val="24"/>
                <w:highlight w:val="none"/>
              </w:rPr>
              <w:t>）锅炉炉渣</w:t>
            </w:r>
          </w:p>
          <w:p w14:paraId="0E18579A">
            <w:pPr>
              <w:adjustRightInd w:val="0"/>
              <w:snapToGrid w:val="0"/>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根据《污染源源强核算技术指南锅炉》（HJ991-2018）中的规定，生物质锅炉灰渣产生量以下式进行计算：</w:t>
            </w:r>
          </w:p>
          <w:p w14:paraId="45C18B40">
            <w:pPr>
              <w:spacing w:line="360" w:lineRule="auto"/>
              <w:ind w:firstLine="482"/>
              <w:jc w:val="center"/>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object>
                <v:shape id="_x0000_i1025" o:spt="75" type="#_x0000_t75" style="height:37.5pt;width:149.25pt;" o:ole="t" filled="f" o:preferrelative="t" stroked="f" coordsize="21600,21600">
                  <v:path/>
                  <v:fill on="f" focussize="0,0"/>
                  <v:stroke on="f"/>
                  <v:imagedata r:id="rId30" o:title=""/>
                  <o:lock v:ext="edit" aspectratio="t"/>
                  <w10:wrap type="none"/>
                  <w10:anchorlock/>
                </v:shape>
                <o:OLEObject Type="Embed" ProgID="Equation.3" ShapeID="_x0000_i1025" DrawAspect="Content" ObjectID="_1468075725" r:id="rId29">
                  <o:LockedField>false</o:LockedField>
                </o:OLEObject>
              </w:object>
            </w:r>
          </w:p>
          <w:p w14:paraId="40C4E31B">
            <w:pPr>
              <w:spacing w:line="360" w:lineRule="auto"/>
              <w:ind w:firstLine="460" w:firstLineChars="192"/>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w:t>
            </w:r>
            <w:r>
              <w:rPr>
                <w:rFonts w:hint="default" w:ascii="Times New Roman" w:hAnsi="Times New Roman" w:cs="Times New Roman"/>
                <w:color w:val="auto"/>
                <w:sz w:val="24"/>
                <w:highlight w:val="none"/>
              </w:rPr>
              <w:object>
                <v:shape id="_x0000_i1026" o:spt="75" type="#_x0000_t75" style="height:17.25pt;width:17.25pt;" o:ole="t" filled="f" o:preferrelative="t" stroked="f" coordsize="21600,21600">
                  <v:path/>
                  <v:fill on="f" focussize="0,0"/>
                  <v:stroke on="f"/>
                  <v:imagedata r:id="rId32" o:title=""/>
                  <o:lock v:ext="edit" aspectratio="t"/>
                  <w10:wrap type="none"/>
                  <w10:anchorlock/>
                </v:shape>
                <o:OLEObject Type="Embed" ProgID="Equation.3" ShapeID="_x0000_i1026" DrawAspect="Content" ObjectID="_1468075726" r:id="rId31">
                  <o:LockedField>false</o:LockedField>
                </o:OLEObject>
              </w:object>
            </w:r>
            <w:r>
              <w:rPr>
                <w:rFonts w:hint="default" w:ascii="Times New Roman" w:hAnsi="Times New Roman" w:cs="Times New Roman"/>
                <w:color w:val="auto"/>
                <w:sz w:val="24"/>
                <w:highlight w:val="none"/>
              </w:rPr>
              <w:t>——核算时段内灰渣产生量；t</w:t>
            </w:r>
          </w:p>
          <w:p w14:paraId="23EDA9AB">
            <w:pPr>
              <w:spacing w:line="360" w:lineRule="auto"/>
              <w:ind w:firstLine="1214" w:firstLineChars="506"/>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object>
                <v:shape id="_x0000_i1027" o:spt="75" type="#_x0000_t75" style="height:12.75pt;width:12.75pt;" o:ole="t" filled="f" o:preferrelative="t" stroked="f" coordsize="21600,21600">
                  <v:path/>
                  <v:fill on="f" focussize="0,0"/>
                  <v:stroke on="f"/>
                  <v:imagedata r:id="rId34" o:title=""/>
                  <o:lock v:ext="edit" aspectratio="t"/>
                  <w10:wrap type="none"/>
                  <w10:anchorlock/>
                </v:shape>
                <o:OLEObject Type="Embed" ProgID="Equation.3" ShapeID="_x0000_i1027" DrawAspect="Content" ObjectID="_1468075727" r:id="rId33">
                  <o:LockedField>false</o:LockedField>
                </o:OLEObject>
              </w:object>
            </w:r>
            <w:r>
              <w:rPr>
                <w:rFonts w:hint="default" w:ascii="Times New Roman" w:hAnsi="Times New Roman" w:cs="Times New Roman"/>
                <w:color w:val="auto"/>
                <w:sz w:val="24"/>
                <w:highlight w:val="none"/>
              </w:rPr>
              <w:t>——核算时段内，锅炉燃料消耗量，t（</w:t>
            </w:r>
            <w:r>
              <w:rPr>
                <w:rFonts w:hint="eastAsia" w:ascii="Times New Roman" w:hAnsi="Times New Roman" w:cs="Times New Roman"/>
                <w:color w:val="auto"/>
                <w:sz w:val="24"/>
                <w:highlight w:val="none"/>
                <w:lang w:val="en-US" w:eastAsia="zh-CN"/>
              </w:rPr>
              <w:t>3020.16</w:t>
            </w:r>
            <w:r>
              <w:rPr>
                <w:rFonts w:hint="default" w:ascii="Times New Roman" w:hAnsi="Times New Roman" w:cs="Times New Roman"/>
                <w:color w:val="auto"/>
                <w:sz w:val="24"/>
                <w:highlight w:val="none"/>
              </w:rPr>
              <w:t>t/a）</w:t>
            </w:r>
          </w:p>
          <w:p w14:paraId="33A5D13C">
            <w:pPr>
              <w:spacing w:line="360" w:lineRule="auto"/>
              <w:ind w:firstLine="1262" w:firstLineChars="526"/>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object>
                <v:shape id="_x0000_i1028" o:spt="75" type="#_x0000_t75" style="height:17.25pt;width:17.25pt;" o:ole="t" filled="f" o:preferrelative="t" stroked="f" coordsize="21600,21600">
                  <v:path/>
                  <v:fill on="f" focussize="0,0"/>
                  <v:stroke on="f"/>
                  <v:imagedata r:id="rId36" o:title=""/>
                  <o:lock v:ext="edit" aspectratio="t"/>
                  <w10:wrap type="none"/>
                  <w10:anchorlock/>
                </v:shape>
                <o:OLEObject Type="Embed" ProgID="Equation.3" ShapeID="_x0000_i1028" DrawAspect="Content" ObjectID="_1468075728" r:id="rId35">
                  <o:LockedField>false</o:LockedField>
                </o:OLEObject>
              </w:object>
            </w:r>
            <w:r>
              <w:rPr>
                <w:rFonts w:hint="default" w:ascii="Times New Roman" w:hAnsi="Times New Roman" w:cs="Times New Roman"/>
                <w:color w:val="auto"/>
                <w:sz w:val="24"/>
                <w:highlight w:val="none"/>
              </w:rPr>
              <w:t>——收到基灰分的质量分数，%（</w:t>
            </w:r>
            <w:r>
              <w:rPr>
                <w:rFonts w:hint="default" w:ascii="Times New Roman" w:hAnsi="Times New Roman" w:cs="Times New Roman"/>
                <w:color w:val="auto"/>
                <w:spacing w:val="-10"/>
                <w:sz w:val="24"/>
                <w:szCs w:val="24"/>
                <w:highlight w:val="none"/>
                <w:lang w:val="en-US" w:eastAsia="zh-CN"/>
              </w:rPr>
              <w:t>0.64</w:t>
            </w:r>
            <w:r>
              <w:rPr>
                <w:rFonts w:hint="default" w:ascii="Times New Roman" w:hAnsi="Times New Roman" w:eastAsia="宋体" w:cs="Times New Roman"/>
                <w:color w:val="auto"/>
                <w:spacing w:val="-10"/>
                <w:sz w:val="24"/>
                <w:szCs w:val="24"/>
                <w:highlight w:val="none"/>
              </w:rPr>
              <w:t>%</w:t>
            </w:r>
            <w:r>
              <w:rPr>
                <w:rFonts w:hint="default" w:ascii="Times New Roman" w:hAnsi="Times New Roman" w:cs="Times New Roman"/>
                <w:color w:val="auto"/>
                <w:sz w:val="24"/>
                <w:highlight w:val="none"/>
              </w:rPr>
              <w:t>）</w:t>
            </w:r>
          </w:p>
          <w:p w14:paraId="3DB29123">
            <w:pPr>
              <w:spacing w:line="360" w:lineRule="auto"/>
              <w:ind w:firstLine="1214" w:firstLineChars="506"/>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object>
                <v:shape id="_x0000_i1029" o:spt="75" type="#_x0000_t75" style="height:17.25pt;width:13.5pt;" o:ole="t" filled="f" o:preferrelative="t" stroked="f" coordsize="21600,21600">
                  <v:path/>
                  <v:fill on="f" focussize="0,0"/>
                  <v:stroke on="f"/>
                  <v:imagedata r:id="rId38" o:title=""/>
                  <o:lock v:ext="edit" aspectratio="t"/>
                  <w10:wrap type="none"/>
                  <w10:anchorlock/>
                </v:shape>
                <o:OLEObject Type="Embed" ProgID="Equation.3" ShapeID="_x0000_i1029" DrawAspect="Content" ObjectID="_1468075729" r:id="rId37">
                  <o:LockedField>false</o:LockedField>
                </o:OLEObject>
              </w:object>
            </w:r>
            <w:r>
              <w:rPr>
                <w:rFonts w:hint="default" w:ascii="Times New Roman" w:hAnsi="Times New Roman" w:cs="Times New Roman"/>
                <w:color w:val="auto"/>
                <w:sz w:val="24"/>
                <w:highlight w:val="none"/>
              </w:rPr>
              <w:t>——锅炉机械不完全燃烧热损失，%（取1</w:t>
            </w:r>
            <w:r>
              <w:rPr>
                <w:rFonts w:hint="eastAsia" w:ascii="Times New Roman" w:hAnsi="Times New Roman" w:cs="Times New Roman"/>
                <w:color w:val="auto"/>
                <w:sz w:val="24"/>
                <w:highlight w:val="none"/>
                <w:lang w:val="en-US" w:eastAsia="zh-CN"/>
              </w:rPr>
              <w:t>7</w:t>
            </w:r>
            <w:r>
              <w:rPr>
                <w:rFonts w:hint="default" w:ascii="Times New Roman" w:hAnsi="Times New Roman" w:cs="Times New Roman"/>
                <w:color w:val="auto"/>
                <w:sz w:val="24"/>
                <w:highlight w:val="none"/>
              </w:rPr>
              <w:t>%）</w:t>
            </w:r>
          </w:p>
          <w:p w14:paraId="4AF68B02">
            <w:pPr>
              <w:spacing w:line="360" w:lineRule="auto"/>
              <w:ind w:firstLine="1214" w:firstLineChars="506"/>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object>
                <v:shape id="_x0000_i1030" o:spt="75" type="#_x0000_t75" style="height:19.5pt;width:30pt;" o:ole="t" filled="f" o:preferrelative="t" stroked="f" coordsize="21600,21600">
                  <v:path/>
                  <v:fill on="f" focussize="0,0"/>
                  <v:stroke on="f"/>
                  <v:imagedata r:id="rId40" o:title=""/>
                  <o:lock v:ext="edit" aspectratio="t"/>
                  <w10:wrap type="none"/>
                  <w10:anchorlock/>
                </v:shape>
                <o:OLEObject Type="Embed" ProgID="Equation.3" ShapeID="_x0000_i1030" DrawAspect="Content" ObjectID="_1468075730" r:id="rId39">
                  <o:LockedField>false</o:LockedField>
                </o:OLEObject>
              </w:object>
            </w:r>
            <w:r>
              <w:rPr>
                <w:rFonts w:hint="default" w:ascii="Times New Roman" w:hAnsi="Times New Roman" w:cs="Times New Roman"/>
                <w:color w:val="auto"/>
                <w:sz w:val="24"/>
                <w:highlight w:val="none"/>
              </w:rPr>
              <w:t>——收到基低位发热量，kJ/kg（</w:t>
            </w:r>
            <w:r>
              <w:rPr>
                <w:rFonts w:hint="default" w:ascii="Times New Roman" w:hAnsi="Times New Roman" w:cs="Times New Roman"/>
                <w:caps w:val="0"/>
                <w:color w:val="auto"/>
                <w:sz w:val="24"/>
                <w:highlight w:val="none"/>
                <w:lang w:val="en-US" w:eastAsia="zh-CN"/>
              </w:rPr>
              <w:t>17410</w:t>
            </w:r>
            <w:r>
              <w:rPr>
                <w:rFonts w:hint="default" w:ascii="Times New Roman" w:hAnsi="Times New Roman" w:eastAsia="宋体" w:cs="Times New Roman"/>
                <w:caps w:val="0"/>
                <w:color w:val="auto"/>
                <w:sz w:val="24"/>
                <w:highlight w:val="none"/>
              </w:rPr>
              <w:t>KJ/kg</w:t>
            </w:r>
            <w:r>
              <w:rPr>
                <w:rFonts w:hint="default" w:ascii="Times New Roman" w:hAnsi="Times New Roman" w:cs="Times New Roman"/>
                <w:color w:val="auto"/>
                <w:sz w:val="24"/>
                <w:highlight w:val="none"/>
              </w:rPr>
              <w:t>）</w:t>
            </w:r>
          </w:p>
          <w:p w14:paraId="06436FEC">
            <w:pPr>
              <w:adjustRightInd w:val="0"/>
              <w:snapToGrid w:val="0"/>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kern w:val="0"/>
                <w:sz w:val="24"/>
                <w:highlight w:val="none"/>
              </w:rPr>
              <w:t>计算公式后最终求得本项目生物质锅炉灰和炉渣产生量为</w:t>
            </w:r>
            <w:r>
              <w:rPr>
                <w:rFonts w:hint="eastAsia" w:ascii="Times New Roman" w:hAnsi="Times New Roman" w:cs="Times New Roman"/>
                <w:color w:val="auto"/>
                <w:kern w:val="0"/>
                <w:sz w:val="24"/>
                <w:highlight w:val="none"/>
                <w:lang w:val="en-US" w:eastAsia="zh-CN"/>
              </w:rPr>
              <w:t>21.97</w:t>
            </w:r>
            <w:r>
              <w:rPr>
                <w:rFonts w:hint="default" w:ascii="Times New Roman" w:hAnsi="Times New Roman" w:cs="Times New Roman"/>
                <w:color w:val="auto"/>
                <w:kern w:val="0"/>
                <w:sz w:val="24"/>
                <w:highlight w:val="none"/>
              </w:rPr>
              <w:t>t/a，锅炉灰和炉渣</w:t>
            </w:r>
            <w:r>
              <w:rPr>
                <w:rFonts w:hint="default" w:ascii="Times New Roman" w:hAnsi="Times New Roman" w:cs="Times New Roman"/>
                <w:color w:val="auto"/>
                <w:sz w:val="24"/>
                <w:highlight w:val="none"/>
              </w:rPr>
              <w:t>暂存于封闭</w:t>
            </w:r>
            <w:r>
              <w:rPr>
                <w:rFonts w:hint="default" w:ascii="Times New Roman" w:hAnsi="Times New Roman" w:cs="Times New Roman"/>
                <w:color w:val="auto"/>
                <w:highlight w:val="none"/>
                <w:lang w:val="en-US" w:eastAsia="zh-CN"/>
              </w:rPr>
              <w:t>灰渣</w:t>
            </w:r>
            <w:r>
              <w:rPr>
                <w:rFonts w:hint="eastAsia" w:cs="Times New Roman"/>
                <w:color w:val="auto"/>
                <w:highlight w:val="none"/>
                <w:lang w:val="en-US" w:eastAsia="zh-CN"/>
              </w:rPr>
              <w:t>贮存间</w:t>
            </w:r>
            <w:r>
              <w:rPr>
                <w:rFonts w:hint="default" w:ascii="Times New Roman" w:hAnsi="Times New Roman" w:cs="Times New Roman"/>
                <w:color w:val="auto"/>
                <w:kern w:val="0"/>
                <w:sz w:val="24"/>
                <w:highlight w:val="none"/>
              </w:rPr>
              <w:t>内</w:t>
            </w:r>
            <w:r>
              <w:rPr>
                <w:rFonts w:hint="default" w:ascii="Times New Roman" w:hAnsi="Times New Roman" w:cs="Times New Roman"/>
                <w:color w:val="auto"/>
                <w:sz w:val="24"/>
                <w:highlight w:val="none"/>
              </w:rPr>
              <w:t>，</w:t>
            </w:r>
            <w:r>
              <w:rPr>
                <w:rFonts w:hint="default" w:ascii="Times New Roman" w:hAnsi="Times New Roman" w:cs="Times New Roman"/>
                <w:bCs/>
                <w:color w:val="auto"/>
                <w:kern w:val="0"/>
                <w:sz w:val="24"/>
                <w:highlight w:val="none"/>
              </w:rPr>
              <w:t>定期外售综合利用</w:t>
            </w:r>
            <w:r>
              <w:rPr>
                <w:rFonts w:hint="default" w:ascii="Times New Roman" w:hAnsi="Times New Roman" w:cs="Times New Roman"/>
                <w:color w:val="auto"/>
                <w:kern w:val="0"/>
                <w:sz w:val="24"/>
                <w:highlight w:val="none"/>
              </w:rPr>
              <w:t>。</w:t>
            </w:r>
            <w:r>
              <w:rPr>
                <w:rFonts w:hint="default" w:ascii="Times New Roman" w:hAnsi="Times New Roman" w:cs="Times New Roman"/>
                <w:color w:val="auto"/>
                <w:kern w:val="0"/>
                <w:sz w:val="24"/>
                <w:highlight w:val="none"/>
                <w:lang w:val="en-US" w:eastAsia="zh-CN"/>
              </w:rPr>
              <w:t>废物种类为SW03炉渣，废物代码为900-099-S03。</w:t>
            </w:r>
          </w:p>
          <w:p w14:paraId="2B176726">
            <w:pPr>
              <w:keepNext w:val="0"/>
              <w:keepLines w:val="0"/>
              <w:pageBreakBefore w:val="0"/>
              <w:widowControl w:val="0"/>
              <w:kinsoku/>
              <w:wordWrap/>
              <w:overflowPunct/>
              <w:topLinePunct w:val="0"/>
              <w:autoSpaceDE/>
              <w:autoSpaceDN/>
              <w:bidi w:val="0"/>
              <w:adjustRightInd/>
              <w:snapToGrid/>
              <w:spacing w:line="360" w:lineRule="auto"/>
              <w:ind w:right="72" w:rightChars="30" w:firstLine="480" w:firstLineChars="200"/>
              <w:jc w:val="both"/>
              <w:textAlignment w:val="auto"/>
              <w:rPr>
                <w:rFonts w:hint="default" w:ascii="Times New Roman" w:hAnsi="Times New Roman" w:eastAsia="宋体" w:cs="Times New Roman"/>
                <w:caps w:val="0"/>
                <w:color w:val="auto"/>
                <w:sz w:val="24"/>
                <w:highlight w:val="none"/>
                <w:lang w:val="en-US" w:eastAsia="zh-CN"/>
              </w:rPr>
            </w:pPr>
            <w:r>
              <w:rPr>
                <w:rFonts w:hint="default" w:ascii="Times New Roman" w:hAnsi="Times New Roman" w:eastAsia="宋体" w:cs="Times New Roman"/>
                <w:caps w:val="0"/>
                <w:color w:val="auto"/>
                <w:sz w:val="24"/>
                <w:highlight w:val="none"/>
                <w:lang w:val="en-US" w:eastAsia="zh-CN"/>
              </w:rPr>
              <w:t>（</w:t>
            </w:r>
            <w:r>
              <w:rPr>
                <w:rFonts w:hint="eastAsia" w:ascii="Times New Roman" w:hAnsi="Times New Roman" w:cs="Times New Roman"/>
                <w:caps w:val="0"/>
                <w:color w:val="auto"/>
                <w:sz w:val="24"/>
                <w:highlight w:val="none"/>
                <w:lang w:val="en-US" w:eastAsia="zh-CN"/>
              </w:rPr>
              <w:t>2</w:t>
            </w:r>
            <w:r>
              <w:rPr>
                <w:rFonts w:hint="default" w:ascii="Times New Roman" w:hAnsi="Times New Roman" w:eastAsia="宋体" w:cs="Times New Roman"/>
                <w:caps w:val="0"/>
                <w:color w:val="auto"/>
                <w:sz w:val="24"/>
                <w:highlight w:val="none"/>
                <w:lang w:val="en-US" w:eastAsia="zh-CN"/>
              </w:rPr>
              <w:t>）废布袋</w:t>
            </w:r>
          </w:p>
          <w:p w14:paraId="03C3137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aps w:val="0"/>
                <w:color w:val="auto"/>
                <w:sz w:val="24"/>
                <w:highlight w:val="none"/>
                <w:lang w:val="en-US" w:eastAsia="zh-CN"/>
              </w:rPr>
            </w:pPr>
            <w:r>
              <w:rPr>
                <w:rFonts w:hint="default" w:ascii="Times New Roman" w:hAnsi="Times New Roman" w:cs="Times New Roman"/>
                <w:caps w:val="0"/>
                <w:color w:val="auto"/>
                <w:sz w:val="24"/>
                <w:highlight w:val="none"/>
                <w:lang w:val="en-US" w:eastAsia="zh-CN"/>
              </w:rPr>
              <w:t>布袋除尘器</w:t>
            </w:r>
            <w:r>
              <w:rPr>
                <w:rFonts w:hint="default" w:ascii="Times New Roman" w:hAnsi="Times New Roman" w:eastAsia="宋体" w:cs="Times New Roman"/>
                <w:caps w:val="0"/>
                <w:color w:val="auto"/>
                <w:sz w:val="24"/>
                <w:highlight w:val="none"/>
                <w:lang w:val="en-US" w:eastAsia="zh-CN"/>
              </w:rPr>
              <w:t>定期更换布袋，保证环保设施的运行效率。本项目约年更换</w:t>
            </w:r>
            <w:r>
              <w:rPr>
                <w:rFonts w:hint="default" w:ascii="Times New Roman" w:hAnsi="Times New Roman" w:cs="Times New Roman"/>
                <w:caps w:val="0"/>
                <w:color w:val="auto"/>
                <w:sz w:val="24"/>
                <w:highlight w:val="none"/>
                <w:lang w:val="en-US" w:eastAsia="zh-CN"/>
              </w:rPr>
              <w:t>5</w:t>
            </w:r>
            <w:r>
              <w:rPr>
                <w:rFonts w:hint="default" w:ascii="Times New Roman" w:hAnsi="Times New Roman" w:eastAsia="宋体" w:cs="Times New Roman"/>
                <w:caps w:val="0"/>
                <w:color w:val="auto"/>
                <w:sz w:val="24"/>
                <w:highlight w:val="none"/>
                <w:lang w:val="en-US" w:eastAsia="zh-CN"/>
              </w:rPr>
              <w:t>条布袋，每条布袋约2kg，则产生废布袋量为0.</w:t>
            </w:r>
            <w:r>
              <w:rPr>
                <w:rFonts w:hint="default" w:ascii="Times New Roman" w:hAnsi="Times New Roman" w:cs="Times New Roman"/>
                <w:caps w:val="0"/>
                <w:color w:val="auto"/>
                <w:sz w:val="24"/>
                <w:highlight w:val="none"/>
                <w:lang w:val="en-US" w:eastAsia="zh-CN"/>
              </w:rPr>
              <w:t>0</w:t>
            </w:r>
            <w:r>
              <w:rPr>
                <w:rFonts w:hint="default" w:ascii="Times New Roman" w:hAnsi="Times New Roman" w:eastAsia="宋体" w:cs="Times New Roman"/>
                <w:caps w:val="0"/>
                <w:color w:val="auto"/>
                <w:sz w:val="24"/>
                <w:highlight w:val="none"/>
                <w:lang w:val="en-US" w:eastAsia="zh-CN"/>
              </w:rPr>
              <w:t>1t/a。产生的废布袋集中收集，</w:t>
            </w:r>
            <w:r>
              <w:rPr>
                <w:rFonts w:hint="default" w:ascii="Times New Roman" w:hAnsi="Times New Roman" w:cs="Times New Roman"/>
                <w:caps w:val="0"/>
                <w:color w:val="auto"/>
                <w:sz w:val="24"/>
                <w:highlight w:val="none"/>
                <w:lang w:val="en-US" w:eastAsia="zh-CN"/>
              </w:rPr>
              <w:t>集中存放与锅炉房内，定期</w:t>
            </w:r>
            <w:r>
              <w:rPr>
                <w:rFonts w:hint="default" w:ascii="Times New Roman" w:hAnsi="Times New Roman" w:eastAsia="宋体" w:cs="Times New Roman"/>
                <w:caps w:val="0"/>
                <w:color w:val="auto"/>
                <w:sz w:val="24"/>
                <w:highlight w:val="none"/>
                <w:lang w:val="en-US" w:eastAsia="zh-CN"/>
              </w:rPr>
              <w:t>由厂家回收处理。固废类别为SW17可再生类废物，废物代码为900-099-S17</w:t>
            </w:r>
            <w:r>
              <w:rPr>
                <w:rFonts w:hint="default" w:ascii="Times New Roman" w:hAnsi="Times New Roman" w:cs="Times New Roman"/>
                <w:caps w:val="0"/>
                <w:color w:val="auto"/>
                <w:sz w:val="24"/>
                <w:highlight w:val="none"/>
                <w:lang w:val="en-US" w:eastAsia="zh-CN"/>
              </w:rPr>
              <w:t>。锅炉房按照一般防渗区要求建设</w:t>
            </w:r>
            <w:r>
              <w:rPr>
                <w:rFonts w:hint="eastAsia" w:ascii="Times New Roman" w:hAnsi="Times New Roman" w:cs="Times New Roman"/>
                <w:caps w:val="0"/>
                <w:color w:val="auto"/>
                <w:sz w:val="24"/>
                <w:highlight w:val="none"/>
                <w:lang w:val="en-US" w:eastAsia="zh-CN"/>
              </w:rPr>
              <w:t>。</w:t>
            </w:r>
          </w:p>
          <w:p w14:paraId="186AE95D">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cs="Times New Roman"/>
                <w:caps w:val="0"/>
                <w:color w:val="auto"/>
                <w:sz w:val="24"/>
                <w:highlight w:val="none"/>
                <w:lang w:val="en-US" w:eastAsia="zh-CN"/>
              </w:rPr>
            </w:pPr>
            <w:r>
              <w:rPr>
                <w:rFonts w:hint="eastAsia" w:ascii="Times New Roman" w:hAnsi="Times New Roman" w:cs="Times New Roman"/>
                <w:caps w:val="0"/>
                <w:color w:val="auto"/>
                <w:sz w:val="24"/>
                <w:highlight w:val="none"/>
                <w:lang w:val="en-US" w:eastAsia="zh-CN"/>
              </w:rPr>
              <w:t>废离子交换树脂</w:t>
            </w:r>
          </w:p>
          <w:p w14:paraId="40FBCEF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textAlignment w:val="auto"/>
              <w:rPr>
                <w:rFonts w:hint="default" w:ascii="Times New Roman" w:hAnsi="Times New Roman" w:cs="Times New Roman"/>
                <w:caps w:val="0"/>
                <w:color w:val="auto"/>
                <w:sz w:val="24"/>
                <w:highlight w:val="none"/>
                <w:lang w:val="en-US" w:eastAsia="zh-CN"/>
              </w:rPr>
            </w:pPr>
            <w:r>
              <w:rPr>
                <w:rFonts w:hint="eastAsia" w:ascii="Times New Roman" w:hAnsi="Times New Roman" w:cs="Times New Roman"/>
                <w:caps w:val="0"/>
                <w:color w:val="auto"/>
                <w:sz w:val="24"/>
                <w:highlight w:val="none"/>
                <w:lang w:val="en-US" w:eastAsia="zh-CN"/>
              </w:rPr>
              <w:t>本项目产生废离子交换树脂0.5t/a，</w:t>
            </w:r>
            <w:r>
              <w:rPr>
                <w:rFonts w:hint="eastAsia"/>
                <w:color w:val="auto"/>
                <w:highlight w:val="none"/>
                <w:lang w:val="en-US" w:eastAsia="zh-CN"/>
              </w:rPr>
              <w:t>交由厂家回收更换，不在厂区贮存。</w:t>
            </w:r>
          </w:p>
          <w:p w14:paraId="052F145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sz w:val="24"/>
                <w:szCs w:val="24"/>
                <w:highlight w:val="none"/>
                <w:lang w:eastAsia="zh-CN"/>
              </w:rPr>
            </w:pPr>
            <w:r>
              <w:rPr>
                <w:rFonts w:hint="default" w:ascii="Times New Roman" w:hAnsi="Times New Roman" w:eastAsia="宋体" w:cs="Times New Roman"/>
                <w:color w:val="auto"/>
                <w:spacing w:val="0"/>
                <w:sz w:val="24"/>
                <w:szCs w:val="24"/>
                <w:highlight w:val="none"/>
              </w:rPr>
              <w:t>由上述分析可知，项目产生的固体废物得到有效的处理处置，对外环境影响较小</w:t>
            </w:r>
            <w:r>
              <w:rPr>
                <w:rFonts w:hint="default" w:ascii="Times New Roman" w:hAnsi="Times New Roman" w:eastAsia="宋体" w:cs="Times New Roman"/>
                <w:color w:val="auto"/>
                <w:spacing w:val="0"/>
                <w:sz w:val="24"/>
                <w:szCs w:val="24"/>
                <w:highlight w:val="none"/>
                <w:lang w:eastAsia="zh-CN"/>
              </w:rPr>
              <w:t>。</w:t>
            </w:r>
          </w:p>
          <w:p w14:paraId="75977DA3">
            <w:pPr>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lang w:val="en-US" w:eastAsia="zh-CN"/>
              </w:rPr>
              <w:t>除尘器收集粉尘</w:t>
            </w:r>
          </w:p>
          <w:p w14:paraId="1C330E7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sz w:val="24"/>
                <w:szCs w:val="24"/>
                <w:highlight w:val="none"/>
                <w:lang w:eastAsia="zh-CN"/>
              </w:rPr>
            </w:pPr>
            <w:r>
              <w:rPr>
                <w:rFonts w:hint="default" w:ascii="Times New Roman" w:hAnsi="Times New Roman" w:cs="Times New Roman"/>
                <w:color w:val="auto"/>
                <w:sz w:val="24"/>
                <w:szCs w:val="24"/>
                <w:highlight w:val="none"/>
                <w:lang w:val="en-US" w:eastAsia="zh-CN"/>
              </w:rPr>
              <w:t>本项目布袋除尘器收集粉尘产生量为</w:t>
            </w:r>
            <w:r>
              <w:rPr>
                <w:rFonts w:hint="eastAsia" w:ascii="Times New Roman" w:hAnsi="Times New Roman" w:cs="Times New Roman"/>
                <w:color w:val="auto"/>
                <w:sz w:val="24"/>
                <w:szCs w:val="24"/>
                <w:highlight w:val="none"/>
                <w:lang w:val="en-US" w:eastAsia="zh-CN"/>
              </w:rPr>
              <w:t>10.05</w:t>
            </w:r>
            <w:r>
              <w:rPr>
                <w:rFonts w:hint="default" w:ascii="Times New Roman" w:hAnsi="Times New Roman" w:cs="Times New Roman"/>
                <w:color w:val="auto"/>
                <w:sz w:val="24"/>
                <w:szCs w:val="24"/>
                <w:highlight w:val="none"/>
                <w:lang w:val="en-US" w:eastAsia="zh-CN"/>
              </w:rPr>
              <w:t>t/a，</w:t>
            </w:r>
            <w:r>
              <w:rPr>
                <w:rFonts w:hint="eastAsia" w:ascii="Times New Roman" w:hAnsi="Times New Roman" w:cs="Times New Roman"/>
                <w:color w:val="auto"/>
                <w:sz w:val="24"/>
                <w:szCs w:val="24"/>
                <w:highlight w:val="none"/>
                <w:lang w:val="en-US" w:eastAsia="zh-CN"/>
              </w:rPr>
              <w:t>暂存于燃料库，</w:t>
            </w:r>
            <w:r>
              <w:rPr>
                <w:rFonts w:hint="default" w:ascii="Times New Roman" w:hAnsi="Times New Roman" w:cs="Times New Roman"/>
                <w:color w:val="auto"/>
                <w:sz w:val="24"/>
                <w:szCs w:val="24"/>
                <w:highlight w:val="none"/>
                <w:lang w:val="en-US" w:eastAsia="zh-CN"/>
              </w:rPr>
              <w:t>外售综合利用。</w:t>
            </w:r>
          </w:p>
          <w:p w14:paraId="6F3CA39E">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eastAsia="宋体" w:cs="Times New Roman"/>
                <w:b/>
                <w:bCs/>
                <w:caps w:val="0"/>
                <w:color w:val="auto"/>
                <w:kern w:val="0"/>
                <w:sz w:val="24"/>
                <w:highlight w:val="none"/>
              </w:rPr>
            </w:pPr>
            <w:bookmarkStart w:id="12" w:name="_Toc29485"/>
            <w:bookmarkStart w:id="13" w:name="_Toc16907"/>
            <w:r>
              <w:rPr>
                <w:rFonts w:hint="default" w:ascii="Times New Roman" w:hAnsi="Times New Roman" w:eastAsia="宋体" w:cs="Times New Roman"/>
                <w:b/>
                <w:bCs/>
                <w:caps w:val="0"/>
                <w:color w:val="auto"/>
                <w:kern w:val="0"/>
                <w:sz w:val="24"/>
                <w:highlight w:val="none"/>
              </w:rPr>
              <w:t>4.2危险废物环境影响分析</w:t>
            </w:r>
          </w:p>
          <w:p w14:paraId="49120A5E">
            <w:pPr>
              <w:adjustRightInd w:val="0"/>
              <w:snapToGrid w:val="0"/>
              <w:spacing w:line="360" w:lineRule="auto"/>
              <w:ind w:firstLine="480" w:firstLineChars="200"/>
              <w:rPr>
                <w:rFonts w:hint="default" w:ascii="Times New Roman" w:hAnsi="Times New Roman" w:eastAsia="宋体" w:cs="Times New Roman"/>
                <w:caps w:val="0"/>
                <w:color w:val="auto"/>
                <w:kern w:val="0"/>
                <w:sz w:val="24"/>
                <w:highlight w:val="none"/>
              </w:rPr>
            </w:pPr>
            <w:r>
              <w:rPr>
                <w:rFonts w:hint="default" w:ascii="Times New Roman" w:hAnsi="Times New Roman" w:eastAsia="宋体" w:cs="Times New Roman"/>
                <w:caps w:val="0"/>
                <w:color w:val="auto"/>
                <w:kern w:val="0"/>
                <w:sz w:val="24"/>
                <w:highlight w:val="none"/>
              </w:rPr>
              <w:t>4.2.1危险废物基本情况</w:t>
            </w:r>
          </w:p>
          <w:p w14:paraId="3F9B1D6F">
            <w:pPr>
              <w:keepNext w:val="0"/>
              <w:keepLines w:val="0"/>
              <w:pageBreakBefore w:val="0"/>
              <w:widowControl w:val="0"/>
              <w:kinsoku/>
              <w:wordWrap/>
              <w:overflowPunct/>
              <w:topLinePunct w:val="0"/>
              <w:autoSpaceDE/>
              <w:autoSpaceDN/>
              <w:bidi w:val="0"/>
              <w:adjustRightInd/>
              <w:snapToGrid/>
              <w:spacing w:line="360" w:lineRule="auto"/>
              <w:ind w:firstLine="504" w:firstLineChars="200"/>
              <w:jc w:val="left"/>
              <w:textAlignment w:val="auto"/>
              <w:rPr>
                <w:rFonts w:hint="default" w:ascii="Times New Roman" w:hAnsi="Times New Roman" w:eastAsia="宋体" w:cs="Times New Roman"/>
                <w:b/>
                <w:bCs/>
                <w:caps w:val="0"/>
                <w:color w:val="auto"/>
                <w:spacing w:val="6"/>
                <w:sz w:val="24"/>
                <w:szCs w:val="24"/>
                <w:highlight w:val="none"/>
                <w:lang w:val="en-US" w:eastAsia="zh-CN"/>
              </w:rPr>
            </w:pPr>
            <w:r>
              <w:rPr>
                <w:rFonts w:hint="default" w:ascii="Times New Roman" w:hAnsi="Times New Roman" w:eastAsia="宋体" w:cs="Times New Roman"/>
                <w:b w:val="0"/>
                <w:bCs w:val="0"/>
                <w:caps w:val="0"/>
                <w:color w:val="auto"/>
                <w:spacing w:val="6"/>
                <w:sz w:val="24"/>
                <w:highlight w:val="none"/>
              </w:rPr>
              <w:t>本项目产生的</w:t>
            </w:r>
            <w:r>
              <w:rPr>
                <w:rFonts w:hint="default" w:ascii="Times New Roman" w:hAnsi="Times New Roman" w:eastAsia="宋体" w:cs="Times New Roman"/>
                <w:b w:val="0"/>
                <w:bCs w:val="0"/>
                <w:caps w:val="0"/>
                <w:color w:val="auto"/>
                <w:spacing w:val="6"/>
                <w:sz w:val="24"/>
                <w:highlight w:val="none"/>
                <w:lang w:eastAsia="zh-CN"/>
              </w:rPr>
              <w:t>危险废物</w:t>
            </w:r>
            <w:r>
              <w:rPr>
                <w:rFonts w:hint="default" w:ascii="Times New Roman" w:hAnsi="Times New Roman" w:cs="Times New Roman"/>
                <w:b w:val="0"/>
                <w:bCs w:val="0"/>
                <w:caps w:val="0"/>
                <w:color w:val="auto"/>
                <w:spacing w:val="6"/>
                <w:sz w:val="24"/>
                <w:highlight w:val="none"/>
                <w:lang w:val="en-US" w:eastAsia="zh-CN"/>
              </w:rPr>
              <w:t>存放在</w:t>
            </w:r>
            <w:r>
              <w:rPr>
                <w:rFonts w:hint="eastAsia" w:ascii="Times New Roman" w:hAnsi="Times New Roman" w:cs="Times New Roman"/>
                <w:b w:val="0"/>
                <w:bCs w:val="0"/>
                <w:caps w:val="0"/>
                <w:color w:val="auto"/>
                <w:spacing w:val="6"/>
                <w:sz w:val="24"/>
                <w:highlight w:val="none"/>
                <w:lang w:val="en-US" w:eastAsia="zh-CN"/>
              </w:rPr>
              <w:t>锅炉房内建设的</w:t>
            </w:r>
            <w:r>
              <w:rPr>
                <w:rFonts w:hint="default" w:ascii="Times New Roman" w:hAnsi="Times New Roman" w:cs="Times New Roman"/>
                <w:b w:val="0"/>
                <w:bCs w:val="0"/>
                <w:caps w:val="0"/>
                <w:color w:val="auto"/>
                <w:spacing w:val="6"/>
                <w:sz w:val="24"/>
                <w:highlight w:val="none"/>
                <w:lang w:val="en-US" w:eastAsia="zh-CN"/>
              </w:rPr>
              <w:t>危险废物贮存点</w:t>
            </w:r>
            <w:r>
              <w:rPr>
                <w:rFonts w:hint="default" w:ascii="Times New Roman" w:hAnsi="Times New Roman" w:eastAsia="宋体" w:cs="Times New Roman"/>
                <w:b w:val="0"/>
                <w:bCs w:val="0"/>
                <w:caps w:val="0"/>
                <w:color w:val="auto"/>
                <w:spacing w:val="6"/>
                <w:sz w:val="24"/>
                <w:highlight w:val="none"/>
              </w:rPr>
              <w:t>，</w:t>
            </w:r>
            <w:r>
              <w:rPr>
                <w:rFonts w:hint="default" w:ascii="Times New Roman" w:hAnsi="Times New Roman" w:eastAsia="宋体" w:cs="Times New Roman"/>
                <w:b w:val="0"/>
                <w:bCs w:val="0"/>
                <w:caps w:val="0"/>
                <w:color w:val="auto"/>
                <w:spacing w:val="6"/>
                <w:sz w:val="24"/>
                <w:highlight w:val="none"/>
                <w:lang w:val="en-US" w:eastAsia="zh-CN"/>
              </w:rPr>
              <w:t>建筑</w:t>
            </w:r>
            <w:r>
              <w:rPr>
                <w:rFonts w:hint="default" w:ascii="Times New Roman" w:hAnsi="Times New Roman" w:eastAsia="宋体" w:cs="Times New Roman"/>
                <w:b w:val="0"/>
                <w:bCs w:val="0"/>
                <w:caps w:val="0"/>
                <w:color w:val="auto"/>
                <w:spacing w:val="6"/>
                <w:sz w:val="24"/>
                <w:highlight w:val="none"/>
              </w:rPr>
              <w:t>面积</w:t>
            </w:r>
            <w:r>
              <w:rPr>
                <w:rFonts w:hint="default" w:ascii="Times New Roman" w:hAnsi="Times New Roman" w:cs="Times New Roman"/>
                <w:b w:val="0"/>
                <w:bCs w:val="0"/>
                <w:caps w:val="0"/>
                <w:color w:val="auto"/>
                <w:spacing w:val="6"/>
                <w:sz w:val="24"/>
                <w:highlight w:val="none"/>
                <w:lang w:val="en-US" w:eastAsia="zh-CN"/>
              </w:rPr>
              <w:t>2</w:t>
            </w:r>
            <w:r>
              <w:rPr>
                <w:rFonts w:hint="default" w:ascii="Times New Roman" w:hAnsi="Times New Roman" w:eastAsia="宋体" w:cs="Times New Roman"/>
                <w:b w:val="0"/>
                <w:bCs w:val="0"/>
                <w:caps w:val="0"/>
                <w:color w:val="auto"/>
                <w:spacing w:val="6"/>
                <w:sz w:val="24"/>
                <w:highlight w:val="none"/>
              </w:rPr>
              <w:t>m</w:t>
            </w:r>
            <w:r>
              <w:rPr>
                <w:rFonts w:hint="default" w:ascii="Times New Roman" w:hAnsi="Times New Roman" w:eastAsia="宋体" w:cs="Times New Roman"/>
                <w:b w:val="0"/>
                <w:bCs w:val="0"/>
                <w:caps w:val="0"/>
                <w:color w:val="auto"/>
                <w:spacing w:val="6"/>
                <w:sz w:val="24"/>
                <w:highlight w:val="none"/>
                <w:vertAlign w:val="superscript"/>
              </w:rPr>
              <w:t>2</w:t>
            </w:r>
            <w:r>
              <w:rPr>
                <w:rFonts w:hint="default" w:ascii="Times New Roman" w:hAnsi="Times New Roman" w:eastAsia="宋体" w:cs="Times New Roman"/>
                <w:b w:val="0"/>
                <w:bCs w:val="0"/>
                <w:caps w:val="0"/>
                <w:color w:val="auto"/>
                <w:spacing w:val="6"/>
                <w:sz w:val="24"/>
                <w:highlight w:val="none"/>
              </w:rPr>
              <w:t>。</w:t>
            </w:r>
            <w:r>
              <w:rPr>
                <w:rFonts w:hint="default" w:ascii="Times New Roman" w:hAnsi="Times New Roman" w:cs="Times New Roman"/>
                <w:b w:val="0"/>
                <w:bCs w:val="0"/>
                <w:caps w:val="0"/>
                <w:color w:val="auto"/>
                <w:spacing w:val="6"/>
                <w:sz w:val="24"/>
                <w:highlight w:val="none"/>
                <w:lang w:val="en-US" w:eastAsia="zh-CN"/>
              </w:rPr>
              <w:t>医院主体建设工程产生的危险废物及医疗废物均存放在医疗废物暂存间内，此处仅存放锅炉房建设项目运行期间产生的危险废物。本项目危废产生量为0.025t/a，危废贮存</w:t>
            </w:r>
            <w:r>
              <w:rPr>
                <w:rFonts w:hint="eastAsia" w:ascii="Times New Roman" w:hAnsi="Times New Roman" w:cs="Times New Roman"/>
                <w:b w:val="0"/>
                <w:bCs w:val="0"/>
                <w:caps w:val="0"/>
                <w:color w:val="auto"/>
                <w:spacing w:val="6"/>
                <w:sz w:val="24"/>
                <w:highlight w:val="none"/>
                <w:lang w:val="en-US" w:eastAsia="zh-CN"/>
              </w:rPr>
              <w:t>点</w:t>
            </w:r>
            <w:r>
              <w:rPr>
                <w:rFonts w:hint="default" w:ascii="Times New Roman" w:hAnsi="Times New Roman" w:cs="Times New Roman"/>
                <w:b w:val="0"/>
                <w:bCs w:val="0"/>
                <w:caps w:val="0"/>
                <w:color w:val="auto"/>
                <w:spacing w:val="6"/>
                <w:sz w:val="24"/>
                <w:highlight w:val="none"/>
                <w:lang w:val="en-US" w:eastAsia="zh-CN"/>
              </w:rPr>
              <w:t>最大储存量为0.1t。最大贮存周期为60d。本项目危险废物产生量较小，</w:t>
            </w:r>
            <w:r>
              <w:rPr>
                <w:rFonts w:hint="default" w:ascii="Times New Roman" w:hAnsi="Times New Roman" w:eastAsia="宋体" w:cs="Times New Roman"/>
                <w:b w:val="0"/>
                <w:bCs w:val="0"/>
                <w:caps w:val="0"/>
                <w:color w:val="auto"/>
                <w:spacing w:val="6"/>
                <w:sz w:val="24"/>
                <w:highlight w:val="none"/>
                <w:lang w:eastAsia="zh-CN"/>
              </w:rPr>
              <w:t>危废贮存</w:t>
            </w:r>
            <w:r>
              <w:rPr>
                <w:rFonts w:hint="default" w:ascii="Times New Roman" w:hAnsi="Times New Roman" w:cs="Times New Roman"/>
                <w:b w:val="0"/>
                <w:bCs w:val="0"/>
                <w:caps w:val="0"/>
                <w:color w:val="auto"/>
                <w:spacing w:val="6"/>
                <w:sz w:val="24"/>
                <w:highlight w:val="none"/>
                <w:lang w:val="en-US" w:eastAsia="zh-CN"/>
              </w:rPr>
              <w:t>点</w:t>
            </w:r>
            <w:r>
              <w:rPr>
                <w:rFonts w:hint="default" w:ascii="Times New Roman" w:hAnsi="Times New Roman" w:eastAsia="宋体" w:cs="Times New Roman"/>
                <w:b w:val="0"/>
                <w:bCs w:val="0"/>
                <w:caps w:val="0"/>
                <w:color w:val="auto"/>
                <w:spacing w:val="6"/>
                <w:sz w:val="24"/>
                <w:highlight w:val="none"/>
              </w:rPr>
              <w:t>需满足“四防”（防风、防雨、防晒、防渗漏）要求，并设置标示牌。</w:t>
            </w:r>
            <w:r>
              <w:rPr>
                <w:rFonts w:hint="eastAsia" w:ascii="Times New Roman" w:hAnsi="Times New Roman" w:cs="Times New Roman"/>
                <w:b w:val="0"/>
                <w:bCs w:val="0"/>
                <w:caps w:val="0"/>
                <w:color w:val="auto"/>
                <w:spacing w:val="6"/>
                <w:sz w:val="24"/>
                <w:highlight w:val="none"/>
                <w:lang w:val="en-US" w:eastAsia="zh-CN"/>
              </w:rPr>
              <w:t>本项目厂区内不存放机油，需要时随时外购，保养或维修后均按照危险废物处置。</w:t>
            </w:r>
          </w:p>
          <w:p w14:paraId="05551C93">
            <w:pPr>
              <w:tabs>
                <w:tab w:val="left" w:pos="3052"/>
              </w:tabs>
              <w:adjustRightInd w:val="0"/>
              <w:spacing w:line="360" w:lineRule="auto"/>
              <w:ind w:firstLine="504" w:firstLineChars="200"/>
              <w:rPr>
                <w:rFonts w:hint="default" w:ascii="Times New Roman" w:hAnsi="Times New Roman" w:eastAsia="宋体" w:cs="Times New Roman"/>
                <w:b/>
                <w:caps w:val="0"/>
                <w:color w:val="auto"/>
                <w:sz w:val="24"/>
                <w:highlight w:val="none"/>
                <w:lang w:val="en-US" w:eastAsia="zh-CN"/>
              </w:rPr>
            </w:pPr>
            <w:r>
              <w:rPr>
                <w:rFonts w:hint="default" w:ascii="Times New Roman" w:hAnsi="Times New Roman" w:cs="Times New Roman"/>
                <w:b w:val="0"/>
                <w:bCs w:val="0"/>
                <w:caps w:val="0"/>
                <w:color w:val="auto"/>
                <w:spacing w:val="6"/>
                <w:sz w:val="24"/>
                <w:szCs w:val="24"/>
                <w:highlight w:val="none"/>
                <w:lang w:eastAsia="zh-CN"/>
              </w:rPr>
              <w:t>危险废物贮存点</w:t>
            </w:r>
            <w:r>
              <w:rPr>
                <w:rFonts w:hint="default" w:ascii="Times New Roman" w:hAnsi="Times New Roman" w:eastAsia="宋体" w:cs="Times New Roman"/>
                <w:b w:val="0"/>
                <w:bCs w:val="0"/>
                <w:caps w:val="0"/>
                <w:color w:val="auto"/>
                <w:spacing w:val="6"/>
                <w:sz w:val="24"/>
                <w:szCs w:val="24"/>
                <w:highlight w:val="none"/>
              </w:rPr>
              <w:t>地面及</w:t>
            </w:r>
            <w:r>
              <w:rPr>
                <w:rFonts w:hint="default" w:ascii="Times New Roman" w:hAnsi="Times New Roman" w:eastAsia="宋体" w:cs="Times New Roman"/>
                <w:b w:val="0"/>
                <w:bCs w:val="0"/>
                <w:caps w:val="0"/>
                <w:color w:val="auto"/>
                <w:spacing w:val="6"/>
                <w:sz w:val="24"/>
                <w:szCs w:val="24"/>
                <w:highlight w:val="none"/>
                <w:lang w:eastAsia="zh-CN"/>
              </w:rPr>
              <w:t>裙脚</w:t>
            </w:r>
            <w:r>
              <w:rPr>
                <w:rFonts w:hint="default" w:ascii="Times New Roman" w:hAnsi="Times New Roman" w:eastAsia="宋体" w:cs="Times New Roman"/>
                <w:b w:val="0"/>
                <w:bCs w:val="0"/>
                <w:caps w:val="0"/>
                <w:color w:val="auto"/>
                <w:spacing w:val="6"/>
                <w:sz w:val="24"/>
                <w:szCs w:val="24"/>
                <w:highlight w:val="none"/>
              </w:rPr>
              <w:t>基础底层至少采用2mm厚的高密度聚乙烯板，渗透系数≤10</w:t>
            </w:r>
            <w:r>
              <w:rPr>
                <w:rFonts w:hint="default" w:ascii="Times New Roman" w:hAnsi="Times New Roman" w:eastAsia="宋体" w:cs="Times New Roman"/>
                <w:b w:val="0"/>
                <w:bCs w:val="0"/>
                <w:caps w:val="0"/>
                <w:color w:val="auto"/>
                <w:spacing w:val="6"/>
                <w:sz w:val="24"/>
                <w:szCs w:val="24"/>
                <w:highlight w:val="none"/>
                <w:vertAlign w:val="superscript"/>
              </w:rPr>
              <w:t>-10</w:t>
            </w:r>
            <w:r>
              <w:rPr>
                <w:rFonts w:hint="default" w:ascii="Times New Roman" w:hAnsi="Times New Roman" w:eastAsia="宋体" w:cs="Times New Roman"/>
                <w:b w:val="0"/>
                <w:bCs w:val="0"/>
                <w:caps w:val="0"/>
                <w:color w:val="auto"/>
                <w:spacing w:val="6"/>
                <w:sz w:val="24"/>
                <w:szCs w:val="24"/>
                <w:highlight w:val="none"/>
              </w:rPr>
              <w:t>cm/s，上层采用混凝土结构并刷防水防渗漆，防止渗漏造成二次污染。</w:t>
            </w:r>
            <w:r>
              <w:rPr>
                <w:rFonts w:hint="default" w:ascii="Times New Roman" w:hAnsi="Times New Roman" w:eastAsia="宋体" w:cs="Times New Roman"/>
                <w:b w:val="0"/>
                <w:bCs w:val="0"/>
                <w:caps w:val="0"/>
                <w:color w:val="auto"/>
                <w:spacing w:val="6"/>
                <w:sz w:val="24"/>
                <w:szCs w:val="24"/>
                <w:highlight w:val="none"/>
                <w:lang w:val="en-US" w:eastAsia="zh-CN"/>
              </w:rPr>
              <w:t>产生的危险废物具体情况如下：</w:t>
            </w:r>
          </w:p>
          <w:p w14:paraId="6E76AC7C">
            <w:pPr>
              <w:tabs>
                <w:tab w:val="left" w:pos="3052"/>
              </w:tabs>
              <w:adjustRightInd w:val="0"/>
              <w:spacing w:line="360" w:lineRule="auto"/>
              <w:ind w:firstLine="482" w:firstLineChars="200"/>
              <w:rPr>
                <w:rFonts w:hint="default" w:ascii="Times New Roman" w:hAnsi="Times New Roman" w:eastAsia="宋体" w:cs="Times New Roman"/>
                <w:bCs/>
                <w:caps w:val="0"/>
                <w:color w:val="auto"/>
                <w:sz w:val="24"/>
                <w:highlight w:val="none"/>
              </w:rPr>
            </w:pPr>
            <w:r>
              <w:rPr>
                <w:rFonts w:hint="default" w:ascii="Times New Roman" w:hAnsi="Times New Roman" w:eastAsia="宋体" w:cs="Times New Roman"/>
                <w:b/>
                <w:caps w:val="0"/>
                <w:color w:val="auto"/>
                <w:sz w:val="24"/>
                <w:highlight w:val="none"/>
                <w:lang w:val="en-US" w:eastAsia="zh-CN"/>
              </w:rPr>
              <w:t>危险废物</w:t>
            </w:r>
            <w:r>
              <w:rPr>
                <w:rFonts w:hint="default" w:ascii="Times New Roman" w:hAnsi="Times New Roman" w:eastAsia="宋体" w:cs="Times New Roman"/>
                <w:b/>
                <w:caps w:val="0"/>
                <w:color w:val="auto"/>
                <w:sz w:val="24"/>
                <w:highlight w:val="none"/>
              </w:rPr>
              <w:t>：</w:t>
            </w:r>
            <w:r>
              <w:rPr>
                <w:rFonts w:hint="default" w:ascii="Times New Roman" w:hAnsi="Times New Roman" w:eastAsia="宋体" w:cs="Times New Roman"/>
                <w:bCs/>
                <w:color w:val="auto"/>
                <w:kern w:val="0"/>
                <w:sz w:val="24"/>
                <w:szCs w:val="24"/>
                <w:highlight w:val="none"/>
                <w:lang w:val="en-US" w:eastAsia="zh-CN" w:bidi="ar"/>
              </w:rPr>
              <w:t>锅炉设备停工检修期间产生废机油</w:t>
            </w:r>
            <w:r>
              <w:rPr>
                <w:rFonts w:hint="default" w:ascii="Times New Roman" w:hAnsi="Times New Roman" w:cs="Times New Roman"/>
                <w:bCs/>
                <w:color w:val="auto"/>
                <w:kern w:val="0"/>
                <w:sz w:val="24"/>
                <w:szCs w:val="24"/>
                <w:highlight w:val="none"/>
                <w:lang w:val="en-US" w:eastAsia="zh-CN" w:bidi="ar"/>
              </w:rPr>
              <w:t>、废机油桶、含油抹布（手套、抹布）</w:t>
            </w:r>
            <w:r>
              <w:rPr>
                <w:rFonts w:hint="default" w:ascii="Times New Roman" w:hAnsi="Times New Roman" w:eastAsia="宋体" w:cs="Times New Roman"/>
                <w:bCs/>
                <w:color w:val="auto"/>
                <w:kern w:val="0"/>
                <w:sz w:val="24"/>
                <w:szCs w:val="24"/>
                <w:highlight w:val="none"/>
                <w:lang w:val="en-US" w:eastAsia="zh-CN" w:bidi="ar"/>
              </w:rPr>
              <w:t>，废机油危废类别HW08（废物代码900-2</w:t>
            </w:r>
            <w:r>
              <w:rPr>
                <w:rFonts w:hint="eastAsia" w:ascii="Times New Roman" w:hAnsi="Times New Roman" w:cs="Times New Roman"/>
                <w:bCs/>
                <w:color w:val="auto"/>
                <w:kern w:val="0"/>
                <w:sz w:val="24"/>
                <w:szCs w:val="24"/>
                <w:highlight w:val="none"/>
                <w:lang w:val="en-US" w:eastAsia="zh-CN" w:bidi="ar"/>
              </w:rPr>
              <w:t>14</w:t>
            </w:r>
            <w:r>
              <w:rPr>
                <w:rFonts w:hint="default" w:ascii="Times New Roman" w:hAnsi="Times New Roman" w:eastAsia="宋体" w:cs="Times New Roman"/>
                <w:bCs/>
                <w:color w:val="auto"/>
                <w:kern w:val="0"/>
                <w:sz w:val="24"/>
                <w:szCs w:val="24"/>
                <w:highlight w:val="none"/>
                <w:lang w:val="en-US" w:eastAsia="zh-CN" w:bidi="ar"/>
              </w:rPr>
              <w:t>-08），</w:t>
            </w:r>
            <w:r>
              <w:rPr>
                <w:rFonts w:hint="default" w:ascii="Times New Roman" w:hAnsi="Times New Roman" w:cs="Times New Roman"/>
                <w:bCs/>
                <w:color w:val="auto"/>
                <w:kern w:val="0"/>
                <w:sz w:val="24"/>
                <w:szCs w:val="24"/>
                <w:highlight w:val="none"/>
                <w:lang w:val="en-US" w:eastAsia="zh-CN" w:bidi="ar"/>
              </w:rPr>
              <w:t>废机油桶危废类比HW49（废物代码900-041-49），含油抹布（手套、抹布）</w:t>
            </w:r>
            <w:r>
              <w:rPr>
                <w:rFonts w:hint="default" w:ascii="Times New Roman" w:hAnsi="Times New Roman" w:eastAsia="宋体" w:cs="Times New Roman"/>
                <w:bCs/>
                <w:color w:val="auto"/>
                <w:kern w:val="0"/>
                <w:sz w:val="24"/>
                <w:szCs w:val="24"/>
                <w:highlight w:val="none"/>
                <w:lang w:val="en-US" w:eastAsia="zh-CN" w:bidi="ar"/>
              </w:rPr>
              <w:t>危废类别</w:t>
            </w:r>
            <w:r>
              <w:rPr>
                <w:rFonts w:hint="default" w:ascii="Times New Roman" w:hAnsi="Times New Roman" w:cs="Times New Roman"/>
                <w:bCs/>
                <w:color w:val="auto"/>
                <w:kern w:val="0"/>
                <w:sz w:val="24"/>
                <w:szCs w:val="24"/>
                <w:highlight w:val="none"/>
                <w:lang w:val="en-US" w:eastAsia="zh-CN" w:bidi="ar"/>
              </w:rPr>
              <w:t>HW49（废物代码900-041-49）。</w:t>
            </w:r>
          </w:p>
          <w:p w14:paraId="5430652D">
            <w:pPr>
              <w:spacing w:line="360" w:lineRule="auto"/>
              <w:ind w:firstLine="480" w:firstLineChars="200"/>
              <w:rPr>
                <w:rFonts w:hint="default" w:ascii="Times New Roman" w:hAnsi="Times New Roman" w:eastAsia="宋体" w:cs="Times New Roman"/>
                <w:caps w:val="0"/>
                <w:color w:val="auto"/>
                <w:sz w:val="24"/>
                <w:szCs w:val="24"/>
                <w:highlight w:val="none"/>
              </w:rPr>
            </w:pPr>
            <w:r>
              <w:rPr>
                <w:rFonts w:hint="default" w:ascii="Times New Roman" w:hAnsi="Times New Roman" w:eastAsia="宋体" w:cs="Times New Roman"/>
                <w:caps w:val="0"/>
                <w:color w:val="auto"/>
                <w:sz w:val="24"/>
                <w:szCs w:val="24"/>
                <w:highlight w:val="none"/>
              </w:rPr>
              <w:t>本项目</w:t>
            </w:r>
            <w:r>
              <w:rPr>
                <w:rFonts w:hint="default" w:ascii="Times New Roman" w:hAnsi="Times New Roman" w:eastAsia="宋体" w:cs="Times New Roman"/>
                <w:caps w:val="0"/>
                <w:color w:val="auto"/>
                <w:sz w:val="24"/>
                <w:szCs w:val="24"/>
                <w:highlight w:val="none"/>
                <w:lang w:eastAsia="zh-CN"/>
              </w:rPr>
              <w:t>废液室</w:t>
            </w:r>
            <w:r>
              <w:rPr>
                <w:rFonts w:hint="default" w:ascii="Times New Roman" w:hAnsi="Times New Roman" w:eastAsia="宋体" w:cs="Times New Roman"/>
                <w:caps w:val="0"/>
                <w:color w:val="auto"/>
                <w:sz w:val="24"/>
                <w:szCs w:val="24"/>
                <w:highlight w:val="none"/>
              </w:rPr>
              <w:t>设置情况见表4-</w:t>
            </w:r>
            <w:r>
              <w:rPr>
                <w:rFonts w:hint="default" w:ascii="Times New Roman" w:hAnsi="Times New Roman" w:eastAsia="宋体" w:cs="Times New Roman"/>
                <w:caps w:val="0"/>
                <w:color w:val="auto"/>
                <w:sz w:val="24"/>
                <w:szCs w:val="24"/>
                <w:highlight w:val="none"/>
                <w:lang w:val="en-US" w:eastAsia="zh-CN"/>
              </w:rPr>
              <w:t>1</w:t>
            </w:r>
            <w:r>
              <w:rPr>
                <w:rFonts w:hint="eastAsia" w:ascii="Times New Roman" w:hAnsi="Times New Roman" w:cs="Times New Roman"/>
                <w:caps w:val="0"/>
                <w:color w:val="auto"/>
                <w:sz w:val="24"/>
                <w:szCs w:val="24"/>
                <w:highlight w:val="none"/>
                <w:lang w:val="en-US" w:eastAsia="zh-CN"/>
              </w:rPr>
              <w:t>7</w:t>
            </w:r>
            <w:r>
              <w:rPr>
                <w:rFonts w:hint="default" w:ascii="Times New Roman" w:hAnsi="Times New Roman" w:eastAsia="宋体" w:cs="Times New Roman"/>
                <w:caps w:val="0"/>
                <w:color w:val="auto"/>
                <w:sz w:val="24"/>
                <w:szCs w:val="24"/>
                <w:highlight w:val="none"/>
              </w:rPr>
              <w:t>。</w:t>
            </w:r>
          </w:p>
          <w:p w14:paraId="362643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caps w:val="0"/>
                <w:color w:val="auto"/>
                <w:sz w:val="21"/>
                <w:szCs w:val="21"/>
                <w:highlight w:val="none"/>
              </w:rPr>
            </w:pPr>
            <w:r>
              <w:rPr>
                <w:rFonts w:hint="default" w:ascii="Times New Roman" w:hAnsi="Times New Roman" w:eastAsia="宋体" w:cs="Times New Roman"/>
                <w:b/>
                <w:bCs/>
                <w:caps w:val="0"/>
                <w:color w:val="auto"/>
                <w:sz w:val="21"/>
                <w:szCs w:val="21"/>
                <w:highlight w:val="none"/>
              </w:rPr>
              <w:t>表4-1</w:t>
            </w:r>
            <w:r>
              <w:rPr>
                <w:rFonts w:hint="eastAsia" w:ascii="Times New Roman" w:hAnsi="Times New Roman" w:cs="Times New Roman"/>
                <w:b/>
                <w:bCs/>
                <w:caps w:val="0"/>
                <w:color w:val="auto"/>
                <w:sz w:val="21"/>
                <w:szCs w:val="21"/>
                <w:highlight w:val="none"/>
                <w:lang w:val="en-US" w:eastAsia="zh-CN"/>
              </w:rPr>
              <w:t>7</w:t>
            </w:r>
            <w:r>
              <w:rPr>
                <w:rFonts w:hint="default" w:ascii="Times New Roman" w:hAnsi="Times New Roman" w:eastAsia="宋体" w:cs="Times New Roman"/>
                <w:b/>
                <w:bCs/>
                <w:caps w:val="0"/>
                <w:color w:val="auto"/>
                <w:sz w:val="21"/>
                <w:szCs w:val="21"/>
                <w:highlight w:val="none"/>
              </w:rPr>
              <w:t xml:space="preserve"> 危险废物贮存场所（设施）基本情况样表</w:t>
            </w:r>
          </w:p>
          <w:tbl>
            <w:tblPr>
              <w:tblStyle w:val="35"/>
              <w:tblW w:w="786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423"/>
              <w:gridCol w:w="1223"/>
              <w:gridCol w:w="1110"/>
              <w:gridCol w:w="795"/>
              <w:gridCol w:w="1290"/>
              <w:gridCol w:w="1031"/>
              <w:gridCol w:w="654"/>
              <w:gridCol w:w="719"/>
              <w:gridCol w:w="621"/>
            </w:tblGrid>
            <w:tr w14:paraId="7341FC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841" w:hRule="atLeast"/>
                <w:jc w:val="center"/>
              </w:trPr>
              <w:tc>
                <w:tcPr>
                  <w:tcW w:w="423" w:type="dxa"/>
                  <w:tcBorders>
                    <w:tl2br w:val="nil"/>
                    <w:tr2bl w:val="nil"/>
                  </w:tcBorders>
                  <w:noWrap w:val="0"/>
                  <w:vAlign w:val="center"/>
                </w:tcPr>
                <w:p w14:paraId="775A6515">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caps w:val="0"/>
                      <w:color w:val="auto"/>
                      <w:kern w:val="0"/>
                      <w:sz w:val="21"/>
                      <w:szCs w:val="21"/>
                      <w:highlight w:val="none"/>
                    </w:rPr>
                  </w:pPr>
                  <w:r>
                    <w:rPr>
                      <w:rFonts w:hint="default" w:ascii="Times New Roman" w:hAnsi="Times New Roman" w:eastAsia="宋体" w:cs="Times New Roman"/>
                      <w:b/>
                      <w:caps w:val="0"/>
                      <w:color w:val="auto"/>
                      <w:kern w:val="0"/>
                      <w:sz w:val="21"/>
                      <w:szCs w:val="21"/>
                      <w:highlight w:val="none"/>
                    </w:rPr>
                    <w:t>序号</w:t>
                  </w:r>
                </w:p>
              </w:tc>
              <w:tc>
                <w:tcPr>
                  <w:tcW w:w="1223" w:type="dxa"/>
                  <w:tcBorders>
                    <w:tl2br w:val="nil"/>
                    <w:tr2bl w:val="nil"/>
                  </w:tcBorders>
                  <w:noWrap w:val="0"/>
                  <w:vAlign w:val="center"/>
                </w:tcPr>
                <w:p w14:paraId="79EFC31C">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caps w:val="0"/>
                      <w:color w:val="auto"/>
                      <w:kern w:val="0"/>
                      <w:sz w:val="21"/>
                      <w:szCs w:val="21"/>
                      <w:highlight w:val="none"/>
                    </w:rPr>
                  </w:pPr>
                  <w:r>
                    <w:rPr>
                      <w:rFonts w:hint="default" w:ascii="Times New Roman" w:hAnsi="Times New Roman" w:eastAsia="宋体" w:cs="Times New Roman"/>
                      <w:b/>
                      <w:caps w:val="0"/>
                      <w:color w:val="auto"/>
                      <w:kern w:val="0"/>
                      <w:sz w:val="21"/>
                      <w:szCs w:val="21"/>
                      <w:highlight w:val="none"/>
                    </w:rPr>
                    <w:t>贮存场所（设施）名称</w:t>
                  </w:r>
                </w:p>
              </w:tc>
              <w:tc>
                <w:tcPr>
                  <w:tcW w:w="1110" w:type="dxa"/>
                  <w:tcBorders>
                    <w:tl2br w:val="nil"/>
                    <w:tr2bl w:val="nil"/>
                  </w:tcBorders>
                  <w:noWrap w:val="0"/>
                  <w:vAlign w:val="center"/>
                </w:tcPr>
                <w:p w14:paraId="5A0D1396">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caps w:val="0"/>
                      <w:color w:val="auto"/>
                      <w:kern w:val="0"/>
                      <w:sz w:val="21"/>
                      <w:szCs w:val="21"/>
                      <w:highlight w:val="none"/>
                    </w:rPr>
                  </w:pPr>
                  <w:r>
                    <w:rPr>
                      <w:rFonts w:hint="default" w:ascii="Times New Roman" w:hAnsi="Times New Roman" w:eastAsia="宋体" w:cs="Times New Roman"/>
                      <w:b/>
                      <w:caps w:val="0"/>
                      <w:color w:val="auto"/>
                      <w:kern w:val="0"/>
                      <w:sz w:val="21"/>
                      <w:szCs w:val="21"/>
                      <w:highlight w:val="none"/>
                    </w:rPr>
                    <w:t>危险废物名称</w:t>
                  </w:r>
                </w:p>
              </w:tc>
              <w:tc>
                <w:tcPr>
                  <w:tcW w:w="795" w:type="dxa"/>
                  <w:tcBorders>
                    <w:tl2br w:val="nil"/>
                    <w:tr2bl w:val="nil"/>
                  </w:tcBorders>
                  <w:noWrap w:val="0"/>
                  <w:vAlign w:val="center"/>
                </w:tcPr>
                <w:p w14:paraId="577CC856">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caps w:val="0"/>
                      <w:color w:val="auto"/>
                      <w:kern w:val="0"/>
                      <w:sz w:val="21"/>
                      <w:szCs w:val="21"/>
                      <w:highlight w:val="none"/>
                    </w:rPr>
                  </w:pPr>
                  <w:r>
                    <w:rPr>
                      <w:rFonts w:hint="default" w:ascii="Times New Roman" w:hAnsi="Times New Roman" w:eastAsia="宋体" w:cs="Times New Roman"/>
                      <w:b/>
                      <w:caps w:val="0"/>
                      <w:color w:val="auto"/>
                      <w:kern w:val="0"/>
                      <w:sz w:val="21"/>
                      <w:szCs w:val="21"/>
                      <w:highlight w:val="none"/>
                    </w:rPr>
                    <w:t>危险废物类别</w:t>
                  </w:r>
                </w:p>
              </w:tc>
              <w:tc>
                <w:tcPr>
                  <w:tcW w:w="1290" w:type="dxa"/>
                  <w:tcBorders>
                    <w:tl2br w:val="nil"/>
                    <w:tr2bl w:val="nil"/>
                  </w:tcBorders>
                  <w:noWrap w:val="0"/>
                  <w:vAlign w:val="center"/>
                </w:tcPr>
                <w:p w14:paraId="298EA8FD">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caps w:val="0"/>
                      <w:color w:val="auto"/>
                      <w:kern w:val="0"/>
                      <w:sz w:val="21"/>
                      <w:szCs w:val="21"/>
                      <w:highlight w:val="none"/>
                    </w:rPr>
                  </w:pPr>
                  <w:r>
                    <w:rPr>
                      <w:rFonts w:hint="default" w:ascii="Times New Roman" w:hAnsi="Times New Roman" w:eastAsia="宋体" w:cs="Times New Roman"/>
                      <w:b/>
                      <w:caps w:val="0"/>
                      <w:color w:val="auto"/>
                      <w:kern w:val="0"/>
                      <w:sz w:val="21"/>
                      <w:szCs w:val="21"/>
                      <w:highlight w:val="none"/>
                    </w:rPr>
                    <w:t>危险废物</w:t>
                  </w:r>
                </w:p>
                <w:p w14:paraId="0B24101A">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caps w:val="0"/>
                      <w:color w:val="auto"/>
                      <w:kern w:val="0"/>
                      <w:sz w:val="21"/>
                      <w:szCs w:val="21"/>
                      <w:highlight w:val="none"/>
                    </w:rPr>
                  </w:pPr>
                  <w:r>
                    <w:rPr>
                      <w:rFonts w:hint="default" w:ascii="Times New Roman" w:hAnsi="Times New Roman" w:eastAsia="宋体" w:cs="Times New Roman"/>
                      <w:b/>
                      <w:caps w:val="0"/>
                      <w:color w:val="auto"/>
                      <w:kern w:val="0"/>
                      <w:sz w:val="21"/>
                      <w:szCs w:val="21"/>
                      <w:highlight w:val="none"/>
                    </w:rPr>
                    <w:t>代码</w:t>
                  </w:r>
                </w:p>
              </w:tc>
              <w:tc>
                <w:tcPr>
                  <w:tcW w:w="1031" w:type="dxa"/>
                  <w:tcBorders>
                    <w:tl2br w:val="nil"/>
                    <w:tr2bl w:val="nil"/>
                  </w:tcBorders>
                  <w:noWrap w:val="0"/>
                  <w:vAlign w:val="center"/>
                </w:tcPr>
                <w:p w14:paraId="5D8B7DB6">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caps w:val="0"/>
                      <w:color w:val="auto"/>
                      <w:kern w:val="0"/>
                      <w:sz w:val="21"/>
                      <w:szCs w:val="21"/>
                      <w:highlight w:val="none"/>
                    </w:rPr>
                  </w:pPr>
                  <w:r>
                    <w:rPr>
                      <w:rFonts w:hint="default" w:ascii="Times New Roman" w:hAnsi="Times New Roman" w:eastAsia="宋体" w:cs="Times New Roman"/>
                      <w:b/>
                      <w:caps w:val="0"/>
                      <w:color w:val="auto"/>
                      <w:kern w:val="0"/>
                      <w:sz w:val="21"/>
                      <w:szCs w:val="21"/>
                      <w:highlight w:val="none"/>
                    </w:rPr>
                    <w:t>位置</w:t>
                  </w:r>
                </w:p>
              </w:tc>
              <w:tc>
                <w:tcPr>
                  <w:tcW w:w="654" w:type="dxa"/>
                  <w:tcBorders>
                    <w:tl2br w:val="nil"/>
                    <w:tr2bl w:val="nil"/>
                  </w:tcBorders>
                  <w:noWrap w:val="0"/>
                  <w:vAlign w:val="center"/>
                </w:tcPr>
                <w:p w14:paraId="1E214C1E">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caps w:val="0"/>
                      <w:color w:val="auto"/>
                      <w:kern w:val="0"/>
                      <w:sz w:val="21"/>
                      <w:szCs w:val="21"/>
                      <w:highlight w:val="none"/>
                    </w:rPr>
                  </w:pPr>
                  <w:r>
                    <w:rPr>
                      <w:rFonts w:hint="default" w:ascii="Times New Roman" w:hAnsi="Times New Roman" w:eastAsia="宋体" w:cs="Times New Roman"/>
                      <w:b/>
                      <w:caps w:val="0"/>
                      <w:color w:val="auto"/>
                      <w:kern w:val="0"/>
                      <w:sz w:val="21"/>
                      <w:szCs w:val="21"/>
                      <w:highlight w:val="none"/>
                    </w:rPr>
                    <w:t>占地</w:t>
                  </w:r>
                </w:p>
                <w:p w14:paraId="7D7A1DA1">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caps w:val="0"/>
                      <w:color w:val="auto"/>
                      <w:kern w:val="0"/>
                      <w:sz w:val="21"/>
                      <w:szCs w:val="21"/>
                      <w:highlight w:val="none"/>
                    </w:rPr>
                  </w:pPr>
                  <w:r>
                    <w:rPr>
                      <w:rFonts w:hint="default" w:ascii="Times New Roman" w:hAnsi="Times New Roman" w:eastAsia="宋体" w:cs="Times New Roman"/>
                      <w:b/>
                      <w:caps w:val="0"/>
                      <w:color w:val="auto"/>
                      <w:kern w:val="0"/>
                      <w:sz w:val="21"/>
                      <w:szCs w:val="21"/>
                      <w:highlight w:val="none"/>
                    </w:rPr>
                    <w:t>面积</w:t>
                  </w:r>
                </w:p>
              </w:tc>
              <w:tc>
                <w:tcPr>
                  <w:tcW w:w="719" w:type="dxa"/>
                  <w:tcBorders>
                    <w:tl2br w:val="nil"/>
                    <w:tr2bl w:val="nil"/>
                  </w:tcBorders>
                  <w:noWrap w:val="0"/>
                  <w:vAlign w:val="center"/>
                </w:tcPr>
                <w:p w14:paraId="7B52CA2F">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caps w:val="0"/>
                      <w:color w:val="auto"/>
                      <w:kern w:val="0"/>
                      <w:sz w:val="21"/>
                      <w:szCs w:val="21"/>
                      <w:highlight w:val="none"/>
                    </w:rPr>
                  </w:pPr>
                  <w:r>
                    <w:rPr>
                      <w:rFonts w:hint="default" w:ascii="Times New Roman" w:hAnsi="Times New Roman" w:eastAsia="宋体" w:cs="Times New Roman"/>
                      <w:b/>
                      <w:caps w:val="0"/>
                      <w:color w:val="auto"/>
                      <w:kern w:val="0"/>
                      <w:sz w:val="21"/>
                      <w:szCs w:val="21"/>
                      <w:highlight w:val="none"/>
                    </w:rPr>
                    <w:t>贮存</w:t>
                  </w:r>
                </w:p>
                <w:p w14:paraId="46B038EE">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caps w:val="0"/>
                      <w:color w:val="auto"/>
                      <w:kern w:val="0"/>
                      <w:sz w:val="21"/>
                      <w:szCs w:val="21"/>
                      <w:highlight w:val="none"/>
                    </w:rPr>
                  </w:pPr>
                  <w:r>
                    <w:rPr>
                      <w:rFonts w:hint="default" w:ascii="Times New Roman" w:hAnsi="Times New Roman" w:eastAsia="宋体" w:cs="Times New Roman"/>
                      <w:b/>
                      <w:caps w:val="0"/>
                      <w:color w:val="auto"/>
                      <w:kern w:val="0"/>
                      <w:sz w:val="21"/>
                      <w:szCs w:val="21"/>
                      <w:highlight w:val="none"/>
                    </w:rPr>
                    <w:t>方式</w:t>
                  </w:r>
                </w:p>
              </w:tc>
              <w:tc>
                <w:tcPr>
                  <w:tcW w:w="621" w:type="dxa"/>
                  <w:tcBorders>
                    <w:tl2br w:val="nil"/>
                    <w:tr2bl w:val="nil"/>
                  </w:tcBorders>
                  <w:noWrap w:val="0"/>
                  <w:vAlign w:val="center"/>
                </w:tcPr>
                <w:p w14:paraId="524D3996">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caps w:val="0"/>
                      <w:color w:val="auto"/>
                      <w:kern w:val="0"/>
                      <w:sz w:val="21"/>
                      <w:szCs w:val="21"/>
                      <w:highlight w:val="none"/>
                    </w:rPr>
                  </w:pPr>
                  <w:r>
                    <w:rPr>
                      <w:rFonts w:hint="default" w:ascii="Times New Roman" w:hAnsi="Times New Roman" w:eastAsia="宋体" w:cs="Times New Roman"/>
                      <w:b/>
                      <w:caps w:val="0"/>
                      <w:color w:val="auto"/>
                      <w:kern w:val="0"/>
                      <w:sz w:val="21"/>
                      <w:szCs w:val="21"/>
                      <w:highlight w:val="none"/>
                    </w:rPr>
                    <w:t>贮存</w:t>
                  </w:r>
                </w:p>
                <w:p w14:paraId="2CC3F19F">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caps w:val="0"/>
                      <w:color w:val="auto"/>
                      <w:kern w:val="0"/>
                      <w:sz w:val="21"/>
                      <w:szCs w:val="21"/>
                      <w:highlight w:val="none"/>
                    </w:rPr>
                  </w:pPr>
                  <w:r>
                    <w:rPr>
                      <w:rFonts w:hint="default" w:ascii="Times New Roman" w:hAnsi="Times New Roman" w:eastAsia="宋体" w:cs="Times New Roman"/>
                      <w:b/>
                      <w:caps w:val="0"/>
                      <w:color w:val="auto"/>
                      <w:kern w:val="0"/>
                      <w:sz w:val="21"/>
                      <w:szCs w:val="21"/>
                      <w:highlight w:val="none"/>
                    </w:rPr>
                    <w:t>能力</w:t>
                  </w:r>
                </w:p>
              </w:tc>
            </w:tr>
            <w:tr w14:paraId="3F0CAD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51" w:hRule="atLeast"/>
                <w:jc w:val="center"/>
              </w:trPr>
              <w:tc>
                <w:tcPr>
                  <w:tcW w:w="423" w:type="dxa"/>
                  <w:tcBorders>
                    <w:tl2br w:val="nil"/>
                    <w:tr2bl w:val="nil"/>
                  </w:tcBorders>
                  <w:noWrap w:val="0"/>
                  <w:vAlign w:val="center"/>
                </w:tcPr>
                <w:p w14:paraId="3B4CC4FB">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1</w:t>
                  </w:r>
                </w:p>
              </w:tc>
              <w:tc>
                <w:tcPr>
                  <w:tcW w:w="1223" w:type="dxa"/>
                  <w:vMerge w:val="restart"/>
                  <w:tcBorders>
                    <w:tl2br w:val="nil"/>
                    <w:tr2bl w:val="nil"/>
                  </w:tcBorders>
                  <w:noWrap w:val="0"/>
                  <w:vAlign w:val="center"/>
                </w:tcPr>
                <w:p w14:paraId="18950B2D">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sz w:val="21"/>
                      <w:szCs w:val="21"/>
                      <w:highlight w:val="none"/>
                      <w:lang w:val="en-US"/>
                    </w:rPr>
                  </w:pPr>
                  <w:r>
                    <w:rPr>
                      <w:rFonts w:hint="default" w:ascii="Times New Roman" w:hAnsi="Times New Roman" w:eastAsia="宋体" w:cs="Times New Roman"/>
                      <w:caps w:val="0"/>
                      <w:color w:val="auto"/>
                      <w:sz w:val="21"/>
                      <w:szCs w:val="21"/>
                      <w:highlight w:val="none"/>
                      <w:lang w:eastAsia="zh-CN"/>
                    </w:rPr>
                    <w:t>危废贮存</w:t>
                  </w:r>
                  <w:r>
                    <w:rPr>
                      <w:rFonts w:hint="default" w:ascii="Times New Roman" w:hAnsi="Times New Roman" w:cs="Times New Roman"/>
                      <w:caps w:val="0"/>
                      <w:color w:val="auto"/>
                      <w:sz w:val="21"/>
                      <w:szCs w:val="21"/>
                      <w:highlight w:val="none"/>
                      <w:lang w:val="en-US" w:eastAsia="zh-CN"/>
                    </w:rPr>
                    <w:t>点</w:t>
                  </w:r>
                </w:p>
              </w:tc>
              <w:tc>
                <w:tcPr>
                  <w:tcW w:w="1110" w:type="dxa"/>
                  <w:tcBorders>
                    <w:tl2br w:val="nil"/>
                    <w:tr2bl w:val="nil"/>
                  </w:tcBorders>
                  <w:noWrap w:val="0"/>
                  <w:vAlign w:val="center"/>
                </w:tcPr>
                <w:p w14:paraId="3CA5DD63">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废机油</w:t>
                  </w:r>
                </w:p>
              </w:tc>
              <w:tc>
                <w:tcPr>
                  <w:tcW w:w="795" w:type="dxa"/>
                  <w:tcBorders>
                    <w:tl2br w:val="nil"/>
                    <w:tr2bl w:val="nil"/>
                  </w:tcBorders>
                  <w:noWrap w:val="0"/>
                  <w:vAlign w:val="center"/>
                </w:tcPr>
                <w:p w14:paraId="107C7598">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rPr>
                    <w:t>HW</w:t>
                  </w:r>
                  <w:r>
                    <w:rPr>
                      <w:rFonts w:hint="default" w:ascii="Times New Roman" w:hAnsi="Times New Roman" w:eastAsia="宋体" w:cs="Times New Roman"/>
                      <w:caps w:val="0"/>
                      <w:color w:val="auto"/>
                      <w:sz w:val="21"/>
                      <w:szCs w:val="21"/>
                      <w:highlight w:val="none"/>
                      <w:lang w:val="en-US" w:eastAsia="zh-CN"/>
                    </w:rPr>
                    <w:t>08</w:t>
                  </w:r>
                </w:p>
              </w:tc>
              <w:tc>
                <w:tcPr>
                  <w:tcW w:w="1290" w:type="dxa"/>
                  <w:tcBorders>
                    <w:tl2br w:val="nil"/>
                    <w:tr2bl w:val="nil"/>
                  </w:tcBorders>
                  <w:noWrap w:val="0"/>
                  <w:vAlign w:val="center"/>
                </w:tcPr>
                <w:p w14:paraId="613938B9">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sz w:val="21"/>
                      <w:szCs w:val="21"/>
                      <w:highlight w:val="none"/>
                    </w:rPr>
                  </w:pPr>
                  <w:r>
                    <w:rPr>
                      <w:rFonts w:hint="default" w:ascii="Times New Roman" w:hAnsi="Times New Roman" w:eastAsia="宋体" w:cs="Times New Roman"/>
                      <w:caps w:val="0"/>
                      <w:color w:val="auto"/>
                      <w:sz w:val="21"/>
                      <w:szCs w:val="21"/>
                      <w:highlight w:val="none"/>
                      <w:lang w:val="en-US" w:eastAsia="zh-CN"/>
                    </w:rPr>
                    <w:t>900-2</w:t>
                  </w:r>
                  <w:r>
                    <w:rPr>
                      <w:rFonts w:hint="eastAsia" w:ascii="Times New Roman" w:hAnsi="Times New Roman" w:cs="Times New Roman"/>
                      <w:caps w:val="0"/>
                      <w:color w:val="auto"/>
                      <w:sz w:val="21"/>
                      <w:szCs w:val="21"/>
                      <w:highlight w:val="none"/>
                      <w:lang w:val="en-US" w:eastAsia="zh-CN"/>
                    </w:rPr>
                    <w:t>14</w:t>
                  </w:r>
                  <w:r>
                    <w:rPr>
                      <w:rFonts w:hint="default" w:ascii="Times New Roman" w:hAnsi="Times New Roman" w:eastAsia="宋体" w:cs="Times New Roman"/>
                      <w:caps w:val="0"/>
                      <w:color w:val="auto"/>
                      <w:sz w:val="21"/>
                      <w:szCs w:val="21"/>
                      <w:highlight w:val="none"/>
                      <w:lang w:val="en-US" w:eastAsia="zh-CN"/>
                    </w:rPr>
                    <w:t>-08</w:t>
                  </w:r>
                </w:p>
              </w:tc>
              <w:tc>
                <w:tcPr>
                  <w:tcW w:w="1031" w:type="dxa"/>
                  <w:vMerge w:val="restart"/>
                  <w:tcBorders>
                    <w:tl2br w:val="nil"/>
                    <w:tr2bl w:val="nil"/>
                  </w:tcBorders>
                  <w:noWrap w:val="0"/>
                  <w:vAlign w:val="center"/>
                </w:tcPr>
                <w:p w14:paraId="379C9DFD">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kern w:val="0"/>
                      <w:sz w:val="21"/>
                      <w:szCs w:val="21"/>
                      <w:highlight w:val="none"/>
                      <w:lang w:val="en-US" w:eastAsia="zh-CN"/>
                    </w:rPr>
                  </w:pPr>
                  <w:r>
                    <w:rPr>
                      <w:rFonts w:hint="default" w:ascii="Times New Roman" w:hAnsi="Times New Roman" w:cs="Times New Roman"/>
                      <w:caps w:val="0"/>
                      <w:color w:val="auto"/>
                      <w:kern w:val="0"/>
                      <w:sz w:val="21"/>
                      <w:szCs w:val="21"/>
                      <w:highlight w:val="none"/>
                      <w:lang w:val="en-US" w:eastAsia="zh-CN"/>
                    </w:rPr>
                    <w:t>锅炉房</w:t>
                  </w:r>
                </w:p>
              </w:tc>
              <w:tc>
                <w:tcPr>
                  <w:tcW w:w="654" w:type="dxa"/>
                  <w:vMerge w:val="restart"/>
                  <w:tcBorders>
                    <w:tl2br w:val="nil"/>
                    <w:tr2bl w:val="nil"/>
                  </w:tcBorders>
                  <w:noWrap w:val="0"/>
                  <w:vAlign w:val="center"/>
                </w:tcPr>
                <w:p w14:paraId="6BA33D59">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kern w:val="0"/>
                      <w:sz w:val="21"/>
                      <w:szCs w:val="21"/>
                      <w:highlight w:val="none"/>
                    </w:rPr>
                  </w:pPr>
                  <w:r>
                    <w:rPr>
                      <w:rFonts w:hint="default" w:ascii="Times New Roman" w:hAnsi="Times New Roman" w:cs="Times New Roman"/>
                      <w:caps w:val="0"/>
                      <w:color w:val="auto"/>
                      <w:kern w:val="0"/>
                      <w:sz w:val="21"/>
                      <w:szCs w:val="21"/>
                      <w:highlight w:val="none"/>
                      <w:lang w:val="en-US" w:eastAsia="zh-CN"/>
                    </w:rPr>
                    <w:t>2</w:t>
                  </w:r>
                  <w:r>
                    <w:rPr>
                      <w:rFonts w:hint="default" w:ascii="Times New Roman" w:hAnsi="Times New Roman" w:eastAsia="宋体" w:cs="Times New Roman"/>
                      <w:caps w:val="0"/>
                      <w:color w:val="auto"/>
                      <w:kern w:val="0"/>
                      <w:sz w:val="21"/>
                      <w:szCs w:val="21"/>
                      <w:highlight w:val="none"/>
                    </w:rPr>
                    <w:t>m</w:t>
                  </w:r>
                  <w:r>
                    <w:rPr>
                      <w:rFonts w:hint="default" w:ascii="Times New Roman" w:hAnsi="Times New Roman" w:eastAsia="宋体" w:cs="Times New Roman"/>
                      <w:caps w:val="0"/>
                      <w:color w:val="auto"/>
                      <w:kern w:val="0"/>
                      <w:sz w:val="21"/>
                      <w:szCs w:val="21"/>
                      <w:highlight w:val="none"/>
                      <w:vertAlign w:val="superscript"/>
                    </w:rPr>
                    <w:t>2</w:t>
                  </w:r>
                </w:p>
              </w:tc>
              <w:tc>
                <w:tcPr>
                  <w:tcW w:w="719" w:type="dxa"/>
                  <w:vMerge w:val="restart"/>
                  <w:tcBorders>
                    <w:tl2br w:val="nil"/>
                    <w:tr2bl w:val="nil"/>
                  </w:tcBorders>
                  <w:noWrap w:val="0"/>
                  <w:vAlign w:val="center"/>
                </w:tcPr>
                <w:p w14:paraId="32C73DD4">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kern w:val="0"/>
                      <w:sz w:val="21"/>
                      <w:szCs w:val="21"/>
                      <w:highlight w:val="none"/>
                    </w:rPr>
                  </w:pPr>
                  <w:r>
                    <w:rPr>
                      <w:rFonts w:hint="default" w:ascii="Times New Roman" w:hAnsi="Times New Roman" w:eastAsia="宋体" w:cs="Times New Roman"/>
                      <w:caps w:val="0"/>
                      <w:color w:val="auto"/>
                      <w:kern w:val="0"/>
                      <w:sz w:val="21"/>
                      <w:szCs w:val="21"/>
                      <w:highlight w:val="none"/>
                    </w:rPr>
                    <w:t>分类单独容器暂存</w:t>
                  </w:r>
                </w:p>
              </w:tc>
              <w:tc>
                <w:tcPr>
                  <w:tcW w:w="621" w:type="dxa"/>
                  <w:vMerge w:val="restart"/>
                  <w:tcBorders>
                    <w:tl2br w:val="nil"/>
                    <w:tr2bl w:val="nil"/>
                  </w:tcBorders>
                  <w:noWrap w:val="0"/>
                  <w:vAlign w:val="center"/>
                </w:tcPr>
                <w:p w14:paraId="6D414535">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kern w:val="0"/>
                      <w:sz w:val="21"/>
                      <w:szCs w:val="21"/>
                      <w:highlight w:val="none"/>
                    </w:rPr>
                  </w:pPr>
                  <w:r>
                    <w:rPr>
                      <w:rFonts w:hint="default" w:ascii="Times New Roman" w:hAnsi="Times New Roman" w:cs="Times New Roman"/>
                      <w:caps w:val="0"/>
                      <w:color w:val="auto"/>
                      <w:kern w:val="0"/>
                      <w:sz w:val="21"/>
                      <w:szCs w:val="21"/>
                      <w:highlight w:val="none"/>
                      <w:lang w:val="en-US" w:eastAsia="zh-CN"/>
                    </w:rPr>
                    <w:t>0.1</w:t>
                  </w:r>
                  <w:r>
                    <w:rPr>
                      <w:rFonts w:hint="default" w:ascii="Times New Roman" w:hAnsi="Times New Roman" w:eastAsia="宋体" w:cs="Times New Roman"/>
                      <w:caps w:val="0"/>
                      <w:color w:val="auto"/>
                      <w:kern w:val="0"/>
                      <w:sz w:val="21"/>
                      <w:szCs w:val="21"/>
                      <w:highlight w:val="none"/>
                    </w:rPr>
                    <w:t>t</w:t>
                  </w:r>
                </w:p>
              </w:tc>
            </w:tr>
            <w:tr w14:paraId="5BB2F9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51" w:hRule="atLeast"/>
                <w:jc w:val="center"/>
              </w:trPr>
              <w:tc>
                <w:tcPr>
                  <w:tcW w:w="423" w:type="dxa"/>
                  <w:tcBorders>
                    <w:tl2br w:val="nil"/>
                    <w:tr2bl w:val="nil"/>
                  </w:tcBorders>
                  <w:noWrap w:val="0"/>
                  <w:vAlign w:val="center"/>
                </w:tcPr>
                <w:p w14:paraId="7025D15A">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2</w:t>
                  </w:r>
                </w:p>
              </w:tc>
              <w:tc>
                <w:tcPr>
                  <w:tcW w:w="1223" w:type="dxa"/>
                  <w:vMerge w:val="continue"/>
                  <w:tcBorders>
                    <w:tl2br w:val="nil"/>
                    <w:tr2bl w:val="nil"/>
                  </w:tcBorders>
                  <w:noWrap w:val="0"/>
                  <w:vAlign w:val="center"/>
                </w:tcPr>
                <w:p w14:paraId="08D0CD0C">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sz w:val="21"/>
                      <w:szCs w:val="21"/>
                      <w:highlight w:val="none"/>
                      <w:lang w:eastAsia="zh-CN"/>
                    </w:rPr>
                  </w:pPr>
                </w:p>
              </w:tc>
              <w:tc>
                <w:tcPr>
                  <w:tcW w:w="1110" w:type="dxa"/>
                  <w:tcBorders>
                    <w:tl2br w:val="nil"/>
                    <w:tr2bl w:val="nil"/>
                  </w:tcBorders>
                  <w:noWrap w:val="0"/>
                  <w:vAlign w:val="center"/>
                </w:tcPr>
                <w:p w14:paraId="34A0C2F4">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废机油桶</w:t>
                  </w:r>
                </w:p>
              </w:tc>
              <w:tc>
                <w:tcPr>
                  <w:tcW w:w="795" w:type="dxa"/>
                  <w:tcBorders>
                    <w:tl2br w:val="nil"/>
                    <w:tr2bl w:val="nil"/>
                  </w:tcBorders>
                  <w:noWrap w:val="0"/>
                  <w:vAlign w:val="center"/>
                </w:tcPr>
                <w:p w14:paraId="332FB250">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HW49</w:t>
                  </w:r>
                </w:p>
              </w:tc>
              <w:tc>
                <w:tcPr>
                  <w:tcW w:w="1290" w:type="dxa"/>
                  <w:tcBorders>
                    <w:tl2br w:val="nil"/>
                    <w:tr2bl w:val="nil"/>
                  </w:tcBorders>
                  <w:noWrap w:val="0"/>
                  <w:vAlign w:val="center"/>
                </w:tcPr>
                <w:p w14:paraId="129B7515">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900-041-49</w:t>
                  </w:r>
                </w:p>
              </w:tc>
              <w:tc>
                <w:tcPr>
                  <w:tcW w:w="1031" w:type="dxa"/>
                  <w:vMerge w:val="continue"/>
                  <w:tcBorders>
                    <w:tl2br w:val="nil"/>
                    <w:tr2bl w:val="nil"/>
                  </w:tcBorders>
                  <w:noWrap w:val="0"/>
                  <w:vAlign w:val="center"/>
                </w:tcPr>
                <w:p w14:paraId="32E06B22">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kern w:val="0"/>
                      <w:sz w:val="21"/>
                      <w:szCs w:val="21"/>
                      <w:highlight w:val="none"/>
                      <w:lang w:val="en-US" w:eastAsia="zh-CN"/>
                    </w:rPr>
                  </w:pPr>
                </w:p>
              </w:tc>
              <w:tc>
                <w:tcPr>
                  <w:tcW w:w="654" w:type="dxa"/>
                  <w:vMerge w:val="continue"/>
                  <w:tcBorders>
                    <w:tl2br w:val="nil"/>
                    <w:tr2bl w:val="nil"/>
                  </w:tcBorders>
                  <w:noWrap w:val="0"/>
                  <w:vAlign w:val="center"/>
                </w:tcPr>
                <w:p w14:paraId="5CF67806">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kern w:val="0"/>
                      <w:sz w:val="21"/>
                      <w:szCs w:val="21"/>
                      <w:highlight w:val="none"/>
                      <w:lang w:val="en-US" w:eastAsia="zh-CN"/>
                    </w:rPr>
                  </w:pPr>
                </w:p>
              </w:tc>
              <w:tc>
                <w:tcPr>
                  <w:tcW w:w="719" w:type="dxa"/>
                  <w:vMerge w:val="continue"/>
                  <w:tcBorders>
                    <w:tl2br w:val="nil"/>
                    <w:tr2bl w:val="nil"/>
                  </w:tcBorders>
                  <w:noWrap w:val="0"/>
                  <w:vAlign w:val="center"/>
                </w:tcPr>
                <w:p w14:paraId="64706F0F">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kern w:val="0"/>
                      <w:sz w:val="21"/>
                      <w:szCs w:val="21"/>
                      <w:highlight w:val="none"/>
                    </w:rPr>
                  </w:pPr>
                </w:p>
              </w:tc>
              <w:tc>
                <w:tcPr>
                  <w:tcW w:w="621" w:type="dxa"/>
                  <w:vMerge w:val="continue"/>
                  <w:tcBorders>
                    <w:tl2br w:val="nil"/>
                    <w:tr2bl w:val="nil"/>
                  </w:tcBorders>
                  <w:noWrap w:val="0"/>
                  <w:vAlign w:val="center"/>
                </w:tcPr>
                <w:p w14:paraId="1DBDF4BB">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kern w:val="0"/>
                      <w:sz w:val="21"/>
                      <w:szCs w:val="21"/>
                      <w:highlight w:val="none"/>
                      <w:lang w:val="en-US" w:eastAsia="zh-CN"/>
                    </w:rPr>
                  </w:pPr>
                </w:p>
              </w:tc>
            </w:tr>
            <w:tr w14:paraId="48F15A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51" w:hRule="atLeast"/>
                <w:jc w:val="center"/>
              </w:trPr>
              <w:tc>
                <w:tcPr>
                  <w:tcW w:w="423" w:type="dxa"/>
                  <w:tcBorders>
                    <w:tl2br w:val="nil"/>
                    <w:tr2bl w:val="nil"/>
                  </w:tcBorders>
                  <w:noWrap w:val="0"/>
                  <w:vAlign w:val="center"/>
                </w:tcPr>
                <w:p w14:paraId="547FF2BF">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3</w:t>
                  </w:r>
                </w:p>
              </w:tc>
              <w:tc>
                <w:tcPr>
                  <w:tcW w:w="1223" w:type="dxa"/>
                  <w:vMerge w:val="continue"/>
                  <w:tcBorders>
                    <w:tl2br w:val="nil"/>
                    <w:tr2bl w:val="nil"/>
                  </w:tcBorders>
                  <w:noWrap w:val="0"/>
                  <w:vAlign w:val="center"/>
                </w:tcPr>
                <w:p w14:paraId="3D143E45">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sz w:val="21"/>
                      <w:szCs w:val="21"/>
                      <w:highlight w:val="none"/>
                      <w:lang w:eastAsia="zh-CN"/>
                    </w:rPr>
                  </w:pPr>
                </w:p>
              </w:tc>
              <w:tc>
                <w:tcPr>
                  <w:tcW w:w="1110" w:type="dxa"/>
                  <w:tcBorders>
                    <w:tl2br w:val="nil"/>
                    <w:tr2bl w:val="nil"/>
                  </w:tcBorders>
                  <w:noWrap w:val="0"/>
                  <w:vAlign w:val="center"/>
                </w:tcPr>
                <w:p w14:paraId="20C57542">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含油</w:t>
                  </w:r>
                  <w:r>
                    <w:rPr>
                      <w:rFonts w:hint="default" w:ascii="Times New Roman" w:hAnsi="Times New Roman" w:cs="Times New Roman"/>
                      <w:caps w:val="0"/>
                      <w:color w:val="auto"/>
                      <w:sz w:val="21"/>
                      <w:szCs w:val="21"/>
                      <w:highlight w:val="none"/>
                      <w:lang w:val="en-US" w:eastAsia="zh-CN"/>
                    </w:rPr>
                    <w:t>抹布</w:t>
                  </w:r>
                </w:p>
              </w:tc>
              <w:tc>
                <w:tcPr>
                  <w:tcW w:w="795" w:type="dxa"/>
                  <w:tcBorders>
                    <w:tl2br w:val="nil"/>
                    <w:tr2bl w:val="nil"/>
                  </w:tcBorders>
                  <w:noWrap w:val="0"/>
                  <w:vAlign w:val="center"/>
                </w:tcPr>
                <w:p w14:paraId="63CEC6B6">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HW49</w:t>
                  </w:r>
                </w:p>
              </w:tc>
              <w:tc>
                <w:tcPr>
                  <w:tcW w:w="1290" w:type="dxa"/>
                  <w:tcBorders>
                    <w:tl2br w:val="nil"/>
                    <w:tr2bl w:val="nil"/>
                  </w:tcBorders>
                  <w:noWrap w:val="0"/>
                  <w:vAlign w:val="center"/>
                </w:tcPr>
                <w:p w14:paraId="0296E6EA">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900-041-49</w:t>
                  </w:r>
                </w:p>
              </w:tc>
              <w:tc>
                <w:tcPr>
                  <w:tcW w:w="1031" w:type="dxa"/>
                  <w:vMerge w:val="continue"/>
                  <w:tcBorders>
                    <w:tl2br w:val="nil"/>
                    <w:tr2bl w:val="nil"/>
                  </w:tcBorders>
                  <w:noWrap w:val="0"/>
                  <w:vAlign w:val="center"/>
                </w:tcPr>
                <w:p w14:paraId="5F95BB31">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kern w:val="0"/>
                      <w:sz w:val="21"/>
                      <w:szCs w:val="21"/>
                      <w:highlight w:val="none"/>
                      <w:lang w:val="en-US" w:eastAsia="zh-CN"/>
                    </w:rPr>
                  </w:pPr>
                </w:p>
              </w:tc>
              <w:tc>
                <w:tcPr>
                  <w:tcW w:w="654" w:type="dxa"/>
                  <w:vMerge w:val="continue"/>
                  <w:tcBorders>
                    <w:tl2br w:val="nil"/>
                    <w:tr2bl w:val="nil"/>
                  </w:tcBorders>
                  <w:noWrap w:val="0"/>
                  <w:vAlign w:val="center"/>
                </w:tcPr>
                <w:p w14:paraId="723F3461">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kern w:val="0"/>
                      <w:sz w:val="21"/>
                      <w:szCs w:val="21"/>
                      <w:highlight w:val="none"/>
                      <w:lang w:val="en-US" w:eastAsia="zh-CN"/>
                    </w:rPr>
                  </w:pPr>
                </w:p>
              </w:tc>
              <w:tc>
                <w:tcPr>
                  <w:tcW w:w="719" w:type="dxa"/>
                  <w:vMerge w:val="continue"/>
                  <w:tcBorders>
                    <w:tl2br w:val="nil"/>
                    <w:tr2bl w:val="nil"/>
                  </w:tcBorders>
                  <w:noWrap w:val="0"/>
                  <w:vAlign w:val="center"/>
                </w:tcPr>
                <w:p w14:paraId="12B89EBB">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kern w:val="0"/>
                      <w:sz w:val="21"/>
                      <w:szCs w:val="21"/>
                      <w:highlight w:val="none"/>
                    </w:rPr>
                  </w:pPr>
                </w:p>
              </w:tc>
              <w:tc>
                <w:tcPr>
                  <w:tcW w:w="621" w:type="dxa"/>
                  <w:vMerge w:val="continue"/>
                  <w:tcBorders>
                    <w:tl2br w:val="nil"/>
                    <w:tr2bl w:val="nil"/>
                  </w:tcBorders>
                  <w:noWrap w:val="0"/>
                  <w:vAlign w:val="center"/>
                </w:tcPr>
                <w:p w14:paraId="6B502C89">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kern w:val="0"/>
                      <w:sz w:val="21"/>
                      <w:szCs w:val="21"/>
                      <w:highlight w:val="none"/>
                      <w:lang w:val="en-US" w:eastAsia="zh-CN"/>
                    </w:rPr>
                  </w:pPr>
                </w:p>
              </w:tc>
            </w:tr>
          </w:tbl>
          <w:p w14:paraId="5B0EDAC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aps w:val="0"/>
                <w:color w:val="auto"/>
                <w:spacing w:val="6"/>
                <w:sz w:val="21"/>
                <w:szCs w:val="21"/>
                <w:highlight w:val="none"/>
              </w:rPr>
            </w:pPr>
            <w:r>
              <w:rPr>
                <w:rFonts w:hint="default" w:ascii="Times New Roman" w:hAnsi="Times New Roman" w:eastAsia="宋体" w:cs="Times New Roman"/>
                <w:b/>
                <w:bCs/>
                <w:caps w:val="0"/>
                <w:color w:val="auto"/>
                <w:spacing w:val="6"/>
                <w:sz w:val="21"/>
                <w:szCs w:val="21"/>
                <w:highlight w:val="none"/>
              </w:rPr>
              <w:t>表4-</w:t>
            </w:r>
            <w:r>
              <w:rPr>
                <w:rFonts w:hint="default" w:ascii="Times New Roman" w:hAnsi="Times New Roman" w:eastAsia="宋体" w:cs="Times New Roman"/>
                <w:b/>
                <w:bCs/>
                <w:caps w:val="0"/>
                <w:color w:val="auto"/>
                <w:spacing w:val="6"/>
                <w:sz w:val="21"/>
                <w:szCs w:val="21"/>
                <w:highlight w:val="none"/>
                <w:lang w:val="en-US" w:eastAsia="zh-CN"/>
              </w:rPr>
              <w:t>1</w:t>
            </w:r>
            <w:r>
              <w:rPr>
                <w:rFonts w:hint="eastAsia" w:ascii="Times New Roman" w:hAnsi="Times New Roman" w:cs="Times New Roman"/>
                <w:b/>
                <w:bCs/>
                <w:caps w:val="0"/>
                <w:color w:val="auto"/>
                <w:spacing w:val="6"/>
                <w:sz w:val="21"/>
                <w:szCs w:val="21"/>
                <w:highlight w:val="none"/>
                <w:lang w:val="en-US" w:eastAsia="zh-CN"/>
              </w:rPr>
              <w:t>8</w:t>
            </w:r>
            <w:r>
              <w:rPr>
                <w:rFonts w:hint="default" w:ascii="Times New Roman" w:hAnsi="Times New Roman" w:eastAsia="宋体" w:cs="Times New Roman"/>
                <w:b/>
                <w:bCs/>
                <w:caps w:val="0"/>
                <w:color w:val="auto"/>
                <w:spacing w:val="6"/>
                <w:sz w:val="21"/>
                <w:szCs w:val="21"/>
                <w:highlight w:val="none"/>
              </w:rPr>
              <w:t xml:space="preserve">  危险废物汇总表</w:t>
            </w:r>
          </w:p>
          <w:tbl>
            <w:tblPr>
              <w:tblStyle w:val="3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4"/>
              <w:gridCol w:w="902"/>
              <w:gridCol w:w="1372"/>
              <w:gridCol w:w="912"/>
              <w:gridCol w:w="750"/>
              <w:gridCol w:w="490"/>
              <w:gridCol w:w="821"/>
              <w:gridCol w:w="750"/>
              <w:gridCol w:w="1336"/>
            </w:tblGrid>
            <w:tr w14:paraId="25393C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0" w:type="pct"/>
                  <w:tcBorders>
                    <w:tl2br w:val="nil"/>
                    <w:tr2bl w:val="nil"/>
                  </w:tcBorders>
                  <w:noWrap w:val="0"/>
                  <w:vAlign w:val="center"/>
                </w:tcPr>
                <w:p w14:paraId="092227B6">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bCs/>
                      <w:caps w:val="0"/>
                      <w:color w:val="auto"/>
                      <w:sz w:val="21"/>
                      <w:szCs w:val="21"/>
                      <w:highlight w:val="none"/>
                    </w:rPr>
                  </w:pPr>
                  <w:r>
                    <w:rPr>
                      <w:rFonts w:hint="default" w:ascii="Times New Roman" w:hAnsi="Times New Roman" w:eastAsia="宋体" w:cs="Times New Roman"/>
                      <w:b/>
                      <w:bCs/>
                      <w:caps w:val="0"/>
                      <w:color w:val="auto"/>
                      <w:sz w:val="21"/>
                      <w:szCs w:val="21"/>
                      <w:highlight w:val="none"/>
                    </w:rPr>
                    <w:t>危险废物名称</w:t>
                  </w:r>
                </w:p>
              </w:tc>
              <w:tc>
                <w:tcPr>
                  <w:tcW w:w="558" w:type="pct"/>
                  <w:tcBorders>
                    <w:tl2br w:val="nil"/>
                    <w:tr2bl w:val="nil"/>
                  </w:tcBorders>
                  <w:noWrap w:val="0"/>
                  <w:vAlign w:val="center"/>
                </w:tcPr>
                <w:p w14:paraId="09941757">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bCs/>
                      <w:caps w:val="0"/>
                      <w:color w:val="auto"/>
                      <w:sz w:val="21"/>
                      <w:szCs w:val="21"/>
                      <w:highlight w:val="none"/>
                    </w:rPr>
                  </w:pPr>
                  <w:r>
                    <w:rPr>
                      <w:rFonts w:hint="default" w:ascii="Times New Roman" w:hAnsi="Times New Roman" w:eastAsia="宋体" w:cs="Times New Roman"/>
                      <w:b/>
                      <w:bCs/>
                      <w:caps w:val="0"/>
                      <w:color w:val="auto"/>
                      <w:sz w:val="21"/>
                      <w:szCs w:val="21"/>
                      <w:highlight w:val="none"/>
                    </w:rPr>
                    <w:t>危险废物类别</w:t>
                  </w:r>
                </w:p>
              </w:tc>
              <w:tc>
                <w:tcPr>
                  <w:tcW w:w="849" w:type="pct"/>
                  <w:tcBorders>
                    <w:tl2br w:val="nil"/>
                    <w:tr2bl w:val="nil"/>
                  </w:tcBorders>
                  <w:noWrap w:val="0"/>
                  <w:vAlign w:val="center"/>
                </w:tcPr>
                <w:p w14:paraId="3B3C61FF">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bCs/>
                      <w:caps w:val="0"/>
                      <w:color w:val="auto"/>
                      <w:sz w:val="21"/>
                      <w:szCs w:val="21"/>
                      <w:highlight w:val="none"/>
                    </w:rPr>
                  </w:pPr>
                  <w:r>
                    <w:rPr>
                      <w:rFonts w:hint="default" w:ascii="Times New Roman" w:hAnsi="Times New Roman" w:eastAsia="宋体" w:cs="Times New Roman"/>
                      <w:b/>
                      <w:bCs/>
                      <w:caps w:val="0"/>
                      <w:color w:val="auto"/>
                      <w:sz w:val="21"/>
                      <w:szCs w:val="21"/>
                      <w:highlight w:val="none"/>
                    </w:rPr>
                    <w:t>危险废物代码</w:t>
                  </w:r>
                </w:p>
              </w:tc>
              <w:tc>
                <w:tcPr>
                  <w:tcW w:w="564" w:type="pct"/>
                  <w:tcBorders>
                    <w:tl2br w:val="nil"/>
                    <w:tr2bl w:val="nil"/>
                  </w:tcBorders>
                  <w:noWrap w:val="0"/>
                  <w:vAlign w:val="center"/>
                </w:tcPr>
                <w:p w14:paraId="4DE5920F">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bCs/>
                      <w:caps w:val="0"/>
                      <w:color w:val="auto"/>
                      <w:sz w:val="21"/>
                      <w:szCs w:val="21"/>
                      <w:highlight w:val="none"/>
                    </w:rPr>
                  </w:pPr>
                  <w:r>
                    <w:rPr>
                      <w:rFonts w:hint="default" w:ascii="Times New Roman" w:hAnsi="Times New Roman" w:eastAsia="宋体" w:cs="Times New Roman"/>
                      <w:b/>
                      <w:bCs/>
                      <w:caps w:val="0"/>
                      <w:color w:val="auto"/>
                      <w:sz w:val="21"/>
                      <w:szCs w:val="21"/>
                      <w:highlight w:val="none"/>
                    </w:rPr>
                    <w:t>产生量</w:t>
                  </w:r>
                </w:p>
              </w:tc>
              <w:tc>
                <w:tcPr>
                  <w:tcW w:w="464" w:type="pct"/>
                  <w:tcBorders>
                    <w:tl2br w:val="nil"/>
                    <w:tr2bl w:val="nil"/>
                  </w:tcBorders>
                  <w:noWrap w:val="0"/>
                  <w:vAlign w:val="center"/>
                </w:tcPr>
                <w:p w14:paraId="5737C487">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bCs/>
                      <w:caps w:val="0"/>
                      <w:color w:val="auto"/>
                      <w:sz w:val="21"/>
                      <w:szCs w:val="21"/>
                      <w:highlight w:val="none"/>
                    </w:rPr>
                  </w:pPr>
                  <w:r>
                    <w:rPr>
                      <w:rFonts w:hint="default" w:ascii="Times New Roman" w:hAnsi="Times New Roman" w:eastAsia="宋体" w:cs="Times New Roman"/>
                      <w:b/>
                      <w:bCs/>
                      <w:caps w:val="0"/>
                      <w:color w:val="auto"/>
                      <w:sz w:val="21"/>
                      <w:szCs w:val="21"/>
                      <w:highlight w:val="none"/>
                    </w:rPr>
                    <w:t>产生工序</w:t>
                  </w:r>
                </w:p>
              </w:tc>
              <w:tc>
                <w:tcPr>
                  <w:tcW w:w="303" w:type="pct"/>
                  <w:tcBorders>
                    <w:tl2br w:val="nil"/>
                    <w:tr2bl w:val="nil"/>
                  </w:tcBorders>
                  <w:noWrap w:val="0"/>
                  <w:vAlign w:val="center"/>
                </w:tcPr>
                <w:p w14:paraId="5639B20B">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bCs/>
                      <w:caps w:val="0"/>
                      <w:color w:val="auto"/>
                      <w:sz w:val="21"/>
                      <w:szCs w:val="21"/>
                      <w:highlight w:val="none"/>
                    </w:rPr>
                  </w:pPr>
                  <w:r>
                    <w:rPr>
                      <w:rFonts w:hint="default" w:ascii="Times New Roman" w:hAnsi="Times New Roman" w:eastAsia="宋体" w:cs="Times New Roman"/>
                      <w:b/>
                      <w:bCs/>
                      <w:caps w:val="0"/>
                      <w:color w:val="auto"/>
                      <w:sz w:val="21"/>
                      <w:szCs w:val="21"/>
                      <w:highlight w:val="none"/>
                    </w:rPr>
                    <w:t>形态</w:t>
                  </w:r>
                </w:p>
              </w:tc>
              <w:tc>
                <w:tcPr>
                  <w:tcW w:w="508" w:type="pct"/>
                  <w:tcBorders>
                    <w:tl2br w:val="nil"/>
                    <w:tr2bl w:val="nil"/>
                  </w:tcBorders>
                  <w:noWrap w:val="0"/>
                  <w:vAlign w:val="center"/>
                </w:tcPr>
                <w:p w14:paraId="5B467186">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bCs/>
                      <w:caps w:val="0"/>
                      <w:color w:val="auto"/>
                      <w:sz w:val="21"/>
                      <w:szCs w:val="21"/>
                      <w:highlight w:val="none"/>
                    </w:rPr>
                  </w:pPr>
                  <w:r>
                    <w:rPr>
                      <w:rFonts w:hint="default" w:ascii="Times New Roman" w:hAnsi="Times New Roman" w:eastAsia="宋体" w:cs="Times New Roman"/>
                      <w:b/>
                      <w:bCs/>
                      <w:caps w:val="0"/>
                      <w:color w:val="auto"/>
                      <w:sz w:val="21"/>
                      <w:szCs w:val="21"/>
                      <w:highlight w:val="none"/>
                    </w:rPr>
                    <w:t>有害成分</w:t>
                  </w:r>
                </w:p>
              </w:tc>
              <w:tc>
                <w:tcPr>
                  <w:tcW w:w="464" w:type="pct"/>
                  <w:tcBorders>
                    <w:tl2br w:val="nil"/>
                    <w:tr2bl w:val="nil"/>
                  </w:tcBorders>
                  <w:noWrap w:val="0"/>
                  <w:vAlign w:val="center"/>
                </w:tcPr>
                <w:p w14:paraId="78A5CADD">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bCs/>
                      <w:caps w:val="0"/>
                      <w:color w:val="auto"/>
                      <w:sz w:val="21"/>
                      <w:szCs w:val="21"/>
                      <w:highlight w:val="none"/>
                    </w:rPr>
                  </w:pPr>
                  <w:r>
                    <w:rPr>
                      <w:rFonts w:hint="default" w:ascii="Times New Roman" w:hAnsi="Times New Roman" w:eastAsia="宋体" w:cs="Times New Roman"/>
                      <w:b/>
                      <w:bCs/>
                      <w:caps w:val="0"/>
                      <w:color w:val="auto"/>
                      <w:sz w:val="21"/>
                      <w:szCs w:val="21"/>
                      <w:highlight w:val="none"/>
                    </w:rPr>
                    <w:t>产废周期</w:t>
                  </w:r>
                </w:p>
              </w:tc>
              <w:tc>
                <w:tcPr>
                  <w:tcW w:w="826" w:type="pct"/>
                  <w:tcBorders>
                    <w:tl2br w:val="nil"/>
                    <w:tr2bl w:val="nil"/>
                  </w:tcBorders>
                  <w:noWrap w:val="0"/>
                  <w:vAlign w:val="center"/>
                </w:tcPr>
                <w:p w14:paraId="0A07D47D">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bCs/>
                      <w:caps w:val="0"/>
                      <w:color w:val="auto"/>
                      <w:sz w:val="21"/>
                      <w:szCs w:val="21"/>
                      <w:highlight w:val="none"/>
                    </w:rPr>
                  </w:pPr>
                  <w:r>
                    <w:rPr>
                      <w:rFonts w:hint="default" w:ascii="Times New Roman" w:hAnsi="Times New Roman" w:eastAsia="宋体" w:cs="Times New Roman"/>
                      <w:b/>
                      <w:bCs/>
                      <w:caps w:val="0"/>
                      <w:color w:val="auto"/>
                      <w:sz w:val="21"/>
                      <w:szCs w:val="21"/>
                      <w:highlight w:val="none"/>
                    </w:rPr>
                    <w:t>污染防治措施</w:t>
                  </w:r>
                </w:p>
              </w:tc>
            </w:tr>
            <w:tr w14:paraId="15E53C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0" w:type="pct"/>
                  <w:tcBorders>
                    <w:tl2br w:val="nil"/>
                    <w:tr2bl w:val="nil"/>
                  </w:tcBorders>
                  <w:noWrap w:val="0"/>
                  <w:vAlign w:val="center"/>
                </w:tcPr>
                <w:p w14:paraId="07901721">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Cs/>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废机油</w:t>
                  </w:r>
                </w:p>
              </w:tc>
              <w:tc>
                <w:tcPr>
                  <w:tcW w:w="558" w:type="pct"/>
                  <w:tcBorders>
                    <w:tl2br w:val="nil"/>
                    <w:tr2bl w:val="nil"/>
                  </w:tcBorders>
                  <w:noWrap w:val="0"/>
                  <w:vAlign w:val="center"/>
                </w:tcPr>
                <w:p w14:paraId="7EE89EA8">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Cs/>
                      <w:caps w:val="0"/>
                      <w:color w:val="auto"/>
                      <w:sz w:val="21"/>
                      <w:szCs w:val="21"/>
                      <w:highlight w:val="none"/>
                    </w:rPr>
                  </w:pPr>
                  <w:r>
                    <w:rPr>
                      <w:rFonts w:hint="default" w:ascii="Times New Roman" w:hAnsi="Times New Roman" w:eastAsia="宋体" w:cs="Times New Roman"/>
                      <w:caps w:val="0"/>
                      <w:color w:val="auto"/>
                      <w:sz w:val="21"/>
                      <w:szCs w:val="21"/>
                      <w:highlight w:val="none"/>
                    </w:rPr>
                    <w:t>HW</w:t>
                  </w:r>
                  <w:r>
                    <w:rPr>
                      <w:rFonts w:hint="default" w:ascii="Times New Roman" w:hAnsi="Times New Roman" w:eastAsia="宋体" w:cs="Times New Roman"/>
                      <w:caps w:val="0"/>
                      <w:color w:val="auto"/>
                      <w:sz w:val="21"/>
                      <w:szCs w:val="21"/>
                      <w:highlight w:val="none"/>
                      <w:lang w:val="en-US" w:eastAsia="zh-CN"/>
                    </w:rPr>
                    <w:t>08</w:t>
                  </w:r>
                </w:p>
              </w:tc>
              <w:tc>
                <w:tcPr>
                  <w:tcW w:w="849" w:type="pct"/>
                  <w:tcBorders>
                    <w:tl2br w:val="nil"/>
                    <w:tr2bl w:val="nil"/>
                  </w:tcBorders>
                  <w:noWrap w:val="0"/>
                  <w:vAlign w:val="center"/>
                </w:tcPr>
                <w:p w14:paraId="45DC7E24">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Cs/>
                      <w:caps w:val="0"/>
                      <w:color w:val="auto"/>
                      <w:sz w:val="21"/>
                      <w:szCs w:val="21"/>
                      <w:highlight w:val="none"/>
                    </w:rPr>
                  </w:pPr>
                  <w:r>
                    <w:rPr>
                      <w:rFonts w:hint="default" w:ascii="Times New Roman" w:hAnsi="Times New Roman" w:eastAsia="宋体" w:cs="Times New Roman"/>
                      <w:caps w:val="0"/>
                      <w:color w:val="auto"/>
                      <w:sz w:val="21"/>
                      <w:szCs w:val="21"/>
                      <w:highlight w:val="none"/>
                      <w:lang w:val="en-US" w:eastAsia="zh-CN"/>
                    </w:rPr>
                    <w:t>900-2</w:t>
                  </w:r>
                  <w:r>
                    <w:rPr>
                      <w:rFonts w:hint="eastAsia" w:ascii="Times New Roman" w:hAnsi="Times New Roman" w:cs="Times New Roman"/>
                      <w:caps w:val="0"/>
                      <w:color w:val="auto"/>
                      <w:sz w:val="21"/>
                      <w:szCs w:val="21"/>
                      <w:highlight w:val="none"/>
                      <w:lang w:val="en-US" w:eastAsia="zh-CN"/>
                    </w:rPr>
                    <w:t>14</w:t>
                  </w:r>
                  <w:r>
                    <w:rPr>
                      <w:rFonts w:hint="default" w:ascii="Times New Roman" w:hAnsi="Times New Roman" w:eastAsia="宋体" w:cs="Times New Roman"/>
                      <w:caps w:val="0"/>
                      <w:color w:val="auto"/>
                      <w:sz w:val="21"/>
                      <w:szCs w:val="21"/>
                      <w:highlight w:val="none"/>
                      <w:lang w:val="en-US" w:eastAsia="zh-CN"/>
                    </w:rPr>
                    <w:t>-08</w:t>
                  </w:r>
                </w:p>
              </w:tc>
              <w:tc>
                <w:tcPr>
                  <w:tcW w:w="564" w:type="pct"/>
                  <w:tcBorders>
                    <w:tl2br w:val="nil"/>
                    <w:tr2bl w:val="nil"/>
                  </w:tcBorders>
                  <w:noWrap w:val="0"/>
                  <w:vAlign w:val="center"/>
                </w:tcPr>
                <w:p w14:paraId="48397E98">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Cs/>
                      <w:caps w:val="0"/>
                      <w:color w:val="auto"/>
                      <w:sz w:val="21"/>
                      <w:szCs w:val="21"/>
                      <w:highlight w:val="none"/>
                    </w:rPr>
                  </w:pPr>
                  <w:r>
                    <w:rPr>
                      <w:rFonts w:hint="default" w:ascii="Times New Roman" w:hAnsi="Times New Roman" w:eastAsia="宋体" w:cs="Times New Roman"/>
                      <w:bCs/>
                      <w:caps w:val="0"/>
                      <w:color w:val="auto"/>
                      <w:sz w:val="21"/>
                      <w:szCs w:val="21"/>
                      <w:highlight w:val="none"/>
                    </w:rPr>
                    <w:t>0.</w:t>
                  </w:r>
                  <w:r>
                    <w:rPr>
                      <w:rFonts w:hint="default" w:ascii="Times New Roman" w:hAnsi="Times New Roman" w:eastAsia="宋体" w:cs="Times New Roman"/>
                      <w:bCs/>
                      <w:caps w:val="0"/>
                      <w:color w:val="auto"/>
                      <w:sz w:val="21"/>
                      <w:szCs w:val="21"/>
                      <w:highlight w:val="none"/>
                      <w:lang w:val="en-US" w:eastAsia="zh-CN"/>
                    </w:rPr>
                    <w:t>0</w:t>
                  </w:r>
                  <w:r>
                    <w:rPr>
                      <w:rFonts w:hint="default" w:ascii="Times New Roman" w:hAnsi="Times New Roman" w:cs="Times New Roman"/>
                      <w:bCs/>
                      <w:caps w:val="0"/>
                      <w:color w:val="auto"/>
                      <w:sz w:val="21"/>
                      <w:szCs w:val="21"/>
                      <w:highlight w:val="none"/>
                      <w:lang w:val="en-US" w:eastAsia="zh-CN"/>
                    </w:rPr>
                    <w:t>1</w:t>
                  </w:r>
                  <w:r>
                    <w:rPr>
                      <w:rFonts w:hint="default" w:ascii="Times New Roman" w:hAnsi="Times New Roman" w:eastAsia="宋体" w:cs="Times New Roman"/>
                      <w:bCs/>
                      <w:caps w:val="0"/>
                      <w:color w:val="auto"/>
                      <w:sz w:val="21"/>
                      <w:szCs w:val="21"/>
                      <w:highlight w:val="none"/>
                    </w:rPr>
                    <w:t>t/a</w:t>
                  </w:r>
                </w:p>
              </w:tc>
              <w:tc>
                <w:tcPr>
                  <w:tcW w:w="464" w:type="pct"/>
                  <w:vMerge w:val="restart"/>
                  <w:tcBorders>
                    <w:tl2br w:val="nil"/>
                    <w:tr2bl w:val="nil"/>
                  </w:tcBorders>
                  <w:noWrap w:val="0"/>
                  <w:vAlign w:val="center"/>
                </w:tcPr>
                <w:p w14:paraId="230983FD">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Cs/>
                      <w:caps w:val="0"/>
                      <w:color w:val="auto"/>
                      <w:sz w:val="21"/>
                      <w:szCs w:val="21"/>
                      <w:highlight w:val="none"/>
                      <w:lang w:val="en-US" w:eastAsia="zh-CN"/>
                    </w:rPr>
                  </w:pPr>
                  <w:r>
                    <w:rPr>
                      <w:rFonts w:hint="default" w:ascii="Times New Roman" w:hAnsi="Times New Roman" w:eastAsia="宋体" w:cs="Times New Roman"/>
                      <w:bCs/>
                      <w:caps w:val="0"/>
                      <w:color w:val="auto"/>
                      <w:sz w:val="21"/>
                      <w:szCs w:val="21"/>
                      <w:highlight w:val="none"/>
                      <w:lang w:val="en-US" w:eastAsia="zh-CN"/>
                    </w:rPr>
                    <w:t>锅炉检修</w:t>
                  </w:r>
                </w:p>
              </w:tc>
              <w:tc>
                <w:tcPr>
                  <w:tcW w:w="303" w:type="pct"/>
                  <w:tcBorders>
                    <w:tl2br w:val="nil"/>
                    <w:tr2bl w:val="nil"/>
                  </w:tcBorders>
                  <w:noWrap w:val="0"/>
                  <w:vAlign w:val="center"/>
                </w:tcPr>
                <w:p w14:paraId="7068FBCC">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Cs/>
                      <w:caps w:val="0"/>
                      <w:color w:val="auto"/>
                      <w:sz w:val="21"/>
                      <w:szCs w:val="21"/>
                      <w:highlight w:val="none"/>
                    </w:rPr>
                  </w:pPr>
                  <w:r>
                    <w:rPr>
                      <w:rFonts w:hint="default" w:ascii="Times New Roman" w:hAnsi="Times New Roman" w:eastAsia="宋体" w:cs="Times New Roman"/>
                      <w:bCs/>
                      <w:caps w:val="0"/>
                      <w:color w:val="auto"/>
                      <w:sz w:val="21"/>
                      <w:szCs w:val="21"/>
                      <w:highlight w:val="none"/>
                      <w:lang w:val="en-US" w:eastAsia="zh-CN"/>
                    </w:rPr>
                    <w:t>液</w:t>
                  </w:r>
                  <w:r>
                    <w:rPr>
                      <w:rFonts w:hint="default" w:ascii="Times New Roman" w:hAnsi="Times New Roman" w:eastAsia="宋体" w:cs="Times New Roman"/>
                      <w:bCs/>
                      <w:caps w:val="0"/>
                      <w:color w:val="auto"/>
                      <w:sz w:val="21"/>
                      <w:szCs w:val="21"/>
                      <w:highlight w:val="none"/>
                    </w:rPr>
                    <w:t>态</w:t>
                  </w:r>
                </w:p>
              </w:tc>
              <w:tc>
                <w:tcPr>
                  <w:tcW w:w="508" w:type="pct"/>
                  <w:vMerge w:val="restart"/>
                  <w:tcBorders>
                    <w:tl2br w:val="nil"/>
                    <w:tr2bl w:val="nil"/>
                  </w:tcBorders>
                  <w:noWrap w:val="0"/>
                  <w:vAlign w:val="center"/>
                </w:tcPr>
                <w:p w14:paraId="7B348E0A">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Cs/>
                      <w:caps w:val="0"/>
                      <w:color w:val="auto"/>
                      <w:sz w:val="21"/>
                      <w:szCs w:val="21"/>
                      <w:highlight w:val="none"/>
                    </w:rPr>
                  </w:pPr>
                  <w:r>
                    <w:rPr>
                      <w:rFonts w:hint="default" w:ascii="Times New Roman" w:hAnsi="Times New Roman" w:eastAsia="宋体" w:cs="Times New Roman"/>
                      <w:bCs/>
                      <w:caps w:val="0"/>
                      <w:color w:val="auto"/>
                      <w:sz w:val="21"/>
                      <w:szCs w:val="21"/>
                      <w:highlight w:val="none"/>
                      <w:lang w:val="en-US" w:eastAsia="zh-CN"/>
                    </w:rPr>
                    <w:t>烷烃、多环芳烃、烯烃、苯系物、酚类</w:t>
                  </w:r>
                </w:p>
              </w:tc>
              <w:tc>
                <w:tcPr>
                  <w:tcW w:w="464" w:type="pct"/>
                  <w:vMerge w:val="restart"/>
                  <w:tcBorders>
                    <w:tl2br w:val="nil"/>
                    <w:tr2bl w:val="nil"/>
                  </w:tcBorders>
                  <w:noWrap w:val="0"/>
                  <w:vAlign w:val="center"/>
                </w:tcPr>
                <w:p w14:paraId="668ABD3B">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Cs/>
                      <w:caps w:val="0"/>
                      <w:color w:val="auto"/>
                      <w:sz w:val="21"/>
                      <w:szCs w:val="21"/>
                      <w:highlight w:val="none"/>
                      <w:lang w:val="en-US" w:eastAsia="zh-CN"/>
                    </w:rPr>
                  </w:pPr>
                  <w:r>
                    <w:rPr>
                      <w:rFonts w:hint="default" w:ascii="Times New Roman" w:hAnsi="Times New Roman" w:eastAsia="宋体" w:cs="Times New Roman"/>
                      <w:bCs/>
                      <w:caps w:val="0"/>
                      <w:color w:val="auto"/>
                      <w:sz w:val="21"/>
                      <w:szCs w:val="21"/>
                      <w:highlight w:val="none"/>
                      <w:lang w:val="en-US" w:eastAsia="zh-CN"/>
                    </w:rPr>
                    <w:t>1次/年</w:t>
                  </w:r>
                </w:p>
              </w:tc>
              <w:tc>
                <w:tcPr>
                  <w:tcW w:w="826" w:type="pct"/>
                  <w:vMerge w:val="restart"/>
                  <w:tcBorders>
                    <w:tl2br w:val="nil"/>
                    <w:tr2bl w:val="nil"/>
                  </w:tcBorders>
                  <w:noWrap w:val="0"/>
                  <w:vAlign w:val="center"/>
                </w:tcPr>
                <w:p w14:paraId="31852506">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Cs/>
                      <w:caps w:val="0"/>
                      <w:color w:val="auto"/>
                      <w:sz w:val="21"/>
                      <w:szCs w:val="21"/>
                      <w:highlight w:val="none"/>
                    </w:rPr>
                  </w:pPr>
                  <w:r>
                    <w:rPr>
                      <w:rFonts w:hint="default" w:ascii="Times New Roman" w:hAnsi="Times New Roman" w:eastAsia="宋体" w:cs="Times New Roman"/>
                      <w:bCs/>
                      <w:caps w:val="0"/>
                      <w:color w:val="auto"/>
                      <w:sz w:val="21"/>
                      <w:szCs w:val="21"/>
                      <w:highlight w:val="none"/>
                    </w:rPr>
                    <w:t>密闭容器分类收集，分区暂存于</w:t>
                  </w:r>
                  <w:r>
                    <w:rPr>
                      <w:rFonts w:hint="eastAsia" w:ascii="Times New Roman" w:hAnsi="Times New Roman" w:cs="Times New Roman"/>
                      <w:bCs/>
                      <w:caps w:val="0"/>
                      <w:color w:val="auto"/>
                      <w:sz w:val="21"/>
                      <w:szCs w:val="21"/>
                      <w:highlight w:val="none"/>
                      <w:lang w:val="en-US" w:eastAsia="zh-CN"/>
                    </w:rPr>
                    <w:t>危险废物贮存点，</w:t>
                  </w:r>
                  <w:r>
                    <w:rPr>
                      <w:rFonts w:hint="default" w:ascii="Times New Roman" w:hAnsi="Times New Roman" w:eastAsia="宋体" w:cs="Times New Roman"/>
                      <w:bCs/>
                      <w:caps w:val="0"/>
                      <w:color w:val="auto"/>
                      <w:sz w:val="21"/>
                      <w:szCs w:val="21"/>
                      <w:highlight w:val="none"/>
                    </w:rPr>
                    <w:t>定期交有资质单位处置</w:t>
                  </w:r>
                </w:p>
              </w:tc>
            </w:tr>
            <w:tr w14:paraId="250053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0" w:type="pct"/>
                  <w:tcBorders>
                    <w:tl2br w:val="nil"/>
                    <w:tr2bl w:val="nil"/>
                  </w:tcBorders>
                  <w:noWrap w:val="0"/>
                  <w:vAlign w:val="center"/>
                </w:tcPr>
                <w:p w14:paraId="7888B5A3">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废机油桶</w:t>
                  </w:r>
                </w:p>
              </w:tc>
              <w:tc>
                <w:tcPr>
                  <w:tcW w:w="558" w:type="pct"/>
                  <w:tcBorders>
                    <w:tl2br w:val="nil"/>
                    <w:tr2bl w:val="nil"/>
                  </w:tcBorders>
                  <w:noWrap w:val="0"/>
                  <w:vAlign w:val="center"/>
                </w:tcPr>
                <w:p w14:paraId="7E54FF06">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sz w:val="21"/>
                      <w:szCs w:val="21"/>
                      <w:highlight w:val="none"/>
                    </w:rPr>
                  </w:pPr>
                  <w:r>
                    <w:rPr>
                      <w:rFonts w:hint="default" w:ascii="Times New Roman" w:hAnsi="Times New Roman" w:eastAsia="宋体" w:cs="Times New Roman"/>
                      <w:caps w:val="0"/>
                      <w:color w:val="auto"/>
                      <w:sz w:val="21"/>
                      <w:szCs w:val="21"/>
                      <w:highlight w:val="none"/>
                      <w:lang w:val="en-US" w:eastAsia="zh-CN"/>
                    </w:rPr>
                    <w:t>HW49</w:t>
                  </w:r>
                </w:p>
              </w:tc>
              <w:tc>
                <w:tcPr>
                  <w:tcW w:w="849" w:type="pct"/>
                  <w:tcBorders>
                    <w:tl2br w:val="nil"/>
                    <w:tr2bl w:val="nil"/>
                  </w:tcBorders>
                  <w:noWrap w:val="0"/>
                  <w:vAlign w:val="center"/>
                </w:tcPr>
                <w:p w14:paraId="74174DC8">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900-041-49</w:t>
                  </w:r>
                </w:p>
              </w:tc>
              <w:tc>
                <w:tcPr>
                  <w:tcW w:w="564" w:type="pct"/>
                  <w:tcBorders>
                    <w:tl2br w:val="nil"/>
                    <w:tr2bl w:val="nil"/>
                  </w:tcBorders>
                  <w:noWrap w:val="0"/>
                  <w:vAlign w:val="center"/>
                </w:tcPr>
                <w:p w14:paraId="0DEBF29E">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Cs/>
                      <w:caps w:val="0"/>
                      <w:color w:val="auto"/>
                      <w:sz w:val="21"/>
                      <w:szCs w:val="21"/>
                      <w:highlight w:val="none"/>
                      <w:lang w:val="en-US" w:eastAsia="zh-CN"/>
                    </w:rPr>
                  </w:pPr>
                  <w:r>
                    <w:rPr>
                      <w:rFonts w:hint="default" w:ascii="Times New Roman" w:hAnsi="Times New Roman" w:eastAsia="宋体" w:cs="Times New Roman"/>
                      <w:bCs/>
                      <w:caps w:val="0"/>
                      <w:color w:val="auto"/>
                      <w:sz w:val="21"/>
                      <w:szCs w:val="21"/>
                      <w:highlight w:val="none"/>
                      <w:lang w:val="en-US" w:eastAsia="zh-CN"/>
                    </w:rPr>
                    <w:t>0.0</w:t>
                  </w:r>
                  <w:r>
                    <w:rPr>
                      <w:rFonts w:hint="default" w:ascii="Times New Roman" w:hAnsi="Times New Roman" w:cs="Times New Roman"/>
                      <w:bCs/>
                      <w:caps w:val="0"/>
                      <w:color w:val="auto"/>
                      <w:sz w:val="21"/>
                      <w:szCs w:val="21"/>
                      <w:highlight w:val="none"/>
                      <w:lang w:val="en-US" w:eastAsia="zh-CN"/>
                    </w:rPr>
                    <w:t>1</w:t>
                  </w:r>
                  <w:r>
                    <w:rPr>
                      <w:rFonts w:hint="default" w:ascii="Times New Roman" w:hAnsi="Times New Roman" w:eastAsia="宋体" w:cs="Times New Roman"/>
                      <w:bCs/>
                      <w:caps w:val="0"/>
                      <w:color w:val="auto"/>
                      <w:sz w:val="21"/>
                      <w:szCs w:val="21"/>
                      <w:highlight w:val="none"/>
                      <w:lang w:val="en-US" w:eastAsia="zh-CN"/>
                    </w:rPr>
                    <w:t>t/a</w:t>
                  </w:r>
                </w:p>
              </w:tc>
              <w:tc>
                <w:tcPr>
                  <w:tcW w:w="464" w:type="pct"/>
                  <w:vMerge w:val="continue"/>
                  <w:tcBorders>
                    <w:tl2br w:val="nil"/>
                    <w:tr2bl w:val="nil"/>
                  </w:tcBorders>
                  <w:noWrap w:val="0"/>
                  <w:vAlign w:val="center"/>
                </w:tcPr>
                <w:p w14:paraId="3F85E8CD">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Cs/>
                      <w:caps w:val="0"/>
                      <w:color w:val="auto"/>
                      <w:sz w:val="21"/>
                      <w:szCs w:val="21"/>
                      <w:highlight w:val="none"/>
                    </w:rPr>
                  </w:pPr>
                </w:p>
              </w:tc>
              <w:tc>
                <w:tcPr>
                  <w:tcW w:w="303" w:type="pct"/>
                  <w:tcBorders>
                    <w:tl2br w:val="nil"/>
                    <w:tr2bl w:val="nil"/>
                  </w:tcBorders>
                  <w:noWrap w:val="0"/>
                  <w:vAlign w:val="center"/>
                </w:tcPr>
                <w:p w14:paraId="709B775A">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Cs/>
                      <w:caps w:val="0"/>
                      <w:color w:val="auto"/>
                      <w:sz w:val="21"/>
                      <w:szCs w:val="21"/>
                      <w:highlight w:val="none"/>
                      <w:lang w:val="en-US" w:eastAsia="zh-CN"/>
                    </w:rPr>
                  </w:pPr>
                  <w:r>
                    <w:rPr>
                      <w:rFonts w:hint="default" w:ascii="Times New Roman" w:hAnsi="Times New Roman" w:eastAsia="宋体" w:cs="Times New Roman"/>
                      <w:bCs/>
                      <w:caps w:val="0"/>
                      <w:color w:val="auto"/>
                      <w:sz w:val="21"/>
                      <w:szCs w:val="21"/>
                      <w:highlight w:val="none"/>
                      <w:lang w:val="en-US" w:eastAsia="zh-CN"/>
                    </w:rPr>
                    <w:t>固态</w:t>
                  </w:r>
                </w:p>
              </w:tc>
              <w:tc>
                <w:tcPr>
                  <w:tcW w:w="508" w:type="pct"/>
                  <w:vMerge w:val="continue"/>
                  <w:tcBorders>
                    <w:tl2br w:val="nil"/>
                    <w:tr2bl w:val="nil"/>
                  </w:tcBorders>
                  <w:noWrap w:val="0"/>
                  <w:vAlign w:val="center"/>
                </w:tcPr>
                <w:p w14:paraId="52A34C26">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Cs/>
                      <w:caps w:val="0"/>
                      <w:color w:val="auto"/>
                      <w:sz w:val="21"/>
                      <w:szCs w:val="21"/>
                      <w:highlight w:val="none"/>
                      <w:lang w:val="en-US" w:eastAsia="zh-CN"/>
                    </w:rPr>
                  </w:pPr>
                </w:p>
              </w:tc>
              <w:tc>
                <w:tcPr>
                  <w:tcW w:w="464" w:type="pct"/>
                  <w:vMerge w:val="continue"/>
                  <w:tcBorders>
                    <w:tl2br w:val="nil"/>
                    <w:tr2bl w:val="nil"/>
                  </w:tcBorders>
                  <w:noWrap w:val="0"/>
                  <w:vAlign w:val="center"/>
                </w:tcPr>
                <w:p w14:paraId="42682D11">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Cs/>
                      <w:caps w:val="0"/>
                      <w:color w:val="auto"/>
                      <w:sz w:val="21"/>
                      <w:szCs w:val="21"/>
                      <w:highlight w:val="none"/>
                      <w:lang w:val="en-US" w:eastAsia="zh-CN"/>
                    </w:rPr>
                  </w:pPr>
                </w:p>
              </w:tc>
              <w:tc>
                <w:tcPr>
                  <w:tcW w:w="826" w:type="pct"/>
                  <w:vMerge w:val="continue"/>
                  <w:tcBorders>
                    <w:tl2br w:val="nil"/>
                    <w:tr2bl w:val="nil"/>
                  </w:tcBorders>
                  <w:noWrap w:val="0"/>
                  <w:vAlign w:val="center"/>
                </w:tcPr>
                <w:p w14:paraId="4732D24A">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Cs/>
                      <w:caps w:val="0"/>
                      <w:color w:val="auto"/>
                      <w:sz w:val="21"/>
                      <w:szCs w:val="21"/>
                      <w:highlight w:val="none"/>
                    </w:rPr>
                  </w:pPr>
                </w:p>
              </w:tc>
            </w:tr>
            <w:tr w14:paraId="55A78B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0" w:type="pct"/>
                  <w:tcBorders>
                    <w:tl2br w:val="nil"/>
                    <w:tr2bl w:val="nil"/>
                  </w:tcBorders>
                  <w:noWrap w:val="0"/>
                  <w:vAlign w:val="center"/>
                </w:tcPr>
                <w:p w14:paraId="630A4CB0">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含油</w:t>
                  </w:r>
                  <w:r>
                    <w:rPr>
                      <w:rFonts w:hint="default" w:ascii="Times New Roman" w:hAnsi="Times New Roman" w:cs="Times New Roman"/>
                      <w:caps w:val="0"/>
                      <w:color w:val="auto"/>
                      <w:sz w:val="21"/>
                      <w:szCs w:val="21"/>
                      <w:highlight w:val="none"/>
                      <w:lang w:val="en-US" w:eastAsia="zh-CN"/>
                    </w:rPr>
                    <w:t>抹布</w:t>
                  </w:r>
                </w:p>
              </w:tc>
              <w:tc>
                <w:tcPr>
                  <w:tcW w:w="558" w:type="pct"/>
                  <w:tcBorders>
                    <w:tl2br w:val="nil"/>
                    <w:tr2bl w:val="nil"/>
                  </w:tcBorders>
                  <w:noWrap w:val="0"/>
                  <w:vAlign w:val="center"/>
                </w:tcPr>
                <w:p w14:paraId="124F0858">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sz w:val="21"/>
                      <w:szCs w:val="21"/>
                      <w:highlight w:val="none"/>
                    </w:rPr>
                  </w:pPr>
                  <w:r>
                    <w:rPr>
                      <w:rFonts w:hint="default" w:ascii="Times New Roman" w:hAnsi="Times New Roman" w:eastAsia="宋体" w:cs="Times New Roman"/>
                      <w:caps w:val="0"/>
                      <w:color w:val="auto"/>
                      <w:sz w:val="21"/>
                      <w:szCs w:val="21"/>
                      <w:highlight w:val="none"/>
                      <w:lang w:val="en-US" w:eastAsia="zh-CN"/>
                    </w:rPr>
                    <w:t>HW49</w:t>
                  </w:r>
                </w:p>
              </w:tc>
              <w:tc>
                <w:tcPr>
                  <w:tcW w:w="849" w:type="pct"/>
                  <w:tcBorders>
                    <w:tl2br w:val="nil"/>
                    <w:tr2bl w:val="nil"/>
                  </w:tcBorders>
                  <w:noWrap w:val="0"/>
                  <w:vAlign w:val="center"/>
                </w:tcPr>
                <w:p w14:paraId="38EF4937">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900-041-49</w:t>
                  </w:r>
                </w:p>
              </w:tc>
              <w:tc>
                <w:tcPr>
                  <w:tcW w:w="564" w:type="pct"/>
                  <w:tcBorders>
                    <w:tl2br w:val="nil"/>
                    <w:tr2bl w:val="nil"/>
                  </w:tcBorders>
                  <w:noWrap w:val="0"/>
                  <w:vAlign w:val="center"/>
                </w:tcPr>
                <w:p w14:paraId="1D955196">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Cs/>
                      <w:caps w:val="0"/>
                      <w:color w:val="auto"/>
                      <w:sz w:val="21"/>
                      <w:szCs w:val="21"/>
                      <w:highlight w:val="none"/>
                      <w:lang w:val="en-US" w:eastAsia="zh-CN"/>
                    </w:rPr>
                  </w:pPr>
                  <w:r>
                    <w:rPr>
                      <w:rFonts w:hint="default" w:ascii="Times New Roman" w:hAnsi="Times New Roman" w:eastAsia="宋体" w:cs="Times New Roman"/>
                      <w:bCs/>
                      <w:caps w:val="0"/>
                      <w:color w:val="auto"/>
                      <w:sz w:val="21"/>
                      <w:szCs w:val="21"/>
                      <w:highlight w:val="none"/>
                      <w:lang w:val="en-US" w:eastAsia="zh-CN"/>
                    </w:rPr>
                    <w:t>0.005t/a</w:t>
                  </w:r>
                </w:p>
              </w:tc>
              <w:tc>
                <w:tcPr>
                  <w:tcW w:w="464" w:type="pct"/>
                  <w:vMerge w:val="continue"/>
                  <w:tcBorders>
                    <w:tl2br w:val="nil"/>
                    <w:tr2bl w:val="nil"/>
                  </w:tcBorders>
                  <w:noWrap w:val="0"/>
                  <w:vAlign w:val="center"/>
                </w:tcPr>
                <w:p w14:paraId="3BDB1122">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Cs/>
                      <w:caps w:val="0"/>
                      <w:color w:val="auto"/>
                      <w:sz w:val="21"/>
                      <w:szCs w:val="21"/>
                      <w:highlight w:val="none"/>
                    </w:rPr>
                  </w:pPr>
                </w:p>
              </w:tc>
              <w:tc>
                <w:tcPr>
                  <w:tcW w:w="303" w:type="pct"/>
                  <w:tcBorders>
                    <w:tl2br w:val="nil"/>
                    <w:tr2bl w:val="nil"/>
                  </w:tcBorders>
                  <w:noWrap w:val="0"/>
                  <w:vAlign w:val="center"/>
                </w:tcPr>
                <w:p w14:paraId="0B867B80">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Cs/>
                      <w:caps w:val="0"/>
                      <w:color w:val="auto"/>
                      <w:sz w:val="21"/>
                      <w:szCs w:val="21"/>
                      <w:highlight w:val="none"/>
                      <w:lang w:val="en-US" w:eastAsia="zh-CN"/>
                    </w:rPr>
                  </w:pPr>
                  <w:r>
                    <w:rPr>
                      <w:rFonts w:hint="default" w:ascii="Times New Roman" w:hAnsi="Times New Roman" w:eastAsia="宋体" w:cs="Times New Roman"/>
                      <w:bCs/>
                      <w:caps w:val="0"/>
                      <w:color w:val="auto"/>
                      <w:sz w:val="21"/>
                      <w:szCs w:val="21"/>
                      <w:highlight w:val="none"/>
                      <w:lang w:val="en-US" w:eastAsia="zh-CN"/>
                    </w:rPr>
                    <w:t>固态</w:t>
                  </w:r>
                </w:p>
              </w:tc>
              <w:tc>
                <w:tcPr>
                  <w:tcW w:w="508" w:type="pct"/>
                  <w:vMerge w:val="continue"/>
                  <w:tcBorders>
                    <w:tl2br w:val="nil"/>
                    <w:tr2bl w:val="nil"/>
                  </w:tcBorders>
                  <w:noWrap w:val="0"/>
                  <w:vAlign w:val="center"/>
                </w:tcPr>
                <w:p w14:paraId="25E63331">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Cs/>
                      <w:caps w:val="0"/>
                      <w:color w:val="auto"/>
                      <w:sz w:val="21"/>
                      <w:szCs w:val="21"/>
                      <w:highlight w:val="none"/>
                      <w:lang w:val="en-US" w:eastAsia="zh-CN"/>
                    </w:rPr>
                  </w:pPr>
                </w:p>
              </w:tc>
              <w:tc>
                <w:tcPr>
                  <w:tcW w:w="464" w:type="pct"/>
                  <w:vMerge w:val="continue"/>
                  <w:tcBorders>
                    <w:tl2br w:val="nil"/>
                    <w:tr2bl w:val="nil"/>
                  </w:tcBorders>
                  <w:noWrap w:val="0"/>
                  <w:vAlign w:val="center"/>
                </w:tcPr>
                <w:p w14:paraId="1C4A5A45">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Cs/>
                      <w:caps w:val="0"/>
                      <w:color w:val="auto"/>
                      <w:sz w:val="21"/>
                      <w:szCs w:val="21"/>
                      <w:highlight w:val="none"/>
                      <w:lang w:val="en-US" w:eastAsia="zh-CN"/>
                    </w:rPr>
                  </w:pPr>
                </w:p>
              </w:tc>
              <w:tc>
                <w:tcPr>
                  <w:tcW w:w="826" w:type="pct"/>
                  <w:vMerge w:val="continue"/>
                  <w:tcBorders>
                    <w:tl2br w:val="nil"/>
                    <w:tr2bl w:val="nil"/>
                  </w:tcBorders>
                  <w:noWrap w:val="0"/>
                  <w:vAlign w:val="center"/>
                </w:tcPr>
                <w:p w14:paraId="4FC054C7">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Cs/>
                      <w:caps w:val="0"/>
                      <w:color w:val="auto"/>
                      <w:sz w:val="21"/>
                      <w:szCs w:val="21"/>
                      <w:highlight w:val="none"/>
                    </w:rPr>
                  </w:pPr>
                </w:p>
              </w:tc>
            </w:tr>
          </w:tbl>
          <w:p w14:paraId="4CB5D7B6">
            <w:pPr>
              <w:adjustRightInd w:val="0"/>
              <w:snapToGrid w:val="0"/>
              <w:spacing w:line="360" w:lineRule="auto"/>
              <w:ind w:firstLine="480" w:firstLineChars="200"/>
              <w:rPr>
                <w:rFonts w:hint="default" w:ascii="Times New Roman" w:hAnsi="Times New Roman" w:eastAsia="宋体" w:cs="Times New Roman"/>
                <w:caps w:val="0"/>
                <w:color w:val="auto"/>
                <w:sz w:val="24"/>
                <w:highlight w:val="none"/>
              </w:rPr>
            </w:pPr>
            <w:r>
              <w:rPr>
                <w:rFonts w:hint="default" w:ascii="Times New Roman" w:hAnsi="Times New Roman" w:eastAsia="宋体" w:cs="Times New Roman"/>
                <w:caps w:val="0"/>
                <w:color w:val="auto"/>
                <w:kern w:val="0"/>
                <w:sz w:val="24"/>
                <w:highlight w:val="none"/>
              </w:rPr>
              <w:t>4.2.</w:t>
            </w:r>
            <w:r>
              <w:rPr>
                <w:rFonts w:hint="default" w:ascii="Times New Roman" w:hAnsi="Times New Roman" w:eastAsia="宋体" w:cs="Times New Roman"/>
                <w:caps w:val="0"/>
                <w:color w:val="auto"/>
                <w:kern w:val="0"/>
                <w:sz w:val="24"/>
                <w:highlight w:val="none"/>
                <w:lang w:val="en-US" w:eastAsia="zh-CN"/>
              </w:rPr>
              <w:t>2</w:t>
            </w:r>
            <w:r>
              <w:rPr>
                <w:rFonts w:hint="default" w:ascii="Times New Roman" w:hAnsi="Times New Roman" w:eastAsia="宋体" w:cs="Times New Roman"/>
                <w:caps w:val="0"/>
                <w:color w:val="auto"/>
                <w:kern w:val="0"/>
                <w:sz w:val="24"/>
                <w:highlight w:val="none"/>
              </w:rPr>
              <w:t>运输过程的环境影响</w:t>
            </w:r>
          </w:p>
          <w:p w14:paraId="3A5FEC60">
            <w:pPr>
              <w:spacing w:line="360" w:lineRule="auto"/>
              <w:ind w:firstLine="480"/>
              <w:rPr>
                <w:rFonts w:hint="default" w:ascii="Times New Roman" w:hAnsi="Times New Roman" w:eastAsia="宋体" w:cs="Times New Roman"/>
                <w:caps w:val="0"/>
                <w:color w:val="auto"/>
                <w:sz w:val="24"/>
                <w:highlight w:val="none"/>
              </w:rPr>
            </w:pPr>
            <w:r>
              <w:rPr>
                <w:rFonts w:hint="default" w:ascii="Times New Roman" w:hAnsi="Times New Roman" w:eastAsia="宋体" w:cs="Times New Roman"/>
                <w:caps w:val="0"/>
                <w:color w:val="auto"/>
                <w:kern w:val="0"/>
                <w:sz w:val="24"/>
                <w:highlight w:val="none"/>
              </w:rPr>
              <w:t>本项目危险废物产生后均使用专用密闭容器收纳，不同危险废物需分类收集存放，及时转移至</w:t>
            </w:r>
            <w:r>
              <w:rPr>
                <w:rFonts w:hint="default" w:ascii="Times New Roman" w:hAnsi="Times New Roman" w:eastAsia="宋体" w:cs="Times New Roman"/>
                <w:caps w:val="0"/>
                <w:color w:val="auto"/>
                <w:kern w:val="0"/>
                <w:sz w:val="24"/>
                <w:highlight w:val="none"/>
                <w:lang w:eastAsia="zh-CN"/>
              </w:rPr>
              <w:t>危废贮存</w:t>
            </w:r>
            <w:r>
              <w:rPr>
                <w:rFonts w:hint="eastAsia" w:ascii="Times New Roman" w:hAnsi="Times New Roman" w:cs="Times New Roman"/>
                <w:caps w:val="0"/>
                <w:color w:val="auto"/>
                <w:kern w:val="0"/>
                <w:sz w:val="24"/>
                <w:highlight w:val="none"/>
                <w:lang w:val="en-US" w:eastAsia="zh-CN"/>
              </w:rPr>
              <w:t>点</w:t>
            </w:r>
            <w:r>
              <w:rPr>
                <w:rFonts w:hint="default" w:ascii="Times New Roman" w:hAnsi="Times New Roman" w:eastAsia="宋体" w:cs="Times New Roman"/>
                <w:caps w:val="0"/>
                <w:color w:val="auto"/>
                <w:kern w:val="0"/>
                <w:sz w:val="24"/>
                <w:highlight w:val="none"/>
              </w:rPr>
              <w:t>，</w:t>
            </w:r>
            <w:r>
              <w:rPr>
                <w:rFonts w:hint="default" w:ascii="Times New Roman" w:hAnsi="Times New Roman" w:eastAsia="宋体" w:cs="Times New Roman"/>
                <w:caps w:val="0"/>
                <w:color w:val="auto"/>
                <w:sz w:val="24"/>
                <w:highlight w:val="none"/>
              </w:rPr>
              <w:t>并在容器外表设置环境保护图形标志和警示标志</w:t>
            </w:r>
            <w:r>
              <w:rPr>
                <w:rFonts w:hint="default" w:ascii="Times New Roman" w:hAnsi="Times New Roman" w:eastAsia="宋体" w:cs="Times New Roman"/>
                <w:caps w:val="0"/>
                <w:color w:val="auto"/>
                <w:kern w:val="0"/>
                <w:sz w:val="24"/>
                <w:highlight w:val="none"/>
              </w:rPr>
              <w:t>。本项目产生的危险废物委托有相关处理资质单位进行处置，定期由具备相关运输资</w:t>
            </w:r>
            <w:r>
              <w:rPr>
                <w:rFonts w:hint="default" w:ascii="Times New Roman" w:hAnsi="Times New Roman" w:eastAsia="宋体" w:cs="Times New Roman"/>
                <w:caps w:val="0"/>
                <w:color w:val="auto"/>
                <w:kern w:val="0"/>
                <w:sz w:val="24"/>
                <w:highlight w:val="none"/>
                <w:lang w:eastAsia="zh-CN"/>
              </w:rPr>
              <w:t>质的</w:t>
            </w:r>
            <w:r>
              <w:rPr>
                <w:rFonts w:hint="default" w:ascii="Times New Roman" w:hAnsi="Times New Roman" w:eastAsia="宋体" w:cs="Times New Roman"/>
                <w:caps w:val="0"/>
                <w:color w:val="auto"/>
                <w:kern w:val="0"/>
                <w:sz w:val="24"/>
                <w:highlight w:val="none"/>
              </w:rPr>
              <w:t>公司使用专用车辆运走，运输路线由管理部门指定，不会对运输沿线环境敏感点产生环境影响。</w:t>
            </w:r>
          </w:p>
          <w:p w14:paraId="15892EC5">
            <w:pPr>
              <w:adjustRightInd w:val="0"/>
              <w:snapToGrid w:val="0"/>
              <w:spacing w:line="360" w:lineRule="auto"/>
              <w:ind w:firstLine="480" w:firstLineChars="200"/>
              <w:rPr>
                <w:rFonts w:hint="default" w:ascii="Times New Roman" w:hAnsi="Times New Roman" w:eastAsia="宋体" w:cs="Times New Roman"/>
                <w:caps w:val="0"/>
                <w:color w:val="auto"/>
                <w:kern w:val="0"/>
                <w:sz w:val="24"/>
                <w:highlight w:val="none"/>
              </w:rPr>
            </w:pPr>
            <w:r>
              <w:rPr>
                <w:rFonts w:hint="default" w:ascii="Times New Roman" w:hAnsi="Times New Roman" w:eastAsia="宋体" w:cs="Times New Roman"/>
                <w:caps w:val="0"/>
                <w:color w:val="auto"/>
                <w:kern w:val="0"/>
                <w:sz w:val="24"/>
                <w:highlight w:val="none"/>
              </w:rPr>
              <w:t>4.2.</w:t>
            </w:r>
            <w:r>
              <w:rPr>
                <w:rFonts w:hint="default" w:ascii="Times New Roman" w:hAnsi="Times New Roman" w:eastAsia="宋体" w:cs="Times New Roman"/>
                <w:caps w:val="0"/>
                <w:color w:val="auto"/>
                <w:kern w:val="0"/>
                <w:sz w:val="24"/>
                <w:highlight w:val="none"/>
                <w:lang w:val="en-US" w:eastAsia="zh-CN"/>
              </w:rPr>
              <w:t>3</w:t>
            </w:r>
            <w:r>
              <w:rPr>
                <w:rFonts w:hint="default" w:ascii="Times New Roman" w:hAnsi="Times New Roman" w:eastAsia="宋体" w:cs="Times New Roman"/>
                <w:caps w:val="0"/>
                <w:color w:val="auto"/>
                <w:kern w:val="0"/>
                <w:sz w:val="24"/>
                <w:highlight w:val="none"/>
              </w:rPr>
              <w:t>利用或者处置的环境影响分析</w:t>
            </w:r>
          </w:p>
          <w:p w14:paraId="7A74F428">
            <w:pPr>
              <w:adjustRightInd w:val="0"/>
              <w:snapToGrid w:val="0"/>
              <w:spacing w:line="360" w:lineRule="auto"/>
              <w:ind w:firstLine="480" w:firstLineChars="200"/>
              <w:rPr>
                <w:rFonts w:hint="default" w:ascii="Times New Roman" w:hAnsi="Times New Roman" w:eastAsia="宋体" w:cs="Times New Roman"/>
                <w:caps w:val="0"/>
                <w:color w:val="auto"/>
                <w:kern w:val="0"/>
                <w:sz w:val="24"/>
                <w:highlight w:val="none"/>
              </w:rPr>
            </w:pPr>
            <w:r>
              <w:rPr>
                <w:rFonts w:hint="default" w:ascii="Times New Roman" w:hAnsi="Times New Roman" w:eastAsia="宋体" w:cs="Times New Roman"/>
                <w:caps w:val="0"/>
                <w:color w:val="auto"/>
                <w:kern w:val="0"/>
                <w:sz w:val="24"/>
                <w:highlight w:val="none"/>
              </w:rPr>
              <w:t>本项目产生的危险废物委托具有相应处理资质的单位处置。该危险废物处置单位应当持有</w:t>
            </w:r>
            <w:r>
              <w:rPr>
                <w:rFonts w:hint="default" w:ascii="Times New Roman" w:hAnsi="Times New Roman" w:eastAsia="宋体" w:cs="Times New Roman"/>
                <w:caps w:val="0"/>
                <w:color w:val="auto"/>
                <w:kern w:val="0"/>
                <w:sz w:val="24"/>
                <w:highlight w:val="none"/>
                <w:lang w:eastAsia="zh-CN"/>
              </w:rPr>
              <w:t>黑龙江省</w:t>
            </w:r>
            <w:r>
              <w:rPr>
                <w:rFonts w:hint="default" w:ascii="Times New Roman" w:hAnsi="Times New Roman" w:eastAsia="宋体" w:cs="Times New Roman"/>
                <w:caps w:val="0"/>
                <w:color w:val="auto"/>
                <w:kern w:val="0"/>
                <w:sz w:val="24"/>
                <w:highlight w:val="none"/>
              </w:rPr>
              <w:t>生态环境局颁发的《危险废物经营许可证》，具有收集、运输、贮存、处理处置及综合利用能力，处理能力有足够余量。本项目产生的危险废物交具有相应处理资质的单位进行处置后，不会对环境产生显著不利影响。</w:t>
            </w:r>
          </w:p>
          <w:p w14:paraId="53F67B30">
            <w:pPr>
              <w:adjustRightInd w:val="0"/>
              <w:snapToGrid w:val="0"/>
              <w:spacing w:line="360" w:lineRule="auto"/>
              <w:ind w:firstLine="480" w:firstLineChars="200"/>
              <w:rPr>
                <w:rFonts w:hint="default" w:ascii="Times New Roman" w:hAnsi="Times New Roman" w:eastAsia="宋体" w:cs="Times New Roman"/>
                <w:caps w:val="0"/>
                <w:color w:val="auto"/>
                <w:kern w:val="0"/>
                <w:sz w:val="24"/>
                <w:highlight w:val="none"/>
              </w:rPr>
            </w:pPr>
            <w:r>
              <w:rPr>
                <w:rFonts w:hint="default" w:ascii="Times New Roman" w:hAnsi="Times New Roman" w:eastAsia="宋体" w:cs="Times New Roman"/>
                <w:caps w:val="0"/>
                <w:color w:val="auto"/>
                <w:kern w:val="0"/>
                <w:sz w:val="24"/>
                <w:highlight w:val="none"/>
              </w:rPr>
              <w:t>4.2.</w:t>
            </w:r>
            <w:r>
              <w:rPr>
                <w:rFonts w:hint="default" w:ascii="Times New Roman" w:hAnsi="Times New Roman" w:eastAsia="宋体" w:cs="Times New Roman"/>
                <w:caps w:val="0"/>
                <w:color w:val="auto"/>
                <w:kern w:val="0"/>
                <w:sz w:val="24"/>
                <w:highlight w:val="none"/>
                <w:lang w:val="en-US" w:eastAsia="zh-CN"/>
              </w:rPr>
              <w:t>4</w:t>
            </w:r>
            <w:r>
              <w:rPr>
                <w:rFonts w:hint="default" w:ascii="Times New Roman" w:hAnsi="Times New Roman" w:eastAsia="宋体" w:cs="Times New Roman"/>
                <w:caps w:val="0"/>
                <w:color w:val="auto"/>
                <w:kern w:val="0"/>
                <w:sz w:val="24"/>
                <w:highlight w:val="none"/>
              </w:rPr>
              <w:t>危险废物环境管理要求</w:t>
            </w:r>
          </w:p>
          <w:p w14:paraId="3BAB6F81">
            <w:pPr>
              <w:adjustRightInd w:val="0"/>
              <w:snapToGrid w:val="0"/>
              <w:spacing w:line="360" w:lineRule="auto"/>
              <w:ind w:firstLine="480" w:firstLineChars="200"/>
              <w:rPr>
                <w:rFonts w:hint="default" w:ascii="Times New Roman" w:hAnsi="Times New Roman" w:eastAsia="宋体" w:cs="Times New Roman"/>
                <w:caps w:val="0"/>
                <w:color w:val="auto"/>
                <w:kern w:val="0"/>
                <w:sz w:val="24"/>
                <w:highlight w:val="none"/>
              </w:rPr>
            </w:pPr>
            <w:r>
              <w:rPr>
                <w:rFonts w:hint="default" w:ascii="Times New Roman" w:hAnsi="Times New Roman" w:eastAsia="宋体" w:cs="Times New Roman"/>
                <w:caps w:val="0"/>
                <w:color w:val="auto"/>
                <w:kern w:val="0"/>
                <w:sz w:val="24"/>
                <w:highlight w:val="none"/>
              </w:rPr>
              <w:t>建设单位运营过程应该对本项目产生的危险废物从收集、贮存、运输、利用、处置各环节进行全过程的监管，各环节应严格执行《危险废物收集、贮存、运输技术规范》（HJ2025-2012）的相关要求。</w:t>
            </w:r>
          </w:p>
          <w:p w14:paraId="37A9E968">
            <w:pPr>
              <w:adjustRightInd w:val="0"/>
              <w:snapToGrid w:val="0"/>
              <w:spacing w:line="360" w:lineRule="auto"/>
              <w:ind w:firstLine="480" w:firstLineChars="200"/>
              <w:rPr>
                <w:rFonts w:hint="default" w:ascii="Times New Roman" w:hAnsi="Times New Roman" w:eastAsia="宋体" w:cs="Times New Roman"/>
                <w:caps w:val="0"/>
                <w:color w:val="auto"/>
                <w:kern w:val="0"/>
                <w:sz w:val="24"/>
                <w:highlight w:val="none"/>
                <w:lang w:eastAsia="zh-CN"/>
              </w:rPr>
            </w:pPr>
            <w:r>
              <w:rPr>
                <w:rFonts w:hint="default" w:ascii="Times New Roman" w:hAnsi="Times New Roman" w:eastAsia="宋体" w:cs="Times New Roman"/>
                <w:caps w:val="0"/>
                <w:color w:val="auto"/>
                <w:kern w:val="0"/>
                <w:sz w:val="24"/>
                <w:highlight w:val="none"/>
              </w:rPr>
              <w:t>危险废物暂存过程中应满足《危险废物贮存污染控制标准》（GB18597-20</w:t>
            </w:r>
            <w:r>
              <w:rPr>
                <w:rFonts w:hint="default" w:ascii="Times New Roman" w:hAnsi="Times New Roman" w:eastAsia="宋体" w:cs="Times New Roman"/>
                <w:caps w:val="0"/>
                <w:color w:val="auto"/>
                <w:kern w:val="0"/>
                <w:sz w:val="24"/>
                <w:highlight w:val="none"/>
                <w:lang w:val="en-US" w:eastAsia="zh-CN"/>
              </w:rPr>
              <w:t>23</w:t>
            </w:r>
            <w:r>
              <w:rPr>
                <w:rFonts w:hint="default" w:ascii="Times New Roman" w:hAnsi="Times New Roman" w:eastAsia="宋体" w:cs="Times New Roman"/>
                <w:caps w:val="0"/>
                <w:color w:val="auto"/>
                <w:kern w:val="0"/>
                <w:sz w:val="24"/>
                <w:highlight w:val="none"/>
              </w:rPr>
              <w:t>）中的相关规定</w:t>
            </w:r>
            <w:r>
              <w:rPr>
                <w:rFonts w:hint="default" w:ascii="Times New Roman" w:hAnsi="Times New Roman" w:eastAsia="宋体" w:cs="Times New Roman"/>
                <w:caps w:val="0"/>
                <w:color w:val="auto"/>
                <w:kern w:val="0"/>
                <w:sz w:val="24"/>
                <w:highlight w:val="none"/>
                <w:lang w:eastAsia="zh-CN"/>
              </w:rPr>
              <w:t>。</w:t>
            </w:r>
          </w:p>
          <w:p w14:paraId="2C280BC2">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由上述分析可知，项目产生的固体废物得到有效地处理处置，对外环境影响较小。</w:t>
            </w:r>
          </w:p>
          <w:p w14:paraId="7EE4F053">
            <w:pPr>
              <w:bidi w:val="0"/>
              <w:rPr>
                <w:rFonts w:hint="default" w:ascii="Times New Roman" w:hAnsi="Times New Roman" w:cs="Times New Roman"/>
                <w:b/>
                <w:bCs w:val="0"/>
                <w:color w:val="auto"/>
                <w:highlight w:val="none"/>
                <w:lang w:val="en-US" w:eastAsia="zh-CN"/>
              </w:rPr>
            </w:pPr>
            <w:r>
              <w:rPr>
                <w:rFonts w:hint="default" w:ascii="Times New Roman" w:hAnsi="Times New Roman" w:cs="Times New Roman"/>
                <w:b/>
                <w:bCs w:val="0"/>
                <w:color w:val="auto"/>
                <w:highlight w:val="none"/>
                <w:lang w:val="en-US" w:eastAsia="zh-CN"/>
              </w:rPr>
              <w:t>5.</w:t>
            </w:r>
            <w:r>
              <w:rPr>
                <w:rFonts w:hint="default" w:ascii="Times New Roman" w:hAnsi="Times New Roman" w:cs="Times New Roman"/>
                <w:b/>
                <w:bCs w:val="0"/>
                <w:color w:val="auto"/>
                <w:highlight w:val="none"/>
              </w:rPr>
              <w:t>地下水</w:t>
            </w:r>
            <w:bookmarkEnd w:id="12"/>
            <w:bookmarkEnd w:id="13"/>
            <w:r>
              <w:rPr>
                <w:rFonts w:hint="default" w:ascii="Times New Roman" w:hAnsi="Times New Roman" w:cs="Times New Roman"/>
                <w:b/>
                <w:bCs w:val="0"/>
                <w:color w:val="auto"/>
                <w:highlight w:val="none"/>
                <w:lang w:val="en-US" w:eastAsia="zh-CN"/>
              </w:rPr>
              <w:t>、</w:t>
            </w:r>
            <w:r>
              <w:rPr>
                <w:rFonts w:hint="default" w:ascii="Times New Roman" w:hAnsi="Times New Roman" w:cs="Times New Roman"/>
                <w:b/>
                <w:bCs w:val="0"/>
                <w:color w:val="auto"/>
                <w:highlight w:val="none"/>
              </w:rPr>
              <w:t>土壤环境</w:t>
            </w:r>
          </w:p>
          <w:p w14:paraId="1526DC29">
            <w:pPr>
              <w:adjustRightInd w:val="0"/>
              <w:snapToGrid w:val="0"/>
              <w:spacing w:line="360" w:lineRule="auto"/>
              <w:ind w:firstLine="480" w:firstLineChars="200"/>
              <w:rPr>
                <w:rFonts w:hint="default" w:ascii="Times New Roman" w:hAnsi="Times New Roman" w:eastAsia="宋体" w:cs="Times New Roman"/>
                <w:caps w:val="0"/>
                <w:color w:val="auto"/>
                <w:kern w:val="0"/>
                <w:sz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w:t>
            </w:r>
            <w:r>
              <w:rPr>
                <w:rFonts w:hint="default" w:ascii="Times New Roman" w:hAnsi="Times New Roman" w:cs="Times New Roman"/>
                <w:color w:val="auto"/>
                <w:sz w:val="24"/>
                <w:szCs w:val="24"/>
                <w:highlight w:val="none"/>
                <w:lang w:eastAsia="zh-CN"/>
              </w:rPr>
              <w:t>危险废物贮存点</w:t>
            </w:r>
            <w:r>
              <w:rPr>
                <w:rFonts w:hint="default" w:ascii="Times New Roman" w:hAnsi="Times New Roman" w:eastAsia="宋体" w:cs="Times New Roman"/>
                <w:color w:val="auto"/>
                <w:sz w:val="24"/>
                <w:szCs w:val="24"/>
                <w:highlight w:val="none"/>
              </w:rPr>
              <w:t>均已做好防渗、防漏措施，则正常运行时不会发生污水下渗。项目运营过程中产生废气，主要污染物为颗粒物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二氧化硫和氮氧化物</w:t>
            </w:r>
            <w:r>
              <w:rPr>
                <w:rFonts w:hint="default" w:ascii="Times New Roman" w:hAnsi="Times New Roman" w:eastAsia="宋体" w:cs="Times New Roman"/>
                <w:color w:val="auto"/>
                <w:sz w:val="24"/>
                <w:szCs w:val="24"/>
                <w:highlight w:val="none"/>
              </w:rPr>
              <w:t>，影响途径为大气沉降。</w:t>
            </w:r>
            <w:r>
              <w:rPr>
                <w:rFonts w:hint="default" w:ascii="Times New Roman" w:hAnsi="Times New Roman" w:cs="Times New Roman"/>
                <w:color w:val="auto"/>
                <w:sz w:val="24"/>
                <w:szCs w:val="24"/>
                <w:highlight w:val="none"/>
                <w:lang w:val="en-US" w:eastAsia="zh-CN"/>
              </w:rPr>
              <w:t>本</w:t>
            </w:r>
            <w:r>
              <w:rPr>
                <w:rFonts w:hint="default" w:ascii="Times New Roman" w:hAnsi="Times New Roman" w:eastAsia="宋体" w:cs="Times New Roman"/>
                <w:color w:val="auto"/>
                <w:sz w:val="24"/>
                <w:szCs w:val="24"/>
                <w:highlight w:val="none"/>
              </w:rPr>
              <w:t>项目</w:t>
            </w:r>
            <w:r>
              <w:rPr>
                <w:rFonts w:hint="default" w:ascii="Times New Roman" w:hAnsi="Times New Roman" w:cs="Times New Roman"/>
                <w:color w:val="auto"/>
                <w:highlight w:val="none"/>
                <w:lang w:eastAsia="zh-CN"/>
              </w:rPr>
              <w:t>产生</w:t>
            </w:r>
            <w:r>
              <w:rPr>
                <w:rFonts w:hint="default" w:ascii="Times New Roman" w:hAnsi="Times New Roman" w:cs="Times New Roman"/>
                <w:color w:val="auto"/>
                <w:highlight w:val="none"/>
                <w:lang w:val="en-US" w:eastAsia="zh-CN"/>
              </w:rPr>
              <w:t>的废气</w:t>
            </w:r>
            <w:r>
              <w:rPr>
                <w:rFonts w:hint="default" w:ascii="Times New Roman" w:hAnsi="Times New Roman" w:eastAsia="宋体" w:cs="Times New Roman"/>
                <w:color w:val="auto"/>
                <w:sz w:val="24"/>
                <w:szCs w:val="24"/>
                <w:highlight w:val="none"/>
              </w:rPr>
              <w:t>，经有效处理后均可达标排放，</w:t>
            </w:r>
            <w:r>
              <w:rPr>
                <w:rFonts w:hint="default" w:ascii="Times New Roman" w:hAnsi="Times New Roman" w:eastAsia="宋体" w:cs="Times New Roman"/>
                <w:color w:val="auto"/>
                <w:sz w:val="24"/>
                <w:szCs w:val="24"/>
                <w:highlight w:val="none"/>
                <w:lang w:val="en-US" w:eastAsia="zh-CN"/>
              </w:rPr>
              <w:t>锅炉房</w:t>
            </w:r>
            <w:r>
              <w:rPr>
                <w:rFonts w:hint="default" w:ascii="Times New Roman" w:hAnsi="Times New Roman" w:eastAsia="宋体" w:cs="Times New Roman"/>
                <w:color w:val="auto"/>
                <w:sz w:val="24"/>
                <w:szCs w:val="24"/>
                <w:highlight w:val="none"/>
              </w:rPr>
              <w:t>设置水泥硬底化，不会沉降到土壤和地下水当中。</w:t>
            </w:r>
            <w:r>
              <w:rPr>
                <w:rFonts w:hint="default" w:ascii="Times New Roman" w:hAnsi="Times New Roman" w:cs="Times New Roman"/>
                <w:color w:val="auto"/>
                <w:sz w:val="24"/>
                <w:szCs w:val="24"/>
                <w:highlight w:val="none"/>
                <w:lang w:val="en-US" w:eastAsia="zh-CN"/>
              </w:rPr>
              <w:t>锅炉房</w:t>
            </w:r>
            <w:r>
              <w:rPr>
                <w:rFonts w:hint="default" w:ascii="Times New Roman" w:hAnsi="Times New Roman" w:eastAsia="宋体" w:cs="Times New Roman"/>
                <w:color w:val="auto"/>
                <w:sz w:val="24"/>
                <w:szCs w:val="24"/>
                <w:highlight w:val="none"/>
              </w:rPr>
              <w:t>做好防风挡雨、防腐、防渗漏等措施，不存在下渗途径。</w:t>
            </w:r>
            <w:r>
              <w:rPr>
                <w:rFonts w:hint="default" w:ascii="Times New Roman" w:hAnsi="Times New Roman" w:cs="Times New Roman"/>
                <w:color w:val="auto"/>
                <w:sz w:val="24"/>
                <w:szCs w:val="24"/>
                <w:highlight w:val="none"/>
                <w:lang w:val="en-US" w:eastAsia="zh-CN"/>
              </w:rPr>
              <w:t>危险废物暂存间地面做重点防渗。</w:t>
            </w:r>
            <w:r>
              <w:rPr>
                <w:rFonts w:hint="default" w:ascii="Times New Roman" w:hAnsi="Times New Roman" w:eastAsia="宋体" w:cs="Times New Roman"/>
                <w:color w:val="auto"/>
                <w:sz w:val="24"/>
                <w:szCs w:val="24"/>
                <w:highlight w:val="none"/>
              </w:rPr>
              <w:t>综上所述，</w:t>
            </w:r>
            <w:r>
              <w:rPr>
                <w:rFonts w:hint="default" w:ascii="Times New Roman" w:hAnsi="Times New Roman" w:cs="Times New Roman"/>
                <w:color w:val="auto"/>
                <w:sz w:val="24"/>
                <w:szCs w:val="24"/>
                <w:highlight w:val="none"/>
                <w:lang w:val="en-US" w:eastAsia="zh-CN"/>
              </w:rPr>
              <w:t>拟建项目</w:t>
            </w:r>
            <w:r>
              <w:rPr>
                <w:rFonts w:hint="default" w:ascii="Times New Roman" w:hAnsi="Times New Roman" w:eastAsia="宋体" w:cs="Times New Roman"/>
                <w:color w:val="auto"/>
                <w:sz w:val="24"/>
                <w:szCs w:val="24"/>
                <w:highlight w:val="none"/>
              </w:rPr>
              <w:t>范围已全部设置水泥硬底化，无污染和下渗途径，不存在土壤、地下水环境污染的情况，故不需要开展地下水、土壤跟踪监</w:t>
            </w:r>
            <w:r>
              <w:rPr>
                <w:rFonts w:hint="default" w:ascii="Times New Roman" w:hAnsi="Times New Roman" w:eastAsia="宋体" w:cs="Times New Roman"/>
                <w:color w:val="auto"/>
                <w:sz w:val="24"/>
                <w:szCs w:val="24"/>
                <w:highlight w:val="none"/>
                <w:lang w:eastAsia="zh-CN"/>
              </w:rPr>
              <w:t>测污</w:t>
            </w:r>
            <w:r>
              <w:rPr>
                <w:rFonts w:hint="default" w:ascii="Times New Roman" w:hAnsi="Times New Roman" w:eastAsia="宋体" w:cs="Times New Roman"/>
                <w:color w:val="auto"/>
                <w:sz w:val="24"/>
                <w:szCs w:val="24"/>
                <w:highlight w:val="none"/>
              </w:rPr>
              <w:t>染识别。</w:t>
            </w:r>
            <w:r>
              <w:rPr>
                <w:rFonts w:hint="default" w:ascii="Times New Roman" w:hAnsi="Times New Roman" w:cs="Times New Roman"/>
                <w:color w:val="auto"/>
                <w:sz w:val="24"/>
                <w:szCs w:val="24"/>
                <w:highlight w:val="none"/>
                <w:lang w:val="en-US" w:eastAsia="zh-CN"/>
              </w:rPr>
              <w:t>根据《环境影响评价技术导则 地下水环境》（HJ610-2016），本项目为142热力生产和供应工程，属于Ⅳ类建设项目，根据导则要求，Ⅳ类建设项目不开展地下水环境影响评价。</w:t>
            </w:r>
          </w:p>
          <w:p w14:paraId="32D0409D">
            <w:pPr>
              <w:adjustRightInd w:val="0"/>
              <w:snapToGrid w:val="0"/>
              <w:spacing w:line="360" w:lineRule="auto"/>
              <w:ind w:firstLine="482" w:firstLineChars="200"/>
              <w:rPr>
                <w:rFonts w:hint="default" w:ascii="Times New Roman" w:hAnsi="Times New Roman" w:eastAsia="宋体" w:cs="Times New Roman"/>
                <w:b/>
                <w:caps w:val="0"/>
                <w:color w:val="auto"/>
                <w:sz w:val="24"/>
                <w:highlight w:val="none"/>
              </w:rPr>
            </w:pPr>
            <w:r>
              <w:rPr>
                <w:rFonts w:hint="default" w:ascii="Times New Roman" w:hAnsi="Times New Roman" w:cs="Times New Roman"/>
                <w:b/>
                <w:caps w:val="0"/>
                <w:color w:val="auto"/>
                <w:sz w:val="24"/>
                <w:highlight w:val="none"/>
                <w:lang w:val="en-US" w:eastAsia="zh-CN"/>
              </w:rPr>
              <w:t>6.</w:t>
            </w:r>
            <w:r>
              <w:rPr>
                <w:rFonts w:hint="default" w:ascii="Times New Roman" w:hAnsi="Times New Roman" w:eastAsia="宋体" w:cs="Times New Roman"/>
                <w:b/>
                <w:caps w:val="0"/>
                <w:color w:val="auto"/>
                <w:sz w:val="24"/>
                <w:highlight w:val="none"/>
              </w:rPr>
              <w:t>环境风险</w:t>
            </w:r>
          </w:p>
          <w:p w14:paraId="565C9D7D">
            <w:pPr>
              <w:adjustRightInd w:val="0"/>
              <w:snapToGrid w:val="0"/>
              <w:spacing w:line="360" w:lineRule="auto"/>
              <w:ind w:firstLine="482" w:firstLineChars="200"/>
              <w:rPr>
                <w:rFonts w:hint="default" w:ascii="Times New Roman" w:hAnsi="Times New Roman" w:eastAsia="宋体" w:cs="Times New Roman"/>
                <w:b/>
                <w:bCs/>
                <w:caps w:val="0"/>
                <w:color w:val="auto"/>
                <w:sz w:val="24"/>
                <w:highlight w:val="none"/>
              </w:rPr>
            </w:pPr>
            <w:r>
              <w:rPr>
                <w:rFonts w:hint="default" w:ascii="Times New Roman" w:hAnsi="Times New Roman" w:eastAsia="宋体" w:cs="Times New Roman"/>
                <w:b/>
                <w:bCs/>
                <w:caps w:val="0"/>
                <w:color w:val="auto"/>
                <w:sz w:val="24"/>
                <w:highlight w:val="none"/>
                <w:lang w:val="en-US" w:eastAsia="zh-CN"/>
              </w:rPr>
              <w:t>6.1</w:t>
            </w:r>
            <w:r>
              <w:rPr>
                <w:rFonts w:hint="default" w:ascii="Times New Roman" w:hAnsi="Times New Roman" w:eastAsia="宋体" w:cs="Times New Roman"/>
                <w:b/>
                <w:bCs/>
                <w:caps w:val="0"/>
                <w:color w:val="auto"/>
                <w:sz w:val="24"/>
                <w:highlight w:val="none"/>
              </w:rPr>
              <w:t>风险物质分布及影响途径</w:t>
            </w:r>
          </w:p>
          <w:p w14:paraId="7305EA98">
            <w:pPr>
              <w:adjustRightInd w:val="0"/>
              <w:snapToGrid w:val="0"/>
              <w:spacing w:line="360" w:lineRule="auto"/>
              <w:ind w:firstLine="480" w:firstLineChars="200"/>
              <w:rPr>
                <w:rFonts w:hint="default" w:ascii="Times New Roman" w:hAnsi="Times New Roman" w:eastAsia="宋体" w:cs="Times New Roman"/>
                <w:caps w:val="0"/>
                <w:color w:val="auto"/>
                <w:kern w:val="0"/>
                <w:sz w:val="24"/>
                <w:highlight w:val="none"/>
              </w:rPr>
            </w:pPr>
            <w:r>
              <w:rPr>
                <w:rFonts w:hint="default" w:ascii="Times New Roman" w:hAnsi="Times New Roman" w:eastAsia="宋体" w:cs="Times New Roman"/>
                <w:color w:val="auto"/>
                <w:spacing w:val="0"/>
                <w:kern w:val="0"/>
                <w:sz w:val="24"/>
                <w:highlight w:val="none"/>
              </w:rPr>
              <w:t>根据《建设项目环境风险评价技术导则》（HJ 169-2018）风险源和危险物质的定义，根据本项目特点，本项目主要危险物质为</w:t>
            </w:r>
            <w:r>
              <w:rPr>
                <w:rFonts w:hint="default" w:ascii="Times New Roman" w:hAnsi="Times New Roman" w:eastAsia="宋体" w:cs="Times New Roman"/>
                <w:bCs/>
                <w:color w:val="auto"/>
                <w:kern w:val="0"/>
                <w:sz w:val="24"/>
                <w:szCs w:val="24"/>
                <w:highlight w:val="none"/>
                <w:lang w:val="en-US" w:eastAsia="zh-CN" w:bidi="ar"/>
              </w:rPr>
              <w:t>废机油</w:t>
            </w:r>
            <w:r>
              <w:rPr>
                <w:rFonts w:hint="default" w:ascii="Times New Roman" w:hAnsi="Times New Roman" w:cs="Times New Roman"/>
                <w:bCs/>
                <w:color w:val="auto"/>
                <w:kern w:val="0"/>
                <w:sz w:val="24"/>
                <w:szCs w:val="24"/>
                <w:highlight w:val="none"/>
                <w:lang w:val="en-US" w:eastAsia="zh-CN" w:bidi="ar"/>
              </w:rPr>
              <w:t>、废机油桶、含油抹布（手套、抹</w:t>
            </w:r>
            <w:r>
              <w:rPr>
                <w:rFonts w:hint="default" w:ascii="Times New Roman" w:hAnsi="Times New Roman" w:cs="Times New Roman"/>
                <w:color w:val="auto"/>
                <w:kern w:val="0"/>
                <w:sz w:val="24"/>
                <w:highlight w:val="none"/>
                <w:lang w:val="en-US" w:eastAsia="zh-CN"/>
              </w:rPr>
              <w:t>布），</w:t>
            </w:r>
            <w:r>
              <w:rPr>
                <w:rFonts w:hint="default" w:ascii="Times New Roman" w:hAnsi="Times New Roman" w:cs="Times New Roman"/>
                <w:color w:val="auto"/>
                <w:kern w:val="0"/>
                <w:sz w:val="24"/>
                <w:highlight w:val="none"/>
              </w:rPr>
              <w:t>废机油桶、含油抹布等为沾染危险物质的废弃物，</w:t>
            </w:r>
            <w:r>
              <w:rPr>
                <w:rFonts w:hint="default" w:ascii="Times New Roman" w:hAnsi="Times New Roman" w:eastAsia="宋体" w:cs="Times New Roman"/>
                <w:caps w:val="0"/>
                <w:color w:val="auto"/>
                <w:kern w:val="0"/>
                <w:sz w:val="24"/>
                <w:highlight w:val="none"/>
              </w:rPr>
              <w:t>其分布情况见表4-1</w:t>
            </w:r>
            <w:r>
              <w:rPr>
                <w:rFonts w:hint="eastAsia" w:ascii="Times New Roman" w:hAnsi="Times New Roman" w:cs="Times New Roman"/>
                <w:caps w:val="0"/>
                <w:color w:val="auto"/>
                <w:kern w:val="0"/>
                <w:sz w:val="24"/>
                <w:highlight w:val="none"/>
                <w:lang w:val="en-US" w:eastAsia="zh-CN"/>
              </w:rPr>
              <w:t>9</w:t>
            </w:r>
            <w:r>
              <w:rPr>
                <w:rFonts w:hint="default" w:ascii="Times New Roman" w:hAnsi="Times New Roman" w:eastAsia="宋体" w:cs="Times New Roman"/>
                <w:caps w:val="0"/>
                <w:color w:val="auto"/>
                <w:kern w:val="0"/>
                <w:sz w:val="24"/>
                <w:highlight w:val="none"/>
              </w:rPr>
              <w:t>，可能影响途径见表4-</w:t>
            </w:r>
            <w:r>
              <w:rPr>
                <w:rFonts w:hint="eastAsia" w:ascii="Times New Roman" w:hAnsi="Times New Roman" w:cs="Times New Roman"/>
                <w:caps w:val="0"/>
                <w:color w:val="auto"/>
                <w:kern w:val="0"/>
                <w:sz w:val="24"/>
                <w:highlight w:val="none"/>
                <w:lang w:val="en-US" w:eastAsia="zh-CN"/>
              </w:rPr>
              <w:t>20</w:t>
            </w:r>
            <w:r>
              <w:rPr>
                <w:rFonts w:hint="default" w:ascii="Times New Roman" w:hAnsi="Times New Roman" w:eastAsia="宋体" w:cs="Times New Roman"/>
                <w:caps w:val="0"/>
                <w:color w:val="auto"/>
                <w:kern w:val="0"/>
                <w:sz w:val="24"/>
                <w:highlight w:val="none"/>
              </w:rPr>
              <w:t>。</w:t>
            </w:r>
          </w:p>
          <w:p w14:paraId="388A03F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aps w:val="0"/>
                <w:color w:val="auto"/>
                <w:spacing w:val="6"/>
                <w:sz w:val="21"/>
                <w:szCs w:val="21"/>
                <w:highlight w:val="none"/>
              </w:rPr>
            </w:pPr>
            <w:r>
              <w:rPr>
                <w:rFonts w:hint="default" w:ascii="Times New Roman" w:hAnsi="Times New Roman" w:eastAsia="宋体" w:cs="Times New Roman"/>
                <w:b/>
                <w:bCs/>
                <w:caps w:val="0"/>
                <w:color w:val="auto"/>
                <w:spacing w:val="6"/>
                <w:sz w:val="21"/>
                <w:szCs w:val="21"/>
                <w:highlight w:val="none"/>
              </w:rPr>
              <w:t>表4-</w:t>
            </w:r>
            <w:r>
              <w:rPr>
                <w:rFonts w:hint="default" w:ascii="Times New Roman" w:hAnsi="Times New Roman" w:eastAsia="宋体" w:cs="Times New Roman"/>
                <w:b/>
                <w:bCs/>
                <w:caps w:val="0"/>
                <w:color w:val="auto"/>
                <w:spacing w:val="6"/>
                <w:sz w:val="21"/>
                <w:szCs w:val="21"/>
                <w:highlight w:val="none"/>
                <w:lang w:val="en-US" w:eastAsia="zh-CN"/>
              </w:rPr>
              <w:t>1</w:t>
            </w:r>
            <w:r>
              <w:rPr>
                <w:rFonts w:hint="eastAsia" w:ascii="Times New Roman" w:hAnsi="Times New Roman" w:cs="Times New Roman"/>
                <w:b/>
                <w:bCs/>
                <w:caps w:val="0"/>
                <w:color w:val="auto"/>
                <w:spacing w:val="6"/>
                <w:sz w:val="21"/>
                <w:szCs w:val="21"/>
                <w:highlight w:val="none"/>
                <w:lang w:val="en-US" w:eastAsia="zh-CN"/>
              </w:rPr>
              <w:t>9</w:t>
            </w:r>
            <w:r>
              <w:rPr>
                <w:rFonts w:hint="default" w:ascii="Times New Roman" w:hAnsi="Times New Roman" w:eastAsia="宋体" w:cs="Times New Roman"/>
                <w:b/>
                <w:bCs/>
                <w:caps w:val="0"/>
                <w:color w:val="auto"/>
                <w:spacing w:val="6"/>
                <w:sz w:val="21"/>
                <w:szCs w:val="21"/>
                <w:highlight w:val="none"/>
              </w:rPr>
              <w:t xml:space="preserve">  危险物质分布情况</w:t>
            </w:r>
          </w:p>
          <w:tbl>
            <w:tblPr>
              <w:tblStyle w:val="35"/>
              <w:tblW w:w="486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873"/>
              <w:gridCol w:w="516"/>
              <w:gridCol w:w="941"/>
              <w:gridCol w:w="830"/>
              <w:gridCol w:w="1088"/>
              <w:gridCol w:w="925"/>
              <w:gridCol w:w="917"/>
              <w:gridCol w:w="1345"/>
            </w:tblGrid>
            <w:tr w14:paraId="786BA5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1" w:type="pct"/>
                  <w:tcBorders>
                    <w:tl2br w:val="nil"/>
                    <w:tr2bl w:val="nil"/>
                  </w:tcBorders>
                  <w:noWrap w:val="0"/>
                  <w:vAlign w:val="center"/>
                </w:tcPr>
                <w:p w14:paraId="5D0D5924">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aps w:val="0"/>
                      <w:color w:val="auto"/>
                      <w:kern w:val="0"/>
                      <w:sz w:val="21"/>
                      <w:szCs w:val="21"/>
                      <w:highlight w:val="none"/>
                    </w:rPr>
                  </w:pPr>
                  <w:r>
                    <w:rPr>
                      <w:rFonts w:hint="default" w:ascii="Times New Roman" w:hAnsi="Times New Roman" w:eastAsia="宋体" w:cs="Times New Roman"/>
                      <w:b/>
                      <w:bCs/>
                      <w:caps w:val="0"/>
                      <w:color w:val="auto"/>
                      <w:kern w:val="0"/>
                      <w:sz w:val="21"/>
                      <w:szCs w:val="21"/>
                      <w:highlight w:val="none"/>
                    </w:rPr>
                    <w:t>序号</w:t>
                  </w:r>
                </w:p>
              </w:tc>
              <w:tc>
                <w:tcPr>
                  <w:tcW w:w="556" w:type="pct"/>
                  <w:tcBorders>
                    <w:tl2br w:val="nil"/>
                    <w:tr2bl w:val="nil"/>
                  </w:tcBorders>
                  <w:noWrap w:val="0"/>
                  <w:vAlign w:val="center"/>
                </w:tcPr>
                <w:p w14:paraId="27861DE0">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aps w:val="0"/>
                      <w:color w:val="auto"/>
                      <w:kern w:val="0"/>
                      <w:sz w:val="21"/>
                      <w:szCs w:val="21"/>
                      <w:highlight w:val="none"/>
                    </w:rPr>
                  </w:pPr>
                  <w:r>
                    <w:rPr>
                      <w:rFonts w:hint="default" w:ascii="Times New Roman" w:hAnsi="Times New Roman" w:eastAsia="宋体" w:cs="Times New Roman"/>
                      <w:b/>
                      <w:bCs/>
                      <w:caps w:val="0"/>
                      <w:color w:val="auto"/>
                      <w:kern w:val="0"/>
                      <w:sz w:val="21"/>
                      <w:szCs w:val="21"/>
                      <w:highlight w:val="none"/>
                    </w:rPr>
                    <w:t>名称</w:t>
                  </w:r>
                </w:p>
              </w:tc>
              <w:tc>
                <w:tcPr>
                  <w:tcW w:w="328" w:type="pct"/>
                  <w:tcBorders>
                    <w:tl2br w:val="nil"/>
                    <w:tr2bl w:val="nil"/>
                  </w:tcBorders>
                  <w:noWrap w:val="0"/>
                  <w:vAlign w:val="center"/>
                </w:tcPr>
                <w:p w14:paraId="21D50366">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aps w:val="0"/>
                      <w:color w:val="auto"/>
                      <w:kern w:val="0"/>
                      <w:sz w:val="21"/>
                      <w:szCs w:val="21"/>
                      <w:highlight w:val="none"/>
                    </w:rPr>
                  </w:pPr>
                  <w:r>
                    <w:rPr>
                      <w:rFonts w:hint="default" w:ascii="Times New Roman" w:hAnsi="Times New Roman" w:eastAsia="宋体" w:cs="Times New Roman"/>
                      <w:b/>
                      <w:bCs/>
                      <w:caps w:val="0"/>
                      <w:color w:val="auto"/>
                      <w:kern w:val="0"/>
                      <w:sz w:val="21"/>
                      <w:szCs w:val="21"/>
                      <w:highlight w:val="none"/>
                    </w:rPr>
                    <w:t>相态</w:t>
                  </w:r>
                </w:p>
              </w:tc>
              <w:tc>
                <w:tcPr>
                  <w:tcW w:w="598" w:type="pct"/>
                  <w:tcBorders>
                    <w:tl2br w:val="nil"/>
                    <w:tr2bl w:val="nil"/>
                  </w:tcBorders>
                  <w:noWrap w:val="0"/>
                  <w:vAlign w:val="center"/>
                </w:tcPr>
                <w:p w14:paraId="22331355">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aps w:val="0"/>
                      <w:color w:val="auto"/>
                      <w:kern w:val="0"/>
                      <w:sz w:val="21"/>
                      <w:szCs w:val="21"/>
                      <w:highlight w:val="none"/>
                    </w:rPr>
                  </w:pPr>
                  <w:r>
                    <w:rPr>
                      <w:rFonts w:hint="default" w:ascii="Times New Roman" w:hAnsi="Times New Roman" w:eastAsia="宋体" w:cs="Times New Roman"/>
                      <w:b/>
                      <w:bCs/>
                      <w:caps w:val="0"/>
                      <w:color w:val="auto"/>
                      <w:kern w:val="0"/>
                      <w:sz w:val="21"/>
                      <w:szCs w:val="21"/>
                      <w:highlight w:val="none"/>
                    </w:rPr>
                    <w:t>主要危险特性</w:t>
                  </w:r>
                </w:p>
              </w:tc>
              <w:tc>
                <w:tcPr>
                  <w:tcW w:w="528" w:type="pct"/>
                  <w:tcBorders>
                    <w:tl2br w:val="nil"/>
                    <w:tr2bl w:val="nil"/>
                  </w:tcBorders>
                  <w:noWrap w:val="0"/>
                  <w:vAlign w:val="center"/>
                </w:tcPr>
                <w:p w14:paraId="099E792F">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aps w:val="0"/>
                      <w:color w:val="auto"/>
                      <w:kern w:val="0"/>
                      <w:sz w:val="21"/>
                      <w:szCs w:val="21"/>
                      <w:highlight w:val="none"/>
                    </w:rPr>
                  </w:pPr>
                  <w:r>
                    <w:rPr>
                      <w:rFonts w:hint="default" w:ascii="Times New Roman" w:hAnsi="Times New Roman" w:eastAsia="宋体" w:cs="Times New Roman"/>
                      <w:b/>
                      <w:bCs/>
                      <w:caps w:val="0"/>
                      <w:color w:val="auto"/>
                      <w:kern w:val="0"/>
                      <w:sz w:val="21"/>
                      <w:szCs w:val="21"/>
                      <w:highlight w:val="none"/>
                    </w:rPr>
                    <w:t>贮存地点</w:t>
                  </w:r>
                </w:p>
              </w:tc>
              <w:tc>
                <w:tcPr>
                  <w:tcW w:w="692" w:type="pct"/>
                  <w:tcBorders>
                    <w:tl2br w:val="nil"/>
                    <w:tr2bl w:val="nil"/>
                  </w:tcBorders>
                  <w:noWrap w:val="0"/>
                  <w:vAlign w:val="center"/>
                </w:tcPr>
                <w:p w14:paraId="779B5A6D">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aps w:val="0"/>
                      <w:color w:val="auto"/>
                      <w:kern w:val="0"/>
                      <w:sz w:val="21"/>
                      <w:szCs w:val="21"/>
                      <w:highlight w:val="none"/>
                    </w:rPr>
                  </w:pPr>
                  <w:r>
                    <w:rPr>
                      <w:rFonts w:hint="default" w:ascii="Times New Roman" w:hAnsi="Times New Roman" w:eastAsia="宋体" w:cs="Times New Roman"/>
                      <w:b/>
                      <w:bCs/>
                      <w:caps w:val="0"/>
                      <w:color w:val="auto"/>
                      <w:kern w:val="0"/>
                      <w:sz w:val="21"/>
                      <w:szCs w:val="21"/>
                      <w:highlight w:val="none"/>
                    </w:rPr>
                    <w:t>贮存规格及方式</w:t>
                  </w:r>
                </w:p>
              </w:tc>
              <w:tc>
                <w:tcPr>
                  <w:tcW w:w="588" w:type="pct"/>
                  <w:tcBorders>
                    <w:tl2br w:val="nil"/>
                    <w:tr2bl w:val="nil"/>
                  </w:tcBorders>
                  <w:noWrap w:val="0"/>
                  <w:vAlign w:val="center"/>
                </w:tcPr>
                <w:p w14:paraId="76A8E467">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aps w:val="0"/>
                      <w:color w:val="auto"/>
                      <w:kern w:val="0"/>
                      <w:sz w:val="21"/>
                      <w:szCs w:val="21"/>
                      <w:highlight w:val="none"/>
                    </w:rPr>
                  </w:pPr>
                  <w:r>
                    <w:rPr>
                      <w:rFonts w:hint="default" w:ascii="Times New Roman" w:hAnsi="Times New Roman" w:eastAsia="宋体" w:cs="Times New Roman"/>
                      <w:b/>
                      <w:bCs/>
                      <w:caps w:val="0"/>
                      <w:color w:val="auto"/>
                      <w:kern w:val="0"/>
                      <w:sz w:val="21"/>
                      <w:szCs w:val="21"/>
                      <w:highlight w:val="none"/>
                    </w:rPr>
                    <w:t>贮存量（t）</w:t>
                  </w:r>
                </w:p>
              </w:tc>
              <w:tc>
                <w:tcPr>
                  <w:tcW w:w="579" w:type="pct"/>
                  <w:tcBorders>
                    <w:tl2br w:val="nil"/>
                    <w:tr2bl w:val="nil"/>
                  </w:tcBorders>
                  <w:noWrap w:val="0"/>
                  <w:vAlign w:val="center"/>
                </w:tcPr>
                <w:p w14:paraId="00253B02">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aps w:val="0"/>
                      <w:color w:val="auto"/>
                      <w:kern w:val="0"/>
                      <w:sz w:val="21"/>
                      <w:szCs w:val="21"/>
                      <w:highlight w:val="none"/>
                    </w:rPr>
                  </w:pPr>
                  <w:r>
                    <w:rPr>
                      <w:rFonts w:hint="default" w:ascii="Times New Roman" w:hAnsi="Times New Roman" w:eastAsia="宋体" w:cs="Times New Roman"/>
                      <w:b/>
                      <w:bCs/>
                      <w:caps w:val="0"/>
                      <w:color w:val="auto"/>
                      <w:sz w:val="21"/>
                      <w:szCs w:val="21"/>
                      <w:highlight w:val="none"/>
                    </w:rPr>
                    <w:t xml:space="preserve">临界量 </w:t>
                  </w:r>
                  <w:r>
                    <w:rPr>
                      <w:rFonts w:hint="default" w:ascii="Times New Roman" w:hAnsi="Times New Roman" w:eastAsia="宋体" w:cs="Times New Roman"/>
                      <w:b/>
                      <w:bCs/>
                      <w:i/>
                      <w:iCs/>
                      <w:caps w:val="0"/>
                      <w:color w:val="auto"/>
                      <w:sz w:val="21"/>
                      <w:szCs w:val="21"/>
                      <w:highlight w:val="none"/>
                    </w:rPr>
                    <w:t>Qn /</w:t>
                  </w:r>
                  <w:r>
                    <w:rPr>
                      <w:rFonts w:hint="default" w:ascii="Times New Roman" w:hAnsi="Times New Roman" w:eastAsia="宋体" w:cs="Times New Roman"/>
                      <w:b/>
                      <w:bCs/>
                      <w:caps w:val="0"/>
                      <w:color w:val="auto"/>
                      <w:sz w:val="21"/>
                      <w:szCs w:val="21"/>
                      <w:highlight w:val="none"/>
                    </w:rPr>
                    <w:t>t</w:t>
                  </w:r>
                </w:p>
              </w:tc>
              <w:tc>
                <w:tcPr>
                  <w:tcW w:w="855" w:type="pct"/>
                  <w:tcBorders>
                    <w:tl2br w:val="nil"/>
                    <w:tr2bl w:val="nil"/>
                  </w:tcBorders>
                  <w:noWrap w:val="0"/>
                  <w:vAlign w:val="center"/>
                </w:tcPr>
                <w:p w14:paraId="0A8E4BDF">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aps w:val="0"/>
                      <w:color w:val="auto"/>
                      <w:kern w:val="0"/>
                      <w:sz w:val="21"/>
                      <w:szCs w:val="21"/>
                      <w:highlight w:val="none"/>
                    </w:rPr>
                  </w:pPr>
                  <w:r>
                    <w:rPr>
                      <w:rFonts w:hint="default" w:ascii="Times New Roman" w:hAnsi="Times New Roman" w:eastAsia="宋体" w:cs="Times New Roman"/>
                      <w:b/>
                      <w:bCs/>
                      <w:caps w:val="0"/>
                      <w:color w:val="auto"/>
                      <w:sz w:val="21"/>
                      <w:szCs w:val="21"/>
                      <w:highlight w:val="none"/>
                    </w:rPr>
                    <w:t xml:space="preserve">该种危险物质 </w:t>
                  </w:r>
                  <w:r>
                    <w:rPr>
                      <w:rFonts w:hint="default" w:ascii="Times New Roman" w:hAnsi="Times New Roman" w:eastAsia="宋体" w:cs="Times New Roman"/>
                      <w:b/>
                      <w:bCs/>
                      <w:i/>
                      <w:iCs/>
                      <w:caps w:val="0"/>
                      <w:color w:val="auto"/>
                      <w:sz w:val="21"/>
                      <w:szCs w:val="21"/>
                      <w:highlight w:val="none"/>
                    </w:rPr>
                    <w:t>Q</w:t>
                  </w:r>
                  <w:r>
                    <w:rPr>
                      <w:rFonts w:hint="default" w:ascii="Times New Roman" w:hAnsi="Times New Roman" w:eastAsia="宋体" w:cs="Times New Roman"/>
                      <w:b/>
                      <w:bCs/>
                      <w:caps w:val="0"/>
                      <w:color w:val="auto"/>
                      <w:sz w:val="21"/>
                      <w:szCs w:val="21"/>
                      <w:highlight w:val="none"/>
                    </w:rPr>
                    <w:t>值</w:t>
                  </w:r>
                </w:p>
              </w:tc>
            </w:tr>
            <w:tr w14:paraId="45DFA5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1" w:type="pct"/>
                  <w:tcBorders>
                    <w:tl2br w:val="nil"/>
                    <w:tr2bl w:val="nil"/>
                  </w:tcBorders>
                  <w:noWrap w:val="0"/>
                  <w:vAlign w:val="center"/>
                </w:tcPr>
                <w:p w14:paraId="341C496B">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aps w:val="0"/>
                      <w:color w:val="auto"/>
                      <w:kern w:val="0"/>
                      <w:sz w:val="21"/>
                      <w:szCs w:val="21"/>
                      <w:highlight w:val="none"/>
                    </w:rPr>
                  </w:pPr>
                  <w:r>
                    <w:rPr>
                      <w:rFonts w:hint="default" w:ascii="Times New Roman" w:hAnsi="Times New Roman" w:eastAsia="宋体" w:cs="Times New Roman"/>
                      <w:caps w:val="0"/>
                      <w:color w:val="auto"/>
                      <w:sz w:val="21"/>
                      <w:szCs w:val="21"/>
                      <w:highlight w:val="none"/>
                    </w:rPr>
                    <w:t>1</w:t>
                  </w:r>
                </w:p>
              </w:tc>
              <w:tc>
                <w:tcPr>
                  <w:tcW w:w="556" w:type="pct"/>
                  <w:tcBorders>
                    <w:tl2br w:val="nil"/>
                    <w:tr2bl w:val="nil"/>
                  </w:tcBorders>
                  <w:noWrap w:val="0"/>
                  <w:vAlign w:val="center"/>
                </w:tcPr>
                <w:p w14:paraId="483071A3">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aps w:val="0"/>
                      <w:color w:val="auto"/>
                      <w:kern w:val="0"/>
                      <w:sz w:val="21"/>
                      <w:szCs w:val="21"/>
                      <w:highlight w:val="none"/>
                      <w:lang w:eastAsia="zh-CN"/>
                    </w:rPr>
                  </w:pPr>
                  <w:r>
                    <w:rPr>
                      <w:rFonts w:hint="eastAsia" w:ascii="Times New Roman" w:hAnsi="Times New Roman" w:cs="Times New Roman"/>
                      <w:caps w:val="0"/>
                      <w:color w:val="auto"/>
                      <w:kern w:val="0"/>
                      <w:sz w:val="21"/>
                      <w:szCs w:val="21"/>
                      <w:highlight w:val="none"/>
                      <w:lang w:val="en-US" w:eastAsia="zh-CN"/>
                    </w:rPr>
                    <w:t>矿物油类</w:t>
                  </w:r>
                  <w:r>
                    <w:rPr>
                      <w:rFonts w:hint="eastAsia" w:ascii="Times New Roman" w:hAnsi="Times New Roman" w:eastAsia="宋体" w:cs="Times New Roman"/>
                      <w:caps w:val="0"/>
                      <w:color w:val="auto"/>
                      <w:kern w:val="0"/>
                      <w:sz w:val="21"/>
                      <w:szCs w:val="21"/>
                      <w:highlight w:val="none"/>
                      <w:lang w:val="en-US" w:eastAsia="zh-CN"/>
                    </w:rPr>
                    <w:t>（废机油）</w:t>
                  </w:r>
                </w:p>
              </w:tc>
              <w:tc>
                <w:tcPr>
                  <w:tcW w:w="328" w:type="pct"/>
                  <w:tcBorders>
                    <w:tl2br w:val="nil"/>
                    <w:tr2bl w:val="nil"/>
                  </w:tcBorders>
                  <w:noWrap w:val="0"/>
                  <w:vAlign w:val="center"/>
                </w:tcPr>
                <w:p w14:paraId="236D263F">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aps w:val="0"/>
                      <w:color w:val="auto"/>
                      <w:kern w:val="0"/>
                      <w:sz w:val="21"/>
                      <w:szCs w:val="21"/>
                      <w:highlight w:val="none"/>
                      <w:lang w:val="en-US" w:eastAsia="zh-CN"/>
                    </w:rPr>
                  </w:pPr>
                  <w:r>
                    <w:rPr>
                      <w:rFonts w:hint="default" w:ascii="Times New Roman" w:hAnsi="Times New Roman" w:eastAsia="宋体" w:cs="Times New Roman"/>
                      <w:caps w:val="0"/>
                      <w:color w:val="auto"/>
                      <w:kern w:val="0"/>
                      <w:sz w:val="21"/>
                      <w:szCs w:val="21"/>
                      <w:highlight w:val="none"/>
                      <w:lang w:val="en-US" w:eastAsia="zh-CN"/>
                    </w:rPr>
                    <w:t>液态</w:t>
                  </w:r>
                </w:p>
              </w:tc>
              <w:tc>
                <w:tcPr>
                  <w:tcW w:w="598" w:type="pct"/>
                  <w:tcBorders>
                    <w:tl2br w:val="nil"/>
                    <w:tr2bl w:val="nil"/>
                  </w:tcBorders>
                  <w:noWrap w:val="0"/>
                  <w:vAlign w:val="center"/>
                </w:tcPr>
                <w:p w14:paraId="53AB4BA5">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aps w:val="0"/>
                      <w:color w:val="auto"/>
                      <w:kern w:val="0"/>
                      <w:sz w:val="21"/>
                      <w:szCs w:val="21"/>
                      <w:highlight w:val="none"/>
                    </w:rPr>
                  </w:pPr>
                  <w:r>
                    <w:rPr>
                      <w:rFonts w:hint="default" w:ascii="Times New Roman" w:hAnsi="Times New Roman" w:eastAsia="宋体" w:cs="Times New Roman"/>
                      <w:caps w:val="0"/>
                      <w:color w:val="auto"/>
                      <w:kern w:val="0"/>
                      <w:sz w:val="21"/>
                      <w:szCs w:val="21"/>
                      <w:highlight w:val="none"/>
                    </w:rPr>
                    <w:t>毒性</w:t>
                  </w:r>
                </w:p>
              </w:tc>
              <w:tc>
                <w:tcPr>
                  <w:tcW w:w="528" w:type="pct"/>
                  <w:tcBorders>
                    <w:tl2br w:val="nil"/>
                    <w:tr2bl w:val="nil"/>
                  </w:tcBorders>
                  <w:noWrap w:val="0"/>
                  <w:vAlign w:val="center"/>
                </w:tcPr>
                <w:p w14:paraId="6CFCDED4">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aps w:val="0"/>
                      <w:color w:val="auto"/>
                      <w:kern w:val="0"/>
                      <w:sz w:val="21"/>
                      <w:szCs w:val="21"/>
                      <w:highlight w:val="none"/>
                      <w:lang w:val="en-US" w:eastAsia="zh-CN"/>
                    </w:rPr>
                  </w:pPr>
                  <w:r>
                    <w:rPr>
                      <w:rFonts w:hint="default" w:ascii="Times New Roman" w:hAnsi="Times New Roman" w:cs="Times New Roman"/>
                      <w:b/>
                      <w:bCs/>
                      <w:caps w:val="0"/>
                      <w:color w:val="auto"/>
                      <w:kern w:val="0"/>
                      <w:sz w:val="21"/>
                      <w:szCs w:val="21"/>
                      <w:highlight w:val="none"/>
                      <w:lang w:val="en-US" w:eastAsia="zh-CN"/>
                    </w:rPr>
                    <w:t>锅炉房</w:t>
                  </w:r>
                </w:p>
              </w:tc>
              <w:tc>
                <w:tcPr>
                  <w:tcW w:w="692" w:type="pct"/>
                  <w:tcBorders>
                    <w:tl2br w:val="nil"/>
                    <w:tr2bl w:val="nil"/>
                  </w:tcBorders>
                  <w:noWrap w:val="0"/>
                  <w:vAlign w:val="center"/>
                </w:tcPr>
                <w:p w14:paraId="36F5CDB6">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aps w:val="0"/>
                      <w:color w:val="auto"/>
                      <w:kern w:val="0"/>
                      <w:sz w:val="21"/>
                      <w:szCs w:val="21"/>
                      <w:highlight w:val="none"/>
                      <w:lang w:val="en-US" w:eastAsia="zh-CN"/>
                    </w:rPr>
                  </w:pPr>
                  <w:r>
                    <w:rPr>
                      <w:rFonts w:hint="default" w:ascii="Times New Roman" w:hAnsi="Times New Roman" w:cs="Times New Roman"/>
                      <w:caps w:val="0"/>
                      <w:color w:val="auto"/>
                      <w:sz w:val="21"/>
                      <w:szCs w:val="21"/>
                      <w:highlight w:val="none"/>
                      <w:lang w:val="en-US" w:eastAsia="zh-CN"/>
                    </w:rPr>
                    <w:t>100</w:t>
                  </w:r>
                  <w:r>
                    <w:rPr>
                      <w:rFonts w:hint="default" w:ascii="Times New Roman" w:hAnsi="Times New Roman" w:eastAsia="宋体" w:cs="Times New Roman"/>
                      <w:caps w:val="0"/>
                      <w:color w:val="auto"/>
                      <w:sz w:val="21"/>
                      <w:szCs w:val="21"/>
                      <w:highlight w:val="none"/>
                      <w:lang w:val="en-US" w:eastAsia="zh-CN"/>
                    </w:rPr>
                    <w:t>L储存桶</w:t>
                  </w:r>
                </w:p>
              </w:tc>
              <w:tc>
                <w:tcPr>
                  <w:tcW w:w="588" w:type="pct"/>
                  <w:tcBorders>
                    <w:tl2br w:val="nil"/>
                    <w:tr2bl w:val="nil"/>
                  </w:tcBorders>
                  <w:noWrap w:val="0"/>
                  <w:vAlign w:val="center"/>
                </w:tcPr>
                <w:p w14:paraId="1DBC8207">
                  <w:pPr>
                    <w:keepNext w:val="0"/>
                    <w:keepLines w:val="0"/>
                    <w:pageBreakBefore w:val="0"/>
                    <w:kinsoku/>
                    <w:wordWrap w:val="0"/>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aps w:val="0"/>
                      <w:color w:val="auto"/>
                      <w:kern w:val="0"/>
                      <w:sz w:val="21"/>
                      <w:szCs w:val="21"/>
                      <w:highlight w:val="none"/>
                      <w:lang w:val="en-US" w:eastAsia="zh-CN"/>
                    </w:rPr>
                  </w:pPr>
                  <w:r>
                    <w:rPr>
                      <w:rFonts w:hint="default" w:ascii="Times New Roman" w:hAnsi="Times New Roman" w:eastAsia="宋体" w:cs="Times New Roman"/>
                      <w:caps w:val="0"/>
                      <w:color w:val="auto"/>
                      <w:kern w:val="0"/>
                      <w:sz w:val="21"/>
                      <w:szCs w:val="21"/>
                      <w:highlight w:val="none"/>
                      <w:lang w:val="en-US" w:eastAsia="zh-CN"/>
                    </w:rPr>
                    <w:t>0.01</w:t>
                  </w:r>
                </w:p>
              </w:tc>
              <w:tc>
                <w:tcPr>
                  <w:tcW w:w="579" w:type="pct"/>
                  <w:tcBorders>
                    <w:tl2br w:val="nil"/>
                    <w:tr2bl w:val="nil"/>
                  </w:tcBorders>
                  <w:noWrap w:val="0"/>
                  <w:vAlign w:val="center"/>
                </w:tcPr>
                <w:p w14:paraId="4FD47C26">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aps w:val="0"/>
                      <w:color w:val="auto"/>
                      <w:kern w:val="0"/>
                      <w:sz w:val="21"/>
                      <w:szCs w:val="21"/>
                      <w:highlight w:val="none"/>
                      <w:lang w:val="en-US"/>
                    </w:rPr>
                  </w:pPr>
                  <w:r>
                    <w:rPr>
                      <w:rFonts w:hint="default" w:ascii="Times New Roman" w:hAnsi="Times New Roman" w:eastAsia="宋体" w:cs="Times New Roman"/>
                      <w:color w:val="auto"/>
                      <w:kern w:val="0"/>
                      <w:sz w:val="21"/>
                      <w:szCs w:val="21"/>
                      <w:highlight w:val="none"/>
                      <w:lang w:val="en-US" w:eastAsia="zh-CN"/>
                    </w:rPr>
                    <w:t>2500</w:t>
                  </w:r>
                </w:p>
              </w:tc>
              <w:tc>
                <w:tcPr>
                  <w:tcW w:w="855" w:type="pct"/>
                  <w:tcBorders>
                    <w:tl2br w:val="nil"/>
                    <w:tr2bl w:val="nil"/>
                  </w:tcBorders>
                  <w:noWrap w:val="0"/>
                  <w:vAlign w:val="center"/>
                </w:tcPr>
                <w:p w14:paraId="621673D0">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0.000004</w:t>
                  </w:r>
                </w:p>
              </w:tc>
            </w:tr>
            <w:tr w14:paraId="266FB4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1" w:type="pct"/>
                  <w:tcBorders>
                    <w:tl2br w:val="nil"/>
                    <w:tr2bl w:val="nil"/>
                  </w:tcBorders>
                  <w:noWrap w:val="0"/>
                  <w:vAlign w:val="center"/>
                </w:tcPr>
                <w:p w14:paraId="57B8878D">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Times New Roman"/>
                      <w:caps w:val="0"/>
                      <w:color w:val="auto"/>
                      <w:sz w:val="21"/>
                      <w:szCs w:val="21"/>
                      <w:highlight w:val="none"/>
                      <w:lang w:val="en-US" w:eastAsia="zh-CN"/>
                    </w:rPr>
                  </w:pPr>
                  <w:r>
                    <w:rPr>
                      <w:rFonts w:hint="eastAsia" w:ascii="Times New Roman" w:hAnsi="Times New Roman" w:cs="Times New Roman"/>
                      <w:caps w:val="0"/>
                      <w:color w:val="auto"/>
                      <w:sz w:val="21"/>
                      <w:szCs w:val="21"/>
                      <w:highlight w:val="none"/>
                      <w:lang w:val="en-US" w:eastAsia="zh-CN"/>
                    </w:rPr>
                    <w:t>2</w:t>
                  </w:r>
                </w:p>
              </w:tc>
              <w:tc>
                <w:tcPr>
                  <w:tcW w:w="556" w:type="pct"/>
                  <w:tcBorders>
                    <w:tl2br w:val="nil"/>
                    <w:tr2bl w:val="nil"/>
                  </w:tcBorders>
                  <w:noWrap w:val="0"/>
                  <w:vAlign w:val="center"/>
                </w:tcPr>
                <w:p w14:paraId="18BEF9B4">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aps w:val="0"/>
                      <w:color w:val="auto"/>
                      <w:kern w:val="0"/>
                      <w:sz w:val="21"/>
                      <w:szCs w:val="21"/>
                      <w:highlight w:val="none"/>
                      <w:lang w:val="en-US" w:eastAsia="zh-CN"/>
                    </w:rPr>
                  </w:pPr>
                  <w:r>
                    <w:rPr>
                      <w:rFonts w:hint="eastAsia" w:ascii="Times New Roman" w:hAnsi="Times New Roman" w:cs="Times New Roman"/>
                      <w:caps w:val="0"/>
                      <w:color w:val="auto"/>
                      <w:kern w:val="0"/>
                      <w:sz w:val="21"/>
                      <w:szCs w:val="21"/>
                      <w:highlight w:val="none"/>
                      <w:lang w:val="en-US" w:eastAsia="zh-CN"/>
                    </w:rPr>
                    <w:t>废机油桶</w:t>
                  </w:r>
                </w:p>
              </w:tc>
              <w:tc>
                <w:tcPr>
                  <w:tcW w:w="328" w:type="pct"/>
                  <w:tcBorders>
                    <w:tl2br w:val="nil"/>
                    <w:tr2bl w:val="nil"/>
                  </w:tcBorders>
                  <w:noWrap w:val="0"/>
                  <w:vAlign w:val="center"/>
                </w:tcPr>
                <w:p w14:paraId="7A774A99">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aps w:val="0"/>
                      <w:color w:val="auto"/>
                      <w:kern w:val="0"/>
                      <w:sz w:val="21"/>
                      <w:szCs w:val="21"/>
                      <w:highlight w:val="none"/>
                      <w:lang w:val="en-US" w:eastAsia="zh-CN"/>
                    </w:rPr>
                  </w:pPr>
                  <w:r>
                    <w:rPr>
                      <w:rFonts w:hint="eastAsia" w:ascii="Times New Roman" w:hAnsi="Times New Roman" w:cs="Times New Roman"/>
                      <w:caps w:val="0"/>
                      <w:color w:val="auto"/>
                      <w:kern w:val="0"/>
                      <w:sz w:val="21"/>
                      <w:szCs w:val="21"/>
                      <w:highlight w:val="none"/>
                      <w:lang w:val="en-US" w:eastAsia="zh-CN"/>
                    </w:rPr>
                    <w:t>固态</w:t>
                  </w:r>
                </w:p>
              </w:tc>
              <w:tc>
                <w:tcPr>
                  <w:tcW w:w="941" w:type="dxa"/>
                  <w:tcBorders>
                    <w:tl2br w:val="nil"/>
                    <w:tr2bl w:val="nil"/>
                  </w:tcBorders>
                  <w:noWrap w:val="0"/>
                  <w:vAlign w:val="center"/>
                </w:tcPr>
                <w:p w14:paraId="41FA85B3">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aps w:val="0"/>
                      <w:color w:val="auto"/>
                      <w:kern w:val="0"/>
                      <w:sz w:val="21"/>
                      <w:szCs w:val="21"/>
                      <w:highlight w:val="none"/>
                    </w:rPr>
                  </w:pPr>
                  <w:r>
                    <w:rPr>
                      <w:rFonts w:hint="default" w:ascii="Times New Roman" w:hAnsi="Times New Roman" w:eastAsia="宋体" w:cs="Times New Roman"/>
                      <w:caps w:val="0"/>
                      <w:color w:val="auto"/>
                      <w:kern w:val="0"/>
                      <w:sz w:val="21"/>
                      <w:szCs w:val="21"/>
                      <w:highlight w:val="none"/>
                    </w:rPr>
                    <w:t>毒性</w:t>
                  </w:r>
                </w:p>
              </w:tc>
              <w:tc>
                <w:tcPr>
                  <w:tcW w:w="830" w:type="dxa"/>
                  <w:tcBorders>
                    <w:tl2br w:val="nil"/>
                    <w:tr2bl w:val="nil"/>
                  </w:tcBorders>
                  <w:noWrap w:val="0"/>
                  <w:vAlign w:val="center"/>
                </w:tcPr>
                <w:p w14:paraId="10FCD529">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b/>
                      <w:bCs/>
                      <w:caps w:val="0"/>
                      <w:color w:val="auto"/>
                      <w:kern w:val="0"/>
                      <w:sz w:val="21"/>
                      <w:szCs w:val="21"/>
                      <w:highlight w:val="none"/>
                      <w:lang w:val="en-US" w:eastAsia="zh-CN"/>
                    </w:rPr>
                  </w:pPr>
                  <w:r>
                    <w:rPr>
                      <w:rFonts w:hint="default" w:ascii="Times New Roman" w:hAnsi="Times New Roman" w:cs="Times New Roman"/>
                      <w:b/>
                      <w:bCs/>
                      <w:caps w:val="0"/>
                      <w:color w:val="auto"/>
                      <w:kern w:val="0"/>
                      <w:sz w:val="21"/>
                      <w:szCs w:val="21"/>
                      <w:highlight w:val="none"/>
                      <w:lang w:val="en-US" w:eastAsia="zh-CN"/>
                    </w:rPr>
                    <w:t>锅炉房</w:t>
                  </w:r>
                </w:p>
              </w:tc>
              <w:tc>
                <w:tcPr>
                  <w:tcW w:w="1088" w:type="dxa"/>
                  <w:tcBorders>
                    <w:tl2br w:val="nil"/>
                    <w:tr2bl w:val="nil"/>
                  </w:tcBorders>
                  <w:noWrap w:val="0"/>
                  <w:vAlign w:val="center"/>
                </w:tcPr>
                <w:p w14:paraId="6A669009">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aps w:val="0"/>
                      <w:color w:val="auto"/>
                      <w:sz w:val="21"/>
                      <w:szCs w:val="21"/>
                      <w:highlight w:val="none"/>
                      <w:lang w:val="en-US" w:eastAsia="zh-CN"/>
                    </w:rPr>
                  </w:pPr>
                  <w:r>
                    <w:rPr>
                      <w:rFonts w:hint="default" w:ascii="Times New Roman" w:hAnsi="Times New Roman" w:cs="Times New Roman"/>
                      <w:caps w:val="0"/>
                      <w:color w:val="auto"/>
                      <w:sz w:val="21"/>
                      <w:szCs w:val="21"/>
                      <w:highlight w:val="none"/>
                      <w:lang w:val="en-US" w:eastAsia="zh-CN"/>
                    </w:rPr>
                    <w:t>100</w:t>
                  </w:r>
                  <w:r>
                    <w:rPr>
                      <w:rFonts w:hint="default" w:ascii="Times New Roman" w:hAnsi="Times New Roman" w:eastAsia="宋体" w:cs="Times New Roman"/>
                      <w:caps w:val="0"/>
                      <w:color w:val="auto"/>
                      <w:sz w:val="21"/>
                      <w:szCs w:val="21"/>
                      <w:highlight w:val="none"/>
                      <w:lang w:val="en-US" w:eastAsia="zh-CN"/>
                    </w:rPr>
                    <w:t>L储存桶</w:t>
                  </w:r>
                </w:p>
              </w:tc>
              <w:tc>
                <w:tcPr>
                  <w:tcW w:w="588" w:type="pct"/>
                  <w:tcBorders>
                    <w:tl2br w:val="nil"/>
                    <w:tr2bl w:val="nil"/>
                  </w:tcBorders>
                  <w:noWrap w:val="0"/>
                  <w:vAlign w:val="center"/>
                </w:tcPr>
                <w:p w14:paraId="1A2E0CD6">
                  <w:pPr>
                    <w:keepNext w:val="0"/>
                    <w:keepLines w:val="0"/>
                    <w:pageBreakBefore w:val="0"/>
                    <w:kinsoku/>
                    <w:wordWrap w:val="0"/>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aps w:val="0"/>
                      <w:color w:val="auto"/>
                      <w:kern w:val="0"/>
                      <w:sz w:val="21"/>
                      <w:szCs w:val="21"/>
                      <w:highlight w:val="none"/>
                      <w:lang w:val="en-US" w:eastAsia="zh-CN"/>
                    </w:rPr>
                  </w:pPr>
                  <w:r>
                    <w:rPr>
                      <w:rFonts w:hint="eastAsia" w:ascii="Times New Roman" w:hAnsi="Times New Roman" w:cs="Times New Roman"/>
                      <w:caps w:val="0"/>
                      <w:color w:val="auto"/>
                      <w:kern w:val="0"/>
                      <w:sz w:val="21"/>
                      <w:szCs w:val="21"/>
                      <w:highlight w:val="none"/>
                      <w:lang w:val="en-US" w:eastAsia="zh-CN"/>
                    </w:rPr>
                    <w:t>0.01</w:t>
                  </w:r>
                </w:p>
              </w:tc>
              <w:tc>
                <w:tcPr>
                  <w:tcW w:w="579" w:type="pct"/>
                  <w:tcBorders>
                    <w:tl2br w:val="nil"/>
                    <w:tr2bl w:val="nil"/>
                  </w:tcBorders>
                  <w:noWrap w:val="0"/>
                  <w:vAlign w:val="center"/>
                </w:tcPr>
                <w:p w14:paraId="31EC8F46">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50</w:t>
                  </w:r>
                </w:p>
              </w:tc>
              <w:tc>
                <w:tcPr>
                  <w:tcW w:w="855" w:type="pct"/>
                  <w:tcBorders>
                    <w:tl2br w:val="nil"/>
                    <w:tr2bl w:val="nil"/>
                  </w:tcBorders>
                  <w:noWrap w:val="0"/>
                  <w:vAlign w:val="center"/>
                </w:tcPr>
                <w:p w14:paraId="339208F1">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0.0002</w:t>
                  </w:r>
                </w:p>
              </w:tc>
            </w:tr>
            <w:tr w14:paraId="573F9F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1" w:type="pct"/>
                  <w:tcBorders>
                    <w:tl2br w:val="nil"/>
                    <w:tr2bl w:val="nil"/>
                  </w:tcBorders>
                  <w:noWrap w:val="0"/>
                  <w:vAlign w:val="center"/>
                </w:tcPr>
                <w:p w14:paraId="01A3DF0A">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aps w:val="0"/>
                      <w:color w:val="auto"/>
                      <w:sz w:val="21"/>
                      <w:szCs w:val="21"/>
                      <w:highlight w:val="none"/>
                      <w:lang w:val="en-US" w:eastAsia="zh-CN"/>
                    </w:rPr>
                  </w:pPr>
                  <w:r>
                    <w:rPr>
                      <w:rFonts w:hint="eastAsia" w:ascii="Times New Roman" w:hAnsi="Times New Roman" w:cs="Times New Roman"/>
                      <w:caps w:val="0"/>
                      <w:color w:val="auto"/>
                      <w:sz w:val="21"/>
                      <w:szCs w:val="21"/>
                      <w:highlight w:val="none"/>
                      <w:lang w:val="en-US" w:eastAsia="zh-CN"/>
                    </w:rPr>
                    <w:t>3</w:t>
                  </w:r>
                </w:p>
              </w:tc>
              <w:tc>
                <w:tcPr>
                  <w:tcW w:w="556" w:type="pct"/>
                  <w:tcBorders>
                    <w:tl2br w:val="nil"/>
                    <w:tr2bl w:val="nil"/>
                  </w:tcBorders>
                  <w:noWrap w:val="0"/>
                  <w:vAlign w:val="center"/>
                </w:tcPr>
                <w:p w14:paraId="62F91A2A">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aps w:val="0"/>
                      <w:color w:val="auto"/>
                      <w:kern w:val="0"/>
                      <w:sz w:val="21"/>
                      <w:szCs w:val="21"/>
                      <w:highlight w:val="none"/>
                      <w:lang w:val="en-US" w:eastAsia="zh-CN"/>
                    </w:rPr>
                  </w:pPr>
                  <w:r>
                    <w:rPr>
                      <w:rFonts w:hint="default" w:ascii="Times New Roman" w:hAnsi="Times New Roman" w:cs="Times New Roman"/>
                      <w:caps w:val="0"/>
                      <w:color w:val="auto"/>
                      <w:kern w:val="0"/>
                      <w:sz w:val="21"/>
                      <w:szCs w:val="21"/>
                      <w:highlight w:val="none"/>
                      <w:lang w:val="en-US" w:eastAsia="zh-CN"/>
                    </w:rPr>
                    <w:t>含油抹布（手套、抹布）</w:t>
                  </w:r>
                </w:p>
              </w:tc>
              <w:tc>
                <w:tcPr>
                  <w:tcW w:w="328" w:type="pct"/>
                  <w:tcBorders>
                    <w:tl2br w:val="nil"/>
                    <w:tr2bl w:val="nil"/>
                  </w:tcBorders>
                  <w:noWrap w:val="0"/>
                  <w:vAlign w:val="center"/>
                </w:tcPr>
                <w:p w14:paraId="4B376EDC">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aps w:val="0"/>
                      <w:color w:val="auto"/>
                      <w:kern w:val="0"/>
                      <w:sz w:val="21"/>
                      <w:szCs w:val="21"/>
                      <w:highlight w:val="none"/>
                      <w:lang w:val="en-US" w:eastAsia="zh-CN"/>
                    </w:rPr>
                  </w:pPr>
                  <w:r>
                    <w:rPr>
                      <w:rFonts w:hint="eastAsia" w:ascii="Times New Roman" w:hAnsi="Times New Roman" w:cs="Times New Roman"/>
                      <w:caps w:val="0"/>
                      <w:color w:val="auto"/>
                      <w:kern w:val="0"/>
                      <w:sz w:val="21"/>
                      <w:szCs w:val="21"/>
                      <w:highlight w:val="none"/>
                      <w:lang w:val="en-US" w:eastAsia="zh-CN"/>
                    </w:rPr>
                    <w:t>固态</w:t>
                  </w:r>
                </w:p>
              </w:tc>
              <w:tc>
                <w:tcPr>
                  <w:tcW w:w="941" w:type="dxa"/>
                  <w:tcBorders>
                    <w:tl2br w:val="nil"/>
                    <w:tr2bl w:val="nil"/>
                  </w:tcBorders>
                  <w:noWrap w:val="0"/>
                  <w:vAlign w:val="center"/>
                </w:tcPr>
                <w:p w14:paraId="6C3BE8A1">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aps w:val="0"/>
                      <w:color w:val="auto"/>
                      <w:kern w:val="0"/>
                      <w:sz w:val="21"/>
                      <w:szCs w:val="21"/>
                      <w:highlight w:val="none"/>
                    </w:rPr>
                  </w:pPr>
                  <w:r>
                    <w:rPr>
                      <w:rFonts w:hint="default" w:ascii="Times New Roman" w:hAnsi="Times New Roman" w:eastAsia="宋体" w:cs="Times New Roman"/>
                      <w:caps w:val="0"/>
                      <w:color w:val="auto"/>
                      <w:kern w:val="0"/>
                      <w:sz w:val="21"/>
                      <w:szCs w:val="21"/>
                      <w:highlight w:val="none"/>
                    </w:rPr>
                    <w:t>毒性</w:t>
                  </w:r>
                </w:p>
              </w:tc>
              <w:tc>
                <w:tcPr>
                  <w:tcW w:w="830" w:type="dxa"/>
                  <w:tcBorders>
                    <w:tl2br w:val="nil"/>
                    <w:tr2bl w:val="nil"/>
                  </w:tcBorders>
                  <w:noWrap w:val="0"/>
                  <w:vAlign w:val="center"/>
                </w:tcPr>
                <w:p w14:paraId="09F4A392">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b/>
                      <w:bCs/>
                      <w:caps w:val="0"/>
                      <w:color w:val="auto"/>
                      <w:kern w:val="0"/>
                      <w:sz w:val="21"/>
                      <w:szCs w:val="21"/>
                      <w:highlight w:val="none"/>
                      <w:lang w:val="en-US" w:eastAsia="zh-CN"/>
                    </w:rPr>
                  </w:pPr>
                  <w:r>
                    <w:rPr>
                      <w:rFonts w:hint="default" w:ascii="Times New Roman" w:hAnsi="Times New Roman" w:cs="Times New Roman"/>
                      <w:b/>
                      <w:bCs/>
                      <w:caps w:val="0"/>
                      <w:color w:val="auto"/>
                      <w:kern w:val="0"/>
                      <w:sz w:val="21"/>
                      <w:szCs w:val="21"/>
                      <w:highlight w:val="none"/>
                      <w:lang w:val="en-US" w:eastAsia="zh-CN"/>
                    </w:rPr>
                    <w:t>锅炉房</w:t>
                  </w:r>
                </w:p>
              </w:tc>
              <w:tc>
                <w:tcPr>
                  <w:tcW w:w="1088" w:type="dxa"/>
                  <w:tcBorders>
                    <w:tl2br w:val="nil"/>
                    <w:tr2bl w:val="nil"/>
                  </w:tcBorders>
                  <w:noWrap w:val="0"/>
                  <w:vAlign w:val="center"/>
                </w:tcPr>
                <w:p w14:paraId="494BBC73">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aps w:val="0"/>
                      <w:color w:val="auto"/>
                      <w:sz w:val="21"/>
                      <w:szCs w:val="21"/>
                      <w:highlight w:val="none"/>
                      <w:lang w:val="en-US" w:eastAsia="zh-CN"/>
                    </w:rPr>
                  </w:pPr>
                  <w:r>
                    <w:rPr>
                      <w:rFonts w:hint="default" w:ascii="Times New Roman" w:hAnsi="Times New Roman" w:cs="Times New Roman"/>
                      <w:caps w:val="0"/>
                      <w:color w:val="auto"/>
                      <w:sz w:val="21"/>
                      <w:szCs w:val="21"/>
                      <w:highlight w:val="none"/>
                      <w:lang w:val="en-US" w:eastAsia="zh-CN"/>
                    </w:rPr>
                    <w:t>100</w:t>
                  </w:r>
                  <w:r>
                    <w:rPr>
                      <w:rFonts w:hint="default" w:ascii="Times New Roman" w:hAnsi="Times New Roman" w:eastAsia="宋体" w:cs="Times New Roman"/>
                      <w:caps w:val="0"/>
                      <w:color w:val="auto"/>
                      <w:sz w:val="21"/>
                      <w:szCs w:val="21"/>
                      <w:highlight w:val="none"/>
                      <w:lang w:val="en-US" w:eastAsia="zh-CN"/>
                    </w:rPr>
                    <w:t>L储存桶</w:t>
                  </w:r>
                </w:p>
              </w:tc>
              <w:tc>
                <w:tcPr>
                  <w:tcW w:w="588" w:type="pct"/>
                  <w:tcBorders>
                    <w:tl2br w:val="nil"/>
                    <w:tr2bl w:val="nil"/>
                  </w:tcBorders>
                  <w:noWrap w:val="0"/>
                  <w:vAlign w:val="center"/>
                </w:tcPr>
                <w:p w14:paraId="5DD5808C">
                  <w:pPr>
                    <w:keepNext w:val="0"/>
                    <w:keepLines w:val="0"/>
                    <w:pageBreakBefore w:val="0"/>
                    <w:kinsoku/>
                    <w:wordWrap w:val="0"/>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aps w:val="0"/>
                      <w:color w:val="auto"/>
                      <w:kern w:val="0"/>
                      <w:sz w:val="21"/>
                      <w:szCs w:val="21"/>
                      <w:highlight w:val="none"/>
                      <w:lang w:val="en-US" w:eastAsia="zh-CN"/>
                    </w:rPr>
                  </w:pPr>
                  <w:r>
                    <w:rPr>
                      <w:rFonts w:hint="eastAsia" w:ascii="Times New Roman" w:hAnsi="Times New Roman" w:cs="Times New Roman"/>
                      <w:caps w:val="0"/>
                      <w:color w:val="auto"/>
                      <w:kern w:val="0"/>
                      <w:sz w:val="21"/>
                      <w:szCs w:val="21"/>
                      <w:highlight w:val="none"/>
                      <w:lang w:val="en-US" w:eastAsia="zh-CN"/>
                    </w:rPr>
                    <w:t>0.005</w:t>
                  </w:r>
                </w:p>
              </w:tc>
              <w:tc>
                <w:tcPr>
                  <w:tcW w:w="579" w:type="pct"/>
                  <w:tcBorders>
                    <w:tl2br w:val="nil"/>
                    <w:tr2bl w:val="nil"/>
                  </w:tcBorders>
                  <w:noWrap w:val="0"/>
                  <w:vAlign w:val="center"/>
                </w:tcPr>
                <w:p w14:paraId="3E4F1F8C">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50</w:t>
                  </w:r>
                </w:p>
              </w:tc>
              <w:tc>
                <w:tcPr>
                  <w:tcW w:w="855" w:type="pct"/>
                  <w:tcBorders>
                    <w:tl2br w:val="nil"/>
                    <w:tr2bl w:val="nil"/>
                  </w:tcBorders>
                  <w:noWrap w:val="0"/>
                  <w:vAlign w:val="center"/>
                </w:tcPr>
                <w:p w14:paraId="4318D428">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0.0001</w:t>
                  </w:r>
                </w:p>
              </w:tc>
            </w:tr>
            <w:tr w14:paraId="243AF6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144" w:type="pct"/>
                  <w:gridSpan w:val="8"/>
                  <w:tcBorders>
                    <w:tl2br w:val="nil"/>
                    <w:tr2bl w:val="nil"/>
                  </w:tcBorders>
                  <w:noWrap w:val="0"/>
                  <w:vAlign w:val="center"/>
                </w:tcPr>
                <w:p w14:paraId="603E0BA4">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rPr>
                  </w:pPr>
                  <w:r>
                    <w:rPr>
                      <w:rFonts w:hint="default" w:ascii="Times New Roman" w:hAnsi="Times New Roman" w:eastAsia="宋体" w:cs="Times New Roman"/>
                      <w:caps w:val="0"/>
                      <w:color w:val="auto"/>
                      <w:kern w:val="0"/>
                      <w:sz w:val="21"/>
                      <w:szCs w:val="21"/>
                      <w:highlight w:val="none"/>
                    </w:rPr>
                    <w:t>项目Q值Σ</w:t>
                  </w:r>
                </w:p>
              </w:tc>
              <w:tc>
                <w:tcPr>
                  <w:tcW w:w="855" w:type="pct"/>
                  <w:tcBorders>
                    <w:tl2br w:val="nil"/>
                    <w:tr2bl w:val="nil"/>
                  </w:tcBorders>
                  <w:noWrap w:val="0"/>
                  <w:vAlign w:val="center"/>
                </w:tcPr>
                <w:p w14:paraId="4719A7FE">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aps w:val="0"/>
                      <w:color w:val="auto"/>
                      <w:kern w:val="2"/>
                      <w:sz w:val="22"/>
                      <w:szCs w:val="22"/>
                      <w:highlight w:val="none"/>
                      <w:u w:val="none"/>
                      <w:lang w:val="en-US" w:eastAsia="zh-CN" w:bidi="ar-SA"/>
                    </w:rPr>
                  </w:pPr>
                  <w:r>
                    <w:rPr>
                      <w:rFonts w:hint="default" w:ascii="Times New Roman" w:hAnsi="Times New Roman" w:eastAsia="宋体" w:cs="Times New Roman"/>
                      <w:caps w:val="0"/>
                      <w:color w:val="auto"/>
                      <w:kern w:val="0"/>
                      <w:sz w:val="21"/>
                      <w:szCs w:val="21"/>
                      <w:highlight w:val="none"/>
                      <w:lang w:val="en-US" w:eastAsia="zh-CN"/>
                    </w:rPr>
                    <w:t>0.000</w:t>
                  </w:r>
                  <w:r>
                    <w:rPr>
                      <w:rFonts w:hint="eastAsia" w:ascii="Times New Roman" w:hAnsi="Times New Roman" w:cs="Times New Roman"/>
                      <w:caps w:val="0"/>
                      <w:color w:val="auto"/>
                      <w:kern w:val="0"/>
                      <w:sz w:val="21"/>
                      <w:szCs w:val="21"/>
                      <w:highlight w:val="none"/>
                      <w:lang w:val="en-US" w:eastAsia="zh-CN"/>
                    </w:rPr>
                    <w:t>3</w:t>
                  </w:r>
                  <w:r>
                    <w:rPr>
                      <w:rFonts w:hint="default" w:ascii="Times New Roman" w:hAnsi="Times New Roman" w:eastAsia="宋体" w:cs="Times New Roman"/>
                      <w:caps w:val="0"/>
                      <w:color w:val="auto"/>
                      <w:kern w:val="0"/>
                      <w:sz w:val="21"/>
                      <w:szCs w:val="21"/>
                      <w:highlight w:val="none"/>
                      <w:lang w:val="en-US" w:eastAsia="zh-CN"/>
                    </w:rPr>
                    <w:t>04</w:t>
                  </w:r>
                </w:p>
              </w:tc>
            </w:tr>
          </w:tbl>
          <w:p w14:paraId="494BD253">
            <w:pPr>
              <w:adjustRightInd w:val="0"/>
              <w:snapToGrid w:val="0"/>
              <w:spacing w:before="120" w:beforeLines="50" w:line="360" w:lineRule="auto"/>
              <w:ind w:firstLine="480" w:firstLineChars="200"/>
              <w:rPr>
                <w:rFonts w:hint="default" w:ascii="Times New Roman" w:hAnsi="Times New Roman" w:eastAsia="宋体" w:cs="Times New Roman"/>
                <w:caps w:val="0"/>
                <w:color w:val="auto"/>
                <w:kern w:val="0"/>
                <w:sz w:val="24"/>
                <w:highlight w:val="none"/>
              </w:rPr>
            </w:pPr>
            <w:r>
              <w:rPr>
                <w:rFonts w:hint="default" w:ascii="Times New Roman" w:hAnsi="Times New Roman" w:eastAsia="宋体" w:cs="Times New Roman"/>
                <w:caps w:val="0"/>
                <w:color w:val="auto"/>
                <w:kern w:val="0"/>
                <w:sz w:val="24"/>
                <w:highlight w:val="none"/>
              </w:rPr>
              <w:t>由上表可知，本项目Q＜1，项目环境风险潜势为I，对照《建设项目环境风险评价技术导则》（HJ 169-2018），项目进行简单分析。</w:t>
            </w:r>
          </w:p>
          <w:p w14:paraId="17B7D3ED">
            <w:pPr>
              <w:widowControl/>
              <w:shd w:val="clear"/>
              <w:spacing w:line="360" w:lineRule="auto"/>
              <w:jc w:val="left"/>
              <w:rPr>
                <w:rFonts w:hint="default" w:ascii="Times New Roman" w:hAnsi="Times New Roman" w:eastAsia="宋体" w:cs="Times New Roman"/>
                <w:b/>
                <w:color w:val="auto"/>
                <w:spacing w:val="0"/>
                <w:kern w:val="0"/>
                <w:sz w:val="24"/>
                <w:highlight w:val="none"/>
                <w:lang w:bidi="ar"/>
              </w:rPr>
            </w:pPr>
            <w:r>
              <w:rPr>
                <w:rFonts w:hint="default" w:ascii="Times New Roman" w:hAnsi="Times New Roman" w:eastAsia="宋体" w:cs="Times New Roman"/>
                <w:b/>
                <w:color w:val="auto"/>
                <w:spacing w:val="0"/>
                <w:kern w:val="0"/>
                <w:sz w:val="24"/>
                <w:highlight w:val="none"/>
                <w:lang w:val="en-US" w:eastAsia="zh-CN" w:bidi="ar"/>
              </w:rPr>
              <w:t>6.2</w:t>
            </w:r>
            <w:r>
              <w:rPr>
                <w:rFonts w:hint="default" w:ascii="Times New Roman" w:hAnsi="Times New Roman" w:eastAsia="宋体" w:cs="Times New Roman"/>
                <w:b/>
                <w:color w:val="auto"/>
                <w:spacing w:val="0"/>
                <w:kern w:val="0"/>
                <w:sz w:val="24"/>
                <w:highlight w:val="none"/>
                <w:lang w:bidi="ar"/>
              </w:rPr>
              <w:t>环境风险因素分析及可能影响途径</w:t>
            </w:r>
          </w:p>
          <w:p w14:paraId="3F125DDF">
            <w:pPr>
              <w:shd w:val="clear"/>
              <w:spacing w:line="360" w:lineRule="auto"/>
              <w:ind w:firstLine="480" w:firstLineChars="200"/>
              <w:rPr>
                <w:rFonts w:hint="default" w:ascii="Times New Roman" w:hAnsi="Times New Roman" w:eastAsia="宋体" w:cs="Times New Roman"/>
                <w:color w:val="auto"/>
                <w:spacing w:val="0"/>
                <w:kern w:val="0"/>
                <w:sz w:val="24"/>
                <w:szCs w:val="24"/>
                <w:highlight w:val="none"/>
              </w:rPr>
            </w:pPr>
            <w:r>
              <w:rPr>
                <w:rFonts w:hint="default" w:ascii="Times New Roman" w:hAnsi="Times New Roman" w:eastAsia="宋体" w:cs="Times New Roman"/>
                <w:color w:val="auto"/>
                <w:spacing w:val="0"/>
                <w:kern w:val="0"/>
                <w:sz w:val="24"/>
                <w:szCs w:val="24"/>
                <w:highlight w:val="none"/>
                <w:lang w:val="en-US" w:eastAsia="zh-CN"/>
              </w:rPr>
              <w:t>根据对环境风险物质的筛选、对生产和储存系统的分析，确定本项目的风险单元主要为</w:t>
            </w:r>
            <w:r>
              <w:rPr>
                <w:rFonts w:hint="default" w:ascii="Times New Roman" w:hAnsi="Times New Roman" w:cs="Times New Roman"/>
                <w:color w:val="auto"/>
                <w:spacing w:val="0"/>
                <w:kern w:val="0"/>
                <w:sz w:val="24"/>
                <w:szCs w:val="24"/>
                <w:highlight w:val="none"/>
                <w:lang w:val="en-US" w:eastAsia="zh-CN"/>
              </w:rPr>
              <w:t>危废贮存</w:t>
            </w:r>
            <w:r>
              <w:rPr>
                <w:rFonts w:hint="eastAsia" w:ascii="Times New Roman" w:hAnsi="Times New Roman" w:cs="Times New Roman"/>
                <w:color w:val="auto"/>
                <w:spacing w:val="0"/>
                <w:kern w:val="0"/>
                <w:sz w:val="24"/>
                <w:szCs w:val="24"/>
                <w:highlight w:val="none"/>
                <w:lang w:val="en-US" w:eastAsia="zh-CN"/>
              </w:rPr>
              <w:t>点</w:t>
            </w:r>
            <w:r>
              <w:rPr>
                <w:rFonts w:hint="default" w:ascii="Times New Roman" w:hAnsi="Times New Roman" w:eastAsia="宋体" w:cs="Times New Roman"/>
                <w:color w:val="auto"/>
                <w:spacing w:val="0"/>
                <w:kern w:val="0"/>
                <w:sz w:val="24"/>
                <w:szCs w:val="24"/>
                <w:highlight w:val="none"/>
                <w:lang w:val="en-US" w:eastAsia="zh-CN"/>
              </w:rPr>
              <w:t>。</w:t>
            </w:r>
          </w:p>
          <w:p w14:paraId="45C25EAA">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spacing w:val="0"/>
                <w:kern w:val="0"/>
                <w:sz w:val="21"/>
                <w:szCs w:val="21"/>
                <w:highlight w:val="none"/>
              </w:rPr>
            </w:pPr>
            <w:r>
              <w:rPr>
                <w:rFonts w:hint="default" w:ascii="Times New Roman" w:hAnsi="Times New Roman" w:eastAsia="宋体" w:cs="Times New Roman"/>
                <w:b/>
                <w:bCs/>
                <w:color w:val="auto"/>
                <w:spacing w:val="0"/>
                <w:kern w:val="0"/>
                <w:sz w:val="21"/>
                <w:szCs w:val="21"/>
                <w:highlight w:val="none"/>
              </w:rPr>
              <w:t>表4-</w:t>
            </w:r>
            <w:r>
              <w:rPr>
                <w:rFonts w:hint="eastAsia" w:ascii="Times New Roman" w:hAnsi="Times New Roman" w:cs="Times New Roman"/>
                <w:b/>
                <w:bCs/>
                <w:color w:val="auto"/>
                <w:spacing w:val="0"/>
                <w:kern w:val="0"/>
                <w:sz w:val="21"/>
                <w:szCs w:val="21"/>
                <w:highlight w:val="none"/>
                <w:lang w:val="en-US" w:eastAsia="zh-CN"/>
              </w:rPr>
              <w:t>20</w:t>
            </w:r>
            <w:r>
              <w:rPr>
                <w:rFonts w:hint="default" w:ascii="Times New Roman" w:hAnsi="Times New Roman" w:eastAsia="宋体" w:cs="Times New Roman"/>
                <w:b/>
                <w:bCs/>
                <w:color w:val="auto"/>
                <w:spacing w:val="0"/>
                <w:kern w:val="0"/>
                <w:sz w:val="21"/>
                <w:szCs w:val="21"/>
                <w:highlight w:val="none"/>
              </w:rPr>
              <w:t>危险物质影响途径一览表</w:t>
            </w:r>
          </w:p>
          <w:tbl>
            <w:tblPr>
              <w:tblStyle w:val="35"/>
              <w:tblW w:w="495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5"/>
              <w:gridCol w:w="1336"/>
              <w:gridCol w:w="1094"/>
              <w:gridCol w:w="1526"/>
              <w:gridCol w:w="2284"/>
              <w:gridCol w:w="1217"/>
            </w:tblGrid>
            <w:tr w14:paraId="115A5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41" w:type="pct"/>
                  <w:tcBorders>
                    <w:top w:val="single" w:color="auto" w:sz="12" w:space="0"/>
                    <w:left w:val="nil"/>
                  </w:tcBorders>
                  <w:noWrap w:val="0"/>
                  <w:vAlign w:val="center"/>
                </w:tcPr>
                <w:p w14:paraId="3FA2BB94">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kern w:val="2"/>
                      <w:sz w:val="21"/>
                      <w:szCs w:val="21"/>
                      <w:highlight w:val="none"/>
                      <w:lang w:val="en-US" w:eastAsia="zh-CN" w:bidi="ar-SA"/>
                    </w:rPr>
                  </w:pPr>
                  <w:r>
                    <w:rPr>
                      <w:rFonts w:hint="default" w:ascii="Times New Roman" w:hAnsi="Times New Roman" w:eastAsia="宋体" w:cs="Times New Roman"/>
                      <w:b/>
                      <w:bCs/>
                      <w:color w:val="auto"/>
                      <w:spacing w:val="0"/>
                      <w:sz w:val="21"/>
                      <w:szCs w:val="21"/>
                      <w:highlight w:val="none"/>
                    </w:rPr>
                    <w:t>序号</w:t>
                  </w:r>
                </w:p>
              </w:tc>
              <w:tc>
                <w:tcPr>
                  <w:tcW w:w="834" w:type="pct"/>
                  <w:tcBorders>
                    <w:top w:val="single" w:color="auto" w:sz="12" w:space="0"/>
                  </w:tcBorders>
                  <w:noWrap w:val="0"/>
                  <w:vAlign w:val="center"/>
                </w:tcPr>
                <w:p w14:paraId="3C80A78D">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kern w:val="2"/>
                      <w:sz w:val="21"/>
                      <w:szCs w:val="21"/>
                      <w:highlight w:val="none"/>
                      <w:lang w:val="en-US" w:eastAsia="zh-CN" w:bidi="ar-SA"/>
                    </w:rPr>
                  </w:pPr>
                  <w:r>
                    <w:rPr>
                      <w:rFonts w:hint="default" w:ascii="Times New Roman" w:hAnsi="Times New Roman" w:eastAsia="宋体" w:cs="Times New Roman"/>
                      <w:b/>
                      <w:bCs/>
                      <w:color w:val="auto"/>
                      <w:spacing w:val="0"/>
                      <w:sz w:val="21"/>
                      <w:szCs w:val="21"/>
                      <w:highlight w:val="none"/>
                    </w:rPr>
                    <w:t>危险单元</w:t>
                  </w:r>
                </w:p>
              </w:tc>
              <w:tc>
                <w:tcPr>
                  <w:tcW w:w="683" w:type="pct"/>
                  <w:tcBorders>
                    <w:top w:val="single" w:color="auto" w:sz="12" w:space="0"/>
                  </w:tcBorders>
                  <w:noWrap w:val="0"/>
                  <w:vAlign w:val="center"/>
                </w:tcPr>
                <w:p w14:paraId="317BBDF6">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kern w:val="2"/>
                      <w:sz w:val="21"/>
                      <w:szCs w:val="21"/>
                      <w:highlight w:val="none"/>
                      <w:lang w:val="en-US" w:eastAsia="zh-CN" w:bidi="ar-SA"/>
                    </w:rPr>
                  </w:pPr>
                  <w:r>
                    <w:rPr>
                      <w:rFonts w:hint="default" w:ascii="Times New Roman" w:hAnsi="Times New Roman" w:eastAsia="宋体" w:cs="Times New Roman"/>
                      <w:b/>
                      <w:bCs/>
                      <w:color w:val="auto"/>
                      <w:spacing w:val="0"/>
                      <w:sz w:val="21"/>
                      <w:szCs w:val="21"/>
                      <w:highlight w:val="none"/>
                    </w:rPr>
                    <w:t>风险源</w:t>
                  </w:r>
                </w:p>
              </w:tc>
              <w:tc>
                <w:tcPr>
                  <w:tcW w:w="953" w:type="pct"/>
                  <w:tcBorders>
                    <w:top w:val="single" w:color="auto" w:sz="12" w:space="0"/>
                  </w:tcBorders>
                  <w:noWrap w:val="0"/>
                  <w:vAlign w:val="center"/>
                </w:tcPr>
                <w:p w14:paraId="6027B8C5">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kern w:val="2"/>
                      <w:sz w:val="21"/>
                      <w:szCs w:val="21"/>
                      <w:highlight w:val="none"/>
                      <w:lang w:val="en-US" w:eastAsia="zh-CN" w:bidi="ar-SA"/>
                    </w:rPr>
                  </w:pPr>
                  <w:r>
                    <w:rPr>
                      <w:rFonts w:hint="default" w:ascii="Times New Roman" w:hAnsi="Times New Roman" w:eastAsia="宋体" w:cs="Times New Roman"/>
                      <w:b/>
                      <w:bCs/>
                      <w:color w:val="auto"/>
                      <w:spacing w:val="0"/>
                      <w:sz w:val="21"/>
                      <w:szCs w:val="21"/>
                      <w:highlight w:val="none"/>
                    </w:rPr>
                    <w:t>主要危险物质</w:t>
                  </w:r>
                </w:p>
              </w:tc>
              <w:tc>
                <w:tcPr>
                  <w:tcW w:w="1426" w:type="pct"/>
                  <w:tcBorders>
                    <w:top w:val="single" w:color="auto" w:sz="12" w:space="0"/>
                  </w:tcBorders>
                  <w:noWrap w:val="0"/>
                  <w:vAlign w:val="center"/>
                </w:tcPr>
                <w:p w14:paraId="3057477B">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kern w:val="2"/>
                      <w:sz w:val="21"/>
                      <w:szCs w:val="21"/>
                      <w:highlight w:val="none"/>
                      <w:lang w:val="en-US" w:eastAsia="zh-CN" w:bidi="ar-SA"/>
                    </w:rPr>
                  </w:pPr>
                  <w:r>
                    <w:rPr>
                      <w:rFonts w:hint="default" w:ascii="Times New Roman" w:hAnsi="Times New Roman" w:eastAsia="宋体" w:cs="Times New Roman"/>
                      <w:b/>
                      <w:bCs/>
                      <w:color w:val="auto"/>
                      <w:spacing w:val="0"/>
                      <w:sz w:val="21"/>
                      <w:szCs w:val="21"/>
                      <w:highlight w:val="none"/>
                    </w:rPr>
                    <w:t>环境风险类型</w:t>
                  </w:r>
                </w:p>
              </w:tc>
              <w:tc>
                <w:tcPr>
                  <w:tcW w:w="760" w:type="pct"/>
                  <w:tcBorders>
                    <w:top w:val="single" w:color="auto" w:sz="12" w:space="0"/>
                    <w:right w:val="nil"/>
                  </w:tcBorders>
                  <w:noWrap w:val="0"/>
                  <w:vAlign w:val="center"/>
                </w:tcPr>
                <w:p w14:paraId="2CBA7437">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kern w:val="2"/>
                      <w:sz w:val="21"/>
                      <w:szCs w:val="21"/>
                      <w:highlight w:val="none"/>
                      <w:lang w:val="en-US" w:eastAsia="zh-CN" w:bidi="ar-SA"/>
                    </w:rPr>
                  </w:pPr>
                  <w:r>
                    <w:rPr>
                      <w:rFonts w:hint="default" w:ascii="Times New Roman" w:hAnsi="Times New Roman" w:eastAsia="宋体" w:cs="Times New Roman"/>
                      <w:b/>
                      <w:bCs/>
                      <w:color w:val="auto"/>
                      <w:spacing w:val="0"/>
                      <w:sz w:val="21"/>
                      <w:szCs w:val="21"/>
                      <w:highlight w:val="none"/>
                    </w:rPr>
                    <w:t>环境影响途径</w:t>
                  </w:r>
                </w:p>
              </w:tc>
            </w:tr>
            <w:tr w14:paraId="25D0E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41" w:type="pct"/>
                  <w:tcBorders>
                    <w:left w:val="nil"/>
                  </w:tcBorders>
                  <w:noWrap w:val="0"/>
                  <w:vAlign w:val="center"/>
                </w:tcPr>
                <w:p w14:paraId="762A0036">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1</w:t>
                  </w:r>
                </w:p>
              </w:tc>
              <w:tc>
                <w:tcPr>
                  <w:tcW w:w="834" w:type="pct"/>
                  <w:noWrap w:val="0"/>
                  <w:vAlign w:val="center"/>
                </w:tcPr>
                <w:p w14:paraId="6AB1F4D1">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危废贮存点</w:t>
                  </w:r>
                </w:p>
              </w:tc>
              <w:tc>
                <w:tcPr>
                  <w:tcW w:w="683" w:type="pct"/>
                  <w:noWrap w:val="0"/>
                  <w:vAlign w:val="center"/>
                </w:tcPr>
                <w:p w14:paraId="7C34F9ED">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废机油</w:t>
                  </w:r>
                </w:p>
              </w:tc>
              <w:tc>
                <w:tcPr>
                  <w:tcW w:w="953" w:type="pct"/>
                  <w:noWrap w:val="0"/>
                  <w:vAlign w:val="center"/>
                </w:tcPr>
                <w:p w14:paraId="74201666">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废矿物油</w:t>
                  </w:r>
                </w:p>
              </w:tc>
              <w:tc>
                <w:tcPr>
                  <w:tcW w:w="1426" w:type="pct"/>
                  <w:noWrap w:val="0"/>
                  <w:vAlign w:val="center"/>
                </w:tcPr>
                <w:p w14:paraId="4FDAA178">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kern w:val="0"/>
                      <w:sz w:val="21"/>
                      <w:szCs w:val="21"/>
                      <w:highlight w:val="none"/>
                    </w:rPr>
                    <w:t>泄漏，火灾等引发的伴生/次生污染物排放</w:t>
                  </w:r>
                </w:p>
              </w:tc>
              <w:tc>
                <w:tcPr>
                  <w:tcW w:w="760" w:type="pct"/>
                  <w:tcBorders>
                    <w:right w:val="nil"/>
                  </w:tcBorders>
                  <w:noWrap w:val="0"/>
                  <w:vAlign w:val="center"/>
                </w:tcPr>
                <w:p w14:paraId="09E96CE1">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地表水、大气</w:t>
                  </w:r>
                  <w:r>
                    <w:rPr>
                      <w:rFonts w:hint="eastAsia" w:ascii="Times New Roman" w:hAnsi="Times New Roman" w:cs="Times New Roman"/>
                      <w:color w:val="auto"/>
                      <w:spacing w:val="0"/>
                      <w:sz w:val="21"/>
                      <w:szCs w:val="21"/>
                      <w:highlight w:val="none"/>
                      <w:lang w:eastAsia="zh-CN"/>
                    </w:rPr>
                    <w:t>、</w:t>
                  </w:r>
                  <w:r>
                    <w:rPr>
                      <w:rFonts w:hint="eastAsia" w:ascii="Times New Roman" w:hAnsi="Times New Roman" w:cs="Times New Roman"/>
                      <w:color w:val="auto"/>
                      <w:spacing w:val="0"/>
                      <w:sz w:val="21"/>
                      <w:szCs w:val="21"/>
                      <w:highlight w:val="none"/>
                      <w:lang w:val="en-US" w:eastAsia="zh-CN"/>
                    </w:rPr>
                    <w:t>土壤</w:t>
                  </w:r>
                </w:p>
              </w:tc>
            </w:tr>
            <w:tr w14:paraId="4D5D9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exact"/>
                <w:jc w:val="center"/>
              </w:trPr>
              <w:tc>
                <w:tcPr>
                  <w:tcW w:w="341" w:type="pct"/>
                  <w:tcBorders>
                    <w:left w:val="nil"/>
                  </w:tcBorders>
                  <w:noWrap w:val="0"/>
                  <w:vAlign w:val="center"/>
                </w:tcPr>
                <w:p w14:paraId="25B727E2">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2</w:t>
                  </w:r>
                </w:p>
              </w:tc>
              <w:tc>
                <w:tcPr>
                  <w:tcW w:w="834" w:type="pct"/>
                  <w:noWrap w:val="0"/>
                  <w:vAlign w:val="center"/>
                </w:tcPr>
                <w:p w14:paraId="16F803E9">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危废贮存点</w:t>
                  </w:r>
                </w:p>
              </w:tc>
              <w:tc>
                <w:tcPr>
                  <w:tcW w:w="683" w:type="pct"/>
                  <w:noWrap w:val="0"/>
                  <w:vAlign w:val="center"/>
                </w:tcPr>
                <w:p w14:paraId="43F151E2">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aps w:val="0"/>
                      <w:color w:val="auto"/>
                      <w:kern w:val="0"/>
                      <w:sz w:val="21"/>
                      <w:szCs w:val="21"/>
                      <w:highlight w:val="none"/>
                      <w:lang w:val="en-US" w:eastAsia="zh-CN"/>
                    </w:rPr>
                    <w:t>废机油桶、</w:t>
                  </w:r>
                </w:p>
              </w:tc>
              <w:tc>
                <w:tcPr>
                  <w:tcW w:w="953" w:type="pct"/>
                  <w:noWrap w:val="0"/>
                  <w:vAlign w:val="center"/>
                </w:tcPr>
                <w:p w14:paraId="3F1E978B">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废矿物油</w:t>
                  </w:r>
                </w:p>
              </w:tc>
              <w:tc>
                <w:tcPr>
                  <w:tcW w:w="1426" w:type="pct"/>
                  <w:noWrap w:val="0"/>
                  <w:vAlign w:val="center"/>
                </w:tcPr>
                <w:p w14:paraId="4F8A28AD">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aps w:val="0"/>
                      <w:color w:val="auto"/>
                      <w:kern w:val="0"/>
                      <w:sz w:val="21"/>
                      <w:szCs w:val="21"/>
                      <w:highlight w:val="none"/>
                      <w:lang w:val="en-US" w:eastAsia="zh-CN"/>
                    </w:rPr>
                  </w:pPr>
                  <w:r>
                    <w:rPr>
                      <w:rFonts w:hint="eastAsia" w:ascii="Times New Roman" w:hAnsi="Times New Roman" w:cs="Times New Roman"/>
                      <w:caps w:val="0"/>
                      <w:color w:val="auto"/>
                      <w:kern w:val="0"/>
                      <w:sz w:val="21"/>
                      <w:szCs w:val="21"/>
                      <w:highlight w:val="none"/>
                      <w:lang w:val="en-US" w:eastAsia="zh-CN"/>
                    </w:rPr>
                    <w:t>残余危险废物污染、VOCs释放</w:t>
                  </w:r>
                </w:p>
              </w:tc>
              <w:tc>
                <w:tcPr>
                  <w:tcW w:w="760" w:type="pct"/>
                  <w:tcBorders>
                    <w:right w:val="nil"/>
                  </w:tcBorders>
                  <w:noWrap w:val="0"/>
                  <w:vAlign w:val="center"/>
                </w:tcPr>
                <w:p w14:paraId="635839BE">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地表水、大气</w:t>
                  </w:r>
                  <w:r>
                    <w:rPr>
                      <w:rFonts w:hint="eastAsia" w:ascii="Times New Roman" w:hAnsi="Times New Roman" w:cs="Times New Roman"/>
                      <w:color w:val="auto"/>
                      <w:spacing w:val="0"/>
                      <w:sz w:val="21"/>
                      <w:szCs w:val="21"/>
                      <w:highlight w:val="none"/>
                      <w:lang w:eastAsia="zh-CN"/>
                    </w:rPr>
                    <w:t>、</w:t>
                  </w:r>
                  <w:r>
                    <w:rPr>
                      <w:rFonts w:hint="eastAsia" w:ascii="Times New Roman" w:hAnsi="Times New Roman" w:cs="Times New Roman"/>
                      <w:color w:val="auto"/>
                      <w:spacing w:val="0"/>
                      <w:sz w:val="21"/>
                      <w:szCs w:val="21"/>
                      <w:highlight w:val="none"/>
                      <w:lang w:val="en-US" w:eastAsia="zh-CN"/>
                    </w:rPr>
                    <w:t>土壤</w:t>
                  </w:r>
                </w:p>
              </w:tc>
            </w:tr>
            <w:tr w14:paraId="66AE3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5" w:hRule="exact"/>
                <w:jc w:val="center"/>
              </w:trPr>
              <w:tc>
                <w:tcPr>
                  <w:tcW w:w="341" w:type="pct"/>
                  <w:tcBorders>
                    <w:left w:val="nil"/>
                  </w:tcBorders>
                  <w:noWrap w:val="0"/>
                  <w:vAlign w:val="center"/>
                </w:tcPr>
                <w:p w14:paraId="2D7C7E44">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3</w:t>
                  </w:r>
                </w:p>
              </w:tc>
              <w:tc>
                <w:tcPr>
                  <w:tcW w:w="834" w:type="pct"/>
                  <w:noWrap w:val="0"/>
                  <w:vAlign w:val="center"/>
                </w:tcPr>
                <w:p w14:paraId="1ED334DC">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aps w:val="0"/>
                      <w:color w:val="auto"/>
                      <w:kern w:val="0"/>
                      <w:sz w:val="21"/>
                      <w:szCs w:val="21"/>
                      <w:highlight w:val="none"/>
                      <w:lang w:val="en-US" w:eastAsia="zh-CN"/>
                    </w:rPr>
                  </w:pPr>
                  <w:r>
                    <w:rPr>
                      <w:rFonts w:hint="default" w:ascii="Times New Roman" w:hAnsi="Times New Roman" w:cs="Times New Roman"/>
                      <w:caps w:val="0"/>
                      <w:color w:val="auto"/>
                      <w:kern w:val="0"/>
                      <w:sz w:val="21"/>
                      <w:szCs w:val="21"/>
                      <w:highlight w:val="none"/>
                      <w:lang w:val="en-US" w:eastAsia="zh-CN"/>
                    </w:rPr>
                    <w:t>危废贮存点</w:t>
                  </w:r>
                </w:p>
              </w:tc>
              <w:tc>
                <w:tcPr>
                  <w:tcW w:w="683" w:type="pct"/>
                  <w:noWrap w:val="0"/>
                  <w:vAlign w:val="center"/>
                </w:tcPr>
                <w:p w14:paraId="40B35EA9">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aps w:val="0"/>
                      <w:color w:val="auto"/>
                      <w:kern w:val="0"/>
                      <w:sz w:val="21"/>
                      <w:szCs w:val="21"/>
                      <w:highlight w:val="none"/>
                      <w:lang w:val="en-US" w:eastAsia="zh-CN"/>
                    </w:rPr>
                  </w:pPr>
                  <w:r>
                    <w:rPr>
                      <w:rFonts w:hint="default" w:ascii="Times New Roman" w:hAnsi="Times New Roman" w:cs="Times New Roman"/>
                      <w:caps w:val="0"/>
                      <w:color w:val="auto"/>
                      <w:kern w:val="0"/>
                      <w:sz w:val="21"/>
                      <w:szCs w:val="21"/>
                      <w:highlight w:val="none"/>
                      <w:lang w:val="en-US" w:eastAsia="zh-CN"/>
                    </w:rPr>
                    <w:t>含油抹布（手套、抹布）</w:t>
                  </w:r>
                </w:p>
              </w:tc>
              <w:tc>
                <w:tcPr>
                  <w:tcW w:w="953" w:type="pct"/>
                  <w:noWrap w:val="0"/>
                  <w:vAlign w:val="center"/>
                </w:tcPr>
                <w:p w14:paraId="3EC640C6">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废矿物油</w:t>
                  </w:r>
                </w:p>
              </w:tc>
              <w:tc>
                <w:tcPr>
                  <w:tcW w:w="1426" w:type="pct"/>
                  <w:noWrap w:val="0"/>
                  <w:vAlign w:val="center"/>
                </w:tcPr>
                <w:p w14:paraId="70489F1E">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aps w:val="0"/>
                      <w:color w:val="auto"/>
                      <w:kern w:val="0"/>
                      <w:sz w:val="21"/>
                      <w:szCs w:val="21"/>
                      <w:highlight w:val="none"/>
                      <w:lang w:val="en-US" w:eastAsia="zh-CN"/>
                    </w:rPr>
                  </w:pPr>
                  <w:r>
                    <w:rPr>
                      <w:rFonts w:hint="eastAsia" w:ascii="Times New Roman" w:hAnsi="Times New Roman" w:cs="Times New Roman"/>
                      <w:caps w:val="0"/>
                      <w:color w:val="auto"/>
                      <w:kern w:val="0"/>
                      <w:sz w:val="21"/>
                      <w:szCs w:val="21"/>
                      <w:highlight w:val="none"/>
                      <w:lang w:val="en-US" w:eastAsia="zh-CN"/>
                    </w:rPr>
                    <w:t>高浓度危险废物污染、火灾隐患</w:t>
                  </w:r>
                </w:p>
              </w:tc>
              <w:tc>
                <w:tcPr>
                  <w:tcW w:w="760" w:type="pct"/>
                  <w:tcBorders>
                    <w:right w:val="nil"/>
                  </w:tcBorders>
                  <w:noWrap w:val="0"/>
                  <w:vAlign w:val="center"/>
                </w:tcPr>
                <w:p w14:paraId="7C164CF0">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地表水、大气</w:t>
                  </w:r>
                  <w:r>
                    <w:rPr>
                      <w:rFonts w:hint="eastAsia" w:ascii="Times New Roman" w:hAnsi="Times New Roman" w:cs="Times New Roman"/>
                      <w:color w:val="auto"/>
                      <w:spacing w:val="0"/>
                      <w:sz w:val="21"/>
                      <w:szCs w:val="21"/>
                      <w:highlight w:val="none"/>
                      <w:lang w:eastAsia="zh-CN"/>
                    </w:rPr>
                    <w:t>、</w:t>
                  </w:r>
                  <w:r>
                    <w:rPr>
                      <w:rFonts w:hint="eastAsia" w:ascii="Times New Roman" w:hAnsi="Times New Roman" w:cs="Times New Roman"/>
                      <w:color w:val="auto"/>
                      <w:spacing w:val="0"/>
                      <w:sz w:val="21"/>
                      <w:szCs w:val="21"/>
                      <w:highlight w:val="none"/>
                      <w:lang w:val="en-US" w:eastAsia="zh-CN"/>
                    </w:rPr>
                    <w:t>土壤</w:t>
                  </w:r>
                </w:p>
              </w:tc>
            </w:tr>
          </w:tbl>
          <w:p w14:paraId="7CA7C7B5">
            <w:pPr>
              <w:shd w:val="clear"/>
              <w:spacing w:line="360" w:lineRule="auto"/>
              <w:rPr>
                <w:rFonts w:hint="default" w:ascii="Times New Roman" w:hAnsi="Times New Roman" w:eastAsia="宋体" w:cs="Times New Roman"/>
                <w:b/>
                <w:bCs/>
                <w:color w:val="auto"/>
                <w:spacing w:val="0"/>
                <w:sz w:val="24"/>
                <w:highlight w:val="none"/>
              </w:rPr>
            </w:pPr>
            <w:r>
              <w:rPr>
                <w:rFonts w:hint="default" w:ascii="Times New Roman" w:hAnsi="Times New Roman" w:eastAsia="宋体" w:cs="Times New Roman"/>
                <w:b/>
                <w:bCs/>
                <w:color w:val="auto"/>
                <w:spacing w:val="0"/>
                <w:sz w:val="24"/>
                <w:highlight w:val="none"/>
                <w:lang w:val="en-US" w:eastAsia="zh-CN"/>
              </w:rPr>
              <w:t>6.3</w:t>
            </w:r>
            <w:r>
              <w:rPr>
                <w:rFonts w:hint="default" w:ascii="Times New Roman" w:hAnsi="Times New Roman" w:eastAsia="宋体" w:cs="Times New Roman"/>
                <w:b/>
                <w:bCs/>
                <w:color w:val="auto"/>
                <w:spacing w:val="0"/>
                <w:sz w:val="24"/>
                <w:highlight w:val="none"/>
              </w:rPr>
              <w:t>环境风险防范措施</w:t>
            </w:r>
          </w:p>
          <w:p w14:paraId="56EC77A5">
            <w:pPr>
              <w:shd w:val="clear"/>
              <w:spacing w:line="360" w:lineRule="auto"/>
              <w:ind w:firstLine="360" w:firstLineChars="150"/>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（1）环境风险防范</w:t>
            </w:r>
            <w:r>
              <w:rPr>
                <w:rFonts w:hint="default" w:ascii="Times New Roman" w:hAnsi="Times New Roman" w:cs="Times New Roman"/>
                <w:color w:val="auto"/>
                <w:spacing w:val="0"/>
                <w:sz w:val="24"/>
                <w:highlight w:val="none"/>
                <w:lang w:val="en-US" w:eastAsia="zh-CN"/>
              </w:rPr>
              <w:t>及应急</w:t>
            </w:r>
            <w:r>
              <w:rPr>
                <w:rFonts w:hint="default" w:ascii="Times New Roman" w:hAnsi="Times New Roman" w:eastAsia="宋体" w:cs="Times New Roman"/>
                <w:color w:val="auto"/>
                <w:spacing w:val="0"/>
                <w:sz w:val="24"/>
                <w:highlight w:val="none"/>
              </w:rPr>
              <w:t>措施</w:t>
            </w:r>
          </w:p>
          <w:p w14:paraId="5067EC00">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①</w:t>
            </w:r>
            <w:r>
              <w:rPr>
                <w:rFonts w:hint="default" w:ascii="Times New Roman" w:hAnsi="Times New Roman" w:cs="Times New Roman"/>
                <w:color w:val="auto"/>
                <w:spacing w:val="0"/>
                <w:sz w:val="24"/>
                <w:highlight w:val="none"/>
                <w:lang w:eastAsia="zh-CN"/>
              </w:rPr>
              <w:t>危险废物贮存点</w:t>
            </w:r>
            <w:r>
              <w:rPr>
                <w:rFonts w:hint="default" w:ascii="Times New Roman" w:hAnsi="Times New Roman" w:eastAsia="宋体" w:cs="Times New Roman"/>
                <w:color w:val="auto"/>
                <w:spacing w:val="0"/>
                <w:sz w:val="24"/>
                <w:highlight w:val="none"/>
              </w:rPr>
              <w:t>地面及裙角做耐腐蚀硬化、防渗漏处理，且表面无缝隙，所使用的材料要与危险废物相容；危险废物应储存于密闭容器中，并在容器外表设置环境保护图形标志和警示标志；危险废物应选择防腐、防漏、防磕碰、密封严格的容器进行贮存和运输，储存于阴凉、通风良好的</w:t>
            </w:r>
            <w:r>
              <w:rPr>
                <w:rFonts w:hint="default" w:ascii="Times New Roman" w:hAnsi="Times New Roman" w:cs="Times New Roman"/>
                <w:color w:val="auto"/>
                <w:spacing w:val="0"/>
                <w:sz w:val="24"/>
                <w:highlight w:val="none"/>
                <w:lang w:val="en-US" w:eastAsia="zh-CN"/>
              </w:rPr>
              <w:t>危险废物贮存点</w:t>
            </w:r>
            <w:r>
              <w:rPr>
                <w:rFonts w:hint="default" w:ascii="Times New Roman" w:hAnsi="Times New Roman" w:eastAsia="宋体" w:cs="Times New Roman"/>
                <w:color w:val="auto"/>
                <w:spacing w:val="0"/>
                <w:sz w:val="24"/>
                <w:highlight w:val="none"/>
              </w:rPr>
              <w:t>，远离火种、热源，应有专门人员看管。</w:t>
            </w:r>
          </w:p>
          <w:p w14:paraId="20F6B650">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②加强对设备的维修管理，建立定期维护的人员编制和相关制度，制定严格的规范操作规程，以保证各装置的正常运转；</w:t>
            </w:r>
          </w:p>
          <w:p w14:paraId="3271750E">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③油类物质及危害水环境物质均储存于阴凉、通风的贮存间内，远离火种、热源。房间内粘贴警示标志，周边严禁烟火，防止发生火灾爆炸等危险；</w:t>
            </w:r>
          </w:p>
          <w:p w14:paraId="367E8B94">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 xml:space="preserve">④按照《建筑灭火器配置设计规范》（GB50140-2005），库房内配置一定数量不同类型、不同规格的移动式灭火器材，以便及时扑救初始零星火灾。 </w:t>
            </w:r>
          </w:p>
          <w:p w14:paraId="507C48D7">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（2）环境风险应急措施</w:t>
            </w:r>
          </w:p>
          <w:p w14:paraId="6D0CD3BC">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①一旦发现室内风险物质泄漏，现场人员应佩戴口罩，做好个人防护，迅速将包装桶倾斜，使破损处朝上，防止继续泄漏，然后将其转移至空桶内。并及时采用砂土或其他不燃材料吸附或吸收，吸附废物集中收集后委托有资质的单位处置。</w:t>
            </w:r>
          </w:p>
          <w:p w14:paraId="3611577F">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②发生室外泄漏事故时，为防止对区域地表水环境造成影响，及时封堵雨水排口，防止经由雨水排口排入附近河流中造成水体污染。</w:t>
            </w:r>
          </w:p>
          <w:p w14:paraId="158883D6">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③当发生火灾事故时，现场人员或其他人员应该立刻拨打火警电话119，并立即通知有关人员停止作业，尽快切断所有电源，组织人员和其他易燃物品的疏散，使用灭火器及沙土即可。</w:t>
            </w:r>
          </w:p>
          <w:p w14:paraId="76248C04">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综上可知，本项目拟建设的应急防范措施基本满足风险防控要求。</w:t>
            </w:r>
          </w:p>
          <w:p w14:paraId="08EA53AC">
            <w:pPr>
              <w:shd w:val="clear"/>
              <w:spacing w:line="360" w:lineRule="auto"/>
              <w:rPr>
                <w:rFonts w:hint="default" w:ascii="Times New Roman" w:hAnsi="Times New Roman" w:eastAsia="宋体" w:cs="Times New Roman"/>
                <w:color w:val="auto"/>
                <w:spacing w:val="0"/>
                <w:highlight w:val="none"/>
              </w:rPr>
            </w:pPr>
            <w:r>
              <w:rPr>
                <w:rFonts w:hint="default" w:ascii="Times New Roman" w:hAnsi="Times New Roman" w:eastAsia="宋体" w:cs="Times New Roman"/>
                <w:b/>
                <w:bCs/>
                <w:color w:val="auto"/>
                <w:spacing w:val="0"/>
                <w:sz w:val="24"/>
                <w:highlight w:val="none"/>
                <w:lang w:val="en-US" w:eastAsia="zh-CN"/>
              </w:rPr>
              <w:t>6.4</w:t>
            </w:r>
            <w:r>
              <w:rPr>
                <w:rFonts w:hint="default" w:ascii="Times New Roman" w:hAnsi="Times New Roman" w:eastAsia="宋体" w:cs="Times New Roman"/>
                <w:b/>
                <w:bCs/>
                <w:color w:val="auto"/>
                <w:spacing w:val="0"/>
                <w:sz w:val="24"/>
                <w:highlight w:val="none"/>
              </w:rPr>
              <w:t>事故应急预案</w:t>
            </w:r>
          </w:p>
          <w:p w14:paraId="37830BA3">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sz w:val="24"/>
                <w:highlight w:val="none"/>
                <w:lang w:val="en-US" w:eastAsia="zh-CN"/>
              </w:rPr>
            </w:pPr>
            <w:r>
              <w:rPr>
                <w:rFonts w:hint="default" w:ascii="Times New Roman" w:hAnsi="Times New Roman" w:eastAsia="宋体" w:cs="Times New Roman"/>
                <w:color w:val="auto"/>
                <w:spacing w:val="0"/>
                <w:sz w:val="24"/>
                <w:highlight w:val="none"/>
              </w:rPr>
              <w:t>通过对污染事故的风险评价，建设单位和各有关部门应制定实施突发性事故应急预案，降低重大环境污染事故发生的概率，消除事故风险隐患。根据环保部《突发环境事件应急管理办法》（环境保护部令第34号）、《企业事业单位突发环境事件应急预案备案管理办法（试行）》（环发</w:t>
            </w:r>
            <w:r>
              <w:rPr>
                <w:rFonts w:hint="default" w:ascii="Times New Roman" w:hAnsi="Times New Roman" w:cs="Times New Roman"/>
                <w:color w:val="auto"/>
                <w:spacing w:val="0"/>
                <w:sz w:val="24"/>
                <w:highlight w:val="none"/>
                <w:lang w:eastAsia="zh-CN"/>
              </w:rPr>
              <w:t>〔2015〕4号</w:t>
            </w:r>
            <w:r>
              <w:rPr>
                <w:rFonts w:hint="default" w:ascii="Times New Roman" w:hAnsi="Times New Roman" w:eastAsia="宋体" w:cs="Times New Roman"/>
                <w:color w:val="auto"/>
                <w:spacing w:val="0"/>
                <w:sz w:val="24"/>
                <w:highlight w:val="none"/>
              </w:rPr>
              <w:t>）、环保部《关于进一步加强环境影响评价管理防范环境风险的通知》（环发</w:t>
            </w:r>
            <w:r>
              <w:rPr>
                <w:rFonts w:hint="default" w:ascii="Times New Roman" w:hAnsi="Times New Roman" w:cs="Times New Roman"/>
                <w:color w:val="auto"/>
                <w:spacing w:val="0"/>
                <w:sz w:val="24"/>
                <w:highlight w:val="none"/>
                <w:lang w:eastAsia="zh-CN"/>
              </w:rPr>
              <w:t>〔2012〕77号</w:t>
            </w:r>
            <w:r>
              <w:rPr>
                <w:rFonts w:hint="default" w:ascii="Times New Roman" w:hAnsi="Times New Roman" w:eastAsia="宋体" w:cs="Times New Roman"/>
                <w:color w:val="auto"/>
                <w:spacing w:val="0"/>
                <w:sz w:val="24"/>
                <w:highlight w:val="none"/>
              </w:rPr>
              <w:t>）、《企业突发环境事件风险分级方法》（HJ941-2018）等的规定和要求，建设单位应编制突发环境事件应急预案并尽快向所在地生态环境主管部门进行备案，同时注意编制的应急预案应与沿线各区域、各相关企业应急系统衔接。</w:t>
            </w:r>
            <w:r>
              <w:rPr>
                <w:rFonts w:hint="default" w:ascii="Times New Roman" w:hAnsi="Times New Roman" w:cs="Times New Roman"/>
                <w:color w:val="auto"/>
                <w:spacing w:val="0"/>
                <w:sz w:val="24"/>
                <w:highlight w:val="none"/>
                <w:lang w:val="en-US" w:eastAsia="zh-CN"/>
              </w:rPr>
              <w:t>本项目建成后应根据现有工程风险物质情况结合本项目对</w:t>
            </w:r>
            <w:r>
              <w:rPr>
                <w:rFonts w:hint="eastAsia" w:ascii="Times New Roman" w:hAnsi="Times New Roman" w:cs="Times New Roman"/>
                <w:color w:val="auto"/>
                <w:spacing w:val="0"/>
                <w:sz w:val="24"/>
                <w:highlight w:val="none"/>
                <w:lang w:val="en-US" w:eastAsia="zh-CN"/>
              </w:rPr>
              <w:t>本项目</w:t>
            </w:r>
            <w:r>
              <w:rPr>
                <w:rFonts w:hint="default" w:ascii="Times New Roman" w:hAnsi="Times New Roman" w:cs="Times New Roman"/>
                <w:color w:val="auto"/>
                <w:spacing w:val="0"/>
                <w:sz w:val="24"/>
                <w:highlight w:val="none"/>
                <w:lang w:val="en-US" w:eastAsia="zh-CN"/>
              </w:rPr>
              <w:t>进行编制突发环境事件应急预案并报送鸡西市生态环境局进行备案</w:t>
            </w:r>
            <w:r>
              <w:rPr>
                <w:rFonts w:hint="default" w:ascii="Times New Roman" w:hAnsi="Times New Roman" w:eastAsia="宋体" w:cs="Times New Roman"/>
                <w:color w:val="auto"/>
                <w:spacing w:val="0"/>
                <w:sz w:val="24"/>
                <w:highlight w:val="none"/>
                <w:lang w:val="en-US" w:eastAsia="zh-CN"/>
              </w:rPr>
              <w:t>。</w:t>
            </w:r>
          </w:p>
          <w:p w14:paraId="29488D19">
            <w:pPr>
              <w:shd w:val="clear"/>
              <w:adjustRightInd w:val="0"/>
              <w:snapToGrid w:val="0"/>
              <w:spacing w:line="360" w:lineRule="auto"/>
              <w:rPr>
                <w:rFonts w:hint="default" w:ascii="Times New Roman" w:hAnsi="Times New Roman" w:eastAsia="宋体" w:cs="Times New Roman"/>
                <w:b/>
                <w:bCs/>
                <w:color w:val="auto"/>
                <w:spacing w:val="0"/>
                <w:kern w:val="0"/>
                <w:sz w:val="24"/>
                <w:highlight w:val="none"/>
              </w:rPr>
            </w:pPr>
            <w:r>
              <w:rPr>
                <w:rFonts w:hint="default" w:ascii="Times New Roman" w:hAnsi="Times New Roman" w:eastAsia="宋体" w:cs="Times New Roman"/>
                <w:b/>
                <w:bCs/>
                <w:color w:val="auto"/>
                <w:spacing w:val="0"/>
                <w:kern w:val="0"/>
                <w:sz w:val="24"/>
                <w:highlight w:val="none"/>
                <w:lang w:val="en-US" w:eastAsia="zh-CN"/>
              </w:rPr>
              <w:t>6.5</w:t>
            </w:r>
            <w:r>
              <w:rPr>
                <w:rFonts w:hint="default" w:ascii="Times New Roman" w:hAnsi="Times New Roman" w:eastAsia="宋体" w:cs="Times New Roman"/>
                <w:b/>
                <w:bCs/>
                <w:color w:val="auto"/>
                <w:spacing w:val="0"/>
                <w:kern w:val="0"/>
                <w:sz w:val="24"/>
                <w:highlight w:val="none"/>
              </w:rPr>
              <w:t xml:space="preserve"> 分析结论</w:t>
            </w:r>
          </w:p>
          <w:p w14:paraId="6D955B49">
            <w:pPr>
              <w:pStyle w:val="11"/>
              <w:spacing w:line="360" w:lineRule="auto"/>
              <w:rPr>
                <w:rFonts w:hint="default" w:ascii="Times New Roman" w:hAnsi="Times New Roman" w:eastAsia="宋体" w:cs="Times New Roman"/>
                <w:color w:val="auto"/>
                <w:spacing w:val="0"/>
                <w:highlight w:val="none"/>
                <w:vertAlign w:val="baseline"/>
              </w:rPr>
            </w:pPr>
            <w:r>
              <w:rPr>
                <w:rFonts w:hint="default" w:ascii="Times New Roman" w:hAnsi="Times New Roman" w:eastAsia="宋体" w:cs="Times New Roman"/>
                <w:color w:val="auto"/>
                <w:spacing w:val="0"/>
                <w:kern w:val="0"/>
                <w:sz w:val="24"/>
                <w:highlight w:val="none"/>
              </w:rPr>
              <w:t>综上，本项目运行期存在泄漏风险事故，在严格落实上述风险防范措施后，可将风险事故降至最低，预计对周围环境影响控制在可防控范围内。</w:t>
            </w:r>
          </w:p>
        </w:tc>
      </w:tr>
    </w:tbl>
    <w:p w14:paraId="39D0A2BB">
      <w:pPr>
        <w:pStyle w:val="11"/>
        <w:rPr>
          <w:rFonts w:hint="default" w:ascii="Times New Roman" w:hAnsi="Times New Roman" w:eastAsia="宋体" w:cs="Times New Roman"/>
          <w:color w:val="auto"/>
          <w:spacing w:val="0"/>
          <w:highlight w:val="none"/>
        </w:rPr>
        <w:sectPr>
          <w:pgSz w:w="11907" w:h="16840"/>
          <w:pgMar w:top="1440" w:right="1803" w:bottom="1440" w:left="1803"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14:paraId="3165BD2E">
      <w:pPr>
        <w:pStyle w:val="2"/>
        <w:spacing w:line="360" w:lineRule="auto"/>
        <w:jc w:val="center"/>
        <w:rPr>
          <w:rFonts w:hint="default" w:ascii="Times New Roman" w:hAnsi="Times New Roman" w:eastAsia="宋体" w:cs="Times New Roman"/>
          <w:bCs w:val="0"/>
          <w:color w:val="auto"/>
          <w:spacing w:val="0"/>
          <w:highlight w:val="none"/>
        </w:rPr>
      </w:pPr>
      <w:bookmarkStart w:id="14" w:name="_Toc2867"/>
      <w:r>
        <w:rPr>
          <w:rFonts w:hint="default" w:ascii="Times New Roman" w:hAnsi="Times New Roman" w:eastAsia="宋体" w:cs="Times New Roman"/>
          <w:bCs w:val="0"/>
          <w:color w:val="auto"/>
          <w:spacing w:val="0"/>
          <w:highlight w:val="none"/>
        </w:rPr>
        <w:t>五、</w:t>
      </w:r>
      <w:bookmarkStart w:id="15" w:name="_Hlk54167917"/>
      <w:r>
        <w:rPr>
          <w:rFonts w:hint="default" w:ascii="Times New Roman" w:hAnsi="Times New Roman" w:eastAsia="宋体" w:cs="Times New Roman"/>
          <w:bCs w:val="0"/>
          <w:color w:val="auto"/>
          <w:spacing w:val="0"/>
          <w:highlight w:val="none"/>
        </w:rPr>
        <w:t>环境保护措施监督检查清单</w:t>
      </w:r>
      <w:bookmarkEnd w:id="11"/>
      <w:bookmarkEnd w:id="14"/>
      <w:bookmarkEnd w:id="15"/>
    </w:p>
    <w:tbl>
      <w:tblPr>
        <w:tblStyle w:val="3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39"/>
        <w:gridCol w:w="1324"/>
        <w:gridCol w:w="1258"/>
        <w:gridCol w:w="1720"/>
        <w:gridCol w:w="2981"/>
      </w:tblGrid>
      <w:tr w14:paraId="50910D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1239" w:type="dxa"/>
            <w:tcBorders>
              <w:tl2br w:val="single" w:color="auto" w:sz="4" w:space="0"/>
            </w:tcBorders>
            <w:noWrap w:val="0"/>
            <w:vAlign w:val="center"/>
          </w:tcPr>
          <w:p w14:paraId="02BF10DB">
            <w:pPr>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内容</w:t>
            </w:r>
          </w:p>
          <w:p w14:paraId="068B0F46">
            <w:pPr>
              <w:ind w:firstLine="0" w:firstLineChars="0"/>
              <w:jc w:val="left"/>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要素</w:t>
            </w:r>
          </w:p>
        </w:tc>
        <w:tc>
          <w:tcPr>
            <w:tcW w:w="1324" w:type="dxa"/>
            <w:noWrap w:val="0"/>
            <w:vAlign w:val="center"/>
          </w:tcPr>
          <w:p w14:paraId="4138AF11">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排放口</w:t>
            </w: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rPr>
              <w:t>编号、名称</w:t>
            </w: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rPr>
              <w:t>/污染源</w:t>
            </w:r>
          </w:p>
        </w:tc>
        <w:tc>
          <w:tcPr>
            <w:tcW w:w="1258" w:type="dxa"/>
            <w:noWrap w:val="0"/>
            <w:vAlign w:val="center"/>
          </w:tcPr>
          <w:p w14:paraId="1E0BBF9A">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污染物</w:t>
            </w:r>
          </w:p>
          <w:p w14:paraId="27620A5D">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项目</w:t>
            </w:r>
          </w:p>
        </w:tc>
        <w:tc>
          <w:tcPr>
            <w:tcW w:w="1720" w:type="dxa"/>
            <w:noWrap w:val="0"/>
            <w:vAlign w:val="center"/>
          </w:tcPr>
          <w:p w14:paraId="58BACE47">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环境保护措施</w:t>
            </w:r>
          </w:p>
        </w:tc>
        <w:tc>
          <w:tcPr>
            <w:tcW w:w="2981" w:type="dxa"/>
            <w:noWrap w:val="0"/>
            <w:vAlign w:val="center"/>
          </w:tcPr>
          <w:p w14:paraId="60110D11">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执行标准</w:t>
            </w:r>
          </w:p>
        </w:tc>
      </w:tr>
      <w:tr w14:paraId="17B0C2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00" w:hRule="exact"/>
          <w:jc w:val="center"/>
        </w:trPr>
        <w:tc>
          <w:tcPr>
            <w:tcW w:w="1239" w:type="dxa"/>
            <w:vMerge w:val="restart"/>
            <w:noWrap w:val="0"/>
            <w:vAlign w:val="center"/>
          </w:tcPr>
          <w:p w14:paraId="68995FDA">
            <w:pPr>
              <w:spacing w:line="240" w:lineRule="auto"/>
              <w:ind w:firstLine="0" w:firstLineChars="0"/>
              <w:jc w:val="center"/>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废气</w:t>
            </w:r>
          </w:p>
        </w:tc>
        <w:tc>
          <w:tcPr>
            <w:tcW w:w="1324" w:type="dxa"/>
            <w:noWrap w:val="0"/>
            <w:vAlign w:val="center"/>
          </w:tcPr>
          <w:p w14:paraId="126D53D1">
            <w:pPr>
              <w:pStyle w:val="70"/>
              <w:jc w:val="center"/>
              <w:rPr>
                <w:rFonts w:hint="default" w:ascii="Times New Roman" w:hAnsi="Times New Roman" w:eastAsia="宋体" w:cs="Times New Roman"/>
                <w:snapToGrid w:val="0"/>
                <w:color w:val="auto"/>
                <w:spacing w:val="0"/>
                <w:sz w:val="24"/>
                <w:szCs w:val="24"/>
                <w:highlight w:val="none"/>
                <w:lang w:val="en-US" w:eastAsia="zh-CN"/>
              </w:rPr>
            </w:pPr>
            <w:r>
              <w:rPr>
                <w:rFonts w:hint="default" w:ascii="Times New Roman" w:hAnsi="Times New Roman" w:cs="Times New Roman"/>
                <w:snapToGrid w:val="0"/>
                <w:color w:val="auto"/>
                <w:spacing w:val="0"/>
                <w:sz w:val="24"/>
                <w:szCs w:val="24"/>
                <w:highlight w:val="none"/>
                <w:lang w:val="en-US" w:eastAsia="zh-CN"/>
              </w:rPr>
              <w:t>DA001</w:t>
            </w:r>
            <w:r>
              <w:rPr>
                <w:rFonts w:hint="default" w:ascii="Times New Roman" w:hAnsi="Times New Roman" w:eastAsia="宋体" w:cs="Times New Roman"/>
                <w:snapToGrid w:val="0"/>
                <w:color w:val="auto"/>
                <w:spacing w:val="0"/>
                <w:sz w:val="24"/>
                <w:szCs w:val="24"/>
                <w:highlight w:val="none"/>
                <w:lang w:val="en-US" w:eastAsia="zh-CN"/>
              </w:rPr>
              <w:t>锅炉废</w:t>
            </w:r>
            <w:r>
              <w:rPr>
                <w:rFonts w:hint="default" w:ascii="Times New Roman" w:hAnsi="Times New Roman" w:cs="Times New Roman"/>
                <w:snapToGrid w:val="0"/>
                <w:color w:val="auto"/>
                <w:spacing w:val="0"/>
                <w:sz w:val="24"/>
                <w:szCs w:val="24"/>
                <w:highlight w:val="none"/>
                <w:lang w:val="en-US" w:eastAsia="zh-CN"/>
              </w:rPr>
              <w:t>气</w:t>
            </w:r>
          </w:p>
        </w:tc>
        <w:tc>
          <w:tcPr>
            <w:tcW w:w="1258" w:type="dxa"/>
            <w:noWrap w:val="0"/>
            <w:vAlign w:val="center"/>
          </w:tcPr>
          <w:p w14:paraId="38E989BB">
            <w:pPr>
              <w:pStyle w:val="70"/>
              <w:jc w:val="center"/>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bCs/>
                <w:color w:val="auto"/>
                <w:spacing w:val="0"/>
                <w:sz w:val="24"/>
                <w:szCs w:val="24"/>
                <w:highlight w:val="none"/>
                <w:lang w:val="en-US" w:eastAsia="zh-CN" w:bidi="ar"/>
              </w:rPr>
              <w:t>颗粒物、二氧化硫、氮氧化物、烟气黑度</w:t>
            </w:r>
          </w:p>
        </w:tc>
        <w:tc>
          <w:tcPr>
            <w:tcW w:w="1720" w:type="dxa"/>
            <w:noWrap w:val="0"/>
            <w:vAlign w:val="center"/>
          </w:tcPr>
          <w:p w14:paraId="052F71DC">
            <w:pPr>
              <w:pStyle w:val="70"/>
              <w:jc w:val="center"/>
              <w:rPr>
                <w:rFonts w:hint="default" w:ascii="Times New Roman" w:hAnsi="Times New Roman" w:eastAsia="宋体" w:cs="Times New Roman"/>
                <w:bCs/>
                <w:color w:val="auto"/>
                <w:spacing w:val="0"/>
                <w:sz w:val="24"/>
                <w:szCs w:val="24"/>
                <w:highlight w:val="none"/>
                <w:lang w:val="en-US" w:eastAsia="zh-CN"/>
              </w:rPr>
            </w:pPr>
            <w:r>
              <w:rPr>
                <w:rFonts w:hint="default" w:ascii="Times New Roman" w:hAnsi="Times New Roman" w:cs="Times New Roman"/>
                <w:bCs/>
                <w:color w:val="auto"/>
                <w:spacing w:val="0"/>
                <w:sz w:val="24"/>
                <w:szCs w:val="24"/>
                <w:highlight w:val="none"/>
                <w:lang w:val="en-US" w:eastAsia="zh-CN"/>
              </w:rPr>
              <w:t>锅炉废气</w:t>
            </w:r>
            <w:r>
              <w:rPr>
                <w:rFonts w:hint="eastAsia" w:ascii="Times New Roman" w:hAnsi="Times New Roman" w:cs="Times New Roman"/>
                <w:bCs/>
                <w:color w:val="auto"/>
                <w:spacing w:val="0"/>
                <w:sz w:val="24"/>
                <w:szCs w:val="24"/>
                <w:highlight w:val="none"/>
                <w:lang w:val="en-US" w:eastAsia="zh-CN"/>
              </w:rPr>
              <w:t>经旋风+</w:t>
            </w:r>
            <w:r>
              <w:rPr>
                <w:rFonts w:hint="default" w:ascii="Times New Roman" w:hAnsi="Times New Roman" w:cs="Times New Roman"/>
                <w:bCs/>
                <w:color w:val="auto"/>
                <w:spacing w:val="0"/>
                <w:sz w:val="24"/>
                <w:szCs w:val="24"/>
                <w:highlight w:val="none"/>
                <w:lang w:val="en-US" w:eastAsia="zh-CN"/>
              </w:rPr>
              <w:t>布袋除尘器处理通过30m高排气筒DA001有组织排放</w:t>
            </w:r>
          </w:p>
        </w:tc>
        <w:tc>
          <w:tcPr>
            <w:tcW w:w="2981" w:type="dxa"/>
            <w:noWrap w:val="0"/>
            <w:vAlign w:val="center"/>
          </w:tcPr>
          <w:p w14:paraId="02B13021">
            <w:pPr>
              <w:spacing w:line="240" w:lineRule="auto"/>
              <w:ind w:firstLine="0" w:firstLineChars="0"/>
              <w:jc w:val="center"/>
              <w:rPr>
                <w:rFonts w:hint="default" w:ascii="Times New Roman" w:hAnsi="Times New Roman" w:eastAsia="宋体" w:cs="Times New Roman"/>
                <w:bCs w:val="0"/>
                <w:color w:val="auto"/>
                <w:spacing w:val="0"/>
                <w:kern w:val="2"/>
                <w:sz w:val="24"/>
                <w:szCs w:val="24"/>
                <w:highlight w:val="none"/>
                <w:lang w:val="zh-CN" w:eastAsia="zh-CN" w:bidi="ar-SA"/>
              </w:rPr>
            </w:pPr>
            <w:r>
              <w:rPr>
                <w:rFonts w:hint="default" w:ascii="Times New Roman" w:hAnsi="Times New Roman" w:eastAsia="宋体" w:cs="Times New Roman"/>
                <w:color w:val="auto"/>
                <w:spacing w:val="0"/>
                <w:sz w:val="24"/>
                <w:highlight w:val="none"/>
              </w:rPr>
              <w:t>《</w:t>
            </w:r>
            <w:r>
              <w:rPr>
                <w:rFonts w:hint="default" w:ascii="Times New Roman" w:hAnsi="Times New Roman" w:eastAsia="宋体" w:cs="Times New Roman"/>
                <w:color w:val="auto"/>
                <w:spacing w:val="0"/>
                <w:sz w:val="24"/>
                <w:highlight w:val="none"/>
                <w:lang w:val="en-US" w:eastAsia="zh-CN"/>
              </w:rPr>
              <w:t>锅炉大气污染物排放标准</w:t>
            </w:r>
            <w:r>
              <w:rPr>
                <w:rFonts w:hint="default" w:ascii="Times New Roman" w:hAnsi="Times New Roman" w:eastAsia="宋体" w:cs="Times New Roman"/>
                <w:color w:val="auto"/>
                <w:spacing w:val="0"/>
                <w:sz w:val="24"/>
                <w:highlight w:val="none"/>
              </w:rPr>
              <w:t>》（GB</w:t>
            </w:r>
            <w:r>
              <w:rPr>
                <w:rFonts w:hint="default" w:ascii="Times New Roman" w:hAnsi="Times New Roman" w:eastAsia="宋体" w:cs="Times New Roman"/>
                <w:color w:val="auto"/>
                <w:spacing w:val="0"/>
                <w:sz w:val="24"/>
                <w:highlight w:val="none"/>
                <w:lang w:val="en-US" w:eastAsia="zh-CN"/>
              </w:rPr>
              <w:t>13271</w:t>
            </w:r>
            <w:r>
              <w:rPr>
                <w:rFonts w:hint="default" w:ascii="Times New Roman" w:hAnsi="Times New Roman" w:eastAsia="宋体" w:cs="Times New Roman"/>
                <w:color w:val="auto"/>
                <w:spacing w:val="0"/>
                <w:sz w:val="24"/>
                <w:highlight w:val="none"/>
              </w:rPr>
              <w:t>-</w:t>
            </w:r>
            <w:r>
              <w:rPr>
                <w:rFonts w:hint="default" w:ascii="Times New Roman" w:hAnsi="Times New Roman" w:eastAsia="宋体" w:cs="Times New Roman"/>
                <w:color w:val="auto"/>
                <w:spacing w:val="0"/>
                <w:sz w:val="24"/>
                <w:highlight w:val="none"/>
                <w:lang w:val="en-US" w:eastAsia="zh-CN"/>
              </w:rPr>
              <w:t>2014</w:t>
            </w:r>
            <w:r>
              <w:rPr>
                <w:rFonts w:hint="default" w:ascii="Times New Roman" w:hAnsi="Times New Roman" w:eastAsia="宋体" w:cs="Times New Roman"/>
                <w:color w:val="auto"/>
                <w:spacing w:val="0"/>
                <w:sz w:val="24"/>
                <w:highlight w:val="none"/>
              </w:rPr>
              <w:t>）</w:t>
            </w:r>
            <w:r>
              <w:rPr>
                <w:rFonts w:hint="default" w:ascii="Times New Roman" w:hAnsi="Times New Roman" w:cs="Times New Roman"/>
                <w:bCs/>
                <w:color w:val="auto"/>
                <w:spacing w:val="0"/>
                <w:sz w:val="24"/>
                <w:szCs w:val="24"/>
                <w:highlight w:val="none"/>
                <w:lang w:val="en-US" w:eastAsia="zh-CN"/>
              </w:rPr>
              <w:t>表2锅炉</w:t>
            </w:r>
            <w:r>
              <w:rPr>
                <w:rFonts w:hint="default" w:ascii="Times New Roman" w:hAnsi="Times New Roman" w:eastAsia="宋体" w:cs="Times New Roman"/>
                <w:bCs/>
                <w:color w:val="auto"/>
                <w:spacing w:val="0"/>
                <w:sz w:val="24"/>
                <w:szCs w:val="24"/>
                <w:highlight w:val="none"/>
                <w:lang w:val="en-US" w:eastAsia="zh-CN"/>
              </w:rPr>
              <w:t>排放限值</w:t>
            </w:r>
          </w:p>
        </w:tc>
      </w:tr>
      <w:tr w14:paraId="061CF5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70" w:hRule="exact"/>
          <w:jc w:val="center"/>
        </w:trPr>
        <w:tc>
          <w:tcPr>
            <w:tcW w:w="1239" w:type="dxa"/>
            <w:vMerge w:val="continue"/>
            <w:noWrap w:val="0"/>
            <w:vAlign w:val="center"/>
          </w:tcPr>
          <w:p w14:paraId="47A30284">
            <w:pPr>
              <w:spacing w:line="240" w:lineRule="auto"/>
              <w:ind w:firstLine="0" w:firstLineChars="0"/>
              <w:jc w:val="center"/>
              <w:rPr>
                <w:rFonts w:hint="default" w:ascii="Times New Roman" w:hAnsi="Times New Roman" w:eastAsia="宋体" w:cs="Times New Roman"/>
                <w:color w:val="auto"/>
                <w:spacing w:val="0"/>
                <w:sz w:val="24"/>
                <w:szCs w:val="24"/>
                <w:highlight w:val="none"/>
                <w:lang w:val="en-US" w:eastAsia="zh-CN"/>
              </w:rPr>
            </w:pPr>
          </w:p>
        </w:tc>
        <w:tc>
          <w:tcPr>
            <w:tcW w:w="1324" w:type="dxa"/>
            <w:noWrap w:val="0"/>
            <w:vAlign w:val="center"/>
          </w:tcPr>
          <w:p w14:paraId="2355BC21">
            <w:pPr>
              <w:pStyle w:val="70"/>
              <w:jc w:val="center"/>
              <w:rPr>
                <w:rFonts w:hint="default" w:ascii="Times New Roman" w:hAnsi="Times New Roman" w:cs="Times New Roman"/>
                <w:snapToGrid w:val="0"/>
                <w:color w:val="auto"/>
                <w:spacing w:val="0"/>
                <w:sz w:val="24"/>
                <w:szCs w:val="24"/>
                <w:highlight w:val="none"/>
                <w:lang w:val="en-US" w:eastAsia="zh-CN"/>
              </w:rPr>
            </w:pPr>
            <w:r>
              <w:rPr>
                <w:rFonts w:hint="default" w:ascii="Times New Roman" w:hAnsi="Times New Roman" w:cs="Times New Roman"/>
                <w:snapToGrid w:val="0"/>
                <w:color w:val="auto"/>
                <w:spacing w:val="0"/>
                <w:sz w:val="24"/>
                <w:szCs w:val="24"/>
                <w:highlight w:val="none"/>
                <w:lang w:val="en-US" w:eastAsia="zh-CN"/>
              </w:rPr>
              <w:t>无组织</w:t>
            </w:r>
          </w:p>
        </w:tc>
        <w:tc>
          <w:tcPr>
            <w:tcW w:w="1258" w:type="dxa"/>
            <w:noWrap w:val="0"/>
            <w:vAlign w:val="center"/>
          </w:tcPr>
          <w:p w14:paraId="58AEF1F5">
            <w:pPr>
              <w:pStyle w:val="70"/>
              <w:jc w:val="center"/>
              <w:rPr>
                <w:rFonts w:hint="default" w:ascii="Times New Roman" w:hAnsi="Times New Roman" w:eastAsia="宋体" w:cs="Times New Roman"/>
                <w:bCs/>
                <w:color w:val="auto"/>
                <w:spacing w:val="0"/>
                <w:sz w:val="24"/>
                <w:szCs w:val="24"/>
                <w:highlight w:val="none"/>
                <w:lang w:val="en-US" w:eastAsia="zh-CN" w:bidi="ar"/>
              </w:rPr>
            </w:pPr>
            <w:r>
              <w:rPr>
                <w:rFonts w:hint="default" w:ascii="Times New Roman" w:hAnsi="Times New Roman" w:cs="Times New Roman"/>
                <w:bCs/>
                <w:color w:val="auto"/>
                <w:spacing w:val="0"/>
                <w:sz w:val="24"/>
                <w:szCs w:val="24"/>
                <w:highlight w:val="none"/>
                <w:lang w:val="en-US" w:eastAsia="zh-CN" w:bidi="ar"/>
              </w:rPr>
              <w:t>颗粒物</w:t>
            </w:r>
          </w:p>
        </w:tc>
        <w:tc>
          <w:tcPr>
            <w:tcW w:w="1720" w:type="dxa"/>
            <w:noWrap w:val="0"/>
            <w:vAlign w:val="center"/>
          </w:tcPr>
          <w:p w14:paraId="035F514E">
            <w:pPr>
              <w:pStyle w:val="70"/>
              <w:jc w:val="center"/>
              <w:rPr>
                <w:rFonts w:hint="default" w:ascii="Times New Roman" w:hAnsi="Times New Roman" w:cs="Times New Roman"/>
                <w:bCs/>
                <w:color w:val="auto"/>
                <w:spacing w:val="0"/>
                <w:sz w:val="24"/>
                <w:szCs w:val="24"/>
                <w:highlight w:val="none"/>
                <w:lang w:val="en-US" w:eastAsia="zh-CN"/>
              </w:rPr>
            </w:pPr>
            <w:r>
              <w:rPr>
                <w:rFonts w:hint="default" w:ascii="Times New Roman" w:hAnsi="Times New Roman" w:cs="Times New Roman"/>
                <w:bCs/>
                <w:color w:val="auto"/>
                <w:spacing w:val="0"/>
                <w:sz w:val="24"/>
                <w:szCs w:val="24"/>
                <w:highlight w:val="none"/>
                <w:lang w:val="en-US" w:eastAsia="zh-CN"/>
              </w:rPr>
              <w:t>洒水降尘</w:t>
            </w:r>
          </w:p>
        </w:tc>
        <w:tc>
          <w:tcPr>
            <w:tcW w:w="2981" w:type="dxa"/>
            <w:noWrap w:val="0"/>
            <w:vAlign w:val="center"/>
          </w:tcPr>
          <w:p w14:paraId="3B88C1A5">
            <w:pPr>
              <w:spacing w:line="240" w:lineRule="auto"/>
              <w:ind w:firstLine="0" w:firstLineChars="0"/>
              <w:jc w:val="center"/>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kern w:val="0"/>
                <w:sz w:val="24"/>
                <w:highlight w:val="none"/>
                <w:lang w:val="en-US" w:eastAsia="zh-CN"/>
              </w:rPr>
              <w:t>《大气污染物综合排放标准》（GB16297-1996）表2中无组织排放监控浓度限值</w:t>
            </w:r>
          </w:p>
        </w:tc>
      </w:tr>
      <w:tr w14:paraId="711BBD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7" w:hRule="atLeast"/>
          <w:jc w:val="center"/>
        </w:trPr>
        <w:tc>
          <w:tcPr>
            <w:tcW w:w="1239" w:type="dxa"/>
            <w:noWrap w:val="0"/>
            <w:vAlign w:val="center"/>
          </w:tcPr>
          <w:p w14:paraId="7CA385C0">
            <w:pPr>
              <w:spacing w:line="240" w:lineRule="auto"/>
              <w:ind w:firstLine="0" w:firstLineChars="0"/>
              <w:jc w:val="center"/>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eastAsia="宋体" w:cs="Times New Roman"/>
                <w:color w:val="auto"/>
                <w:spacing w:val="0"/>
                <w:sz w:val="24"/>
                <w:szCs w:val="24"/>
                <w:highlight w:val="none"/>
                <w:lang w:val="en-US" w:eastAsia="zh-CN"/>
              </w:rPr>
              <w:t>废水</w:t>
            </w:r>
          </w:p>
        </w:tc>
        <w:tc>
          <w:tcPr>
            <w:tcW w:w="1324" w:type="dxa"/>
            <w:noWrap w:val="0"/>
            <w:vAlign w:val="center"/>
          </w:tcPr>
          <w:p w14:paraId="35F1B088">
            <w:pPr>
              <w:pStyle w:val="70"/>
              <w:jc w:val="center"/>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cs="Times New Roman"/>
                <w:snapToGrid w:val="0"/>
                <w:color w:val="auto"/>
                <w:spacing w:val="0"/>
                <w:sz w:val="24"/>
                <w:szCs w:val="24"/>
                <w:highlight w:val="none"/>
                <w:lang w:val="en-US" w:eastAsia="zh-CN"/>
              </w:rPr>
              <w:t>锅炉排污水</w:t>
            </w:r>
            <w:r>
              <w:rPr>
                <w:rFonts w:hint="eastAsia" w:cs="Times New Roman"/>
                <w:snapToGrid w:val="0"/>
                <w:color w:val="auto"/>
                <w:spacing w:val="0"/>
                <w:sz w:val="24"/>
                <w:szCs w:val="24"/>
                <w:highlight w:val="none"/>
                <w:lang w:val="en-US" w:eastAsia="zh-CN"/>
              </w:rPr>
              <w:t>及软水制备废水</w:t>
            </w:r>
          </w:p>
        </w:tc>
        <w:tc>
          <w:tcPr>
            <w:tcW w:w="1258" w:type="dxa"/>
            <w:noWrap w:val="0"/>
            <w:vAlign w:val="center"/>
          </w:tcPr>
          <w:p w14:paraId="0BCC75E2">
            <w:pPr>
              <w:pStyle w:val="70"/>
              <w:jc w:val="center"/>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eastAsia="宋体" w:cs="Times New Roman"/>
                <w:color w:val="auto"/>
                <w:spacing w:val="0"/>
                <w:sz w:val="24"/>
                <w:szCs w:val="24"/>
                <w:highlight w:val="none"/>
              </w:rPr>
              <w:t>COD、</w:t>
            </w:r>
            <w:r>
              <w:rPr>
                <w:rFonts w:hint="eastAsia" w:cs="Times New Roman"/>
                <w:color w:val="auto"/>
                <w:spacing w:val="0"/>
                <w:sz w:val="24"/>
                <w:szCs w:val="24"/>
                <w:highlight w:val="none"/>
                <w:lang w:val="en-US" w:eastAsia="zh-CN"/>
              </w:rPr>
              <w:t>pH</w:t>
            </w:r>
            <w:r>
              <w:rPr>
                <w:rFonts w:hint="default" w:ascii="Times New Roman" w:hAnsi="Times New Roman" w:eastAsia="宋体" w:cs="Times New Roman"/>
                <w:color w:val="auto"/>
                <w:spacing w:val="0"/>
                <w:sz w:val="24"/>
                <w:szCs w:val="24"/>
                <w:highlight w:val="none"/>
              </w:rPr>
              <w:t>、</w:t>
            </w:r>
            <w:r>
              <w:rPr>
                <w:rFonts w:hint="default" w:ascii="Times New Roman" w:hAnsi="Times New Roman" w:cs="Times New Roman"/>
                <w:color w:val="auto"/>
                <w:spacing w:val="0"/>
                <w:sz w:val="24"/>
                <w:szCs w:val="24"/>
                <w:highlight w:val="none"/>
                <w:lang w:val="en-US" w:eastAsia="zh-CN"/>
              </w:rPr>
              <w:t>TDS</w:t>
            </w:r>
          </w:p>
        </w:tc>
        <w:tc>
          <w:tcPr>
            <w:tcW w:w="1720" w:type="dxa"/>
            <w:noWrap w:val="0"/>
            <w:vAlign w:val="center"/>
          </w:tcPr>
          <w:p w14:paraId="381B1662">
            <w:pPr>
              <w:pStyle w:val="70"/>
              <w:jc w:val="center"/>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cs="Times New Roman"/>
                <w:b w:val="0"/>
                <w:bCs/>
                <w:color w:val="auto"/>
                <w:spacing w:val="0"/>
                <w:sz w:val="24"/>
                <w:szCs w:val="24"/>
                <w:highlight w:val="none"/>
                <w:lang w:val="en-US" w:eastAsia="zh-CN"/>
              </w:rPr>
              <w:t>锅炉排污水和软水制备废水</w:t>
            </w:r>
            <w:r>
              <w:rPr>
                <w:rFonts w:hint="eastAsia" w:ascii="Times New Roman" w:hAnsi="Times New Roman" w:cs="Times New Roman"/>
                <w:b w:val="0"/>
                <w:bCs/>
                <w:color w:val="auto"/>
                <w:spacing w:val="0"/>
                <w:sz w:val="24"/>
                <w:szCs w:val="24"/>
                <w:highlight w:val="none"/>
                <w:lang w:val="en-US" w:eastAsia="zh-CN"/>
              </w:rPr>
              <w:t>，少量</w:t>
            </w:r>
            <w:r>
              <w:rPr>
                <w:rFonts w:hint="default" w:ascii="Times New Roman" w:hAnsi="Times New Roman" w:cs="Times New Roman"/>
                <w:b w:val="0"/>
                <w:bCs/>
                <w:color w:val="auto"/>
                <w:spacing w:val="0"/>
                <w:sz w:val="24"/>
                <w:szCs w:val="24"/>
                <w:highlight w:val="none"/>
                <w:lang w:val="en-US" w:eastAsia="zh-CN"/>
              </w:rPr>
              <w:t>收集后用于灰渣</w:t>
            </w:r>
            <w:r>
              <w:rPr>
                <w:rFonts w:hint="eastAsia" w:ascii="Times New Roman" w:hAnsi="Times New Roman" w:cs="Times New Roman"/>
                <w:b w:val="0"/>
                <w:bCs/>
                <w:color w:val="auto"/>
                <w:spacing w:val="0"/>
                <w:sz w:val="24"/>
                <w:szCs w:val="24"/>
                <w:highlight w:val="none"/>
                <w:lang w:val="en-US" w:eastAsia="zh-CN"/>
              </w:rPr>
              <w:t>加湿其余锅炉污水通过院区污水总排口进入市政管网，排入城子河区污水处理厂进行处理</w:t>
            </w:r>
          </w:p>
        </w:tc>
        <w:tc>
          <w:tcPr>
            <w:tcW w:w="2981" w:type="dxa"/>
            <w:noWrap w:val="0"/>
            <w:vAlign w:val="center"/>
          </w:tcPr>
          <w:p w14:paraId="07667948">
            <w:pPr>
              <w:pStyle w:val="70"/>
              <w:jc w:val="center"/>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eastAsia="宋体" w:cs="Times New Roman"/>
                <w:color w:val="auto"/>
                <w:spacing w:val="0"/>
                <w:sz w:val="24"/>
                <w:szCs w:val="24"/>
                <w:highlight w:val="none"/>
                <w:lang w:val="en-US" w:eastAsia="zh-CN"/>
              </w:rPr>
              <w:t>《医疗机构水污染物排放标准》(GB18466-2005)中表2预处理标准限值的要求</w:t>
            </w:r>
          </w:p>
        </w:tc>
      </w:tr>
      <w:tr w14:paraId="204E86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26" w:hRule="atLeast"/>
          <w:jc w:val="center"/>
        </w:trPr>
        <w:tc>
          <w:tcPr>
            <w:tcW w:w="1239" w:type="dxa"/>
            <w:noWrap w:val="0"/>
            <w:vAlign w:val="center"/>
          </w:tcPr>
          <w:p w14:paraId="1EF974E9">
            <w:pPr>
              <w:spacing w:line="240" w:lineRule="auto"/>
              <w:ind w:firstLine="0" w:firstLineChars="0"/>
              <w:jc w:val="center"/>
              <w:rPr>
                <w:rFonts w:hint="default" w:ascii="Times New Roman" w:hAnsi="Times New Roman" w:eastAsia="宋体" w:cs="Times New Roman"/>
                <w:color w:val="auto"/>
                <w:spacing w:val="0"/>
                <w:sz w:val="24"/>
                <w:szCs w:val="24"/>
                <w:highlight w:val="none"/>
                <w:lang w:eastAsia="zh-CN"/>
              </w:rPr>
            </w:pPr>
            <w:r>
              <w:rPr>
                <w:rFonts w:hint="default" w:ascii="Times New Roman" w:hAnsi="Times New Roman" w:eastAsia="宋体" w:cs="Times New Roman"/>
                <w:color w:val="auto"/>
                <w:spacing w:val="0"/>
                <w:sz w:val="24"/>
                <w:szCs w:val="24"/>
                <w:highlight w:val="none"/>
                <w:lang w:val="en-US" w:eastAsia="zh-CN"/>
              </w:rPr>
              <w:t>噪声</w:t>
            </w:r>
          </w:p>
        </w:tc>
        <w:tc>
          <w:tcPr>
            <w:tcW w:w="1324" w:type="dxa"/>
            <w:noWrap w:val="0"/>
            <w:vAlign w:val="center"/>
          </w:tcPr>
          <w:p w14:paraId="6F17BF08">
            <w:pPr>
              <w:pStyle w:val="70"/>
              <w:jc w:val="center"/>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水泵</w:t>
            </w:r>
          </w:p>
          <w:p w14:paraId="5D06D8F7">
            <w:pPr>
              <w:pStyle w:val="70"/>
              <w:jc w:val="center"/>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锅炉</w:t>
            </w:r>
          </w:p>
          <w:p w14:paraId="7DFBD0FB">
            <w:pPr>
              <w:pStyle w:val="70"/>
              <w:jc w:val="center"/>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风机</w:t>
            </w:r>
          </w:p>
        </w:tc>
        <w:tc>
          <w:tcPr>
            <w:tcW w:w="1258" w:type="dxa"/>
            <w:noWrap w:val="0"/>
            <w:vAlign w:val="center"/>
          </w:tcPr>
          <w:p w14:paraId="12093C2D">
            <w:pPr>
              <w:spacing w:line="240" w:lineRule="auto"/>
              <w:ind w:firstLine="0" w:firstLineChars="0"/>
              <w:jc w:val="center"/>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i/>
                <w:iCs/>
                <w:color w:val="auto"/>
                <w:spacing w:val="0"/>
                <w:kern w:val="0"/>
                <w:highlight w:val="none"/>
              </w:rPr>
              <w:t>L</w:t>
            </w:r>
            <w:r>
              <w:rPr>
                <w:rFonts w:hint="default" w:ascii="Times New Roman" w:hAnsi="Times New Roman" w:eastAsia="宋体" w:cs="Times New Roman"/>
                <w:color w:val="auto"/>
                <w:spacing w:val="0"/>
                <w:kern w:val="0"/>
                <w:highlight w:val="none"/>
                <w:vertAlign w:val="subscript"/>
              </w:rPr>
              <w:t>eq</w:t>
            </w:r>
            <w:r>
              <w:rPr>
                <w:rFonts w:hint="default" w:ascii="Times New Roman" w:hAnsi="Times New Roman" w:eastAsia="宋体" w:cs="Times New Roman"/>
                <w:color w:val="auto"/>
                <w:spacing w:val="0"/>
                <w:kern w:val="0"/>
                <w:highlight w:val="none"/>
              </w:rPr>
              <w:t>(A)</w:t>
            </w:r>
          </w:p>
        </w:tc>
        <w:tc>
          <w:tcPr>
            <w:tcW w:w="1720" w:type="dxa"/>
            <w:noWrap w:val="0"/>
            <w:vAlign w:val="center"/>
          </w:tcPr>
          <w:p w14:paraId="21C166EB">
            <w:pPr>
              <w:spacing w:line="240" w:lineRule="auto"/>
              <w:ind w:firstLine="0" w:firstLineChars="0"/>
              <w:jc w:val="center"/>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rPr>
              <w:t>基础减振、厂房隔声</w:t>
            </w:r>
          </w:p>
        </w:tc>
        <w:tc>
          <w:tcPr>
            <w:tcW w:w="2981" w:type="dxa"/>
            <w:noWrap w:val="0"/>
            <w:vAlign w:val="center"/>
          </w:tcPr>
          <w:p w14:paraId="059C6CA3">
            <w:pPr>
              <w:pStyle w:val="70"/>
              <w:jc w:val="center"/>
              <w:rPr>
                <w:rFonts w:hint="default" w:ascii="Times New Roman" w:hAnsi="Times New Roman" w:eastAsia="宋体"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eastAsia="zh-CN"/>
              </w:rPr>
              <w:t>厂界四</w:t>
            </w:r>
            <w:r>
              <w:rPr>
                <w:rFonts w:hint="eastAsia" w:cs="Times New Roman"/>
                <w:color w:val="auto"/>
                <w:spacing w:val="0"/>
                <w:sz w:val="24"/>
                <w:szCs w:val="24"/>
                <w:highlight w:val="none"/>
                <w:lang w:val="en-US" w:eastAsia="zh-CN"/>
              </w:rPr>
              <w:t>周</w:t>
            </w:r>
            <w:r>
              <w:rPr>
                <w:rFonts w:hint="default" w:ascii="Times New Roman" w:hAnsi="Times New Roman" w:cs="Times New Roman"/>
                <w:color w:val="auto"/>
                <w:spacing w:val="0"/>
                <w:sz w:val="24"/>
                <w:szCs w:val="24"/>
                <w:highlight w:val="none"/>
                <w:lang w:val="en-US" w:eastAsia="zh-CN"/>
              </w:rPr>
              <w:t>执行</w:t>
            </w:r>
            <w:r>
              <w:rPr>
                <w:rFonts w:hint="default" w:ascii="Times New Roman" w:hAnsi="Times New Roman" w:eastAsia="宋体" w:cs="Times New Roman"/>
                <w:color w:val="auto"/>
                <w:spacing w:val="0"/>
                <w:sz w:val="24"/>
                <w:szCs w:val="24"/>
                <w:highlight w:val="none"/>
              </w:rPr>
              <w:t>《工业企业厂界环境噪声排放标准》（GB12348-2008）</w:t>
            </w:r>
            <w:r>
              <w:rPr>
                <w:rFonts w:hint="default" w:ascii="Times New Roman" w:hAnsi="Times New Roman" w:cs="Times New Roman"/>
                <w:color w:val="auto"/>
                <w:spacing w:val="0"/>
                <w:sz w:val="24"/>
                <w:szCs w:val="24"/>
                <w:highlight w:val="none"/>
                <w:lang w:val="en-US" w:eastAsia="zh-CN"/>
              </w:rPr>
              <w:t>2</w:t>
            </w:r>
            <w:r>
              <w:rPr>
                <w:rFonts w:hint="default" w:ascii="Times New Roman" w:hAnsi="Times New Roman" w:eastAsia="宋体" w:cs="Times New Roman"/>
                <w:color w:val="auto"/>
                <w:spacing w:val="0"/>
                <w:sz w:val="24"/>
                <w:szCs w:val="24"/>
                <w:highlight w:val="none"/>
              </w:rPr>
              <w:t>类排放标准</w:t>
            </w:r>
          </w:p>
        </w:tc>
      </w:tr>
      <w:tr w14:paraId="7E5AB7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34" w:hRule="atLeast"/>
          <w:jc w:val="center"/>
        </w:trPr>
        <w:tc>
          <w:tcPr>
            <w:tcW w:w="1239" w:type="dxa"/>
            <w:noWrap w:val="0"/>
            <w:vAlign w:val="center"/>
          </w:tcPr>
          <w:p w14:paraId="0B477BFD">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固体废物</w:t>
            </w:r>
          </w:p>
        </w:tc>
        <w:tc>
          <w:tcPr>
            <w:tcW w:w="7283" w:type="dxa"/>
            <w:gridSpan w:val="4"/>
            <w:noWrap w:val="0"/>
            <w:vAlign w:val="center"/>
          </w:tcPr>
          <w:p w14:paraId="17C18929">
            <w:pPr>
              <w:spacing w:line="360" w:lineRule="auto"/>
              <w:ind w:firstLine="480" w:firstLineChars="200"/>
              <w:jc w:val="both"/>
              <w:rPr>
                <w:rFonts w:hint="default" w:ascii="Times New Roman" w:hAnsi="Times New Roman" w:eastAsia="宋体" w:cs="Times New Roman"/>
                <w:color w:val="auto"/>
                <w:spacing w:val="0"/>
                <w:sz w:val="24"/>
                <w:szCs w:val="24"/>
                <w:highlight w:val="none"/>
              </w:rPr>
            </w:pPr>
            <w:r>
              <w:rPr>
                <w:rFonts w:hint="default" w:ascii="Times New Roman" w:hAnsi="Times New Roman" w:cs="Times New Roman"/>
                <w:color w:val="auto"/>
                <w:spacing w:val="0"/>
                <w:sz w:val="24"/>
                <w:szCs w:val="24"/>
                <w:highlight w:val="none"/>
                <w:lang w:val="en-US" w:eastAsia="zh-CN"/>
              </w:rPr>
              <w:t>本项目产生的固废为锅炉灰渣、除尘器集尘、</w:t>
            </w:r>
            <w:r>
              <w:rPr>
                <w:rFonts w:hint="eastAsia" w:ascii="Times New Roman" w:hAnsi="Times New Roman" w:cs="Times New Roman"/>
                <w:color w:val="auto"/>
                <w:spacing w:val="0"/>
                <w:sz w:val="24"/>
                <w:szCs w:val="24"/>
                <w:highlight w:val="none"/>
                <w:lang w:val="en-US" w:eastAsia="zh-CN"/>
              </w:rPr>
              <w:t>废离子交换树脂、</w:t>
            </w:r>
            <w:r>
              <w:rPr>
                <w:rFonts w:hint="default" w:ascii="Times New Roman" w:hAnsi="Times New Roman" w:cs="Times New Roman"/>
                <w:color w:val="auto"/>
                <w:spacing w:val="0"/>
                <w:sz w:val="24"/>
                <w:szCs w:val="24"/>
                <w:highlight w:val="none"/>
                <w:lang w:val="en-US" w:eastAsia="zh-CN"/>
              </w:rPr>
              <w:t>废布袋和废机油、废机油桶、含油抹布，废布袋收集后交厂家回收处理。除尘器集尘与锅炉灰渣外售综合利用。</w:t>
            </w:r>
            <w:r>
              <w:rPr>
                <w:rFonts w:hint="eastAsia" w:ascii="Times New Roman" w:hAnsi="Times New Roman" w:cs="Times New Roman"/>
                <w:color w:val="auto"/>
                <w:spacing w:val="0"/>
                <w:sz w:val="24"/>
                <w:szCs w:val="24"/>
                <w:highlight w:val="none"/>
                <w:lang w:val="en-US" w:eastAsia="zh-CN"/>
              </w:rPr>
              <w:t>废离子交换树脂由厂家定期回收更换，不在厂内贮存。</w:t>
            </w:r>
            <w:r>
              <w:rPr>
                <w:rFonts w:hint="default" w:ascii="Times New Roman" w:hAnsi="Times New Roman" w:cs="Times New Roman"/>
                <w:color w:val="auto"/>
                <w:spacing w:val="0"/>
                <w:sz w:val="24"/>
                <w:szCs w:val="24"/>
                <w:highlight w:val="none"/>
                <w:lang w:val="en-US" w:eastAsia="zh-CN"/>
              </w:rPr>
              <w:t>废机油、废机油桶、含油抹布交有资质单位处置。</w:t>
            </w:r>
            <w:r>
              <w:rPr>
                <w:rFonts w:hint="default" w:ascii="Times New Roman" w:hAnsi="Times New Roman" w:eastAsia="宋体" w:cs="Times New Roman"/>
                <w:bCs/>
                <w:color w:val="auto"/>
                <w:spacing w:val="0"/>
                <w:sz w:val="24"/>
                <w:szCs w:val="24"/>
                <w:highlight w:val="none"/>
              </w:rPr>
              <w:t>一般工业固体废物执行《一般工业固体废物贮存和填埋污染控制标准》（GB18599-2020）</w:t>
            </w:r>
            <w:r>
              <w:rPr>
                <w:rFonts w:hint="default" w:ascii="Times New Roman" w:hAnsi="Times New Roman" w:cs="Times New Roman"/>
                <w:bCs/>
                <w:color w:val="auto"/>
                <w:spacing w:val="0"/>
                <w:sz w:val="24"/>
                <w:szCs w:val="24"/>
                <w:highlight w:val="none"/>
                <w:lang w:eastAsia="zh-CN"/>
              </w:rPr>
              <w:t>、</w:t>
            </w:r>
            <w:r>
              <w:rPr>
                <w:rFonts w:hint="default" w:ascii="Times New Roman" w:hAnsi="Times New Roman" w:eastAsia="宋体" w:cs="Times New Roman"/>
                <w:color w:val="auto"/>
                <w:spacing w:val="0"/>
                <w:szCs w:val="21"/>
                <w:highlight w:val="none"/>
                <w:lang w:eastAsia="zh-CN"/>
              </w:rPr>
              <w:t>关于发布《固体废物分类与代码目录》的公告（公告2024年第4号）</w:t>
            </w:r>
            <w:r>
              <w:rPr>
                <w:rFonts w:hint="default" w:ascii="Times New Roman" w:hAnsi="Times New Roman" w:cs="Times New Roman"/>
                <w:color w:val="auto"/>
                <w:spacing w:val="0"/>
                <w:szCs w:val="21"/>
                <w:highlight w:val="none"/>
                <w:lang w:eastAsia="zh-CN"/>
              </w:rPr>
              <w:t>。</w:t>
            </w:r>
            <w:r>
              <w:rPr>
                <w:rFonts w:hint="default" w:ascii="Times New Roman" w:hAnsi="Times New Roman" w:eastAsia="宋体" w:cs="Times New Roman"/>
                <w:bCs/>
                <w:color w:val="auto"/>
                <w:spacing w:val="0"/>
                <w:kern w:val="2"/>
                <w:sz w:val="24"/>
                <w:szCs w:val="24"/>
                <w:highlight w:val="none"/>
                <w:lang w:val="en-US" w:eastAsia="zh-CN" w:bidi="ar-SA"/>
              </w:rPr>
              <w:t>危险固体废物执行《危险废物贮存污染控制标准》（GB18597-2023）。</w:t>
            </w:r>
          </w:p>
        </w:tc>
      </w:tr>
      <w:tr w14:paraId="3A71F4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25" w:hRule="atLeast"/>
          <w:jc w:val="center"/>
        </w:trPr>
        <w:tc>
          <w:tcPr>
            <w:tcW w:w="1239" w:type="dxa"/>
            <w:noWrap w:val="0"/>
            <w:vAlign w:val="center"/>
          </w:tcPr>
          <w:p w14:paraId="74A04125">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土壤及地下水污染防治措施</w:t>
            </w:r>
          </w:p>
        </w:tc>
        <w:tc>
          <w:tcPr>
            <w:tcW w:w="7283" w:type="dxa"/>
            <w:gridSpan w:val="4"/>
            <w:noWrap w:val="0"/>
            <w:vAlign w:val="center"/>
          </w:tcPr>
          <w:p w14:paraId="7B5E12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cs="Times New Roman"/>
                <w:color w:val="auto"/>
                <w:spacing w:val="0"/>
                <w:sz w:val="24"/>
                <w:szCs w:val="24"/>
                <w:highlight w:val="none"/>
                <w:lang w:val="en-US" w:eastAsia="zh-CN"/>
              </w:rPr>
              <w:t>本项目危险废物贮存于锅炉房危险废物贮存点，</w:t>
            </w:r>
            <w:r>
              <w:rPr>
                <w:rFonts w:hint="default" w:ascii="Times New Roman" w:hAnsi="Times New Roman" w:cs="Times New Roman"/>
                <w:color w:val="auto"/>
                <w:spacing w:val="0"/>
                <w:sz w:val="24"/>
                <w:szCs w:val="24"/>
                <w:highlight w:val="none"/>
                <w:lang w:eastAsia="zh-CN"/>
              </w:rPr>
              <w:t>危险废物贮存</w:t>
            </w:r>
            <w:r>
              <w:rPr>
                <w:rFonts w:hint="default" w:ascii="Times New Roman" w:hAnsi="Times New Roman" w:cs="Times New Roman"/>
                <w:color w:val="auto"/>
                <w:spacing w:val="0"/>
                <w:sz w:val="24"/>
                <w:szCs w:val="24"/>
                <w:highlight w:val="none"/>
                <w:lang w:val="en-US" w:eastAsia="zh-CN"/>
              </w:rPr>
              <w:t>点</w:t>
            </w:r>
            <w:r>
              <w:rPr>
                <w:rFonts w:hint="default" w:ascii="Times New Roman" w:hAnsi="Times New Roman" w:eastAsia="宋体" w:cs="Times New Roman"/>
                <w:color w:val="auto"/>
                <w:spacing w:val="0"/>
                <w:sz w:val="24"/>
                <w:szCs w:val="24"/>
                <w:highlight w:val="none"/>
              </w:rPr>
              <w:t>采取地面</w:t>
            </w:r>
            <w:r>
              <w:rPr>
                <w:rFonts w:hint="default" w:ascii="Times New Roman" w:hAnsi="Times New Roman" w:eastAsia="宋体" w:cs="Times New Roman"/>
                <w:color w:val="auto"/>
                <w:spacing w:val="0"/>
                <w:sz w:val="24"/>
                <w:szCs w:val="24"/>
                <w:highlight w:val="none"/>
                <w:lang w:eastAsia="zh-CN"/>
              </w:rPr>
              <w:t>和裙脚</w:t>
            </w:r>
            <w:r>
              <w:rPr>
                <w:rFonts w:hint="default" w:ascii="Times New Roman" w:hAnsi="Times New Roman" w:eastAsia="宋体" w:cs="Times New Roman"/>
                <w:color w:val="auto"/>
                <w:spacing w:val="0"/>
                <w:sz w:val="24"/>
                <w:szCs w:val="24"/>
                <w:highlight w:val="none"/>
              </w:rPr>
              <w:t>采用高</w:t>
            </w:r>
            <w:r>
              <w:rPr>
                <w:rFonts w:hint="default" w:ascii="Times New Roman" w:hAnsi="Times New Roman" w:eastAsia="宋体" w:cs="Times New Roman"/>
                <w:color w:val="auto"/>
                <w:spacing w:val="0"/>
                <w:sz w:val="24"/>
                <w:szCs w:val="24"/>
                <w:highlight w:val="none"/>
                <w:lang w:eastAsia="zh-CN"/>
              </w:rPr>
              <w:t>密度</w:t>
            </w:r>
            <w:r>
              <w:rPr>
                <w:rFonts w:hint="default" w:ascii="Times New Roman" w:hAnsi="Times New Roman" w:eastAsia="宋体" w:cs="Times New Roman"/>
                <w:color w:val="auto"/>
                <w:spacing w:val="0"/>
                <w:sz w:val="24"/>
                <w:szCs w:val="24"/>
                <w:highlight w:val="none"/>
              </w:rPr>
              <w:t>聚乙烯膜（HDPE）进行基础防渗措施，防渗技术要求达到等效粘土防渗层Mb≥2.0mm，K≤1×10</w:t>
            </w:r>
            <w:r>
              <w:rPr>
                <w:rFonts w:hint="default" w:ascii="Times New Roman" w:hAnsi="Times New Roman" w:eastAsia="宋体" w:cs="Times New Roman"/>
                <w:color w:val="auto"/>
                <w:spacing w:val="0"/>
                <w:sz w:val="24"/>
                <w:szCs w:val="24"/>
                <w:highlight w:val="none"/>
                <w:vertAlign w:val="superscript"/>
              </w:rPr>
              <w:t>-10</w:t>
            </w:r>
            <w:r>
              <w:rPr>
                <w:rFonts w:hint="default" w:ascii="Times New Roman" w:hAnsi="Times New Roman" w:eastAsia="宋体" w:cs="Times New Roman"/>
                <w:color w:val="auto"/>
                <w:spacing w:val="0"/>
                <w:sz w:val="24"/>
                <w:szCs w:val="24"/>
                <w:highlight w:val="none"/>
              </w:rPr>
              <w:t>cm/s，满足《危险废物贮存污染控制标准》</w:t>
            </w: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rPr>
              <w:t>GB18597-20</w:t>
            </w:r>
            <w:r>
              <w:rPr>
                <w:rFonts w:hint="default" w:ascii="Times New Roman" w:hAnsi="Times New Roman" w:eastAsia="宋体" w:cs="Times New Roman"/>
                <w:color w:val="auto"/>
                <w:spacing w:val="0"/>
                <w:sz w:val="24"/>
                <w:szCs w:val="24"/>
                <w:highlight w:val="none"/>
                <w:lang w:val="en-US" w:eastAsia="zh-CN"/>
              </w:rPr>
              <w:t>23）</w:t>
            </w:r>
            <w:r>
              <w:rPr>
                <w:rFonts w:hint="default" w:ascii="Times New Roman" w:hAnsi="Times New Roman" w:eastAsia="宋体" w:cs="Times New Roman"/>
                <w:color w:val="auto"/>
                <w:spacing w:val="0"/>
                <w:sz w:val="24"/>
                <w:szCs w:val="24"/>
                <w:highlight w:val="none"/>
              </w:rPr>
              <w:t>要求。</w:t>
            </w:r>
          </w:p>
        </w:tc>
      </w:tr>
      <w:tr w14:paraId="558D9D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7350" w:hRule="atLeast"/>
          <w:jc w:val="center"/>
        </w:trPr>
        <w:tc>
          <w:tcPr>
            <w:tcW w:w="1239" w:type="dxa"/>
            <w:noWrap w:val="0"/>
            <w:vAlign w:val="center"/>
          </w:tcPr>
          <w:p w14:paraId="572B6563">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环境风险</w:t>
            </w:r>
          </w:p>
          <w:p w14:paraId="37D188DF">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防范措施</w:t>
            </w:r>
          </w:p>
        </w:tc>
        <w:tc>
          <w:tcPr>
            <w:tcW w:w="7283" w:type="dxa"/>
            <w:gridSpan w:val="4"/>
            <w:noWrap w:val="0"/>
            <w:vAlign w:val="center"/>
          </w:tcPr>
          <w:p w14:paraId="235E0FF9">
            <w:pPr>
              <w:widowControl/>
              <w:spacing w:line="240" w:lineRule="auto"/>
              <w:ind w:firstLine="360" w:firstLineChars="150"/>
              <w:jc w:val="left"/>
              <w:rPr>
                <w:rFonts w:hint="default" w:ascii="Times New Roman" w:hAnsi="Times New Roman" w:eastAsia="宋体" w:cs="Times New Roman"/>
                <w:color w:val="auto"/>
                <w:spacing w:val="0"/>
                <w:sz w:val="24"/>
                <w:szCs w:val="24"/>
                <w:highlight w:val="none"/>
              </w:rPr>
            </w:pPr>
            <w:r>
              <w:rPr>
                <w:rFonts w:hint="default" w:ascii="Times New Roman" w:hAnsi="Times New Roman" w:cs="Times New Roman"/>
                <w:color w:val="auto"/>
                <w:spacing w:val="0"/>
                <w:sz w:val="24"/>
                <w:szCs w:val="24"/>
                <w:highlight w:val="none"/>
                <w:lang w:val="en-US" w:eastAsia="zh-CN"/>
              </w:rPr>
              <w:t>1.</w:t>
            </w:r>
            <w:r>
              <w:rPr>
                <w:rFonts w:hint="default" w:ascii="Times New Roman" w:hAnsi="Times New Roman" w:cs="Times New Roman"/>
                <w:color w:val="auto"/>
                <w:spacing w:val="0"/>
                <w:sz w:val="24"/>
                <w:szCs w:val="24"/>
                <w:highlight w:val="none"/>
                <w:lang w:eastAsia="zh-CN"/>
              </w:rPr>
              <w:t>危险废物贮存点</w:t>
            </w:r>
            <w:r>
              <w:rPr>
                <w:rFonts w:hint="default" w:ascii="Times New Roman" w:hAnsi="Times New Roman" w:eastAsia="宋体" w:cs="Times New Roman"/>
                <w:color w:val="auto"/>
                <w:spacing w:val="0"/>
                <w:sz w:val="24"/>
                <w:szCs w:val="24"/>
                <w:highlight w:val="none"/>
              </w:rPr>
              <w:t>地面及裙角做耐腐蚀硬化、防渗漏处理，且表面无缝隙，所使用的材料要与危险废物相容；危险废物应储存于密闭容器中，并在容器外表设置环境保护图形标志和警示标志；危险废物应选择防腐、防漏、防磕碰、密封严格的容器进行贮存和运输，储存于阴凉、通风良好的</w:t>
            </w:r>
            <w:r>
              <w:rPr>
                <w:rFonts w:hint="default" w:ascii="Times New Roman" w:hAnsi="Times New Roman" w:cs="Times New Roman"/>
                <w:color w:val="auto"/>
                <w:spacing w:val="0"/>
                <w:sz w:val="24"/>
                <w:szCs w:val="24"/>
                <w:highlight w:val="none"/>
                <w:lang w:val="en-US" w:eastAsia="zh-CN"/>
              </w:rPr>
              <w:t>危险废物贮存点</w:t>
            </w:r>
            <w:r>
              <w:rPr>
                <w:rFonts w:hint="default" w:ascii="Times New Roman" w:hAnsi="Times New Roman" w:eastAsia="宋体" w:cs="Times New Roman"/>
                <w:color w:val="auto"/>
                <w:spacing w:val="0"/>
                <w:sz w:val="24"/>
                <w:szCs w:val="24"/>
                <w:highlight w:val="none"/>
              </w:rPr>
              <w:t>，远离火种、热源，应有专门人员看管。</w:t>
            </w:r>
          </w:p>
          <w:p w14:paraId="4B3B4854">
            <w:pPr>
              <w:widowControl/>
              <w:spacing w:line="240" w:lineRule="auto"/>
              <w:ind w:firstLine="360" w:firstLineChars="150"/>
              <w:jc w:val="left"/>
              <w:rPr>
                <w:rFonts w:hint="default" w:ascii="Times New Roman" w:hAnsi="Times New Roman" w:eastAsia="宋体" w:cs="Times New Roman"/>
                <w:color w:val="auto"/>
                <w:spacing w:val="0"/>
                <w:sz w:val="24"/>
                <w:szCs w:val="24"/>
                <w:highlight w:val="none"/>
              </w:rPr>
            </w:pPr>
            <w:r>
              <w:rPr>
                <w:rFonts w:hint="default" w:ascii="Times New Roman" w:hAnsi="Times New Roman" w:cs="Times New Roman"/>
                <w:color w:val="auto"/>
                <w:spacing w:val="0"/>
                <w:sz w:val="24"/>
                <w:szCs w:val="24"/>
                <w:highlight w:val="none"/>
                <w:lang w:val="en-US" w:eastAsia="zh-CN"/>
              </w:rPr>
              <w:t>2.</w:t>
            </w:r>
            <w:r>
              <w:rPr>
                <w:rFonts w:hint="default" w:ascii="Times New Roman" w:hAnsi="Times New Roman" w:eastAsia="宋体" w:cs="Times New Roman"/>
                <w:color w:val="auto"/>
                <w:spacing w:val="0"/>
                <w:sz w:val="24"/>
                <w:szCs w:val="24"/>
                <w:highlight w:val="none"/>
              </w:rPr>
              <w:t>加强对设备的维修管理，建立定期维护的人员编制和相关制度，制定严格的规范操作规程，以保证各装置的正常运转；</w:t>
            </w:r>
          </w:p>
          <w:p w14:paraId="19A60E1D">
            <w:pPr>
              <w:widowControl/>
              <w:spacing w:line="240" w:lineRule="auto"/>
              <w:ind w:firstLine="360" w:firstLineChars="150"/>
              <w:jc w:val="left"/>
              <w:rPr>
                <w:rFonts w:hint="default" w:ascii="Times New Roman" w:hAnsi="Times New Roman" w:eastAsia="宋体" w:cs="Times New Roman"/>
                <w:color w:val="auto"/>
                <w:spacing w:val="0"/>
                <w:sz w:val="24"/>
                <w:szCs w:val="24"/>
                <w:highlight w:val="none"/>
              </w:rPr>
            </w:pPr>
            <w:r>
              <w:rPr>
                <w:rFonts w:hint="default" w:ascii="Times New Roman" w:hAnsi="Times New Roman" w:cs="Times New Roman"/>
                <w:color w:val="auto"/>
                <w:spacing w:val="0"/>
                <w:sz w:val="24"/>
                <w:szCs w:val="24"/>
                <w:highlight w:val="none"/>
                <w:lang w:val="en-US" w:eastAsia="zh-CN"/>
              </w:rPr>
              <w:t>3.</w:t>
            </w:r>
            <w:r>
              <w:rPr>
                <w:rFonts w:hint="default" w:ascii="Times New Roman" w:hAnsi="Times New Roman" w:eastAsia="宋体" w:cs="Times New Roman"/>
                <w:color w:val="auto"/>
                <w:spacing w:val="0"/>
                <w:sz w:val="24"/>
                <w:szCs w:val="24"/>
                <w:highlight w:val="none"/>
              </w:rPr>
              <w:t>油类物质及危害水环境物质均储存于阴凉、通风的贮存间内，远离火种、热源。房间内粘贴警示标志，周边严禁烟火，防止发生火灾爆炸等危险；</w:t>
            </w:r>
          </w:p>
          <w:p w14:paraId="5482E540">
            <w:pPr>
              <w:widowControl/>
              <w:spacing w:line="240" w:lineRule="auto"/>
              <w:ind w:firstLine="360" w:firstLineChars="150"/>
              <w:jc w:val="left"/>
              <w:rPr>
                <w:rFonts w:hint="default" w:ascii="Times New Roman" w:hAnsi="Times New Roman" w:eastAsia="宋体" w:cs="Times New Roman"/>
                <w:color w:val="auto"/>
                <w:spacing w:val="0"/>
                <w:sz w:val="24"/>
                <w:szCs w:val="24"/>
                <w:highlight w:val="none"/>
              </w:rPr>
            </w:pPr>
            <w:r>
              <w:rPr>
                <w:rFonts w:hint="default" w:ascii="Times New Roman" w:hAnsi="Times New Roman" w:cs="Times New Roman"/>
                <w:color w:val="auto"/>
                <w:spacing w:val="0"/>
                <w:sz w:val="24"/>
                <w:szCs w:val="24"/>
                <w:highlight w:val="none"/>
                <w:lang w:val="en-US" w:eastAsia="zh-CN"/>
              </w:rPr>
              <w:t>4.</w:t>
            </w:r>
            <w:r>
              <w:rPr>
                <w:rFonts w:hint="default" w:ascii="Times New Roman" w:hAnsi="Times New Roman" w:eastAsia="宋体" w:cs="Times New Roman"/>
                <w:color w:val="auto"/>
                <w:spacing w:val="0"/>
                <w:sz w:val="24"/>
                <w:szCs w:val="24"/>
                <w:highlight w:val="none"/>
              </w:rPr>
              <w:t>按照《建筑灭火器配置设计规范》（GB50140-2005），库房内配置一定数量不同类型、不同规格的移动式灭火器材，以便及时扑救初始零星火灾。</w:t>
            </w:r>
          </w:p>
          <w:p w14:paraId="07847AAD">
            <w:pPr>
              <w:widowControl/>
              <w:spacing w:line="240" w:lineRule="auto"/>
              <w:ind w:firstLine="360" w:firstLineChars="150"/>
              <w:jc w:val="left"/>
              <w:rPr>
                <w:rFonts w:hint="default" w:ascii="Times New Roman" w:hAnsi="Times New Roman" w:eastAsia="宋体" w:cs="Times New Roman"/>
                <w:color w:val="auto"/>
                <w:spacing w:val="0"/>
                <w:sz w:val="24"/>
                <w:szCs w:val="24"/>
                <w:highlight w:val="none"/>
              </w:rPr>
            </w:pPr>
            <w:r>
              <w:rPr>
                <w:rFonts w:hint="default" w:ascii="Times New Roman" w:hAnsi="Times New Roman" w:cs="Times New Roman"/>
                <w:color w:val="auto"/>
                <w:spacing w:val="0"/>
                <w:sz w:val="24"/>
                <w:szCs w:val="24"/>
                <w:highlight w:val="none"/>
                <w:lang w:val="en-US" w:eastAsia="zh-CN"/>
              </w:rPr>
              <w:t>5.</w:t>
            </w:r>
            <w:r>
              <w:rPr>
                <w:rFonts w:hint="default" w:ascii="Times New Roman" w:hAnsi="Times New Roman" w:eastAsia="宋体" w:cs="Times New Roman"/>
                <w:color w:val="auto"/>
                <w:spacing w:val="0"/>
                <w:sz w:val="24"/>
                <w:szCs w:val="24"/>
                <w:highlight w:val="none"/>
              </w:rPr>
              <w:t>一旦发现室内风险物质泄漏，现场人员应佩戴口罩，做好个人防护，迅速将包装桶倾斜，使破损处朝上，防止继续泄漏，然后将其转移至空桶内。并及时采用砂土或其他不燃材料吸附或吸收，吸附废物集中收集后委托有资质的单位处置。</w:t>
            </w:r>
          </w:p>
          <w:p w14:paraId="42974620">
            <w:pPr>
              <w:widowControl/>
              <w:spacing w:line="240" w:lineRule="auto"/>
              <w:ind w:firstLine="360" w:firstLineChars="150"/>
              <w:jc w:val="left"/>
              <w:rPr>
                <w:rFonts w:hint="default" w:ascii="Times New Roman" w:hAnsi="Times New Roman" w:eastAsia="宋体" w:cs="Times New Roman"/>
                <w:color w:val="auto"/>
                <w:spacing w:val="0"/>
                <w:sz w:val="24"/>
                <w:szCs w:val="24"/>
                <w:highlight w:val="none"/>
              </w:rPr>
            </w:pPr>
            <w:r>
              <w:rPr>
                <w:rFonts w:hint="default" w:ascii="Times New Roman" w:hAnsi="Times New Roman" w:cs="Times New Roman"/>
                <w:color w:val="auto"/>
                <w:spacing w:val="0"/>
                <w:sz w:val="24"/>
                <w:szCs w:val="24"/>
                <w:highlight w:val="none"/>
                <w:lang w:val="en-US" w:eastAsia="zh-CN"/>
              </w:rPr>
              <w:t>6.</w:t>
            </w:r>
            <w:r>
              <w:rPr>
                <w:rFonts w:hint="default" w:ascii="Times New Roman" w:hAnsi="Times New Roman" w:eastAsia="宋体" w:cs="Times New Roman"/>
                <w:color w:val="auto"/>
                <w:spacing w:val="0"/>
                <w:sz w:val="24"/>
                <w:szCs w:val="24"/>
                <w:highlight w:val="none"/>
              </w:rPr>
              <w:t>发生室外泄漏事故时，为防止对区域地表水环境造成影响，及时封堵雨水排口，防止经由雨水排口排入附近河流中造成水体污染。</w:t>
            </w:r>
          </w:p>
          <w:p w14:paraId="737B47BC">
            <w:pPr>
              <w:widowControl/>
              <w:spacing w:line="240" w:lineRule="auto"/>
              <w:ind w:firstLine="360" w:firstLineChars="150"/>
              <w:jc w:val="left"/>
              <w:rPr>
                <w:rFonts w:hint="default" w:ascii="Times New Roman" w:hAnsi="Times New Roman" w:eastAsia="宋体" w:cs="Times New Roman"/>
                <w:color w:val="auto"/>
                <w:spacing w:val="0"/>
                <w:sz w:val="24"/>
                <w:szCs w:val="24"/>
                <w:highlight w:val="none"/>
              </w:rPr>
            </w:pPr>
            <w:r>
              <w:rPr>
                <w:rFonts w:hint="default" w:ascii="Times New Roman" w:hAnsi="Times New Roman" w:cs="Times New Roman"/>
                <w:color w:val="auto"/>
                <w:spacing w:val="0"/>
                <w:sz w:val="24"/>
                <w:szCs w:val="24"/>
                <w:highlight w:val="none"/>
                <w:lang w:val="en-US" w:eastAsia="zh-CN"/>
              </w:rPr>
              <w:t>7.</w:t>
            </w:r>
            <w:r>
              <w:rPr>
                <w:rFonts w:hint="default" w:ascii="Times New Roman" w:hAnsi="Times New Roman" w:eastAsia="宋体" w:cs="Times New Roman"/>
                <w:color w:val="auto"/>
                <w:spacing w:val="0"/>
                <w:sz w:val="24"/>
                <w:szCs w:val="24"/>
                <w:highlight w:val="none"/>
              </w:rPr>
              <w:t>当发生火灾事故时，现场人员或其他人员应该立刻拨打火警电话119，并立即通知有关人员停止作业，尽快切断所有电源，组织人员和其他易燃物品的疏散，使用灭火器及沙土即可。</w:t>
            </w:r>
          </w:p>
        </w:tc>
      </w:tr>
      <w:tr w14:paraId="12FA65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1239" w:type="dxa"/>
            <w:noWrap w:val="0"/>
            <w:vAlign w:val="center"/>
          </w:tcPr>
          <w:p w14:paraId="284377B4">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其他环境</w:t>
            </w:r>
          </w:p>
          <w:p w14:paraId="6827D2F9">
            <w:pPr>
              <w:spacing w:line="240" w:lineRule="auto"/>
              <w:ind w:firstLine="0" w:firstLineChars="0"/>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管理要求</w:t>
            </w:r>
          </w:p>
        </w:tc>
        <w:tc>
          <w:tcPr>
            <w:tcW w:w="7283" w:type="dxa"/>
            <w:gridSpan w:val="4"/>
            <w:noWrap w:val="0"/>
            <w:vAlign w:val="center"/>
          </w:tcPr>
          <w:p w14:paraId="473FCCDB">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auto"/>
                <w:spacing w:val="0"/>
                <w:kern w:val="0"/>
                <w:sz w:val="24"/>
                <w:szCs w:val="24"/>
                <w:highlight w:val="none"/>
              </w:rPr>
            </w:pPr>
            <w:r>
              <w:rPr>
                <w:rFonts w:hint="default" w:ascii="Times New Roman" w:hAnsi="Times New Roman" w:cs="Times New Roman"/>
                <w:b/>
                <w:bCs/>
                <w:color w:val="auto"/>
                <w:spacing w:val="0"/>
                <w:kern w:val="0"/>
                <w:sz w:val="24"/>
                <w:szCs w:val="24"/>
                <w:highlight w:val="none"/>
                <w:lang w:val="en-US" w:eastAsia="zh-CN"/>
              </w:rPr>
              <w:t>1.</w:t>
            </w:r>
            <w:r>
              <w:rPr>
                <w:rFonts w:hint="default" w:ascii="Times New Roman" w:hAnsi="Times New Roman" w:eastAsia="宋体" w:cs="Times New Roman"/>
                <w:b/>
                <w:bCs/>
                <w:color w:val="auto"/>
                <w:spacing w:val="0"/>
                <w:kern w:val="0"/>
                <w:sz w:val="24"/>
                <w:szCs w:val="24"/>
                <w:highlight w:val="none"/>
              </w:rPr>
              <w:t>严格</w:t>
            </w:r>
            <w:r>
              <w:rPr>
                <w:rFonts w:hint="default" w:ascii="Times New Roman" w:hAnsi="Times New Roman" w:eastAsia="宋体" w:cs="Times New Roman"/>
                <w:b/>
                <w:bCs/>
                <w:color w:val="auto"/>
                <w:spacing w:val="0"/>
                <w:kern w:val="0"/>
                <w:sz w:val="24"/>
                <w:szCs w:val="24"/>
                <w:highlight w:val="none"/>
                <w:lang w:val="en-US" w:eastAsia="zh-CN"/>
              </w:rPr>
              <w:t>落实</w:t>
            </w:r>
            <w:r>
              <w:rPr>
                <w:rFonts w:hint="default" w:ascii="Times New Roman" w:hAnsi="Times New Roman" w:eastAsia="宋体" w:cs="Times New Roman"/>
                <w:b/>
                <w:bCs/>
                <w:color w:val="auto"/>
                <w:spacing w:val="0"/>
                <w:kern w:val="0"/>
                <w:sz w:val="24"/>
                <w:szCs w:val="24"/>
                <w:highlight w:val="none"/>
              </w:rPr>
              <w:t>排污许可制度</w:t>
            </w:r>
          </w:p>
          <w:p w14:paraId="44EF0FBB">
            <w:pPr>
              <w:keepNext w:val="0"/>
              <w:keepLines w:val="0"/>
              <w:widowControl/>
              <w:suppressLineNumbers w:val="0"/>
              <w:jc w:val="both"/>
              <w:rPr>
                <w:rFonts w:hint="default" w:ascii="Times New Roman" w:hAnsi="Times New Roman" w:eastAsia="宋体" w:cs="Times New Roman"/>
                <w:color w:val="auto"/>
                <w:spacing w:val="0"/>
                <w:kern w:val="0"/>
                <w:sz w:val="24"/>
                <w:szCs w:val="24"/>
                <w:highlight w:val="none"/>
              </w:rPr>
            </w:pPr>
            <w:r>
              <w:rPr>
                <w:rFonts w:hint="default" w:ascii="Times New Roman" w:hAnsi="Times New Roman" w:eastAsia="宋体" w:cs="Times New Roman"/>
                <w:color w:val="auto"/>
                <w:spacing w:val="0"/>
                <w:kern w:val="0"/>
                <w:sz w:val="24"/>
                <w:szCs w:val="24"/>
                <w:highlight w:val="none"/>
              </w:rPr>
              <w:t>据《国务院办公厅关于印发控制污染物排放许可制实施方案的通知》（国办发</w:t>
            </w:r>
            <w:r>
              <w:rPr>
                <w:rFonts w:hint="default" w:ascii="Times New Roman" w:hAnsi="Times New Roman" w:eastAsia="宋体" w:cs="Times New Roman"/>
                <w:color w:val="auto"/>
                <w:spacing w:val="0"/>
                <w:kern w:val="0"/>
                <w:sz w:val="24"/>
                <w:szCs w:val="24"/>
                <w:highlight w:val="none"/>
                <w:lang w:eastAsia="zh-CN"/>
              </w:rPr>
              <w:t>〔</w:t>
            </w:r>
            <w:r>
              <w:rPr>
                <w:rFonts w:hint="default" w:ascii="Times New Roman" w:hAnsi="Times New Roman" w:eastAsia="宋体" w:cs="Times New Roman"/>
                <w:color w:val="auto"/>
                <w:spacing w:val="0"/>
                <w:kern w:val="0"/>
                <w:sz w:val="24"/>
                <w:szCs w:val="24"/>
                <w:highlight w:val="none"/>
              </w:rPr>
              <w:t>2016</w:t>
            </w:r>
            <w:r>
              <w:rPr>
                <w:rFonts w:hint="default" w:ascii="Times New Roman" w:hAnsi="Times New Roman" w:eastAsia="宋体" w:cs="Times New Roman"/>
                <w:color w:val="auto"/>
                <w:spacing w:val="0"/>
                <w:kern w:val="0"/>
                <w:sz w:val="24"/>
                <w:szCs w:val="24"/>
                <w:highlight w:val="none"/>
                <w:lang w:eastAsia="zh-CN"/>
              </w:rPr>
              <w:t>〕</w:t>
            </w:r>
            <w:r>
              <w:rPr>
                <w:rFonts w:hint="default" w:ascii="Times New Roman" w:hAnsi="Times New Roman" w:eastAsia="宋体" w:cs="Times New Roman"/>
                <w:color w:val="auto"/>
                <w:spacing w:val="0"/>
                <w:kern w:val="0"/>
                <w:sz w:val="24"/>
                <w:szCs w:val="24"/>
                <w:highlight w:val="none"/>
              </w:rPr>
              <w:t>81号）、《固定污染源排污许可分类管理名录（2019年版）》本项目属于</w:t>
            </w:r>
            <w:r>
              <w:rPr>
                <w:rFonts w:hint="default" w:ascii="Times New Roman" w:hAnsi="Times New Roman" w:eastAsia="宋体" w:cs="Times New Roman"/>
                <w:color w:val="auto"/>
                <w:spacing w:val="0"/>
                <w:kern w:val="0"/>
                <w:sz w:val="24"/>
                <w:szCs w:val="24"/>
                <w:highlight w:val="none"/>
                <w:lang w:eastAsia="zh-CN"/>
              </w:rPr>
              <w:t>“</w:t>
            </w:r>
            <w:r>
              <w:rPr>
                <w:rFonts w:hint="eastAsia" w:ascii="Times New Roman" w:hAnsi="Times New Roman" w:cs="Times New Roman"/>
                <w:color w:val="auto"/>
                <w:spacing w:val="0"/>
                <w:kern w:val="0"/>
                <w:sz w:val="24"/>
                <w:szCs w:val="24"/>
                <w:highlight w:val="none"/>
                <w:lang w:val="en-US" w:eastAsia="zh-CN"/>
              </w:rPr>
              <w:t>四十九</w:t>
            </w:r>
            <w:r>
              <w:rPr>
                <w:rFonts w:hint="default" w:ascii="Times New Roman" w:hAnsi="Times New Roman" w:eastAsia="宋体" w:cs="Times New Roman"/>
                <w:color w:val="auto"/>
                <w:spacing w:val="0"/>
                <w:kern w:val="0"/>
                <w:sz w:val="24"/>
                <w:szCs w:val="24"/>
                <w:highlight w:val="none"/>
                <w:lang w:val="en-US" w:eastAsia="zh-CN"/>
              </w:rPr>
              <w:t>、</w:t>
            </w:r>
            <w:r>
              <w:rPr>
                <w:rFonts w:hint="eastAsia" w:ascii="Times New Roman" w:hAnsi="Times New Roman" w:cs="Times New Roman"/>
                <w:color w:val="auto"/>
                <w:spacing w:val="0"/>
                <w:kern w:val="0"/>
                <w:sz w:val="24"/>
                <w:szCs w:val="24"/>
                <w:highlight w:val="none"/>
                <w:lang w:val="en-US" w:eastAsia="zh-CN"/>
              </w:rPr>
              <w:t>卫生84，107.医院841，专业公共卫生服务843</w:t>
            </w:r>
            <w:r>
              <w:rPr>
                <w:rFonts w:hint="default" w:ascii="Times New Roman" w:hAnsi="Times New Roman" w:eastAsia="宋体" w:cs="Times New Roman"/>
                <w:color w:val="auto"/>
                <w:spacing w:val="0"/>
                <w:kern w:val="0"/>
                <w:sz w:val="24"/>
                <w:szCs w:val="24"/>
                <w:highlight w:val="none"/>
                <w:lang w:val="en-US" w:eastAsia="zh-CN"/>
              </w:rPr>
              <w:t>“床位100张及以上500张以下的综合医院8411、</w:t>
            </w:r>
            <w:r>
              <w:rPr>
                <w:rFonts w:hint="default" w:ascii="Times New Roman" w:hAnsi="Times New Roman" w:eastAsia="宋体" w:cs="Times New Roman"/>
                <w:color w:val="auto"/>
                <w:spacing w:val="0"/>
                <w:kern w:val="0"/>
                <w:sz w:val="24"/>
                <w:szCs w:val="24"/>
                <w:highlight w:val="none"/>
                <w:lang w:eastAsia="zh-CN"/>
              </w:rPr>
              <w:t>”</w:t>
            </w:r>
            <w:r>
              <w:rPr>
                <w:rFonts w:hint="default" w:ascii="Times New Roman" w:hAnsi="Times New Roman" w:cs="Times New Roman"/>
                <w:color w:val="auto"/>
                <w:spacing w:val="0"/>
                <w:kern w:val="0"/>
                <w:sz w:val="24"/>
                <w:szCs w:val="24"/>
                <w:highlight w:val="none"/>
                <w:lang w:val="en-US" w:eastAsia="zh-CN"/>
              </w:rPr>
              <w:t>应</w:t>
            </w:r>
            <w:r>
              <w:rPr>
                <w:rFonts w:hint="default" w:ascii="Times New Roman" w:hAnsi="Times New Roman" w:eastAsia="宋体" w:cs="Times New Roman"/>
                <w:bCs w:val="0"/>
                <w:color w:val="auto"/>
                <w:spacing w:val="0"/>
                <w:kern w:val="0"/>
                <w:sz w:val="24"/>
                <w:szCs w:val="24"/>
                <w:highlight w:val="none"/>
                <w:lang w:val="en-US" w:eastAsia="zh-CN" w:bidi="ar"/>
              </w:rPr>
              <w:t>属于</w:t>
            </w:r>
            <w:r>
              <w:rPr>
                <w:rFonts w:hint="eastAsia" w:ascii="Times New Roman" w:hAnsi="Times New Roman" w:cs="Times New Roman"/>
                <w:bCs w:val="0"/>
                <w:color w:val="auto"/>
                <w:spacing w:val="0"/>
                <w:kern w:val="0"/>
                <w:sz w:val="24"/>
                <w:szCs w:val="24"/>
                <w:highlight w:val="none"/>
                <w:lang w:val="en-US" w:eastAsia="zh-CN" w:bidi="ar"/>
              </w:rPr>
              <w:t>简化管理</w:t>
            </w:r>
            <w:r>
              <w:rPr>
                <w:rFonts w:hint="default" w:ascii="Times New Roman" w:hAnsi="Times New Roman" w:eastAsia="宋体" w:cs="Times New Roman"/>
                <w:bCs w:val="0"/>
                <w:color w:val="auto"/>
                <w:spacing w:val="0"/>
                <w:kern w:val="0"/>
                <w:sz w:val="24"/>
                <w:szCs w:val="24"/>
                <w:highlight w:val="none"/>
                <w:lang w:val="en-US" w:eastAsia="zh-CN" w:bidi="ar"/>
              </w:rPr>
              <w:t>。</w:t>
            </w:r>
            <w:r>
              <w:rPr>
                <w:rFonts w:hint="default" w:ascii="Times New Roman" w:hAnsi="Times New Roman" w:cs="Times New Roman"/>
                <w:bCs w:val="0"/>
                <w:color w:val="auto"/>
                <w:spacing w:val="0"/>
                <w:kern w:val="0"/>
                <w:sz w:val="24"/>
                <w:szCs w:val="24"/>
                <w:highlight w:val="none"/>
                <w:lang w:val="en-US" w:eastAsia="zh-CN" w:bidi="ar"/>
              </w:rPr>
              <w:t>本项目建成后，应根据</w:t>
            </w:r>
            <w:r>
              <w:rPr>
                <w:rFonts w:hint="eastAsia" w:ascii="Times New Roman" w:hAnsi="Times New Roman" w:cs="Times New Roman"/>
                <w:bCs w:val="0"/>
                <w:color w:val="auto"/>
                <w:spacing w:val="0"/>
                <w:kern w:val="0"/>
                <w:sz w:val="24"/>
                <w:szCs w:val="24"/>
                <w:highlight w:val="none"/>
                <w:lang w:val="en-US" w:eastAsia="zh-CN" w:bidi="ar"/>
              </w:rPr>
              <w:t>全院</w:t>
            </w:r>
            <w:r>
              <w:rPr>
                <w:rFonts w:hint="default" w:ascii="Times New Roman" w:hAnsi="Times New Roman" w:cs="Times New Roman"/>
                <w:bCs w:val="0"/>
                <w:color w:val="auto"/>
                <w:spacing w:val="0"/>
                <w:kern w:val="0"/>
                <w:sz w:val="24"/>
                <w:szCs w:val="24"/>
                <w:highlight w:val="none"/>
                <w:lang w:val="en-US" w:eastAsia="zh-CN" w:bidi="ar"/>
              </w:rPr>
              <w:t>建设情况对排污许可证进行变更，将本项目建设情况纳入排污许可申领的范围之内。</w:t>
            </w:r>
            <w:r>
              <w:rPr>
                <w:rFonts w:hint="default" w:ascii="Times New Roman" w:hAnsi="Times New Roman" w:eastAsia="宋体" w:cs="Times New Roman"/>
                <w:bCs w:val="0"/>
                <w:color w:val="auto"/>
                <w:spacing w:val="0"/>
                <w:kern w:val="0"/>
                <w:sz w:val="24"/>
                <w:szCs w:val="24"/>
                <w:highlight w:val="none"/>
                <w:lang w:val="en-US" w:eastAsia="zh-CN" w:bidi="ar"/>
              </w:rPr>
              <w:t>项目</w:t>
            </w:r>
            <w:r>
              <w:rPr>
                <w:rFonts w:hint="default" w:ascii="Times New Roman" w:hAnsi="Times New Roman" w:eastAsia="宋体" w:cs="Times New Roman"/>
                <w:color w:val="auto"/>
                <w:spacing w:val="0"/>
                <w:sz w:val="24"/>
                <w:highlight w:val="none"/>
              </w:rPr>
              <w:t>应当在启动生产设施或实际排污之前</w:t>
            </w:r>
            <w:r>
              <w:rPr>
                <w:rFonts w:hint="default" w:ascii="Times New Roman" w:hAnsi="Times New Roman" w:eastAsia="宋体" w:cs="Times New Roman"/>
                <w:color w:val="auto"/>
                <w:spacing w:val="0"/>
                <w:sz w:val="24"/>
                <w:highlight w:val="none"/>
                <w:lang w:val="en-US" w:eastAsia="zh-CN"/>
              </w:rPr>
              <w:t>对锅炉进行排污许可</w:t>
            </w:r>
            <w:r>
              <w:rPr>
                <w:rFonts w:hint="default" w:ascii="Times New Roman" w:hAnsi="Times New Roman" w:cs="Times New Roman"/>
                <w:color w:val="auto"/>
                <w:spacing w:val="0"/>
                <w:sz w:val="24"/>
                <w:highlight w:val="none"/>
                <w:lang w:val="en-US" w:eastAsia="zh-CN"/>
              </w:rPr>
              <w:t>证申领</w:t>
            </w:r>
            <w:r>
              <w:rPr>
                <w:rFonts w:hint="default" w:ascii="Times New Roman" w:hAnsi="Times New Roman" w:eastAsia="宋体" w:cs="Times New Roman"/>
                <w:color w:val="auto"/>
                <w:spacing w:val="0"/>
                <w:sz w:val="24"/>
                <w:highlight w:val="none"/>
                <w:lang w:val="en-US" w:eastAsia="zh-CN"/>
              </w:rPr>
              <w:t>，做到持证排污</w:t>
            </w:r>
            <w:r>
              <w:rPr>
                <w:rFonts w:hint="default" w:ascii="Times New Roman" w:hAnsi="Times New Roman" w:eastAsia="宋体" w:cs="Times New Roman"/>
                <w:color w:val="auto"/>
                <w:spacing w:val="0"/>
                <w:sz w:val="24"/>
                <w:highlight w:val="none"/>
              </w:rPr>
              <w:t>。</w:t>
            </w:r>
          </w:p>
          <w:p w14:paraId="2CDD7D88">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pacing w:val="0"/>
                <w:kern w:val="0"/>
                <w:sz w:val="24"/>
                <w:szCs w:val="24"/>
                <w:highlight w:val="none"/>
              </w:rPr>
            </w:pPr>
            <w:r>
              <w:rPr>
                <w:rFonts w:hint="default" w:ascii="Times New Roman" w:hAnsi="Times New Roman" w:cs="Times New Roman"/>
                <w:b/>
                <w:bCs/>
                <w:color w:val="auto"/>
                <w:spacing w:val="0"/>
                <w:kern w:val="0"/>
                <w:sz w:val="24"/>
                <w:szCs w:val="24"/>
                <w:highlight w:val="none"/>
                <w:lang w:val="en-US" w:eastAsia="zh-CN"/>
              </w:rPr>
              <w:t>2.</w:t>
            </w:r>
            <w:r>
              <w:rPr>
                <w:rFonts w:hint="default" w:ascii="Times New Roman" w:hAnsi="Times New Roman" w:eastAsia="宋体" w:cs="Times New Roman"/>
                <w:b/>
                <w:bCs/>
                <w:color w:val="auto"/>
                <w:spacing w:val="0"/>
                <w:kern w:val="0"/>
                <w:sz w:val="24"/>
                <w:szCs w:val="24"/>
                <w:highlight w:val="none"/>
              </w:rPr>
              <w:t>三同时竣工验收</w:t>
            </w:r>
          </w:p>
          <w:p w14:paraId="7AC98DA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kern w:val="0"/>
                <w:sz w:val="24"/>
                <w:szCs w:val="24"/>
                <w:highlight w:val="none"/>
              </w:rPr>
            </w:pPr>
            <w:r>
              <w:rPr>
                <w:rFonts w:hint="default" w:ascii="Times New Roman" w:hAnsi="Times New Roman" w:eastAsia="宋体" w:cs="Times New Roman"/>
                <w:color w:val="auto"/>
                <w:spacing w:val="0"/>
                <w:kern w:val="0"/>
                <w:sz w:val="24"/>
                <w:szCs w:val="24"/>
                <w:highlight w:val="none"/>
              </w:rPr>
              <w:t>建设单位应当按照“关于发布《建设项目竣工环境保护验收暂行办法》的公告（国环规环评</w:t>
            </w:r>
            <w:r>
              <w:rPr>
                <w:rFonts w:hint="default" w:ascii="Times New Roman" w:hAnsi="Times New Roman" w:cs="Times New Roman"/>
                <w:color w:val="auto"/>
                <w:spacing w:val="0"/>
                <w:kern w:val="0"/>
                <w:sz w:val="24"/>
                <w:szCs w:val="24"/>
                <w:highlight w:val="none"/>
                <w:lang w:eastAsia="zh-CN"/>
              </w:rPr>
              <w:t>〔2017〕4号</w:t>
            </w:r>
            <w:r>
              <w:rPr>
                <w:rFonts w:hint="default" w:ascii="Times New Roman" w:hAnsi="Times New Roman" w:eastAsia="宋体" w:cs="Times New Roman"/>
                <w:color w:val="auto"/>
                <w:spacing w:val="0"/>
                <w:kern w:val="0"/>
                <w:sz w:val="24"/>
                <w:szCs w:val="24"/>
                <w:highlight w:val="none"/>
              </w:rPr>
              <w:t>）”中“《建设项目竣工环境保护验收暂行办法》”要求，可以组织成立验收工作组，采取现场检查、资料查阅、召开验收会议等方式，协助开展验收工作，自行或委托有能力的技术机构编制验收报告</w:t>
            </w:r>
            <w:r>
              <w:rPr>
                <w:rFonts w:hint="default" w:ascii="Times New Roman" w:hAnsi="Times New Roman" w:cs="Times New Roman"/>
                <w:color w:val="auto"/>
                <w:spacing w:val="0"/>
                <w:kern w:val="0"/>
                <w:sz w:val="24"/>
                <w:szCs w:val="24"/>
                <w:highlight w:val="none"/>
                <w:lang w:eastAsia="zh-CN"/>
              </w:rPr>
              <w:t>。</w:t>
            </w:r>
          </w:p>
          <w:p w14:paraId="561DADB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pacing w:val="0"/>
                <w:sz w:val="24"/>
                <w:szCs w:val="24"/>
                <w:highlight w:val="none"/>
                <w:lang w:val="en-US" w:eastAsia="zh-CN"/>
              </w:rPr>
            </w:pPr>
            <w:r>
              <w:rPr>
                <w:rFonts w:hint="default" w:ascii="Times New Roman" w:hAnsi="Times New Roman" w:cs="Times New Roman"/>
                <w:b/>
                <w:bCs/>
                <w:color w:val="auto"/>
                <w:spacing w:val="0"/>
                <w:sz w:val="24"/>
                <w:szCs w:val="24"/>
                <w:highlight w:val="none"/>
                <w:lang w:val="en-US" w:eastAsia="zh-CN"/>
              </w:rPr>
              <w:t>3.</w:t>
            </w:r>
            <w:r>
              <w:rPr>
                <w:rFonts w:hint="default" w:ascii="Times New Roman" w:hAnsi="Times New Roman" w:eastAsia="宋体" w:cs="Times New Roman"/>
                <w:b/>
                <w:bCs/>
                <w:color w:val="auto"/>
                <w:spacing w:val="0"/>
                <w:sz w:val="24"/>
                <w:szCs w:val="24"/>
                <w:highlight w:val="none"/>
                <w:lang w:val="en-US" w:eastAsia="zh-CN"/>
              </w:rPr>
              <w:t>环境管理</w:t>
            </w:r>
          </w:p>
          <w:p w14:paraId="50DED74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根据国家和地方有关法规，公司应设置专职的环境管理机构。其职责是制定公司的环保工作计划、规章制度，统筹管理公司内部环保治理工作；负责与政府环境保护部门取得联系；负责项目的环评报批、竣工环保验收，监督环境保护设施的运行等。全公司设有各部门负责人担当环境保护领导小组成员，下设专职环保人员。环境保护设施由公司统一管理，专（兼）职环保人员与环境保护领导小组专职人员积极配合，落实正常生产中的环保措施，反馈污染治理设备的运行情况。针对项目实施过程中各阶段的具体情况，环境保护管理工作均由公司现有环境管理机构承担。</w:t>
            </w:r>
          </w:p>
          <w:p w14:paraId="75F5146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spacing w:val="0"/>
                <w:kern w:val="0"/>
                <w:sz w:val="24"/>
                <w:szCs w:val="24"/>
                <w:highlight w:val="none"/>
              </w:rPr>
            </w:pPr>
            <w:r>
              <w:rPr>
                <w:rFonts w:hint="default" w:ascii="Times New Roman" w:hAnsi="Times New Roman" w:cs="Times New Roman"/>
                <w:b/>
                <w:bCs/>
                <w:color w:val="auto"/>
                <w:spacing w:val="0"/>
                <w:kern w:val="0"/>
                <w:sz w:val="24"/>
                <w:szCs w:val="24"/>
                <w:highlight w:val="none"/>
                <w:lang w:val="en-US" w:eastAsia="zh-CN"/>
              </w:rPr>
              <w:t>4.</w:t>
            </w:r>
            <w:r>
              <w:rPr>
                <w:rFonts w:hint="default" w:ascii="Times New Roman" w:hAnsi="Times New Roman" w:eastAsia="宋体" w:cs="Times New Roman"/>
                <w:b/>
                <w:bCs/>
                <w:color w:val="auto"/>
                <w:spacing w:val="0"/>
                <w:kern w:val="0"/>
                <w:sz w:val="24"/>
                <w:szCs w:val="24"/>
                <w:highlight w:val="none"/>
              </w:rPr>
              <w:t>环保投资概述</w:t>
            </w:r>
          </w:p>
          <w:p w14:paraId="17F8656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kern w:val="0"/>
                <w:sz w:val="24"/>
                <w:szCs w:val="24"/>
                <w:highlight w:val="none"/>
              </w:rPr>
            </w:pPr>
            <w:r>
              <w:rPr>
                <w:rFonts w:hint="default" w:ascii="Times New Roman" w:hAnsi="Times New Roman" w:eastAsia="宋体" w:cs="Times New Roman"/>
                <w:color w:val="auto"/>
                <w:spacing w:val="0"/>
                <w:kern w:val="0"/>
                <w:sz w:val="24"/>
                <w:szCs w:val="24"/>
                <w:highlight w:val="none"/>
              </w:rPr>
              <w:t>本项目总投资</w:t>
            </w:r>
            <w:r>
              <w:rPr>
                <w:rFonts w:hint="default" w:ascii="Times New Roman" w:hAnsi="Times New Roman" w:cs="Times New Roman"/>
                <w:color w:val="auto"/>
                <w:spacing w:val="0"/>
                <w:sz w:val="24"/>
                <w:szCs w:val="24"/>
                <w:highlight w:val="none"/>
                <w:lang w:val="en-US" w:eastAsia="zh-CN"/>
              </w:rPr>
              <w:t>50</w:t>
            </w:r>
            <w:r>
              <w:rPr>
                <w:rFonts w:hint="default" w:ascii="Times New Roman" w:hAnsi="Times New Roman" w:eastAsia="宋体" w:cs="Times New Roman"/>
                <w:color w:val="auto"/>
                <w:spacing w:val="0"/>
                <w:kern w:val="0"/>
                <w:sz w:val="24"/>
                <w:szCs w:val="24"/>
                <w:highlight w:val="none"/>
              </w:rPr>
              <w:t>万元，环保投资约</w:t>
            </w:r>
            <w:r>
              <w:rPr>
                <w:rFonts w:hint="default" w:ascii="Times New Roman" w:hAnsi="Times New Roman" w:cs="Times New Roman"/>
                <w:color w:val="auto"/>
                <w:spacing w:val="0"/>
                <w:kern w:val="0"/>
                <w:sz w:val="24"/>
                <w:szCs w:val="24"/>
                <w:highlight w:val="none"/>
                <w:lang w:val="en-US" w:eastAsia="zh-CN"/>
              </w:rPr>
              <w:t>22.1</w:t>
            </w:r>
            <w:r>
              <w:rPr>
                <w:rFonts w:hint="default" w:ascii="Times New Roman" w:hAnsi="Times New Roman" w:eastAsia="宋体" w:cs="Times New Roman"/>
                <w:color w:val="auto"/>
                <w:spacing w:val="0"/>
                <w:kern w:val="0"/>
                <w:sz w:val="24"/>
                <w:szCs w:val="24"/>
                <w:highlight w:val="none"/>
              </w:rPr>
              <w:t>万元，占工程总投资的</w:t>
            </w:r>
            <w:r>
              <w:rPr>
                <w:rFonts w:hint="default" w:ascii="Times New Roman" w:hAnsi="Times New Roman" w:cs="Times New Roman"/>
                <w:color w:val="auto"/>
                <w:spacing w:val="0"/>
                <w:kern w:val="0"/>
                <w:sz w:val="24"/>
                <w:szCs w:val="24"/>
                <w:highlight w:val="none"/>
                <w:lang w:val="en-US" w:eastAsia="zh-CN"/>
              </w:rPr>
              <w:t>44.2</w:t>
            </w:r>
            <w:r>
              <w:rPr>
                <w:rFonts w:hint="default" w:ascii="Times New Roman" w:hAnsi="Times New Roman" w:eastAsia="宋体" w:cs="Times New Roman"/>
                <w:color w:val="auto"/>
                <w:spacing w:val="0"/>
                <w:kern w:val="0"/>
                <w:sz w:val="24"/>
                <w:szCs w:val="24"/>
                <w:highlight w:val="none"/>
              </w:rPr>
              <w:t>%，具体环保投资见下表。</w:t>
            </w:r>
          </w:p>
          <w:p w14:paraId="2EB7DA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kern w:val="0"/>
                <w:szCs w:val="21"/>
                <w:highlight w:val="none"/>
              </w:rPr>
            </w:pPr>
            <w:r>
              <w:rPr>
                <w:rFonts w:hint="default" w:ascii="Times New Roman" w:hAnsi="Times New Roman" w:eastAsia="宋体" w:cs="Times New Roman"/>
                <w:b/>
                <w:bCs/>
                <w:color w:val="auto"/>
                <w:spacing w:val="0"/>
                <w:kern w:val="0"/>
                <w:sz w:val="21"/>
                <w:szCs w:val="21"/>
                <w:highlight w:val="none"/>
              </w:rPr>
              <w:t>表5-1   本项目环保投资一览表</w:t>
            </w:r>
          </w:p>
          <w:tbl>
            <w:tblPr>
              <w:tblStyle w:val="35"/>
              <w:tblW w:w="492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79"/>
              <w:gridCol w:w="3433"/>
              <w:gridCol w:w="1747"/>
            </w:tblGrid>
            <w:tr w14:paraId="57C583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4" w:type="pct"/>
                  <w:gridSpan w:val="2"/>
                  <w:tcBorders>
                    <w:tl2br w:val="nil"/>
                    <w:tr2bl w:val="nil"/>
                  </w:tcBorders>
                  <w:noWrap w:val="0"/>
                  <w:vAlign w:val="center"/>
                </w:tcPr>
                <w:p w14:paraId="4975CBC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kern w:val="0"/>
                      <w:sz w:val="21"/>
                      <w:szCs w:val="21"/>
                      <w:highlight w:val="none"/>
                    </w:rPr>
                  </w:pPr>
                  <w:r>
                    <w:rPr>
                      <w:rFonts w:hint="default" w:ascii="Times New Roman" w:hAnsi="Times New Roman" w:eastAsia="宋体" w:cs="Times New Roman"/>
                      <w:b/>
                      <w:bCs/>
                      <w:color w:val="auto"/>
                      <w:spacing w:val="0"/>
                      <w:kern w:val="0"/>
                      <w:sz w:val="21"/>
                      <w:szCs w:val="21"/>
                      <w:highlight w:val="none"/>
                    </w:rPr>
                    <w:t>环保措施</w:t>
                  </w:r>
                </w:p>
              </w:tc>
              <w:tc>
                <w:tcPr>
                  <w:tcW w:w="1255" w:type="pct"/>
                  <w:tcBorders>
                    <w:tl2br w:val="nil"/>
                    <w:tr2bl w:val="nil"/>
                  </w:tcBorders>
                  <w:noWrap w:val="0"/>
                  <w:vAlign w:val="center"/>
                </w:tcPr>
                <w:p w14:paraId="16AE22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kern w:val="0"/>
                      <w:sz w:val="21"/>
                      <w:szCs w:val="21"/>
                      <w:highlight w:val="none"/>
                    </w:rPr>
                  </w:pPr>
                  <w:r>
                    <w:rPr>
                      <w:rFonts w:hint="default" w:ascii="Times New Roman" w:hAnsi="Times New Roman" w:eastAsia="宋体" w:cs="Times New Roman"/>
                      <w:b/>
                      <w:bCs/>
                      <w:color w:val="auto"/>
                      <w:spacing w:val="0"/>
                      <w:kern w:val="0"/>
                      <w:sz w:val="21"/>
                      <w:szCs w:val="21"/>
                      <w:highlight w:val="none"/>
                    </w:rPr>
                    <w:t>投资额（万元）</w:t>
                  </w:r>
                </w:p>
              </w:tc>
            </w:tr>
            <w:tr w14:paraId="45017C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8" w:type="pct"/>
                  <w:vMerge w:val="restart"/>
                  <w:tcBorders>
                    <w:tl2br w:val="nil"/>
                    <w:tr2bl w:val="nil"/>
                  </w:tcBorders>
                  <w:noWrap w:val="0"/>
                  <w:vAlign w:val="center"/>
                </w:tcPr>
                <w:p w14:paraId="6F5D70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kern w:val="0"/>
                      <w:sz w:val="21"/>
                      <w:szCs w:val="21"/>
                      <w:highlight w:val="none"/>
                      <w:lang w:val="en-US" w:eastAsia="zh-CN"/>
                    </w:rPr>
                  </w:pPr>
                  <w:r>
                    <w:rPr>
                      <w:rFonts w:hint="default" w:ascii="Times New Roman" w:hAnsi="Times New Roman" w:cs="Times New Roman"/>
                      <w:b w:val="0"/>
                      <w:bCs w:val="0"/>
                      <w:color w:val="auto"/>
                      <w:spacing w:val="0"/>
                      <w:kern w:val="0"/>
                      <w:sz w:val="21"/>
                      <w:szCs w:val="21"/>
                      <w:highlight w:val="none"/>
                      <w:lang w:val="en-US" w:eastAsia="zh-CN"/>
                    </w:rPr>
                    <w:t>施工期</w:t>
                  </w:r>
                </w:p>
              </w:tc>
              <w:tc>
                <w:tcPr>
                  <w:tcW w:w="2466" w:type="pct"/>
                  <w:tcBorders>
                    <w:tl2br w:val="nil"/>
                    <w:tr2bl w:val="nil"/>
                  </w:tcBorders>
                  <w:noWrap w:val="0"/>
                  <w:vAlign w:val="center"/>
                </w:tcPr>
                <w:p w14:paraId="73F4E2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kern w:val="0"/>
                      <w:sz w:val="21"/>
                      <w:szCs w:val="21"/>
                      <w:highlight w:val="none"/>
                      <w:lang w:val="en-US" w:eastAsia="zh-CN"/>
                    </w:rPr>
                  </w:pPr>
                  <w:r>
                    <w:rPr>
                      <w:rFonts w:hint="default" w:ascii="Times New Roman" w:hAnsi="Times New Roman" w:cs="Times New Roman"/>
                      <w:b w:val="0"/>
                      <w:bCs w:val="0"/>
                      <w:color w:val="auto"/>
                      <w:spacing w:val="0"/>
                      <w:kern w:val="0"/>
                      <w:sz w:val="21"/>
                      <w:szCs w:val="21"/>
                      <w:highlight w:val="none"/>
                      <w:lang w:val="en-US" w:eastAsia="zh-CN"/>
                    </w:rPr>
                    <w:t>施工期洒水降尘</w:t>
                  </w:r>
                </w:p>
              </w:tc>
              <w:tc>
                <w:tcPr>
                  <w:tcW w:w="1255" w:type="pct"/>
                  <w:tcBorders>
                    <w:tl2br w:val="nil"/>
                    <w:tr2bl w:val="nil"/>
                  </w:tcBorders>
                  <w:noWrap w:val="0"/>
                  <w:vAlign w:val="center"/>
                </w:tcPr>
                <w:p w14:paraId="4457F2A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kern w:val="0"/>
                      <w:sz w:val="21"/>
                      <w:szCs w:val="21"/>
                      <w:highlight w:val="none"/>
                      <w:lang w:val="en-US" w:eastAsia="zh-CN"/>
                    </w:rPr>
                  </w:pPr>
                  <w:r>
                    <w:rPr>
                      <w:rFonts w:hint="default" w:ascii="Times New Roman" w:hAnsi="Times New Roman" w:cs="Times New Roman"/>
                      <w:b w:val="0"/>
                      <w:bCs w:val="0"/>
                      <w:color w:val="auto"/>
                      <w:spacing w:val="0"/>
                      <w:kern w:val="0"/>
                      <w:sz w:val="21"/>
                      <w:szCs w:val="21"/>
                      <w:highlight w:val="none"/>
                      <w:lang w:val="en-US" w:eastAsia="zh-CN"/>
                    </w:rPr>
                    <w:t>0.5</w:t>
                  </w:r>
                </w:p>
              </w:tc>
            </w:tr>
            <w:tr w14:paraId="30DC8F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8" w:type="pct"/>
                  <w:vMerge w:val="continue"/>
                  <w:tcBorders>
                    <w:tl2br w:val="nil"/>
                    <w:tr2bl w:val="nil"/>
                  </w:tcBorders>
                  <w:noWrap w:val="0"/>
                  <w:vAlign w:val="center"/>
                </w:tcPr>
                <w:p w14:paraId="04F5F56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kern w:val="0"/>
                      <w:sz w:val="21"/>
                      <w:szCs w:val="21"/>
                      <w:highlight w:val="none"/>
                    </w:rPr>
                  </w:pPr>
                </w:p>
              </w:tc>
              <w:tc>
                <w:tcPr>
                  <w:tcW w:w="2466" w:type="pct"/>
                  <w:tcBorders>
                    <w:tl2br w:val="nil"/>
                    <w:tr2bl w:val="nil"/>
                  </w:tcBorders>
                  <w:noWrap w:val="0"/>
                  <w:vAlign w:val="center"/>
                </w:tcPr>
                <w:p w14:paraId="532B50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kern w:val="0"/>
                      <w:sz w:val="21"/>
                      <w:szCs w:val="21"/>
                      <w:highlight w:val="none"/>
                      <w:lang w:val="en-US" w:eastAsia="zh-CN"/>
                    </w:rPr>
                  </w:pPr>
                  <w:r>
                    <w:rPr>
                      <w:rFonts w:hint="default" w:ascii="Times New Roman" w:hAnsi="Times New Roman" w:cs="Times New Roman"/>
                      <w:b w:val="0"/>
                      <w:bCs w:val="0"/>
                      <w:color w:val="auto"/>
                      <w:spacing w:val="0"/>
                      <w:kern w:val="0"/>
                      <w:sz w:val="21"/>
                      <w:szCs w:val="21"/>
                      <w:highlight w:val="none"/>
                      <w:lang w:val="en-US" w:eastAsia="zh-CN"/>
                    </w:rPr>
                    <w:t>施工噪声屏障</w:t>
                  </w:r>
                </w:p>
              </w:tc>
              <w:tc>
                <w:tcPr>
                  <w:tcW w:w="1255" w:type="pct"/>
                  <w:tcBorders>
                    <w:tl2br w:val="nil"/>
                    <w:tr2bl w:val="nil"/>
                  </w:tcBorders>
                  <w:noWrap w:val="0"/>
                  <w:vAlign w:val="center"/>
                </w:tcPr>
                <w:p w14:paraId="79BFEE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kern w:val="0"/>
                      <w:sz w:val="21"/>
                      <w:szCs w:val="21"/>
                      <w:highlight w:val="none"/>
                      <w:lang w:val="en-US" w:eastAsia="zh-CN"/>
                    </w:rPr>
                  </w:pPr>
                  <w:r>
                    <w:rPr>
                      <w:rFonts w:hint="default" w:ascii="Times New Roman" w:hAnsi="Times New Roman" w:cs="Times New Roman"/>
                      <w:b w:val="0"/>
                      <w:bCs w:val="0"/>
                      <w:color w:val="auto"/>
                      <w:spacing w:val="0"/>
                      <w:kern w:val="0"/>
                      <w:sz w:val="21"/>
                      <w:szCs w:val="21"/>
                      <w:highlight w:val="none"/>
                      <w:lang w:val="en-US" w:eastAsia="zh-CN"/>
                    </w:rPr>
                    <w:t>1</w:t>
                  </w:r>
                </w:p>
              </w:tc>
            </w:tr>
            <w:tr w14:paraId="65B31F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8" w:type="pct"/>
                  <w:vMerge w:val="continue"/>
                  <w:tcBorders>
                    <w:tl2br w:val="nil"/>
                    <w:tr2bl w:val="nil"/>
                  </w:tcBorders>
                  <w:noWrap w:val="0"/>
                  <w:vAlign w:val="center"/>
                </w:tcPr>
                <w:p w14:paraId="3236F5D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kern w:val="0"/>
                      <w:sz w:val="21"/>
                      <w:szCs w:val="21"/>
                      <w:highlight w:val="none"/>
                    </w:rPr>
                  </w:pPr>
                </w:p>
              </w:tc>
              <w:tc>
                <w:tcPr>
                  <w:tcW w:w="2466" w:type="pct"/>
                  <w:tcBorders>
                    <w:tl2br w:val="nil"/>
                    <w:tr2bl w:val="nil"/>
                  </w:tcBorders>
                  <w:noWrap w:val="0"/>
                  <w:vAlign w:val="center"/>
                </w:tcPr>
                <w:p w14:paraId="2EA40B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pacing w:val="0"/>
                      <w:kern w:val="0"/>
                      <w:sz w:val="21"/>
                      <w:szCs w:val="21"/>
                      <w:highlight w:val="none"/>
                      <w:lang w:val="en-US" w:eastAsia="zh-CN"/>
                    </w:rPr>
                  </w:pPr>
                  <w:r>
                    <w:rPr>
                      <w:rFonts w:hint="default" w:ascii="Times New Roman" w:hAnsi="Times New Roman" w:cs="Times New Roman"/>
                      <w:b w:val="0"/>
                      <w:bCs w:val="0"/>
                      <w:color w:val="auto"/>
                      <w:spacing w:val="0"/>
                      <w:kern w:val="0"/>
                      <w:sz w:val="21"/>
                      <w:szCs w:val="21"/>
                      <w:highlight w:val="none"/>
                      <w:lang w:val="en-US" w:eastAsia="zh-CN"/>
                    </w:rPr>
                    <w:t>建筑垃圾清运</w:t>
                  </w:r>
                </w:p>
              </w:tc>
              <w:tc>
                <w:tcPr>
                  <w:tcW w:w="1255" w:type="pct"/>
                  <w:tcBorders>
                    <w:tl2br w:val="nil"/>
                    <w:tr2bl w:val="nil"/>
                  </w:tcBorders>
                  <w:noWrap w:val="0"/>
                  <w:vAlign w:val="center"/>
                </w:tcPr>
                <w:p w14:paraId="368F44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kern w:val="0"/>
                      <w:sz w:val="21"/>
                      <w:szCs w:val="21"/>
                      <w:highlight w:val="none"/>
                      <w:lang w:val="en-US" w:eastAsia="zh-CN"/>
                    </w:rPr>
                  </w:pPr>
                  <w:r>
                    <w:rPr>
                      <w:rFonts w:hint="default" w:ascii="Times New Roman" w:hAnsi="Times New Roman" w:cs="Times New Roman"/>
                      <w:b w:val="0"/>
                      <w:bCs w:val="0"/>
                      <w:color w:val="auto"/>
                      <w:spacing w:val="0"/>
                      <w:kern w:val="0"/>
                      <w:sz w:val="21"/>
                      <w:szCs w:val="21"/>
                      <w:highlight w:val="none"/>
                      <w:lang w:val="en-US" w:eastAsia="zh-CN"/>
                    </w:rPr>
                    <w:t>1</w:t>
                  </w:r>
                </w:p>
              </w:tc>
            </w:tr>
            <w:tr w14:paraId="77FB76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8" w:type="pct"/>
                  <w:vMerge w:val="restart"/>
                  <w:tcBorders>
                    <w:tl2br w:val="nil"/>
                    <w:tr2bl w:val="nil"/>
                  </w:tcBorders>
                  <w:noWrap w:val="0"/>
                  <w:vAlign w:val="center"/>
                </w:tcPr>
                <w:p w14:paraId="386351B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highlight w:val="none"/>
                      <w:lang w:val="en-US" w:eastAsia="zh-CN"/>
                    </w:rPr>
                  </w:pPr>
                  <w:r>
                    <w:rPr>
                      <w:rFonts w:hint="default" w:ascii="Times New Roman" w:hAnsi="Times New Roman" w:cs="Times New Roman"/>
                      <w:color w:val="auto"/>
                      <w:spacing w:val="0"/>
                      <w:kern w:val="0"/>
                      <w:sz w:val="21"/>
                      <w:szCs w:val="21"/>
                      <w:highlight w:val="none"/>
                      <w:lang w:val="en-US" w:eastAsia="zh-CN"/>
                    </w:rPr>
                    <w:t>运营期</w:t>
                  </w:r>
                </w:p>
              </w:tc>
              <w:tc>
                <w:tcPr>
                  <w:tcW w:w="2466" w:type="pct"/>
                  <w:tcBorders>
                    <w:tl2br w:val="nil"/>
                    <w:tr2bl w:val="nil"/>
                  </w:tcBorders>
                  <w:shd w:val="clear" w:color="auto" w:fill="auto"/>
                  <w:noWrap w:val="0"/>
                  <w:vAlign w:val="center"/>
                </w:tcPr>
                <w:p w14:paraId="0806625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kern w:val="0"/>
                      <w:sz w:val="21"/>
                      <w:szCs w:val="21"/>
                      <w:highlight w:val="none"/>
                      <w:lang w:val="en-US" w:eastAsia="zh-CN" w:bidi="ar-SA"/>
                    </w:rPr>
                  </w:pPr>
                  <w:r>
                    <w:rPr>
                      <w:rFonts w:hint="default" w:ascii="Times New Roman" w:hAnsi="Times New Roman" w:eastAsia="宋体" w:cs="Times New Roman"/>
                      <w:color w:val="auto"/>
                      <w:spacing w:val="0"/>
                      <w:kern w:val="0"/>
                      <w:sz w:val="21"/>
                      <w:szCs w:val="21"/>
                      <w:highlight w:val="none"/>
                      <w:lang w:val="en-US" w:eastAsia="zh-CN"/>
                    </w:rPr>
                    <w:t>锅炉烟囱</w:t>
                  </w:r>
                </w:p>
              </w:tc>
              <w:tc>
                <w:tcPr>
                  <w:tcW w:w="1255" w:type="pct"/>
                  <w:tcBorders>
                    <w:tl2br w:val="nil"/>
                    <w:tr2bl w:val="nil"/>
                  </w:tcBorders>
                  <w:noWrap w:val="0"/>
                  <w:vAlign w:val="center"/>
                </w:tcPr>
                <w:p w14:paraId="77A0A6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highlight w:val="none"/>
                      <w:lang w:val="en-US" w:eastAsia="zh-CN"/>
                    </w:rPr>
                  </w:pPr>
                  <w:r>
                    <w:rPr>
                      <w:rFonts w:hint="eastAsia" w:ascii="Times New Roman" w:hAnsi="Times New Roman" w:cs="Times New Roman"/>
                      <w:color w:val="auto"/>
                      <w:spacing w:val="0"/>
                      <w:kern w:val="0"/>
                      <w:sz w:val="21"/>
                      <w:szCs w:val="21"/>
                      <w:highlight w:val="none"/>
                      <w:lang w:val="en-US" w:eastAsia="zh-CN"/>
                    </w:rPr>
                    <w:t>1</w:t>
                  </w:r>
                </w:p>
              </w:tc>
            </w:tr>
            <w:tr w14:paraId="18D1F9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8" w:type="pct"/>
                  <w:vMerge w:val="continue"/>
                  <w:tcBorders>
                    <w:tl2br w:val="nil"/>
                    <w:tr2bl w:val="nil"/>
                  </w:tcBorders>
                  <w:noWrap w:val="0"/>
                  <w:vAlign w:val="center"/>
                </w:tcPr>
                <w:p w14:paraId="3D15EB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highlight w:val="none"/>
                      <w:lang w:val="en-US" w:eastAsia="zh-CN"/>
                    </w:rPr>
                  </w:pPr>
                </w:p>
              </w:tc>
              <w:tc>
                <w:tcPr>
                  <w:tcW w:w="2466" w:type="pct"/>
                  <w:tcBorders>
                    <w:tl2br w:val="nil"/>
                    <w:tr2bl w:val="nil"/>
                  </w:tcBorders>
                  <w:shd w:val="clear" w:color="auto" w:fill="auto"/>
                  <w:noWrap w:val="0"/>
                  <w:vAlign w:val="center"/>
                </w:tcPr>
                <w:p w14:paraId="251B2C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kern w:val="0"/>
                      <w:sz w:val="21"/>
                      <w:szCs w:val="21"/>
                      <w:highlight w:val="none"/>
                      <w:lang w:val="en-US" w:eastAsia="zh-CN"/>
                    </w:rPr>
                  </w:pPr>
                  <w:r>
                    <w:rPr>
                      <w:rFonts w:hint="eastAsia" w:ascii="Times New Roman" w:hAnsi="Times New Roman" w:cs="Times New Roman"/>
                      <w:color w:val="auto"/>
                      <w:spacing w:val="0"/>
                      <w:kern w:val="0"/>
                      <w:sz w:val="21"/>
                      <w:szCs w:val="21"/>
                      <w:highlight w:val="none"/>
                      <w:lang w:val="en-US" w:eastAsia="zh-CN"/>
                    </w:rPr>
                    <w:t>旋风+</w:t>
                  </w:r>
                  <w:r>
                    <w:rPr>
                      <w:rFonts w:hint="default" w:ascii="Times New Roman" w:hAnsi="Times New Roman" w:cs="Times New Roman"/>
                      <w:color w:val="auto"/>
                      <w:spacing w:val="0"/>
                      <w:kern w:val="0"/>
                      <w:sz w:val="21"/>
                      <w:szCs w:val="21"/>
                      <w:highlight w:val="none"/>
                      <w:lang w:val="en-US" w:eastAsia="zh-CN"/>
                    </w:rPr>
                    <w:t>布袋除尘器</w:t>
                  </w:r>
                </w:p>
              </w:tc>
              <w:tc>
                <w:tcPr>
                  <w:tcW w:w="1255" w:type="pct"/>
                  <w:tcBorders>
                    <w:tl2br w:val="nil"/>
                    <w:tr2bl w:val="nil"/>
                  </w:tcBorders>
                  <w:noWrap w:val="0"/>
                  <w:vAlign w:val="center"/>
                </w:tcPr>
                <w:p w14:paraId="5305EE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highlight w:val="none"/>
                      <w:lang w:val="en-US" w:eastAsia="zh-CN"/>
                    </w:rPr>
                  </w:pPr>
                  <w:r>
                    <w:rPr>
                      <w:rFonts w:hint="eastAsia" w:ascii="Times New Roman" w:hAnsi="Times New Roman" w:cs="Times New Roman"/>
                      <w:color w:val="auto"/>
                      <w:spacing w:val="0"/>
                      <w:kern w:val="0"/>
                      <w:sz w:val="21"/>
                      <w:szCs w:val="21"/>
                      <w:highlight w:val="none"/>
                      <w:lang w:val="en-US" w:eastAsia="zh-CN"/>
                    </w:rPr>
                    <w:t>5.5</w:t>
                  </w:r>
                </w:p>
              </w:tc>
            </w:tr>
            <w:tr w14:paraId="33F58D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8" w:type="pct"/>
                  <w:vMerge w:val="continue"/>
                  <w:tcBorders>
                    <w:tl2br w:val="nil"/>
                    <w:tr2bl w:val="nil"/>
                  </w:tcBorders>
                  <w:noWrap w:val="0"/>
                  <w:vAlign w:val="center"/>
                </w:tcPr>
                <w:p w14:paraId="5951A58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highlight w:val="none"/>
                    </w:rPr>
                  </w:pPr>
                </w:p>
              </w:tc>
              <w:tc>
                <w:tcPr>
                  <w:tcW w:w="2466" w:type="pct"/>
                  <w:tcBorders>
                    <w:tl2br w:val="nil"/>
                    <w:tr2bl w:val="nil"/>
                  </w:tcBorders>
                  <w:shd w:val="clear" w:color="auto" w:fill="auto"/>
                  <w:noWrap w:val="0"/>
                  <w:vAlign w:val="center"/>
                </w:tcPr>
                <w:p w14:paraId="0784622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kern w:val="0"/>
                      <w:sz w:val="21"/>
                      <w:szCs w:val="21"/>
                      <w:highlight w:val="none"/>
                      <w:lang w:val="en-US" w:eastAsia="zh-CN"/>
                    </w:rPr>
                  </w:pPr>
                  <w:r>
                    <w:rPr>
                      <w:rFonts w:hint="default" w:ascii="Times New Roman" w:hAnsi="Times New Roman" w:cs="Times New Roman"/>
                      <w:color w:val="auto"/>
                      <w:spacing w:val="0"/>
                      <w:kern w:val="0"/>
                      <w:sz w:val="21"/>
                      <w:szCs w:val="21"/>
                      <w:highlight w:val="none"/>
                      <w:lang w:val="en-US" w:eastAsia="zh-CN"/>
                    </w:rPr>
                    <w:t>基础减振降噪</w:t>
                  </w:r>
                </w:p>
              </w:tc>
              <w:tc>
                <w:tcPr>
                  <w:tcW w:w="1255" w:type="pct"/>
                  <w:tcBorders>
                    <w:tl2br w:val="nil"/>
                    <w:tr2bl w:val="nil"/>
                  </w:tcBorders>
                  <w:noWrap w:val="0"/>
                  <w:vAlign w:val="center"/>
                </w:tcPr>
                <w:p w14:paraId="245BDBE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highlight w:val="none"/>
                      <w:lang w:val="en-US" w:eastAsia="zh-CN"/>
                    </w:rPr>
                  </w:pPr>
                  <w:r>
                    <w:rPr>
                      <w:rFonts w:hint="default" w:ascii="Times New Roman" w:hAnsi="Times New Roman" w:cs="Times New Roman"/>
                      <w:color w:val="auto"/>
                      <w:spacing w:val="0"/>
                      <w:kern w:val="0"/>
                      <w:sz w:val="21"/>
                      <w:szCs w:val="21"/>
                      <w:highlight w:val="none"/>
                      <w:lang w:val="en-US" w:eastAsia="zh-CN"/>
                    </w:rPr>
                    <w:t>1</w:t>
                  </w:r>
                </w:p>
              </w:tc>
            </w:tr>
            <w:tr w14:paraId="53638D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8" w:type="pct"/>
                  <w:vMerge w:val="continue"/>
                  <w:tcBorders>
                    <w:tl2br w:val="nil"/>
                    <w:tr2bl w:val="nil"/>
                  </w:tcBorders>
                  <w:noWrap w:val="0"/>
                  <w:vAlign w:val="center"/>
                </w:tcPr>
                <w:p w14:paraId="002F2D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highlight w:val="none"/>
                    </w:rPr>
                  </w:pPr>
                </w:p>
              </w:tc>
              <w:tc>
                <w:tcPr>
                  <w:tcW w:w="2466" w:type="pct"/>
                  <w:tcBorders>
                    <w:tl2br w:val="nil"/>
                    <w:tr2bl w:val="nil"/>
                  </w:tcBorders>
                  <w:shd w:val="clear" w:color="auto" w:fill="auto"/>
                  <w:noWrap w:val="0"/>
                  <w:vAlign w:val="center"/>
                </w:tcPr>
                <w:p w14:paraId="38D967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highlight w:val="none"/>
                      <w:lang w:val="en-US" w:eastAsia="zh-CN"/>
                    </w:rPr>
                  </w:pPr>
                  <w:r>
                    <w:rPr>
                      <w:rFonts w:hint="eastAsia" w:ascii="Times New Roman" w:hAnsi="Times New Roman" w:cs="Times New Roman"/>
                      <w:color w:val="auto"/>
                      <w:spacing w:val="0"/>
                      <w:kern w:val="0"/>
                      <w:sz w:val="21"/>
                      <w:szCs w:val="21"/>
                      <w:highlight w:val="none"/>
                      <w:lang w:val="en-US" w:eastAsia="zh-CN"/>
                    </w:rPr>
                    <w:t>危险废物贮存点、固废委托处置等费用</w:t>
                  </w:r>
                </w:p>
              </w:tc>
              <w:tc>
                <w:tcPr>
                  <w:tcW w:w="1255" w:type="pct"/>
                  <w:tcBorders>
                    <w:tl2br w:val="nil"/>
                    <w:tr2bl w:val="nil"/>
                  </w:tcBorders>
                  <w:noWrap w:val="0"/>
                  <w:vAlign w:val="center"/>
                </w:tcPr>
                <w:p w14:paraId="0F9BBDC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kern w:val="0"/>
                      <w:sz w:val="21"/>
                      <w:szCs w:val="21"/>
                      <w:highlight w:val="none"/>
                      <w:lang w:val="en-US" w:eastAsia="zh-CN"/>
                    </w:rPr>
                  </w:pPr>
                  <w:r>
                    <w:rPr>
                      <w:rFonts w:hint="eastAsia" w:ascii="Times New Roman" w:hAnsi="Times New Roman" w:cs="Times New Roman"/>
                      <w:color w:val="auto"/>
                      <w:spacing w:val="0"/>
                      <w:kern w:val="0"/>
                      <w:sz w:val="21"/>
                      <w:szCs w:val="21"/>
                      <w:highlight w:val="none"/>
                      <w:lang w:val="en-US" w:eastAsia="zh-CN"/>
                    </w:rPr>
                    <w:t>5</w:t>
                  </w:r>
                </w:p>
              </w:tc>
            </w:tr>
            <w:tr w14:paraId="40EA63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8" w:type="pct"/>
                  <w:vMerge w:val="continue"/>
                  <w:tcBorders>
                    <w:tl2br w:val="nil"/>
                    <w:tr2bl w:val="nil"/>
                  </w:tcBorders>
                  <w:noWrap w:val="0"/>
                  <w:vAlign w:val="center"/>
                </w:tcPr>
                <w:p w14:paraId="04C2A92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highlight w:val="none"/>
                    </w:rPr>
                  </w:pPr>
                </w:p>
              </w:tc>
              <w:tc>
                <w:tcPr>
                  <w:tcW w:w="2466" w:type="pct"/>
                  <w:tcBorders>
                    <w:tl2br w:val="nil"/>
                    <w:tr2bl w:val="nil"/>
                  </w:tcBorders>
                  <w:shd w:val="clear" w:color="auto" w:fill="auto"/>
                  <w:noWrap w:val="0"/>
                  <w:vAlign w:val="center"/>
                </w:tcPr>
                <w:p w14:paraId="2B6B347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pacing w:val="0"/>
                      <w:kern w:val="0"/>
                      <w:sz w:val="21"/>
                      <w:szCs w:val="21"/>
                      <w:highlight w:val="none"/>
                      <w:lang w:val="en-US" w:eastAsia="zh-CN"/>
                    </w:rPr>
                  </w:pPr>
                  <w:r>
                    <w:rPr>
                      <w:rFonts w:hint="eastAsia" w:ascii="Times New Roman" w:hAnsi="Times New Roman" w:cs="Times New Roman"/>
                      <w:color w:val="auto"/>
                      <w:spacing w:val="0"/>
                      <w:kern w:val="0"/>
                      <w:sz w:val="21"/>
                      <w:szCs w:val="21"/>
                      <w:highlight w:val="none"/>
                      <w:lang w:val="en-US" w:eastAsia="zh-CN"/>
                    </w:rPr>
                    <w:t>地面防渗</w:t>
                  </w:r>
                </w:p>
              </w:tc>
              <w:tc>
                <w:tcPr>
                  <w:tcW w:w="1255" w:type="pct"/>
                  <w:tcBorders>
                    <w:tl2br w:val="nil"/>
                    <w:tr2bl w:val="nil"/>
                  </w:tcBorders>
                  <w:noWrap w:val="0"/>
                  <w:vAlign w:val="center"/>
                </w:tcPr>
                <w:p w14:paraId="2864B3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kern w:val="0"/>
                      <w:sz w:val="21"/>
                      <w:szCs w:val="21"/>
                      <w:highlight w:val="none"/>
                      <w:lang w:val="en-US" w:eastAsia="zh-CN"/>
                    </w:rPr>
                  </w:pPr>
                  <w:r>
                    <w:rPr>
                      <w:rFonts w:hint="eastAsia" w:ascii="Times New Roman" w:hAnsi="Times New Roman" w:cs="Times New Roman"/>
                      <w:color w:val="auto"/>
                      <w:spacing w:val="0"/>
                      <w:kern w:val="0"/>
                      <w:sz w:val="21"/>
                      <w:szCs w:val="21"/>
                      <w:highlight w:val="none"/>
                      <w:lang w:val="en-US" w:eastAsia="zh-CN"/>
                    </w:rPr>
                    <w:t>2</w:t>
                  </w:r>
                </w:p>
              </w:tc>
            </w:tr>
            <w:tr w14:paraId="0AF736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8" w:type="pct"/>
                  <w:vMerge w:val="continue"/>
                  <w:tcBorders>
                    <w:tl2br w:val="nil"/>
                    <w:tr2bl w:val="nil"/>
                  </w:tcBorders>
                  <w:noWrap w:val="0"/>
                  <w:vAlign w:val="center"/>
                </w:tcPr>
                <w:p w14:paraId="6C0683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highlight w:val="none"/>
                      <w:lang w:val="en-US" w:eastAsia="zh-CN"/>
                    </w:rPr>
                  </w:pPr>
                </w:p>
              </w:tc>
              <w:tc>
                <w:tcPr>
                  <w:tcW w:w="2466" w:type="pct"/>
                  <w:tcBorders>
                    <w:tl2br w:val="nil"/>
                    <w:tr2bl w:val="nil"/>
                  </w:tcBorders>
                  <w:shd w:val="clear" w:color="auto" w:fill="auto"/>
                  <w:noWrap w:val="0"/>
                  <w:vAlign w:val="center"/>
                </w:tcPr>
                <w:p w14:paraId="6D60A4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kern w:val="0"/>
                      <w:sz w:val="21"/>
                      <w:szCs w:val="21"/>
                      <w:highlight w:val="none"/>
                      <w:lang w:val="en-US" w:eastAsia="zh-CN" w:bidi="ar-SA"/>
                    </w:rPr>
                  </w:pPr>
                  <w:r>
                    <w:rPr>
                      <w:rFonts w:hint="default" w:ascii="Times New Roman" w:hAnsi="Times New Roman" w:eastAsia="宋体" w:cs="Times New Roman"/>
                      <w:color w:val="auto"/>
                      <w:spacing w:val="0"/>
                      <w:kern w:val="0"/>
                      <w:sz w:val="21"/>
                      <w:szCs w:val="21"/>
                      <w:highlight w:val="none"/>
                      <w:lang w:val="en-US" w:eastAsia="zh-CN"/>
                    </w:rPr>
                    <w:t>环保措施的运行与维护</w:t>
                  </w:r>
                </w:p>
              </w:tc>
              <w:tc>
                <w:tcPr>
                  <w:tcW w:w="1255" w:type="pct"/>
                  <w:tcBorders>
                    <w:tl2br w:val="nil"/>
                    <w:tr2bl w:val="nil"/>
                  </w:tcBorders>
                  <w:noWrap w:val="0"/>
                  <w:vAlign w:val="center"/>
                </w:tcPr>
                <w:p w14:paraId="268794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highlight w:val="none"/>
                      <w:lang w:val="en-US" w:eastAsia="zh-CN"/>
                    </w:rPr>
                  </w:pPr>
                  <w:r>
                    <w:rPr>
                      <w:rFonts w:hint="eastAsia" w:ascii="Times New Roman" w:hAnsi="Times New Roman" w:cs="Times New Roman"/>
                      <w:color w:val="auto"/>
                      <w:spacing w:val="0"/>
                      <w:kern w:val="0"/>
                      <w:sz w:val="21"/>
                      <w:szCs w:val="21"/>
                      <w:highlight w:val="none"/>
                      <w:lang w:val="en-US" w:eastAsia="zh-CN"/>
                    </w:rPr>
                    <w:t>2</w:t>
                  </w:r>
                </w:p>
              </w:tc>
            </w:tr>
            <w:tr w14:paraId="44CDA2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8" w:type="pct"/>
                  <w:vMerge w:val="continue"/>
                  <w:tcBorders>
                    <w:tl2br w:val="nil"/>
                    <w:tr2bl w:val="nil"/>
                  </w:tcBorders>
                  <w:noWrap w:val="0"/>
                  <w:vAlign w:val="center"/>
                </w:tcPr>
                <w:p w14:paraId="39F2D6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highlight w:val="none"/>
                      <w:lang w:val="en-US" w:eastAsia="zh-CN"/>
                    </w:rPr>
                  </w:pPr>
                </w:p>
              </w:tc>
              <w:tc>
                <w:tcPr>
                  <w:tcW w:w="2466" w:type="pct"/>
                  <w:tcBorders>
                    <w:tl2br w:val="nil"/>
                    <w:tr2bl w:val="nil"/>
                  </w:tcBorders>
                  <w:shd w:val="clear" w:color="auto" w:fill="auto"/>
                  <w:noWrap w:val="0"/>
                  <w:vAlign w:val="center"/>
                </w:tcPr>
                <w:p w14:paraId="1A99E2A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kern w:val="0"/>
                      <w:sz w:val="21"/>
                      <w:szCs w:val="21"/>
                      <w:highlight w:val="none"/>
                      <w:lang w:val="en-US" w:eastAsia="zh-CN" w:bidi="ar-SA"/>
                    </w:rPr>
                  </w:pPr>
                  <w:r>
                    <w:rPr>
                      <w:rFonts w:hint="default" w:ascii="Times New Roman" w:hAnsi="Times New Roman" w:eastAsia="宋体" w:cs="Times New Roman"/>
                      <w:color w:val="auto"/>
                      <w:spacing w:val="0"/>
                      <w:kern w:val="0"/>
                      <w:sz w:val="21"/>
                      <w:szCs w:val="21"/>
                      <w:highlight w:val="none"/>
                      <w:lang w:val="en-US" w:eastAsia="zh-CN"/>
                    </w:rPr>
                    <w:t>环境管理与监测费用</w:t>
                  </w:r>
                </w:p>
              </w:tc>
              <w:tc>
                <w:tcPr>
                  <w:tcW w:w="1255" w:type="pct"/>
                  <w:tcBorders>
                    <w:tl2br w:val="nil"/>
                    <w:tr2bl w:val="nil"/>
                  </w:tcBorders>
                  <w:noWrap w:val="0"/>
                  <w:vAlign w:val="center"/>
                </w:tcPr>
                <w:p w14:paraId="672C2DD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highlight w:val="none"/>
                      <w:lang w:val="en-US" w:eastAsia="zh-CN"/>
                    </w:rPr>
                  </w:pPr>
                  <w:r>
                    <w:rPr>
                      <w:rFonts w:hint="default" w:ascii="Times New Roman" w:hAnsi="Times New Roman" w:cs="Times New Roman"/>
                      <w:color w:val="auto"/>
                      <w:spacing w:val="0"/>
                      <w:kern w:val="0"/>
                      <w:sz w:val="21"/>
                      <w:szCs w:val="21"/>
                      <w:highlight w:val="none"/>
                      <w:lang w:val="en-US" w:eastAsia="zh-CN"/>
                    </w:rPr>
                    <w:t>3</w:t>
                  </w:r>
                </w:p>
              </w:tc>
            </w:tr>
            <w:tr w14:paraId="093559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8" w:type="pct"/>
                  <w:vMerge w:val="continue"/>
                  <w:tcBorders>
                    <w:tl2br w:val="nil"/>
                    <w:tr2bl w:val="nil"/>
                  </w:tcBorders>
                  <w:noWrap w:val="0"/>
                  <w:vAlign w:val="center"/>
                </w:tcPr>
                <w:p w14:paraId="6C46F34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highlight w:val="none"/>
                    </w:rPr>
                  </w:pPr>
                </w:p>
              </w:tc>
              <w:tc>
                <w:tcPr>
                  <w:tcW w:w="2466" w:type="pct"/>
                  <w:tcBorders>
                    <w:tl2br w:val="nil"/>
                    <w:tr2bl w:val="nil"/>
                  </w:tcBorders>
                  <w:shd w:val="clear" w:color="auto" w:fill="auto"/>
                  <w:noWrap w:val="0"/>
                  <w:vAlign w:val="center"/>
                </w:tcPr>
                <w:p w14:paraId="7ACC23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kern w:val="0"/>
                      <w:sz w:val="21"/>
                      <w:szCs w:val="21"/>
                      <w:highlight w:val="none"/>
                      <w:lang w:val="en-US" w:eastAsia="zh-CN" w:bidi="ar-SA"/>
                    </w:rPr>
                  </w:pPr>
                  <w:r>
                    <w:rPr>
                      <w:rFonts w:hint="default" w:ascii="Times New Roman" w:hAnsi="Times New Roman" w:eastAsia="宋体" w:cs="Times New Roman"/>
                      <w:color w:val="auto"/>
                      <w:spacing w:val="0"/>
                      <w:kern w:val="0"/>
                      <w:sz w:val="21"/>
                      <w:szCs w:val="21"/>
                      <w:highlight w:val="none"/>
                    </w:rPr>
                    <w:t>排污口规范化</w:t>
                  </w:r>
                </w:p>
              </w:tc>
              <w:tc>
                <w:tcPr>
                  <w:tcW w:w="1255" w:type="pct"/>
                  <w:tcBorders>
                    <w:tl2br w:val="nil"/>
                    <w:tr2bl w:val="nil"/>
                  </w:tcBorders>
                  <w:noWrap w:val="0"/>
                  <w:vAlign w:val="center"/>
                </w:tcPr>
                <w:p w14:paraId="39F923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highlight w:val="none"/>
                      <w:lang w:val="en-US" w:eastAsia="zh-CN"/>
                    </w:rPr>
                  </w:pPr>
                  <w:r>
                    <w:rPr>
                      <w:rFonts w:hint="default" w:ascii="Times New Roman" w:hAnsi="Times New Roman" w:cs="Times New Roman"/>
                      <w:color w:val="auto"/>
                      <w:spacing w:val="0"/>
                      <w:kern w:val="0"/>
                      <w:sz w:val="21"/>
                      <w:szCs w:val="21"/>
                      <w:highlight w:val="none"/>
                      <w:lang w:val="en-US" w:eastAsia="zh-CN"/>
                    </w:rPr>
                    <w:t>0.1</w:t>
                  </w:r>
                </w:p>
              </w:tc>
            </w:tr>
            <w:tr w14:paraId="53F459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4" w:type="pct"/>
                  <w:gridSpan w:val="2"/>
                  <w:tcBorders>
                    <w:tl2br w:val="nil"/>
                    <w:tr2bl w:val="nil"/>
                  </w:tcBorders>
                  <w:noWrap w:val="0"/>
                  <w:vAlign w:val="center"/>
                </w:tcPr>
                <w:p w14:paraId="3401398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合计</w:t>
                  </w:r>
                </w:p>
              </w:tc>
              <w:tc>
                <w:tcPr>
                  <w:tcW w:w="1255" w:type="pct"/>
                  <w:tcBorders>
                    <w:tl2br w:val="nil"/>
                    <w:tr2bl w:val="nil"/>
                  </w:tcBorders>
                  <w:noWrap w:val="0"/>
                  <w:vAlign w:val="center"/>
                </w:tcPr>
                <w:p w14:paraId="081746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highlight w:val="none"/>
                      <w:lang w:val="en-US" w:eastAsia="zh-CN"/>
                    </w:rPr>
                  </w:pPr>
                  <w:r>
                    <w:rPr>
                      <w:rFonts w:hint="default" w:ascii="Times New Roman" w:hAnsi="Times New Roman" w:cs="Times New Roman"/>
                      <w:color w:val="auto"/>
                      <w:spacing w:val="0"/>
                      <w:kern w:val="0"/>
                      <w:sz w:val="21"/>
                      <w:szCs w:val="21"/>
                      <w:highlight w:val="none"/>
                      <w:lang w:val="en-US" w:eastAsia="zh-CN"/>
                    </w:rPr>
                    <w:t>22.1</w:t>
                  </w:r>
                </w:p>
              </w:tc>
            </w:tr>
          </w:tbl>
          <w:p w14:paraId="0FBD10CD">
            <w:pPr>
              <w:ind w:firstLine="0" w:firstLineChars="0"/>
              <w:jc w:val="center"/>
              <w:rPr>
                <w:rFonts w:hint="default" w:ascii="Times New Roman" w:hAnsi="Times New Roman" w:eastAsia="宋体" w:cs="Times New Roman"/>
                <w:color w:val="auto"/>
                <w:spacing w:val="0"/>
                <w:sz w:val="24"/>
                <w:szCs w:val="24"/>
                <w:highlight w:val="none"/>
              </w:rPr>
            </w:pPr>
          </w:p>
        </w:tc>
      </w:tr>
    </w:tbl>
    <w:p w14:paraId="0857731E">
      <w:pPr>
        <w:pStyle w:val="2"/>
        <w:spacing w:line="360" w:lineRule="auto"/>
        <w:jc w:val="center"/>
        <w:rPr>
          <w:rFonts w:hint="default" w:ascii="Times New Roman" w:hAnsi="Times New Roman" w:eastAsia="宋体" w:cs="Times New Roman"/>
          <w:bCs w:val="0"/>
          <w:color w:val="auto"/>
          <w:spacing w:val="0"/>
          <w:highlight w:val="none"/>
        </w:rPr>
      </w:pPr>
      <w:r>
        <w:rPr>
          <w:rFonts w:hint="default" w:ascii="Times New Roman" w:hAnsi="Times New Roman" w:eastAsia="宋体" w:cs="Times New Roman"/>
          <w:color w:val="auto"/>
          <w:spacing w:val="0"/>
          <w:highlight w:val="none"/>
        </w:rPr>
        <w:br w:type="page"/>
      </w:r>
      <w:bookmarkStart w:id="16" w:name="_Toc8430"/>
      <w:bookmarkStart w:id="17" w:name="_Toc71191481"/>
      <w:r>
        <w:rPr>
          <w:rFonts w:hint="default" w:ascii="Times New Roman" w:hAnsi="Times New Roman" w:eastAsia="宋体" w:cs="Times New Roman"/>
          <w:bCs w:val="0"/>
          <w:color w:val="auto"/>
          <w:spacing w:val="0"/>
          <w:highlight w:val="none"/>
        </w:rPr>
        <w:t>六、结论</w:t>
      </w:r>
      <w:bookmarkEnd w:id="16"/>
      <w:bookmarkEnd w:id="17"/>
    </w:p>
    <w:tbl>
      <w:tblPr>
        <w:tblStyle w:val="3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2C66D9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53" w:hRule="atLeast"/>
          <w:jc w:val="center"/>
        </w:trPr>
        <w:tc>
          <w:tcPr>
            <w:tcW w:w="8865" w:type="dxa"/>
            <w:noWrap w:val="0"/>
            <w:vAlign w:val="top"/>
          </w:tcPr>
          <w:p w14:paraId="602367CE">
            <w:pPr>
              <w:jc w:val="both"/>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sz w:val="24"/>
                <w:highlight w:val="none"/>
              </w:rPr>
              <w:t>本项目在确保严格落实本报告表提出的污染物防治措施的前提下，对环境空气、地表水环境、声环境等的影响较小，可以被周围环境所接受，能够做到社会效益、经济效益和环境效益的统一。因此，本项目的建设从环境保护的角度而言是可行的。</w:t>
            </w:r>
          </w:p>
        </w:tc>
      </w:tr>
    </w:tbl>
    <w:p w14:paraId="4B89E108">
      <w:pPr>
        <w:rPr>
          <w:rFonts w:hint="default" w:ascii="Times New Roman" w:hAnsi="Times New Roman" w:eastAsia="宋体" w:cs="Times New Roman"/>
          <w:color w:val="auto"/>
          <w:spacing w:val="0"/>
          <w:highlight w:val="none"/>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14:paraId="5E1FD1E3">
      <w:pPr>
        <w:pStyle w:val="2"/>
        <w:spacing w:line="360" w:lineRule="auto"/>
        <w:jc w:val="left"/>
        <w:rPr>
          <w:rFonts w:hint="default" w:ascii="Times New Roman" w:hAnsi="Times New Roman" w:eastAsia="宋体" w:cs="Times New Roman"/>
          <w:b/>
          <w:bCs/>
          <w:color w:val="auto"/>
          <w:spacing w:val="0"/>
          <w:sz w:val="28"/>
          <w:szCs w:val="28"/>
          <w:highlight w:val="none"/>
        </w:rPr>
      </w:pPr>
      <w:bookmarkStart w:id="18" w:name="_Toc9205"/>
      <w:bookmarkStart w:id="19" w:name="_Toc71191482"/>
      <w:r>
        <w:rPr>
          <w:rFonts w:hint="default" w:ascii="Times New Roman" w:hAnsi="Times New Roman" w:eastAsia="宋体" w:cs="Times New Roman"/>
          <w:b/>
          <w:bCs/>
          <w:color w:val="auto"/>
          <w:spacing w:val="0"/>
          <w:highlight w:val="none"/>
        </w:rPr>
        <w:t>附表</w:t>
      </w:r>
      <w:bookmarkEnd w:id="18"/>
      <w:bookmarkEnd w:id="19"/>
    </w:p>
    <w:p w14:paraId="342E40E8">
      <w:pPr>
        <w:bidi w:val="0"/>
        <w:spacing w:line="360" w:lineRule="auto"/>
        <w:jc w:val="center"/>
        <w:rPr>
          <w:rFonts w:hint="default" w:ascii="Times New Roman" w:hAnsi="Times New Roman" w:eastAsia="宋体" w:cs="Times New Roman"/>
          <w:color w:val="auto"/>
          <w:spacing w:val="0"/>
          <w:sz w:val="32"/>
          <w:szCs w:val="32"/>
          <w:highlight w:val="none"/>
        </w:rPr>
      </w:pPr>
      <w:bookmarkStart w:id="20" w:name="_Toc71191483"/>
      <w:r>
        <w:rPr>
          <w:rFonts w:hint="default" w:ascii="Times New Roman" w:hAnsi="Times New Roman" w:eastAsia="宋体" w:cs="Times New Roman"/>
          <w:color w:val="auto"/>
          <w:spacing w:val="0"/>
          <w:sz w:val="32"/>
          <w:szCs w:val="32"/>
          <w:highlight w:val="none"/>
        </w:rPr>
        <w:t>建设项目污染物排放量汇总表</w:t>
      </w:r>
      <w:bookmarkEnd w:id="20"/>
    </w:p>
    <w:tbl>
      <w:tblPr>
        <w:tblStyle w:val="35"/>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32"/>
        <w:gridCol w:w="1443"/>
        <w:gridCol w:w="1524"/>
        <w:gridCol w:w="1341"/>
        <w:gridCol w:w="1390"/>
        <w:gridCol w:w="1595"/>
        <w:gridCol w:w="1416"/>
        <w:gridCol w:w="1662"/>
        <w:gridCol w:w="1589"/>
      </w:tblGrid>
      <w:tr w14:paraId="076354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2" w:type="dxa"/>
            <w:tcBorders>
              <w:tl2br w:val="single" w:color="auto" w:sz="4" w:space="0"/>
            </w:tcBorders>
            <w:noWrap w:val="0"/>
            <w:tcMar>
              <w:left w:w="28" w:type="dxa"/>
              <w:right w:w="28" w:type="dxa"/>
            </w:tcMar>
            <w:vAlign w:val="center"/>
          </w:tcPr>
          <w:p w14:paraId="2C901411">
            <w:pPr>
              <w:pStyle w:val="73"/>
              <w:spacing w:beforeLines="0" w:afterLines="0" w:line="240" w:lineRule="auto"/>
              <w:ind w:firstLine="0" w:firstLineChars="0"/>
              <w:jc w:val="right"/>
              <w:rPr>
                <w:rFonts w:hint="default" w:ascii="Times New Roman" w:hAnsi="Times New Roman" w:eastAsia="宋体" w:cs="Times New Roman"/>
                <w:bCs/>
                <w:snapToGrid w:val="0"/>
                <w:color w:val="auto"/>
                <w:spacing w:val="0"/>
                <w:kern w:val="21"/>
                <w:sz w:val="24"/>
                <w:szCs w:val="24"/>
                <w:highlight w:val="none"/>
              </w:rPr>
            </w:pPr>
            <w:r>
              <w:rPr>
                <w:rFonts w:hint="default" w:ascii="Times New Roman" w:hAnsi="Times New Roman" w:eastAsia="宋体" w:cs="Times New Roman"/>
                <w:bCs/>
                <w:snapToGrid w:val="0"/>
                <w:color w:val="auto"/>
                <w:spacing w:val="0"/>
                <w:kern w:val="21"/>
                <w:sz w:val="24"/>
                <w:szCs w:val="24"/>
                <w:highlight w:val="none"/>
              </w:rPr>
              <w:t>项目</w:t>
            </w:r>
          </w:p>
          <w:p w14:paraId="47A795D5">
            <w:pPr>
              <w:pStyle w:val="73"/>
              <w:spacing w:beforeLines="0" w:afterLines="0" w:line="240" w:lineRule="auto"/>
              <w:ind w:firstLine="0" w:firstLineChars="0"/>
              <w:jc w:val="left"/>
              <w:rPr>
                <w:rFonts w:hint="default" w:ascii="Times New Roman" w:hAnsi="Times New Roman" w:eastAsia="宋体" w:cs="Times New Roman"/>
                <w:bCs/>
                <w:snapToGrid w:val="0"/>
                <w:color w:val="auto"/>
                <w:spacing w:val="0"/>
                <w:kern w:val="21"/>
                <w:sz w:val="24"/>
                <w:szCs w:val="24"/>
                <w:highlight w:val="none"/>
              </w:rPr>
            </w:pPr>
            <w:r>
              <w:rPr>
                <w:rFonts w:hint="default" w:ascii="Times New Roman" w:hAnsi="Times New Roman" w:eastAsia="宋体" w:cs="Times New Roman"/>
                <w:bCs/>
                <w:snapToGrid w:val="0"/>
                <w:color w:val="auto"/>
                <w:spacing w:val="0"/>
                <w:kern w:val="21"/>
                <w:sz w:val="24"/>
                <w:szCs w:val="24"/>
                <w:highlight w:val="none"/>
              </w:rPr>
              <w:t>分类</w:t>
            </w:r>
          </w:p>
        </w:tc>
        <w:tc>
          <w:tcPr>
            <w:tcW w:w="1443" w:type="dxa"/>
            <w:noWrap w:val="0"/>
            <w:tcMar>
              <w:left w:w="28" w:type="dxa"/>
              <w:right w:w="28" w:type="dxa"/>
            </w:tcMar>
            <w:vAlign w:val="center"/>
          </w:tcPr>
          <w:p w14:paraId="4C7A160A">
            <w:pPr>
              <w:pStyle w:val="73"/>
              <w:spacing w:beforeLines="0" w:afterLines="0" w:line="240" w:lineRule="auto"/>
              <w:ind w:firstLine="0" w:firstLineChars="0"/>
              <w:rPr>
                <w:rFonts w:hint="default" w:ascii="Times New Roman" w:hAnsi="Times New Roman" w:eastAsia="宋体" w:cs="Times New Roman"/>
                <w:bCs/>
                <w:snapToGrid w:val="0"/>
                <w:color w:val="auto"/>
                <w:spacing w:val="0"/>
                <w:kern w:val="21"/>
                <w:sz w:val="24"/>
                <w:szCs w:val="24"/>
                <w:highlight w:val="none"/>
              </w:rPr>
            </w:pPr>
            <w:r>
              <w:rPr>
                <w:rFonts w:hint="default" w:ascii="Times New Roman" w:hAnsi="Times New Roman" w:eastAsia="宋体" w:cs="Times New Roman"/>
                <w:bCs/>
                <w:snapToGrid w:val="0"/>
                <w:color w:val="auto"/>
                <w:spacing w:val="0"/>
                <w:kern w:val="21"/>
                <w:sz w:val="24"/>
                <w:szCs w:val="24"/>
                <w:highlight w:val="none"/>
              </w:rPr>
              <w:t>污染物名称</w:t>
            </w:r>
          </w:p>
        </w:tc>
        <w:tc>
          <w:tcPr>
            <w:tcW w:w="1524" w:type="dxa"/>
            <w:noWrap w:val="0"/>
            <w:tcMar>
              <w:left w:w="28" w:type="dxa"/>
              <w:right w:w="28" w:type="dxa"/>
            </w:tcMar>
            <w:vAlign w:val="center"/>
          </w:tcPr>
          <w:p w14:paraId="037C4F62">
            <w:pPr>
              <w:pStyle w:val="73"/>
              <w:spacing w:beforeLines="0" w:afterLines="0" w:line="240" w:lineRule="auto"/>
              <w:ind w:firstLine="0" w:firstLineChars="0"/>
              <w:rPr>
                <w:rFonts w:hint="default" w:ascii="Times New Roman" w:hAnsi="Times New Roman" w:eastAsia="宋体" w:cs="Times New Roman"/>
                <w:bCs/>
                <w:snapToGrid w:val="0"/>
                <w:color w:val="auto"/>
                <w:spacing w:val="0"/>
                <w:kern w:val="21"/>
                <w:sz w:val="24"/>
                <w:szCs w:val="24"/>
                <w:highlight w:val="none"/>
              </w:rPr>
            </w:pPr>
            <w:r>
              <w:rPr>
                <w:rFonts w:hint="default" w:ascii="Times New Roman" w:hAnsi="Times New Roman" w:eastAsia="宋体" w:cs="Times New Roman"/>
                <w:bCs/>
                <w:snapToGrid w:val="0"/>
                <w:color w:val="auto"/>
                <w:spacing w:val="0"/>
                <w:kern w:val="21"/>
                <w:sz w:val="24"/>
                <w:szCs w:val="24"/>
                <w:highlight w:val="none"/>
              </w:rPr>
              <w:t>现有工程</w:t>
            </w:r>
          </w:p>
          <w:p w14:paraId="6A0C0B5C">
            <w:pPr>
              <w:pStyle w:val="73"/>
              <w:spacing w:beforeLines="0" w:afterLines="0" w:line="240" w:lineRule="auto"/>
              <w:ind w:firstLine="0" w:firstLineChars="0"/>
              <w:rPr>
                <w:rFonts w:hint="default" w:ascii="Times New Roman" w:hAnsi="Times New Roman" w:eastAsia="宋体" w:cs="Times New Roman"/>
                <w:bCs/>
                <w:snapToGrid w:val="0"/>
                <w:color w:val="auto"/>
                <w:spacing w:val="0"/>
                <w:kern w:val="21"/>
                <w:sz w:val="24"/>
                <w:szCs w:val="24"/>
                <w:highlight w:val="none"/>
              </w:rPr>
            </w:pPr>
            <w:r>
              <w:rPr>
                <w:rFonts w:hint="default" w:ascii="Times New Roman" w:hAnsi="Times New Roman" w:eastAsia="宋体" w:cs="Times New Roman"/>
                <w:bCs/>
                <w:snapToGrid w:val="0"/>
                <w:color w:val="auto"/>
                <w:spacing w:val="0"/>
                <w:kern w:val="21"/>
                <w:sz w:val="24"/>
                <w:szCs w:val="24"/>
                <w:highlight w:val="none"/>
              </w:rPr>
              <w:t>排放量（固体废物产生量）</w:t>
            </w:r>
            <w:r>
              <w:rPr>
                <w:rFonts w:hint="default" w:ascii="Times New Roman" w:hAnsi="Times New Roman" w:eastAsia="宋体" w:cs="Times New Roman"/>
                <w:bCs/>
                <w:snapToGrid w:val="0"/>
                <w:color w:val="auto"/>
                <w:spacing w:val="0"/>
                <w:kern w:val="21"/>
                <w:sz w:val="24"/>
                <w:szCs w:val="24"/>
                <w:highlight w:val="none"/>
              </w:rPr>
              <w:fldChar w:fldCharType="begin"/>
            </w:r>
            <w:r>
              <w:rPr>
                <w:rFonts w:hint="default" w:ascii="Times New Roman" w:hAnsi="Times New Roman" w:eastAsia="宋体" w:cs="Times New Roman"/>
                <w:bCs/>
                <w:snapToGrid w:val="0"/>
                <w:color w:val="auto"/>
                <w:spacing w:val="0"/>
                <w:kern w:val="21"/>
                <w:sz w:val="24"/>
                <w:szCs w:val="24"/>
                <w:highlight w:val="none"/>
              </w:rPr>
              <w:instrText xml:space="preserve"> = 1 \* GB3 \* MERGEFORMAT </w:instrText>
            </w:r>
            <w:r>
              <w:rPr>
                <w:rFonts w:hint="default" w:ascii="Times New Roman" w:hAnsi="Times New Roman" w:eastAsia="宋体" w:cs="Times New Roman"/>
                <w:bCs/>
                <w:snapToGrid w:val="0"/>
                <w:color w:val="auto"/>
                <w:spacing w:val="0"/>
                <w:kern w:val="21"/>
                <w:sz w:val="24"/>
                <w:szCs w:val="24"/>
                <w:highlight w:val="none"/>
              </w:rPr>
              <w:fldChar w:fldCharType="separate"/>
            </w:r>
            <w:r>
              <w:rPr>
                <w:rFonts w:hint="default" w:ascii="Times New Roman" w:hAnsi="Times New Roman" w:eastAsia="宋体" w:cs="Times New Roman"/>
                <w:bCs/>
                <w:color w:val="auto"/>
                <w:spacing w:val="0"/>
                <w:kern w:val="2"/>
                <w:sz w:val="24"/>
                <w:szCs w:val="24"/>
                <w:highlight w:val="none"/>
              </w:rPr>
              <w:t>①</w:t>
            </w:r>
            <w:r>
              <w:rPr>
                <w:rFonts w:hint="default" w:ascii="Times New Roman" w:hAnsi="Times New Roman" w:eastAsia="宋体" w:cs="Times New Roman"/>
                <w:bCs/>
                <w:snapToGrid w:val="0"/>
                <w:color w:val="auto"/>
                <w:spacing w:val="0"/>
                <w:kern w:val="21"/>
                <w:sz w:val="24"/>
                <w:szCs w:val="24"/>
                <w:highlight w:val="none"/>
              </w:rPr>
              <w:fldChar w:fldCharType="end"/>
            </w:r>
          </w:p>
        </w:tc>
        <w:tc>
          <w:tcPr>
            <w:tcW w:w="1341" w:type="dxa"/>
            <w:noWrap w:val="0"/>
            <w:tcMar>
              <w:left w:w="28" w:type="dxa"/>
              <w:right w:w="28" w:type="dxa"/>
            </w:tcMar>
            <w:vAlign w:val="center"/>
          </w:tcPr>
          <w:p w14:paraId="54870D54">
            <w:pPr>
              <w:pStyle w:val="73"/>
              <w:spacing w:beforeLines="0" w:afterLines="0" w:line="240" w:lineRule="auto"/>
              <w:ind w:firstLine="0" w:firstLineChars="0"/>
              <w:rPr>
                <w:rFonts w:hint="default" w:ascii="Times New Roman" w:hAnsi="Times New Roman" w:eastAsia="宋体" w:cs="Times New Roman"/>
                <w:bCs/>
                <w:snapToGrid w:val="0"/>
                <w:color w:val="auto"/>
                <w:spacing w:val="0"/>
                <w:kern w:val="21"/>
                <w:sz w:val="24"/>
                <w:szCs w:val="24"/>
                <w:highlight w:val="none"/>
              </w:rPr>
            </w:pPr>
            <w:r>
              <w:rPr>
                <w:rFonts w:hint="default" w:ascii="Times New Roman" w:hAnsi="Times New Roman" w:eastAsia="宋体" w:cs="Times New Roman"/>
                <w:bCs/>
                <w:snapToGrid w:val="0"/>
                <w:color w:val="auto"/>
                <w:spacing w:val="0"/>
                <w:kern w:val="21"/>
                <w:sz w:val="24"/>
                <w:szCs w:val="24"/>
                <w:highlight w:val="none"/>
                <w:lang w:val="en-US" w:eastAsia="zh-CN"/>
              </w:rPr>
              <w:t>在建</w:t>
            </w:r>
            <w:r>
              <w:rPr>
                <w:rFonts w:hint="default" w:ascii="Times New Roman" w:hAnsi="Times New Roman" w:eastAsia="宋体" w:cs="Times New Roman"/>
                <w:bCs/>
                <w:snapToGrid w:val="0"/>
                <w:color w:val="auto"/>
                <w:spacing w:val="0"/>
                <w:kern w:val="21"/>
                <w:sz w:val="24"/>
                <w:szCs w:val="24"/>
                <w:highlight w:val="none"/>
              </w:rPr>
              <w:t>工程许可排放量</w:t>
            </w:r>
            <w:r>
              <w:rPr>
                <w:rFonts w:hint="default" w:ascii="Times New Roman" w:hAnsi="Times New Roman" w:eastAsia="宋体" w:cs="Times New Roman"/>
                <w:bCs/>
                <w:snapToGrid w:val="0"/>
                <w:color w:val="auto"/>
                <w:spacing w:val="0"/>
                <w:kern w:val="21"/>
                <w:sz w:val="24"/>
                <w:szCs w:val="24"/>
                <w:highlight w:val="none"/>
              </w:rPr>
              <w:fldChar w:fldCharType="begin"/>
            </w:r>
            <w:r>
              <w:rPr>
                <w:rFonts w:hint="default" w:ascii="Times New Roman" w:hAnsi="Times New Roman" w:eastAsia="宋体" w:cs="Times New Roman"/>
                <w:bCs/>
                <w:snapToGrid w:val="0"/>
                <w:color w:val="auto"/>
                <w:spacing w:val="0"/>
                <w:kern w:val="21"/>
                <w:sz w:val="24"/>
                <w:szCs w:val="24"/>
                <w:highlight w:val="none"/>
              </w:rPr>
              <w:instrText xml:space="preserve"> = 2 \* GB3 \* MERGEFORMAT </w:instrText>
            </w:r>
            <w:r>
              <w:rPr>
                <w:rFonts w:hint="default" w:ascii="Times New Roman" w:hAnsi="Times New Roman" w:eastAsia="宋体" w:cs="Times New Roman"/>
                <w:bCs/>
                <w:snapToGrid w:val="0"/>
                <w:color w:val="auto"/>
                <w:spacing w:val="0"/>
                <w:kern w:val="21"/>
                <w:sz w:val="24"/>
                <w:szCs w:val="24"/>
                <w:highlight w:val="none"/>
              </w:rPr>
              <w:fldChar w:fldCharType="separate"/>
            </w:r>
            <w:r>
              <w:rPr>
                <w:rFonts w:hint="default" w:ascii="Times New Roman" w:hAnsi="Times New Roman" w:eastAsia="宋体" w:cs="Times New Roman"/>
                <w:bCs/>
                <w:snapToGrid w:val="0"/>
                <w:color w:val="auto"/>
                <w:spacing w:val="0"/>
                <w:kern w:val="21"/>
                <w:sz w:val="24"/>
                <w:szCs w:val="24"/>
                <w:highlight w:val="none"/>
              </w:rPr>
              <w:t>②</w:t>
            </w:r>
            <w:r>
              <w:rPr>
                <w:rFonts w:hint="default" w:ascii="Times New Roman" w:hAnsi="Times New Roman" w:eastAsia="宋体" w:cs="Times New Roman"/>
                <w:bCs/>
                <w:snapToGrid w:val="0"/>
                <w:color w:val="auto"/>
                <w:spacing w:val="0"/>
                <w:kern w:val="21"/>
                <w:sz w:val="24"/>
                <w:szCs w:val="24"/>
                <w:highlight w:val="none"/>
              </w:rPr>
              <w:fldChar w:fldCharType="end"/>
            </w:r>
          </w:p>
        </w:tc>
        <w:tc>
          <w:tcPr>
            <w:tcW w:w="1390" w:type="dxa"/>
            <w:noWrap w:val="0"/>
            <w:tcMar>
              <w:left w:w="28" w:type="dxa"/>
              <w:right w:w="28" w:type="dxa"/>
            </w:tcMar>
            <w:vAlign w:val="center"/>
          </w:tcPr>
          <w:p w14:paraId="08299B7C">
            <w:pPr>
              <w:pStyle w:val="73"/>
              <w:spacing w:beforeLines="0" w:afterLines="0" w:line="240" w:lineRule="auto"/>
              <w:ind w:firstLine="0" w:firstLineChars="0"/>
              <w:rPr>
                <w:rFonts w:hint="default" w:ascii="Times New Roman" w:hAnsi="Times New Roman" w:eastAsia="宋体" w:cs="Times New Roman"/>
                <w:bCs/>
                <w:snapToGrid w:val="0"/>
                <w:color w:val="auto"/>
                <w:spacing w:val="0"/>
                <w:kern w:val="21"/>
                <w:sz w:val="24"/>
                <w:szCs w:val="24"/>
                <w:highlight w:val="none"/>
              </w:rPr>
            </w:pPr>
            <w:r>
              <w:rPr>
                <w:rFonts w:hint="default" w:ascii="Times New Roman" w:hAnsi="Times New Roman" w:eastAsia="宋体" w:cs="Times New Roman"/>
                <w:bCs/>
                <w:snapToGrid w:val="0"/>
                <w:color w:val="auto"/>
                <w:spacing w:val="0"/>
                <w:kern w:val="21"/>
                <w:sz w:val="24"/>
                <w:szCs w:val="24"/>
                <w:highlight w:val="none"/>
              </w:rPr>
              <w:t>在建工程排放量（固体废物产生量）</w:t>
            </w:r>
            <w:r>
              <w:rPr>
                <w:rFonts w:hint="default" w:ascii="Times New Roman" w:hAnsi="Times New Roman" w:eastAsia="宋体" w:cs="Times New Roman"/>
                <w:bCs/>
                <w:snapToGrid w:val="0"/>
                <w:color w:val="auto"/>
                <w:spacing w:val="0"/>
                <w:kern w:val="21"/>
                <w:sz w:val="24"/>
                <w:szCs w:val="24"/>
                <w:highlight w:val="none"/>
              </w:rPr>
              <w:fldChar w:fldCharType="begin"/>
            </w:r>
            <w:r>
              <w:rPr>
                <w:rFonts w:hint="default" w:ascii="Times New Roman" w:hAnsi="Times New Roman" w:eastAsia="宋体" w:cs="Times New Roman"/>
                <w:bCs/>
                <w:snapToGrid w:val="0"/>
                <w:color w:val="auto"/>
                <w:spacing w:val="0"/>
                <w:kern w:val="21"/>
                <w:sz w:val="24"/>
                <w:szCs w:val="24"/>
                <w:highlight w:val="none"/>
              </w:rPr>
              <w:instrText xml:space="preserve"> = 3 \* GB3 \* MERGEFORMAT </w:instrText>
            </w:r>
            <w:r>
              <w:rPr>
                <w:rFonts w:hint="default" w:ascii="Times New Roman" w:hAnsi="Times New Roman" w:eastAsia="宋体" w:cs="Times New Roman"/>
                <w:bCs/>
                <w:snapToGrid w:val="0"/>
                <w:color w:val="auto"/>
                <w:spacing w:val="0"/>
                <w:kern w:val="21"/>
                <w:sz w:val="24"/>
                <w:szCs w:val="24"/>
                <w:highlight w:val="none"/>
              </w:rPr>
              <w:fldChar w:fldCharType="separate"/>
            </w:r>
            <w:r>
              <w:rPr>
                <w:rFonts w:hint="default" w:ascii="Times New Roman" w:hAnsi="Times New Roman" w:eastAsia="宋体" w:cs="Times New Roman"/>
                <w:bCs/>
                <w:color w:val="auto"/>
                <w:spacing w:val="0"/>
                <w:kern w:val="2"/>
                <w:sz w:val="24"/>
                <w:szCs w:val="24"/>
                <w:highlight w:val="none"/>
              </w:rPr>
              <w:t>③</w:t>
            </w:r>
            <w:r>
              <w:rPr>
                <w:rFonts w:hint="default" w:ascii="Times New Roman" w:hAnsi="Times New Roman" w:eastAsia="宋体" w:cs="Times New Roman"/>
                <w:bCs/>
                <w:snapToGrid w:val="0"/>
                <w:color w:val="auto"/>
                <w:spacing w:val="0"/>
                <w:kern w:val="21"/>
                <w:sz w:val="24"/>
                <w:szCs w:val="24"/>
                <w:highlight w:val="none"/>
              </w:rPr>
              <w:fldChar w:fldCharType="end"/>
            </w:r>
          </w:p>
        </w:tc>
        <w:tc>
          <w:tcPr>
            <w:tcW w:w="1595" w:type="dxa"/>
            <w:noWrap w:val="0"/>
            <w:tcMar>
              <w:left w:w="28" w:type="dxa"/>
              <w:right w:w="28" w:type="dxa"/>
            </w:tcMar>
            <w:vAlign w:val="center"/>
          </w:tcPr>
          <w:p w14:paraId="24915D5E">
            <w:pPr>
              <w:pStyle w:val="73"/>
              <w:spacing w:beforeLines="0" w:afterLines="0" w:line="240" w:lineRule="auto"/>
              <w:ind w:firstLine="0" w:firstLineChars="0"/>
              <w:rPr>
                <w:rFonts w:hint="default" w:ascii="Times New Roman" w:hAnsi="Times New Roman" w:eastAsia="宋体" w:cs="Times New Roman"/>
                <w:bCs/>
                <w:snapToGrid w:val="0"/>
                <w:color w:val="auto"/>
                <w:spacing w:val="0"/>
                <w:kern w:val="21"/>
                <w:sz w:val="24"/>
                <w:szCs w:val="24"/>
                <w:highlight w:val="none"/>
              </w:rPr>
            </w:pPr>
            <w:r>
              <w:rPr>
                <w:rFonts w:hint="default" w:ascii="Times New Roman" w:hAnsi="Times New Roman" w:eastAsia="宋体" w:cs="Times New Roman"/>
                <w:bCs/>
                <w:snapToGrid w:val="0"/>
                <w:color w:val="auto"/>
                <w:spacing w:val="0"/>
                <w:kern w:val="21"/>
                <w:sz w:val="24"/>
                <w:szCs w:val="24"/>
                <w:highlight w:val="none"/>
              </w:rPr>
              <w:t>本项目排放量（固体废物产生量）</w:t>
            </w:r>
            <w:r>
              <w:rPr>
                <w:rFonts w:hint="default" w:ascii="Times New Roman" w:hAnsi="Times New Roman" w:eastAsia="宋体" w:cs="Times New Roman"/>
                <w:bCs/>
                <w:snapToGrid w:val="0"/>
                <w:color w:val="auto"/>
                <w:spacing w:val="0"/>
                <w:kern w:val="21"/>
                <w:sz w:val="24"/>
                <w:szCs w:val="24"/>
                <w:highlight w:val="none"/>
              </w:rPr>
              <w:fldChar w:fldCharType="begin"/>
            </w:r>
            <w:r>
              <w:rPr>
                <w:rFonts w:hint="default" w:ascii="Times New Roman" w:hAnsi="Times New Roman" w:eastAsia="宋体" w:cs="Times New Roman"/>
                <w:bCs/>
                <w:snapToGrid w:val="0"/>
                <w:color w:val="auto"/>
                <w:spacing w:val="0"/>
                <w:kern w:val="21"/>
                <w:sz w:val="24"/>
                <w:szCs w:val="24"/>
                <w:highlight w:val="none"/>
              </w:rPr>
              <w:instrText xml:space="preserve"> = 4 \* GB3 \* MERGEFORMAT </w:instrText>
            </w:r>
            <w:r>
              <w:rPr>
                <w:rFonts w:hint="default" w:ascii="Times New Roman" w:hAnsi="Times New Roman" w:eastAsia="宋体" w:cs="Times New Roman"/>
                <w:bCs/>
                <w:snapToGrid w:val="0"/>
                <w:color w:val="auto"/>
                <w:spacing w:val="0"/>
                <w:kern w:val="21"/>
                <w:sz w:val="24"/>
                <w:szCs w:val="24"/>
                <w:highlight w:val="none"/>
              </w:rPr>
              <w:fldChar w:fldCharType="separate"/>
            </w:r>
            <w:r>
              <w:rPr>
                <w:rFonts w:hint="default" w:ascii="Times New Roman" w:hAnsi="Times New Roman" w:eastAsia="宋体" w:cs="Times New Roman"/>
                <w:bCs/>
                <w:color w:val="auto"/>
                <w:spacing w:val="0"/>
                <w:kern w:val="2"/>
                <w:sz w:val="24"/>
                <w:szCs w:val="24"/>
                <w:highlight w:val="none"/>
              </w:rPr>
              <w:t>④</w:t>
            </w:r>
            <w:r>
              <w:rPr>
                <w:rFonts w:hint="default" w:ascii="Times New Roman" w:hAnsi="Times New Roman" w:eastAsia="宋体" w:cs="Times New Roman"/>
                <w:bCs/>
                <w:snapToGrid w:val="0"/>
                <w:color w:val="auto"/>
                <w:spacing w:val="0"/>
                <w:kern w:val="21"/>
                <w:sz w:val="24"/>
                <w:szCs w:val="24"/>
                <w:highlight w:val="none"/>
              </w:rPr>
              <w:fldChar w:fldCharType="end"/>
            </w:r>
          </w:p>
        </w:tc>
        <w:tc>
          <w:tcPr>
            <w:tcW w:w="1416" w:type="dxa"/>
            <w:noWrap w:val="0"/>
            <w:tcMar>
              <w:left w:w="28" w:type="dxa"/>
              <w:right w:w="28" w:type="dxa"/>
            </w:tcMar>
            <w:vAlign w:val="center"/>
          </w:tcPr>
          <w:p w14:paraId="15E15F75">
            <w:pPr>
              <w:pStyle w:val="73"/>
              <w:spacing w:beforeLines="0" w:afterLines="0" w:line="240" w:lineRule="auto"/>
              <w:ind w:firstLine="0" w:firstLineChars="0"/>
              <w:rPr>
                <w:rFonts w:hint="default" w:ascii="Times New Roman" w:hAnsi="Times New Roman" w:eastAsia="宋体" w:cs="Times New Roman"/>
                <w:bCs/>
                <w:snapToGrid w:val="0"/>
                <w:color w:val="auto"/>
                <w:spacing w:val="0"/>
                <w:kern w:val="21"/>
                <w:sz w:val="24"/>
                <w:szCs w:val="24"/>
                <w:highlight w:val="none"/>
              </w:rPr>
            </w:pPr>
            <w:r>
              <w:rPr>
                <w:rFonts w:hint="default" w:ascii="Times New Roman" w:hAnsi="Times New Roman" w:eastAsia="宋体" w:cs="Times New Roman"/>
                <w:bCs/>
                <w:snapToGrid w:val="0"/>
                <w:color w:val="auto"/>
                <w:spacing w:val="0"/>
                <w:kern w:val="21"/>
                <w:sz w:val="24"/>
                <w:szCs w:val="24"/>
                <w:highlight w:val="none"/>
              </w:rPr>
              <w:t>以新带老削减量（新建项目不填）</w:t>
            </w:r>
            <w:r>
              <w:rPr>
                <w:rFonts w:hint="default" w:ascii="Times New Roman" w:hAnsi="Times New Roman" w:eastAsia="宋体" w:cs="Times New Roman"/>
                <w:bCs/>
                <w:snapToGrid w:val="0"/>
                <w:color w:val="auto"/>
                <w:spacing w:val="0"/>
                <w:kern w:val="21"/>
                <w:sz w:val="24"/>
                <w:szCs w:val="24"/>
                <w:highlight w:val="none"/>
              </w:rPr>
              <w:fldChar w:fldCharType="begin"/>
            </w:r>
            <w:r>
              <w:rPr>
                <w:rFonts w:hint="default" w:ascii="Times New Roman" w:hAnsi="Times New Roman" w:eastAsia="宋体" w:cs="Times New Roman"/>
                <w:bCs/>
                <w:snapToGrid w:val="0"/>
                <w:color w:val="auto"/>
                <w:spacing w:val="0"/>
                <w:kern w:val="21"/>
                <w:sz w:val="24"/>
                <w:szCs w:val="24"/>
                <w:highlight w:val="none"/>
              </w:rPr>
              <w:instrText xml:space="preserve"> = 5 \* GB3 \* MERGEFORMAT </w:instrText>
            </w:r>
            <w:r>
              <w:rPr>
                <w:rFonts w:hint="default" w:ascii="Times New Roman" w:hAnsi="Times New Roman" w:eastAsia="宋体" w:cs="Times New Roman"/>
                <w:bCs/>
                <w:snapToGrid w:val="0"/>
                <w:color w:val="auto"/>
                <w:spacing w:val="0"/>
                <w:kern w:val="21"/>
                <w:sz w:val="24"/>
                <w:szCs w:val="24"/>
                <w:highlight w:val="none"/>
              </w:rPr>
              <w:fldChar w:fldCharType="separate"/>
            </w:r>
            <w:r>
              <w:rPr>
                <w:rFonts w:hint="default" w:ascii="Times New Roman" w:hAnsi="Times New Roman" w:eastAsia="宋体" w:cs="Times New Roman"/>
                <w:bCs/>
                <w:color w:val="auto"/>
                <w:spacing w:val="0"/>
                <w:kern w:val="2"/>
                <w:sz w:val="24"/>
                <w:szCs w:val="24"/>
                <w:highlight w:val="none"/>
              </w:rPr>
              <w:t>⑤</w:t>
            </w:r>
            <w:r>
              <w:rPr>
                <w:rFonts w:hint="default" w:ascii="Times New Roman" w:hAnsi="Times New Roman" w:eastAsia="宋体" w:cs="Times New Roman"/>
                <w:bCs/>
                <w:snapToGrid w:val="0"/>
                <w:color w:val="auto"/>
                <w:spacing w:val="0"/>
                <w:kern w:val="21"/>
                <w:sz w:val="24"/>
                <w:szCs w:val="24"/>
                <w:highlight w:val="none"/>
              </w:rPr>
              <w:fldChar w:fldCharType="end"/>
            </w:r>
          </w:p>
        </w:tc>
        <w:tc>
          <w:tcPr>
            <w:tcW w:w="1662" w:type="dxa"/>
            <w:noWrap w:val="0"/>
            <w:tcMar>
              <w:left w:w="28" w:type="dxa"/>
              <w:right w:w="28" w:type="dxa"/>
            </w:tcMar>
            <w:vAlign w:val="center"/>
          </w:tcPr>
          <w:p w14:paraId="28418EED">
            <w:pPr>
              <w:pStyle w:val="73"/>
              <w:spacing w:beforeLines="0" w:afterLines="0" w:line="240" w:lineRule="auto"/>
              <w:ind w:firstLine="0" w:firstLineChars="0"/>
              <w:rPr>
                <w:rFonts w:hint="default" w:ascii="Times New Roman" w:hAnsi="Times New Roman" w:eastAsia="宋体" w:cs="Times New Roman"/>
                <w:bCs/>
                <w:snapToGrid w:val="0"/>
                <w:color w:val="auto"/>
                <w:spacing w:val="0"/>
                <w:kern w:val="21"/>
                <w:sz w:val="24"/>
                <w:szCs w:val="24"/>
                <w:highlight w:val="none"/>
              </w:rPr>
            </w:pPr>
            <w:r>
              <w:rPr>
                <w:rFonts w:hint="default" w:ascii="Times New Roman" w:hAnsi="Times New Roman" w:eastAsia="宋体" w:cs="Times New Roman"/>
                <w:bCs/>
                <w:snapToGrid w:val="0"/>
                <w:color w:val="auto"/>
                <w:spacing w:val="0"/>
                <w:kern w:val="21"/>
                <w:sz w:val="24"/>
                <w:szCs w:val="24"/>
                <w:highlight w:val="none"/>
              </w:rPr>
              <w:t>本项目建成后全厂排放量（固体废物产生量）</w:t>
            </w:r>
            <w:r>
              <w:rPr>
                <w:rFonts w:hint="default" w:ascii="Times New Roman" w:hAnsi="Times New Roman" w:eastAsia="宋体" w:cs="Times New Roman"/>
                <w:bCs/>
                <w:snapToGrid w:val="0"/>
                <w:color w:val="auto"/>
                <w:spacing w:val="0"/>
                <w:kern w:val="21"/>
                <w:sz w:val="24"/>
                <w:szCs w:val="24"/>
                <w:highlight w:val="none"/>
              </w:rPr>
              <w:fldChar w:fldCharType="begin"/>
            </w:r>
            <w:r>
              <w:rPr>
                <w:rFonts w:hint="default" w:ascii="Times New Roman" w:hAnsi="Times New Roman" w:eastAsia="宋体" w:cs="Times New Roman"/>
                <w:bCs/>
                <w:snapToGrid w:val="0"/>
                <w:color w:val="auto"/>
                <w:spacing w:val="0"/>
                <w:kern w:val="21"/>
                <w:sz w:val="24"/>
                <w:szCs w:val="24"/>
                <w:highlight w:val="none"/>
              </w:rPr>
              <w:instrText xml:space="preserve"> = 6 \* GB3 \* MERGEFORMAT </w:instrText>
            </w:r>
            <w:r>
              <w:rPr>
                <w:rFonts w:hint="default" w:ascii="Times New Roman" w:hAnsi="Times New Roman" w:eastAsia="宋体" w:cs="Times New Roman"/>
                <w:bCs/>
                <w:snapToGrid w:val="0"/>
                <w:color w:val="auto"/>
                <w:spacing w:val="0"/>
                <w:kern w:val="21"/>
                <w:sz w:val="24"/>
                <w:szCs w:val="24"/>
                <w:highlight w:val="none"/>
              </w:rPr>
              <w:fldChar w:fldCharType="separate"/>
            </w:r>
            <w:r>
              <w:rPr>
                <w:rFonts w:hint="default" w:ascii="Times New Roman" w:hAnsi="Times New Roman" w:eastAsia="宋体" w:cs="Times New Roman"/>
                <w:bCs/>
                <w:color w:val="auto"/>
                <w:spacing w:val="0"/>
                <w:kern w:val="2"/>
                <w:sz w:val="24"/>
                <w:szCs w:val="24"/>
                <w:highlight w:val="none"/>
              </w:rPr>
              <w:t>⑥</w:t>
            </w:r>
            <w:r>
              <w:rPr>
                <w:rFonts w:hint="default" w:ascii="Times New Roman" w:hAnsi="Times New Roman" w:eastAsia="宋体" w:cs="Times New Roman"/>
                <w:bCs/>
                <w:snapToGrid w:val="0"/>
                <w:color w:val="auto"/>
                <w:spacing w:val="0"/>
                <w:kern w:val="21"/>
                <w:sz w:val="24"/>
                <w:szCs w:val="24"/>
                <w:highlight w:val="none"/>
              </w:rPr>
              <w:fldChar w:fldCharType="end"/>
            </w:r>
          </w:p>
        </w:tc>
        <w:tc>
          <w:tcPr>
            <w:tcW w:w="1589" w:type="dxa"/>
            <w:noWrap w:val="0"/>
            <w:tcMar>
              <w:left w:w="28" w:type="dxa"/>
              <w:right w:w="28" w:type="dxa"/>
            </w:tcMar>
            <w:vAlign w:val="center"/>
          </w:tcPr>
          <w:p w14:paraId="14BF2C09">
            <w:pPr>
              <w:pStyle w:val="73"/>
              <w:spacing w:beforeLines="0" w:afterLines="0" w:line="240" w:lineRule="auto"/>
              <w:ind w:firstLine="0" w:firstLineChars="0"/>
              <w:rPr>
                <w:rFonts w:hint="default" w:ascii="Times New Roman" w:hAnsi="Times New Roman" w:eastAsia="宋体" w:cs="Times New Roman"/>
                <w:bCs/>
                <w:snapToGrid w:val="0"/>
                <w:color w:val="auto"/>
                <w:spacing w:val="0"/>
                <w:kern w:val="21"/>
                <w:sz w:val="24"/>
                <w:szCs w:val="24"/>
                <w:highlight w:val="none"/>
              </w:rPr>
            </w:pPr>
            <w:r>
              <w:rPr>
                <w:rFonts w:hint="default" w:ascii="Times New Roman" w:hAnsi="Times New Roman" w:eastAsia="宋体" w:cs="Times New Roman"/>
                <w:bCs/>
                <w:snapToGrid w:val="0"/>
                <w:color w:val="auto"/>
                <w:spacing w:val="0"/>
                <w:kern w:val="21"/>
                <w:sz w:val="24"/>
                <w:szCs w:val="24"/>
                <w:highlight w:val="none"/>
              </w:rPr>
              <w:t>变化量</w:t>
            </w:r>
          </w:p>
          <w:p w14:paraId="48C447D6">
            <w:pPr>
              <w:pStyle w:val="73"/>
              <w:spacing w:beforeLines="0" w:afterLines="0" w:line="240" w:lineRule="auto"/>
              <w:ind w:firstLine="0" w:firstLineChars="0"/>
              <w:rPr>
                <w:rFonts w:hint="default" w:ascii="Times New Roman" w:hAnsi="Times New Roman" w:eastAsia="宋体" w:cs="Times New Roman"/>
                <w:bCs/>
                <w:snapToGrid w:val="0"/>
                <w:color w:val="auto"/>
                <w:spacing w:val="0"/>
                <w:kern w:val="21"/>
                <w:sz w:val="24"/>
                <w:szCs w:val="24"/>
                <w:highlight w:val="none"/>
              </w:rPr>
            </w:pPr>
            <w:r>
              <w:rPr>
                <w:rFonts w:hint="default" w:ascii="Times New Roman" w:hAnsi="Times New Roman" w:eastAsia="宋体" w:cs="Times New Roman"/>
                <w:bCs/>
                <w:snapToGrid w:val="0"/>
                <w:color w:val="auto"/>
                <w:spacing w:val="0"/>
                <w:kern w:val="21"/>
                <w:sz w:val="24"/>
                <w:szCs w:val="24"/>
                <w:highlight w:val="none"/>
              </w:rPr>
              <w:fldChar w:fldCharType="begin"/>
            </w:r>
            <w:r>
              <w:rPr>
                <w:rFonts w:hint="default" w:ascii="Times New Roman" w:hAnsi="Times New Roman" w:eastAsia="宋体" w:cs="Times New Roman"/>
                <w:bCs/>
                <w:snapToGrid w:val="0"/>
                <w:color w:val="auto"/>
                <w:spacing w:val="0"/>
                <w:kern w:val="21"/>
                <w:sz w:val="24"/>
                <w:szCs w:val="24"/>
                <w:highlight w:val="none"/>
              </w:rPr>
              <w:instrText xml:space="preserve"> = 7 \* GB3 \* MERGEFORMAT </w:instrText>
            </w:r>
            <w:r>
              <w:rPr>
                <w:rFonts w:hint="default" w:ascii="Times New Roman" w:hAnsi="Times New Roman" w:eastAsia="宋体" w:cs="Times New Roman"/>
                <w:bCs/>
                <w:snapToGrid w:val="0"/>
                <w:color w:val="auto"/>
                <w:spacing w:val="0"/>
                <w:kern w:val="21"/>
                <w:sz w:val="24"/>
                <w:szCs w:val="24"/>
                <w:highlight w:val="none"/>
              </w:rPr>
              <w:fldChar w:fldCharType="separate"/>
            </w:r>
            <w:r>
              <w:rPr>
                <w:rFonts w:hint="default" w:ascii="Times New Roman" w:hAnsi="Times New Roman" w:eastAsia="宋体" w:cs="Times New Roman"/>
                <w:bCs/>
                <w:color w:val="auto"/>
                <w:spacing w:val="0"/>
                <w:kern w:val="2"/>
                <w:sz w:val="24"/>
                <w:szCs w:val="24"/>
                <w:highlight w:val="none"/>
              </w:rPr>
              <w:t>⑦</w:t>
            </w:r>
            <w:r>
              <w:rPr>
                <w:rFonts w:hint="default" w:ascii="Times New Roman" w:hAnsi="Times New Roman" w:eastAsia="宋体" w:cs="Times New Roman"/>
                <w:bCs/>
                <w:snapToGrid w:val="0"/>
                <w:color w:val="auto"/>
                <w:spacing w:val="0"/>
                <w:kern w:val="21"/>
                <w:sz w:val="24"/>
                <w:szCs w:val="24"/>
                <w:highlight w:val="none"/>
              </w:rPr>
              <w:fldChar w:fldCharType="end"/>
            </w:r>
          </w:p>
        </w:tc>
      </w:tr>
      <w:tr w14:paraId="53011C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2" w:type="dxa"/>
            <w:vMerge w:val="restart"/>
            <w:noWrap w:val="0"/>
            <w:vAlign w:val="center"/>
          </w:tcPr>
          <w:p w14:paraId="4067DB86">
            <w:pPr>
              <w:pStyle w:val="70"/>
              <w:rPr>
                <w:rFonts w:hint="default" w:ascii="Times New Roman" w:hAnsi="Times New Roman" w:eastAsia="宋体" w:cs="Times New Roman"/>
                <w:bCs/>
                <w:snapToGrid w:val="0"/>
                <w:color w:val="auto"/>
                <w:spacing w:val="0"/>
                <w:kern w:val="21"/>
                <w:sz w:val="24"/>
                <w:szCs w:val="24"/>
                <w:highlight w:val="none"/>
              </w:rPr>
            </w:pPr>
            <w:r>
              <w:rPr>
                <w:rFonts w:hint="default" w:ascii="Times New Roman" w:hAnsi="Times New Roman" w:eastAsia="宋体" w:cs="Times New Roman"/>
                <w:color w:val="auto"/>
                <w:spacing w:val="0"/>
                <w:sz w:val="24"/>
                <w:szCs w:val="24"/>
                <w:highlight w:val="none"/>
                <w:lang w:val="en-US" w:eastAsia="zh-CN"/>
              </w:rPr>
              <w:t>废气</w:t>
            </w:r>
          </w:p>
        </w:tc>
        <w:tc>
          <w:tcPr>
            <w:tcW w:w="1443" w:type="dxa"/>
            <w:noWrap w:val="0"/>
            <w:vAlign w:val="center"/>
          </w:tcPr>
          <w:p w14:paraId="0D0CF518">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eastAsia="宋体" w:cs="Times New Roman"/>
                <w:color w:val="auto"/>
                <w:spacing w:val="0"/>
                <w:sz w:val="24"/>
                <w:szCs w:val="24"/>
                <w:highlight w:val="none"/>
                <w:lang w:val="en-US" w:eastAsia="zh-CN"/>
              </w:rPr>
              <w:t>二氧化硫</w:t>
            </w:r>
          </w:p>
        </w:tc>
        <w:tc>
          <w:tcPr>
            <w:tcW w:w="1524" w:type="dxa"/>
            <w:noWrap w:val="0"/>
            <w:vAlign w:val="center"/>
          </w:tcPr>
          <w:p w14:paraId="31D57FBD">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341" w:type="dxa"/>
            <w:shd w:val="clear" w:color="auto" w:fill="auto"/>
            <w:noWrap w:val="0"/>
            <w:vAlign w:val="center"/>
          </w:tcPr>
          <w:p w14:paraId="010A0A90">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390" w:type="dxa"/>
            <w:shd w:val="clear" w:color="auto" w:fill="auto"/>
            <w:noWrap w:val="0"/>
            <w:vAlign w:val="center"/>
          </w:tcPr>
          <w:p w14:paraId="4C30B7AB">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595" w:type="dxa"/>
            <w:noWrap w:val="0"/>
            <w:vAlign w:val="center"/>
          </w:tcPr>
          <w:p w14:paraId="0425410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i w:val="0"/>
                <w:iCs w:val="0"/>
                <w:color w:val="auto"/>
                <w:spacing w:val="0"/>
                <w:kern w:val="2"/>
                <w:sz w:val="24"/>
                <w:szCs w:val="24"/>
                <w:highlight w:val="none"/>
                <w:u w:val="none"/>
                <w:lang w:val="en-US" w:eastAsia="zh-CN" w:bidi="ar-SA"/>
              </w:rPr>
            </w:pPr>
            <w:r>
              <w:rPr>
                <w:rFonts w:hint="eastAsia" w:ascii="Times New Roman" w:hAnsi="Times New Roman" w:cs="Times New Roman"/>
                <w:bCs/>
                <w:i w:val="0"/>
                <w:iCs w:val="0"/>
                <w:color w:val="auto"/>
                <w:spacing w:val="0"/>
                <w:kern w:val="2"/>
                <w:sz w:val="24"/>
                <w:szCs w:val="24"/>
                <w:highlight w:val="none"/>
                <w:u w:val="none"/>
                <w:lang w:val="en-US" w:eastAsia="zh-CN" w:bidi="ar-SA"/>
              </w:rPr>
              <w:t>0.544</w:t>
            </w:r>
            <w:r>
              <w:rPr>
                <w:rFonts w:hint="default" w:ascii="Times New Roman" w:hAnsi="Times New Roman" w:eastAsia="宋体" w:cs="Times New Roman"/>
                <w:bCs/>
                <w:i w:val="0"/>
                <w:iCs w:val="0"/>
                <w:color w:val="auto"/>
                <w:spacing w:val="0"/>
                <w:kern w:val="2"/>
                <w:sz w:val="24"/>
                <w:szCs w:val="24"/>
                <w:highlight w:val="none"/>
                <w:u w:val="none"/>
                <w:lang w:val="en-US" w:eastAsia="zh-CN" w:bidi="ar-SA"/>
              </w:rPr>
              <w:t>t/a</w:t>
            </w:r>
          </w:p>
        </w:tc>
        <w:tc>
          <w:tcPr>
            <w:tcW w:w="1416" w:type="dxa"/>
            <w:noWrap w:val="0"/>
            <w:vAlign w:val="center"/>
          </w:tcPr>
          <w:p w14:paraId="16A553F5">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662" w:type="dxa"/>
            <w:shd w:val="clear" w:color="auto" w:fill="auto"/>
            <w:noWrap w:val="0"/>
            <w:vAlign w:val="center"/>
          </w:tcPr>
          <w:p w14:paraId="57E6526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i w:val="0"/>
                <w:iCs w:val="0"/>
                <w:color w:val="auto"/>
                <w:spacing w:val="0"/>
                <w:kern w:val="2"/>
                <w:sz w:val="24"/>
                <w:szCs w:val="24"/>
                <w:highlight w:val="none"/>
                <w:u w:val="none"/>
                <w:lang w:val="en-US" w:eastAsia="zh-CN" w:bidi="ar-SA"/>
              </w:rPr>
            </w:pPr>
            <w:r>
              <w:rPr>
                <w:rFonts w:hint="eastAsia" w:ascii="Times New Roman" w:hAnsi="Times New Roman" w:cs="Times New Roman"/>
                <w:bCs/>
                <w:i w:val="0"/>
                <w:iCs w:val="0"/>
                <w:color w:val="auto"/>
                <w:spacing w:val="0"/>
                <w:kern w:val="2"/>
                <w:sz w:val="24"/>
                <w:szCs w:val="24"/>
                <w:highlight w:val="none"/>
                <w:u w:val="none"/>
                <w:lang w:val="en-US" w:eastAsia="zh-CN" w:bidi="ar-SA"/>
              </w:rPr>
              <w:t>0.544</w:t>
            </w:r>
            <w:r>
              <w:rPr>
                <w:rFonts w:hint="default" w:ascii="Times New Roman" w:hAnsi="Times New Roman" w:eastAsia="宋体" w:cs="Times New Roman"/>
                <w:bCs/>
                <w:i w:val="0"/>
                <w:iCs w:val="0"/>
                <w:color w:val="auto"/>
                <w:spacing w:val="0"/>
                <w:kern w:val="2"/>
                <w:sz w:val="24"/>
                <w:szCs w:val="24"/>
                <w:highlight w:val="none"/>
                <w:u w:val="none"/>
                <w:lang w:val="en-US" w:eastAsia="zh-CN" w:bidi="ar-SA"/>
              </w:rPr>
              <w:t>t/a</w:t>
            </w:r>
          </w:p>
        </w:tc>
        <w:tc>
          <w:tcPr>
            <w:tcW w:w="1589" w:type="dxa"/>
            <w:shd w:val="clear" w:color="auto" w:fill="auto"/>
            <w:noWrap w:val="0"/>
            <w:vAlign w:val="center"/>
          </w:tcPr>
          <w:p w14:paraId="1678128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i w:val="0"/>
                <w:iCs w:val="0"/>
                <w:color w:val="auto"/>
                <w:spacing w:val="0"/>
                <w:kern w:val="2"/>
                <w:sz w:val="24"/>
                <w:szCs w:val="24"/>
                <w:highlight w:val="none"/>
                <w:u w:val="none"/>
                <w:lang w:val="en-US" w:eastAsia="zh-CN" w:bidi="ar-SA"/>
              </w:rPr>
            </w:pPr>
            <w:r>
              <w:rPr>
                <w:rFonts w:hint="eastAsia" w:ascii="Times New Roman" w:hAnsi="Times New Roman" w:cs="Times New Roman"/>
                <w:bCs/>
                <w:i w:val="0"/>
                <w:iCs w:val="0"/>
                <w:color w:val="auto"/>
                <w:spacing w:val="0"/>
                <w:kern w:val="2"/>
                <w:sz w:val="24"/>
                <w:szCs w:val="24"/>
                <w:highlight w:val="none"/>
                <w:u w:val="none"/>
                <w:lang w:val="en-US" w:eastAsia="zh-CN" w:bidi="ar-SA"/>
              </w:rPr>
              <w:t>+0.544</w:t>
            </w:r>
            <w:r>
              <w:rPr>
                <w:rFonts w:hint="default" w:ascii="Times New Roman" w:hAnsi="Times New Roman" w:eastAsia="宋体" w:cs="Times New Roman"/>
                <w:bCs/>
                <w:i w:val="0"/>
                <w:iCs w:val="0"/>
                <w:color w:val="auto"/>
                <w:spacing w:val="0"/>
                <w:kern w:val="2"/>
                <w:sz w:val="24"/>
                <w:szCs w:val="24"/>
                <w:highlight w:val="none"/>
                <w:u w:val="none"/>
                <w:lang w:val="en-US" w:eastAsia="zh-CN" w:bidi="ar-SA"/>
              </w:rPr>
              <w:t>t/a</w:t>
            </w:r>
          </w:p>
        </w:tc>
      </w:tr>
      <w:tr w14:paraId="78F996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2" w:type="dxa"/>
            <w:vMerge w:val="continue"/>
            <w:noWrap w:val="0"/>
            <w:vAlign w:val="center"/>
          </w:tcPr>
          <w:p w14:paraId="695082B2">
            <w:pPr>
              <w:pStyle w:val="70"/>
              <w:rPr>
                <w:rFonts w:hint="default" w:ascii="Times New Roman" w:hAnsi="Times New Roman" w:eastAsia="宋体" w:cs="Times New Roman"/>
                <w:color w:val="auto"/>
                <w:spacing w:val="0"/>
                <w:sz w:val="24"/>
                <w:szCs w:val="24"/>
                <w:highlight w:val="none"/>
                <w:lang w:val="en-US" w:eastAsia="zh-CN"/>
              </w:rPr>
            </w:pPr>
          </w:p>
        </w:tc>
        <w:tc>
          <w:tcPr>
            <w:tcW w:w="1443" w:type="dxa"/>
            <w:noWrap w:val="0"/>
            <w:vAlign w:val="center"/>
          </w:tcPr>
          <w:p w14:paraId="7587DA1A">
            <w:pPr>
              <w:pStyle w:val="70"/>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氮氧化物</w:t>
            </w:r>
          </w:p>
        </w:tc>
        <w:tc>
          <w:tcPr>
            <w:tcW w:w="1524" w:type="dxa"/>
            <w:noWrap w:val="0"/>
            <w:vAlign w:val="center"/>
          </w:tcPr>
          <w:p w14:paraId="576A9CCD">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341" w:type="dxa"/>
            <w:shd w:val="clear" w:color="auto" w:fill="auto"/>
            <w:noWrap w:val="0"/>
            <w:vAlign w:val="center"/>
          </w:tcPr>
          <w:p w14:paraId="492EE928">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390" w:type="dxa"/>
            <w:shd w:val="clear" w:color="auto" w:fill="auto"/>
            <w:noWrap w:val="0"/>
            <w:vAlign w:val="center"/>
          </w:tcPr>
          <w:p w14:paraId="4ECD6D49">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595" w:type="dxa"/>
            <w:noWrap w:val="0"/>
            <w:vAlign w:val="center"/>
          </w:tcPr>
          <w:p w14:paraId="3BBEAA1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i w:val="0"/>
                <w:iCs w:val="0"/>
                <w:color w:val="auto"/>
                <w:spacing w:val="0"/>
                <w:kern w:val="2"/>
                <w:sz w:val="24"/>
                <w:szCs w:val="24"/>
                <w:highlight w:val="none"/>
                <w:u w:val="none"/>
                <w:lang w:val="en-US" w:eastAsia="zh-CN" w:bidi="ar-SA"/>
              </w:rPr>
            </w:pPr>
            <w:r>
              <w:rPr>
                <w:rFonts w:hint="eastAsia" w:ascii="Times New Roman" w:hAnsi="Times New Roman" w:cs="Times New Roman"/>
                <w:bCs/>
                <w:i w:val="0"/>
                <w:iCs w:val="0"/>
                <w:color w:val="auto"/>
                <w:spacing w:val="0"/>
                <w:kern w:val="2"/>
                <w:sz w:val="24"/>
                <w:szCs w:val="24"/>
                <w:highlight w:val="none"/>
                <w:u w:val="none"/>
                <w:lang w:val="en-US" w:eastAsia="zh-CN" w:bidi="ar-SA"/>
              </w:rPr>
              <w:t>3.50</w:t>
            </w:r>
            <w:r>
              <w:rPr>
                <w:rFonts w:hint="default" w:ascii="Times New Roman" w:hAnsi="Times New Roman" w:eastAsia="宋体" w:cs="Times New Roman"/>
                <w:bCs/>
                <w:i w:val="0"/>
                <w:iCs w:val="0"/>
                <w:color w:val="auto"/>
                <w:spacing w:val="0"/>
                <w:kern w:val="2"/>
                <w:sz w:val="24"/>
                <w:szCs w:val="24"/>
                <w:highlight w:val="none"/>
                <w:u w:val="none"/>
                <w:lang w:val="en-US" w:eastAsia="zh-CN" w:bidi="ar-SA"/>
              </w:rPr>
              <w:t>t/a</w:t>
            </w:r>
          </w:p>
        </w:tc>
        <w:tc>
          <w:tcPr>
            <w:tcW w:w="1416" w:type="dxa"/>
            <w:noWrap w:val="0"/>
            <w:vAlign w:val="center"/>
          </w:tcPr>
          <w:p w14:paraId="267D4839">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662" w:type="dxa"/>
            <w:shd w:val="clear" w:color="auto" w:fill="auto"/>
            <w:noWrap w:val="0"/>
            <w:vAlign w:val="center"/>
          </w:tcPr>
          <w:p w14:paraId="0857477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i w:val="0"/>
                <w:iCs w:val="0"/>
                <w:color w:val="auto"/>
                <w:spacing w:val="0"/>
                <w:kern w:val="2"/>
                <w:sz w:val="24"/>
                <w:szCs w:val="24"/>
                <w:highlight w:val="none"/>
                <w:u w:val="none"/>
                <w:lang w:val="en-US" w:eastAsia="zh-CN" w:bidi="ar-SA"/>
              </w:rPr>
            </w:pPr>
            <w:r>
              <w:rPr>
                <w:rFonts w:hint="eastAsia" w:ascii="Times New Roman" w:hAnsi="Times New Roman" w:cs="Times New Roman"/>
                <w:bCs/>
                <w:i w:val="0"/>
                <w:iCs w:val="0"/>
                <w:color w:val="auto"/>
                <w:spacing w:val="0"/>
                <w:kern w:val="2"/>
                <w:sz w:val="24"/>
                <w:szCs w:val="24"/>
                <w:highlight w:val="none"/>
                <w:u w:val="none"/>
                <w:lang w:val="en-US" w:eastAsia="zh-CN" w:bidi="ar-SA"/>
              </w:rPr>
              <w:t>3.50</w:t>
            </w:r>
            <w:r>
              <w:rPr>
                <w:rFonts w:hint="default" w:ascii="Times New Roman" w:hAnsi="Times New Roman" w:eastAsia="宋体" w:cs="Times New Roman"/>
                <w:bCs/>
                <w:i w:val="0"/>
                <w:iCs w:val="0"/>
                <w:color w:val="auto"/>
                <w:spacing w:val="0"/>
                <w:kern w:val="2"/>
                <w:sz w:val="24"/>
                <w:szCs w:val="24"/>
                <w:highlight w:val="none"/>
                <w:u w:val="none"/>
                <w:lang w:val="en-US" w:eastAsia="zh-CN" w:bidi="ar-SA"/>
              </w:rPr>
              <w:t>t/a</w:t>
            </w:r>
          </w:p>
        </w:tc>
        <w:tc>
          <w:tcPr>
            <w:tcW w:w="1589" w:type="dxa"/>
            <w:shd w:val="clear" w:color="auto" w:fill="auto"/>
            <w:noWrap w:val="0"/>
            <w:vAlign w:val="center"/>
          </w:tcPr>
          <w:p w14:paraId="3218D45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i w:val="0"/>
                <w:iCs w:val="0"/>
                <w:color w:val="auto"/>
                <w:spacing w:val="0"/>
                <w:kern w:val="2"/>
                <w:sz w:val="24"/>
                <w:szCs w:val="24"/>
                <w:highlight w:val="none"/>
                <w:u w:val="none"/>
                <w:lang w:val="en-US" w:eastAsia="zh-CN" w:bidi="ar-SA"/>
              </w:rPr>
            </w:pPr>
            <w:r>
              <w:rPr>
                <w:rFonts w:hint="eastAsia" w:ascii="Times New Roman" w:hAnsi="Times New Roman" w:cs="Times New Roman"/>
                <w:bCs/>
                <w:i w:val="0"/>
                <w:iCs w:val="0"/>
                <w:color w:val="auto"/>
                <w:spacing w:val="0"/>
                <w:kern w:val="2"/>
                <w:sz w:val="24"/>
                <w:szCs w:val="24"/>
                <w:highlight w:val="none"/>
                <w:u w:val="none"/>
                <w:lang w:val="en-US" w:eastAsia="zh-CN" w:bidi="ar-SA"/>
              </w:rPr>
              <w:t>+3.50</w:t>
            </w:r>
            <w:r>
              <w:rPr>
                <w:rFonts w:hint="default" w:ascii="Times New Roman" w:hAnsi="Times New Roman" w:eastAsia="宋体" w:cs="Times New Roman"/>
                <w:bCs/>
                <w:i w:val="0"/>
                <w:iCs w:val="0"/>
                <w:color w:val="auto"/>
                <w:spacing w:val="0"/>
                <w:kern w:val="2"/>
                <w:sz w:val="24"/>
                <w:szCs w:val="24"/>
                <w:highlight w:val="none"/>
                <w:u w:val="none"/>
                <w:lang w:val="en-US" w:eastAsia="zh-CN" w:bidi="ar-SA"/>
              </w:rPr>
              <w:t>t/a</w:t>
            </w:r>
          </w:p>
        </w:tc>
      </w:tr>
      <w:tr w14:paraId="647F56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2" w:type="dxa"/>
            <w:vMerge w:val="continue"/>
            <w:noWrap w:val="0"/>
            <w:vAlign w:val="center"/>
          </w:tcPr>
          <w:p w14:paraId="2AB2C55C">
            <w:pPr>
              <w:pStyle w:val="70"/>
              <w:rPr>
                <w:rFonts w:hint="default" w:ascii="Times New Roman" w:hAnsi="Times New Roman" w:eastAsia="宋体" w:cs="Times New Roman"/>
                <w:color w:val="auto"/>
                <w:spacing w:val="0"/>
                <w:sz w:val="24"/>
                <w:szCs w:val="24"/>
                <w:highlight w:val="none"/>
                <w:lang w:val="en-US" w:eastAsia="zh-CN"/>
              </w:rPr>
            </w:pPr>
          </w:p>
        </w:tc>
        <w:tc>
          <w:tcPr>
            <w:tcW w:w="1443" w:type="dxa"/>
            <w:noWrap w:val="0"/>
            <w:vAlign w:val="center"/>
          </w:tcPr>
          <w:p w14:paraId="41D8CC2C">
            <w:pPr>
              <w:pStyle w:val="70"/>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颗粒物</w:t>
            </w:r>
          </w:p>
        </w:tc>
        <w:tc>
          <w:tcPr>
            <w:tcW w:w="1524" w:type="dxa"/>
            <w:noWrap w:val="0"/>
            <w:vAlign w:val="center"/>
          </w:tcPr>
          <w:p w14:paraId="31F068B6">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341" w:type="dxa"/>
            <w:shd w:val="clear" w:color="auto" w:fill="auto"/>
            <w:noWrap w:val="0"/>
            <w:vAlign w:val="center"/>
          </w:tcPr>
          <w:p w14:paraId="3F03643E">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390" w:type="dxa"/>
            <w:shd w:val="clear" w:color="auto" w:fill="auto"/>
            <w:noWrap w:val="0"/>
            <w:vAlign w:val="center"/>
          </w:tcPr>
          <w:p w14:paraId="334E7E85">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595" w:type="dxa"/>
            <w:noWrap w:val="0"/>
            <w:vAlign w:val="center"/>
          </w:tcPr>
          <w:p w14:paraId="06D5E231">
            <w:pPr>
              <w:pStyle w:val="70"/>
              <w:rPr>
                <w:rFonts w:hint="default" w:ascii="Times New Roman" w:hAnsi="Times New Roman" w:eastAsia="宋体" w:cs="Times New Roman"/>
                <w:color w:val="auto"/>
                <w:spacing w:val="0"/>
                <w:sz w:val="24"/>
                <w:szCs w:val="24"/>
                <w:highlight w:val="none"/>
                <w:lang w:val="en-US" w:eastAsia="zh-CN"/>
              </w:rPr>
            </w:pPr>
            <w:r>
              <w:rPr>
                <w:rFonts w:hint="eastAsia" w:cs="Times New Roman"/>
                <w:color w:val="auto"/>
                <w:spacing w:val="0"/>
                <w:sz w:val="24"/>
                <w:szCs w:val="24"/>
                <w:highlight w:val="none"/>
                <w:lang w:val="en-US" w:eastAsia="zh-CN"/>
              </w:rPr>
              <w:t>0.081</w:t>
            </w:r>
            <w:r>
              <w:rPr>
                <w:rFonts w:hint="default" w:ascii="Times New Roman" w:hAnsi="Times New Roman" w:cs="Times New Roman"/>
                <w:color w:val="auto"/>
                <w:spacing w:val="0"/>
                <w:sz w:val="24"/>
                <w:szCs w:val="24"/>
                <w:highlight w:val="none"/>
                <w:lang w:val="en-US" w:eastAsia="zh-CN"/>
              </w:rPr>
              <w:t>t/a</w:t>
            </w:r>
          </w:p>
        </w:tc>
        <w:tc>
          <w:tcPr>
            <w:tcW w:w="1416" w:type="dxa"/>
            <w:noWrap w:val="0"/>
            <w:vAlign w:val="center"/>
          </w:tcPr>
          <w:p w14:paraId="4879C174">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662" w:type="dxa"/>
            <w:shd w:val="clear" w:color="auto" w:fill="auto"/>
            <w:noWrap w:val="0"/>
            <w:vAlign w:val="center"/>
          </w:tcPr>
          <w:p w14:paraId="2F8F228C">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eastAsia" w:cs="Times New Roman"/>
                <w:color w:val="auto"/>
                <w:spacing w:val="0"/>
                <w:sz w:val="24"/>
                <w:szCs w:val="24"/>
                <w:highlight w:val="none"/>
                <w:lang w:val="en-US" w:eastAsia="zh-CN"/>
              </w:rPr>
              <w:t>0.081</w:t>
            </w:r>
            <w:r>
              <w:rPr>
                <w:rFonts w:hint="default" w:ascii="Times New Roman" w:hAnsi="Times New Roman" w:cs="Times New Roman"/>
                <w:color w:val="auto"/>
                <w:spacing w:val="0"/>
                <w:sz w:val="24"/>
                <w:szCs w:val="24"/>
                <w:highlight w:val="none"/>
                <w:lang w:val="en-US" w:eastAsia="zh-CN"/>
              </w:rPr>
              <w:t>t/a</w:t>
            </w:r>
          </w:p>
        </w:tc>
        <w:tc>
          <w:tcPr>
            <w:tcW w:w="1589" w:type="dxa"/>
            <w:shd w:val="clear" w:color="auto" w:fill="auto"/>
            <w:noWrap w:val="0"/>
            <w:vAlign w:val="center"/>
          </w:tcPr>
          <w:p w14:paraId="01EED26C">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eastAsia" w:cs="Times New Roman"/>
                <w:color w:val="auto"/>
                <w:spacing w:val="0"/>
                <w:sz w:val="24"/>
                <w:szCs w:val="24"/>
                <w:highlight w:val="none"/>
                <w:lang w:val="en-US" w:eastAsia="zh-CN"/>
              </w:rPr>
              <w:t>+0.081</w:t>
            </w:r>
            <w:r>
              <w:rPr>
                <w:rFonts w:hint="default" w:ascii="Times New Roman" w:hAnsi="Times New Roman" w:cs="Times New Roman"/>
                <w:color w:val="auto"/>
                <w:spacing w:val="0"/>
                <w:sz w:val="24"/>
                <w:szCs w:val="24"/>
                <w:highlight w:val="none"/>
                <w:lang w:val="en-US" w:eastAsia="zh-CN"/>
              </w:rPr>
              <w:t>t/a</w:t>
            </w:r>
          </w:p>
        </w:tc>
      </w:tr>
      <w:tr w14:paraId="589937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2" w:type="dxa"/>
            <w:vMerge w:val="restart"/>
            <w:noWrap w:val="0"/>
            <w:vAlign w:val="center"/>
          </w:tcPr>
          <w:p w14:paraId="35E7108F">
            <w:pPr>
              <w:pStyle w:val="70"/>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废水</w:t>
            </w:r>
          </w:p>
        </w:tc>
        <w:tc>
          <w:tcPr>
            <w:tcW w:w="1443" w:type="dxa"/>
            <w:noWrap w:val="0"/>
            <w:vAlign w:val="center"/>
          </w:tcPr>
          <w:p w14:paraId="69DBC92D">
            <w:pPr>
              <w:pStyle w:val="70"/>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COD</w:t>
            </w:r>
          </w:p>
        </w:tc>
        <w:tc>
          <w:tcPr>
            <w:tcW w:w="1524" w:type="dxa"/>
            <w:noWrap w:val="0"/>
            <w:vAlign w:val="center"/>
          </w:tcPr>
          <w:p w14:paraId="3A435B89">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eastAsia" w:cs="Times New Roman"/>
                <w:color w:val="auto"/>
                <w:spacing w:val="0"/>
                <w:kern w:val="2"/>
                <w:sz w:val="24"/>
                <w:szCs w:val="24"/>
                <w:highlight w:val="none"/>
                <w:lang w:val="en-US" w:eastAsia="zh-CN" w:bidi="ar-SA"/>
              </w:rPr>
              <w:t>1.725</w:t>
            </w:r>
          </w:p>
        </w:tc>
        <w:tc>
          <w:tcPr>
            <w:tcW w:w="1341" w:type="dxa"/>
            <w:noWrap w:val="0"/>
            <w:vAlign w:val="center"/>
          </w:tcPr>
          <w:p w14:paraId="3021D276">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390" w:type="dxa"/>
            <w:shd w:val="clear" w:color="auto" w:fill="auto"/>
            <w:noWrap w:val="0"/>
            <w:vAlign w:val="center"/>
          </w:tcPr>
          <w:p w14:paraId="24C77847">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595" w:type="dxa"/>
            <w:noWrap w:val="0"/>
            <w:vAlign w:val="center"/>
          </w:tcPr>
          <w:p w14:paraId="5B5761B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val="0"/>
                <w:color w:val="auto"/>
                <w:spacing w:val="0"/>
                <w:kern w:val="2"/>
                <w:sz w:val="24"/>
                <w:szCs w:val="24"/>
                <w:highlight w:val="none"/>
                <w:lang w:val="en-US" w:eastAsia="zh-CN" w:bidi="ar-SA"/>
              </w:rPr>
            </w:pPr>
            <w:r>
              <w:rPr>
                <w:rFonts w:hint="eastAsia" w:ascii="Times New Roman" w:hAnsi="Times New Roman" w:cs="Times New Roman"/>
                <w:bCs w:val="0"/>
                <w:color w:val="auto"/>
                <w:spacing w:val="0"/>
                <w:kern w:val="2"/>
                <w:sz w:val="24"/>
                <w:szCs w:val="24"/>
                <w:highlight w:val="none"/>
                <w:lang w:val="en-US" w:eastAsia="zh-CN" w:bidi="ar-SA"/>
              </w:rPr>
              <w:t>0.060</w:t>
            </w:r>
          </w:p>
        </w:tc>
        <w:tc>
          <w:tcPr>
            <w:tcW w:w="1416" w:type="dxa"/>
            <w:shd w:val="clear" w:color="auto" w:fill="auto"/>
            <w:noWrap w:val="0"/>
            <w:vAlign w:val="center"/>
          </w:tcPr>
          <w:p w14:paraId="673A0071">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662" w:type="dxa"/>
            <w:shd w:val="clear" w:color="auto" w:fill="auto"/>
            <w:noWrap w:val="0"/>
            <w:vAlign w:val="center"/>
          </w:tcPr>
          <w:p w14:paraId="3A29A11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val="0"/>
                <w:color w:val="auto"/>
                <w:spacing w:val="0"/>
                <w:kern w:val="2"/>
                <w:sz w:val="24"/>
                <w:szCs w:val="24"/>
                <w:highlight w:val="none"/>
                <w:lang w:val="en-US" w:eastAsia="zh-CN" w:bidi="ar-SA"/>
              </w:rPr>
            </w:pPr>
            <w:r>
              <w:rPr>
                <w:rFonts w:hint="eastAsia" w:ascii="Times New Roman" w:hAnsi="Times New Roman" w:cs="Times New Roman"/>
                <w:bCs w:val="0"/>
                <w:color w:val="auto"/>
                <w:spacing w:val="0"/>
                <w:kern w:val="2"/>
                <w:sz w:val="24"/>
                <w:szCs w:val="24"/>
                <w:highlight w:val="none"/>
                <w:lang w:val="en-US" w:eastAsia="zh-CN" w:bidi="ar-SA"/>
              </w:rPr>
              <w:t>1.785</w:t>
            </w:r>
          </w:p>
        </w:tc>
        <w:tc>
          <w:tcPr>
            <w:tcW w:w="1589" w:type="dxa"/>
            <w:shd w:val="clear" w:color="auto" w:fill="auto"/>
            <w:noWrap w:val="0"/>
            <w:vAlign w:val="center"/>
          </w:tcPr>
          <w:p w14:paraId="23C61E7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val="0"/>
                <w:color w:val="auto"/>
                <w:spacing w:val="0"/>
                <w:kern w:val="2"/>
                <w:sz w:val="24"/>
                <w:szCs w:val="24"/>
                <w:highlight w:val="none"/>
                <w:lang w:val="en-US" w:eastAsia="zh-CN" w:bidi="ar-SA"/>
              </w:rPr>
            </w:pPr>
            <w:r>
              <w:rPr>
                <w:rFonts w:hint="eastAsia" w:ascii="Times New Roman" w:hAnsi="Times New Roman" w:cs="Times New Roman"/>
                <w:bCs w:val="0"/>
                <w:color w:val="auto"/>
                <w:spacing w:val="0"/>
                <w:kern w:val="2"/>
                <w:sz w:val="24"/>
                <w:szCs w:val="24"/>
                <w:highlight w:val="none"/>
                <w:lang w:val="en-US" w:eastAsia="zh-CN" w:bidi="ar-SA"/>
              </w:rPr>
              <w:t>+</w:t>
            </w:r>
            <w:r>
              <w:rPr>
                <w:rFonts w:hint="default" w:ascii="Times New Roman" w:hAnsi="Times New Roman" w:cs="Times New Roman"/>
                <w:bCs w:val="0"/>
                <w:color w:val="auto"/>
                <w:spacing w:val="0"/>
                <w:kern w:val="2"/>
                <w:sz w:val="24"/>
                <w:szCs w:val="24"/>
                <w:highlight w:val="none"/>
                <w:lang w:val="en-US" w:eastAsia="zh-CN" w:bidi="ar-SA"/>
              </w:rPr>
              <w:t>0.</w:t>
            </w:r>
            <w:r>
              <w:rPr>
                <w:rFonts w:hint="eastAsia" w:ascii="Times New Roman" w:hAnsi="Times New Roman" w:cs="Times New Roman"/>
                <w:bCs w:val="0"/>
                <w:color w:val="auto"/>
                <w:spacing w:val="0"/>
                <w:kern w:val="2"/>
                <w:sz w:val="24"/>
                <w:szCs w:val="24"/>
                <w:highlight w:val="none"/>
                <w:lang w:val="en-US" w:eastAsia="zh-CN" w:bidi="ar-SA"/>
              </w:rPr>
              <w:t>060</w:t>
            </w:r>
          </w:p>
        </w:tc>
      </w:tr>
      <w:tr w14:paraId="0095F8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2" w:type="dxa"/>
            <w:vMerge w:val="continue"/>
            <w:noWrap w:val="0"/>
            <w:vAlign w:val="center"/>
          </w:tcPr>
          <w:p w14:paraId="1F4B7CEB">
            <w:pPr>
              <w:pStyle w:val="70"/>
              <w:rPr>
                <w:rFonts w:hint="default" w:ascii="Times New Roman" w:hAnsi="Times New Roman" w:eastAsia="宋体" w:cs="Times New Roman"/>
                <w:color w:val="auto"/>
                <w:spacing w:val="0"/>
                <w:sz w:val="24"/>
                <w:szCs w:val="24"/>
                <w:highlight w:val="none"/>
                <w:lang w:val="en-US" w:eastAsia="zh-CN"/>
              </w:rPr>
            </w:pPr>
          </w:p>
        </w:tc>
        <w:tc>
          <w:tcPr>
            <w:tcW w:w="1443" w:type="dxa"/>
            <w:noWrap w:val="0"/>
            <w:vAlign w:val="center"/>
          </w:tcPr>
          <w:p w14:paraId="70BE8031">
            <w:pPr>
              <w:pStyle w:val="70"/>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TDS</w:t>
            </w:r>
          </w:p>
        </w:tc>
        <w:tc>
          <w:tcPr>
            <w:tcW w:w="1524" w:type="dxa"/>
            <w:noWrap w:val="0"/>
            <w:vAlign w:val="center"/>
          </w:tcPr>
          <w:p w14:paraId="0C4E49D0">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341" w:type="dxa"/>
            <w:noWrap w:val="0"/>
            <w:vAlign w:val="center"/>
          </w:tcPr>
          <w:p w14:paraId="42A2F461">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390" w:type="dxa"/>
            <w:shd w:val="clear" w:color="auto" w:fill="auto"/>
            <w:noWrap w:val="0"/>
            <w:vAlign w:val="center"/>
          </w:tcPr>
          <w:p w14:paraId="273D7EF0">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595" w:type="dxa"/>
            <w:noWrap w:val="0"/>
            <w:vAlign w:val="center"/>
          </w:tcPr>
          <w:p w14:paraId="7AF0527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val="0"/>
                <w:color w:val="auto"/>
                <w:spacing w:val="0"/>
                <w:kern w:val="2"/>
                <w:sz w:val="24"/>
                <w:szCs w:val="24"/>
                <w:highlight w:val="none"/>
                <w:lang w:val="en-US" w:eastAsia="zh-CN" w:bidi="ar-SA"/>
              </w:rPr>
            </w:pPr>
            <w:r>
              <w:rPr>
                <w:rFonts w:hint="eastAsia" w:ascii="Times New Roman" w:hAnsi="Times New Roman" w:cs="Times New Roman"/>
                <w:bCs w:val="0"/>
                <w:color w:val="auto"/>
                <w:spacing w:val="0"/>
                <w:kern w:val="2"/>
                <w:sz w:val="24"/>
                <w:szCs w:val="24"/>
                <w:highlight w:val="none"/>
                <w:lang w:val="en-US" w:eastAsia="zh-CN" w:bidi="ar-SA"/>
              </w:rPr>
              <w:t>8.99</w:t>
            </w:r>
          </w:p>
        </w:tc>
        <w:tc>
          <w:tcPr>
            <w:tcW w:w="1416" w:type="dxa"/>
            <w:shd w:val="clear" w:color="auto" w:fill="auto"/>
            <w:noWrap w:val="0"/>
            <w:vAlign w:val="center"/>
          </w:tcPr>
          <w:p w14:paraId="2922AD3E">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662" w:type="dxa"/>
            <w:shd w:val="clear" w:color="auto" w:fill="auto"/>
            <w:noWrap w:val="0"/>
            <w:vAlign w:val="center"/>
          </w:tcPr>
          <w:p w14:paraId="616EBAA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val="0"/>
                <w:color w:val="auto"/>
                <w:spacing w:val="0"/>
                <w:kern w:val="2"/>
                <w:sz w:val="24"/>
                <w:szCs w:val="24"/>
                <w:highlight w:val="none"/>
                <w:lang w:val="en-US" w:eastAsia="zh-CN" w:bidi="ar-SA"/>
              </w:rPr>
            </w:pPr>
            <w:r>
              <w:rPr>
                <w:rFonts w:hint="eastAsia" w:ascii="Times New Roman" w:hAnsi="Times New Roman" w:cs="Times New Roman"/>
                <w:bCs w:val="0"/>
                <w:color w:val="auto"/>
                <w:spacing w:val="0"/>
                <w:kern w:val="2"/>
                <w:sz w:val="24"/>
                <w:szCs w:val="24"/>
                <w:highlight w:val="none"/>
                <w:lang w:val="en-US" w:eastAsia="zh-CN" w:bidi="ar-SA"/>
              </w:rPr>
              <w:t>8.99</w:t>
            </w:r>
          </w:p>
        </w:tc>
        <w:tc>
          <w:tcPr>
            <w:tcW w:w="1589" w:type="dxa"/>
            <w:shd w:val="clear" w:color="auto" w:fill="auto"/>
            <w:noWrap w:val="0"/>
            <w:vAlign w:val="center"/>
          </w:tcPr>
          <w:p w14:paraId="0680E28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Cs w:val="0"/>
                <w:color w:val="auto"/>
                <w:spacing w:val="0"/>
                <w:kern w:val="2"/>
                <w:sz w:val="24"/>
                <w:szCs w:val="24"/>
                <w:highlight w:val="none"/>
                <w:lang w:val="en-US" w:eastAsia="zh-CN" w:bidi="ar-SA"/>
              </w:rPr>
            </w:pPr>
            <w:r>
              <w:rPr>
                <w:rFonts w:hint="eastAsia" w:ascii="Times New Roman" w:hAnsi="Times New Roman" w:cs="Times New Roman"/>
                <w:bCs w:val="0"/>
                <w:color w:val="auto"/>
                <w:spacing w:val="0"/>
                <w:kern w:val="2"/>
                <w:sz w:val="24"/>
                <w:szCs w:val="24"/>
                <w:highlight w:val="none"/>
                <w:lang w:val="en-US" w:eastAsia="zh-CN" w:bidi="ar-SA"/>
              </w:rPr>
              <w:t>+8.99</w:t>
            </w:r>
          </w:p>
        </w:tc>
      </w:tr>
      <w:tr w14:paraId="237449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2" w:type="dxa"/>
            <w:vMerge w:val="restart"/>
            <w:noWrap w:val="0"/>
            <w:vAlign w:val="center"/>
          </w:tcPr>
          <w:p w14:paraId="60753BB9">
            <w:pPr>
              <w:pStyle w:val="73"/>
              <w:spacing w:beforeLines="0" w:afterLines="0" w:line="240" w:lineRule="auto"/>
              <w:ind w:firstLine="0" w:firstLineChars="0"/>
              <w:rPr>
                <w:rFonts w:hint="default" w:ascii="Times New Roman" w:hAnsi="Times New Roman" w:eastAsia="宋体" w:cs="Times New Roman"/>
                <w:bCs/>
                <w:snapToGrid w:val="0"/>
                <w:color w:val="auto"/>
                <w:spacing w:val="0"/>
                <w:kern w:val="21"/>
                <w:sz w:val="24"/>
                <w:szCs w:val="24"/>
                <w:highlight w:val="none"/>
              </w:rPr>
            </w:pPr>
            <w:r>
              <w:rPr>
                <w:rFonts w:hint="default" w:ascii="Times New Roman" w:hAnsi="Times New Roman" w:eastAsia="宋体" w:cs="Times New Roman"/>
                <w:bCs/>
                <w:snapToGrid w:val="0"/>
                <w:color w:val="auto"/>
                <w:spacing w:val="0"/>
                <w:kern w:val="21"/>
                <w:sz w:val="24"/>
                <w:szCs w:val="24"/>
                <w:highlight w:val="none"/>
              </w:rPr>
              <w:t>一般工业</w:t>
            </w:r>
          </w:p>
          <w:p w14:paraId="534D5D6D">
            <w:pPr>
              <w:pStyle w:val="73"/>
              <w:spacing w:beforeLines="0" w:afterLines="0" w:line="240" w:lineRule="auto"/>
              <w:ind w:firstLine="0" w:firstLineChars="0"/>
              <w:rPr>
                <w:rFonts w:hint="default" w:ascii="Times New Roman" w:hAnsi="Times New Roman" w:eastAsia="宋体" w:cs="Times New Roman"/>
                <w:bCs/>
                <w:snapToGrid w:val="0"/>
                <w:color w:val="auto"/>
                <w:spacing w:val="0"/>
                <w:kern w:val="21"/>
                <w:sz w:val="24"/>
                <w:szCs w:val="24"/>
                <w:highlight w:val="none"/>
              </w:rPr>
            </w:pPr>
            <w:r>
              <w:rPr>
                <w:rFonts w:hint="default" w:ascii="Times New Roman" w:hAnsi="Times New Roman" w:eastAsia="宋体" w:cs="Times New Roman"/>
                <w:bCs/>
                <w:snapToGrid w:val="0"/>
                <w:color w:val="auto"/>
                <w:spacing w:val="0"/>
                <w:kern w:val="21"/>
                <w:sz w:val="24"/>
                <w:szCs w:val="24"/>
                <w:highlight w:val="none"/>
              </w:rPr>
              <w:t>固体废物</w:t>
            </w:r>
          </w:p>
        </w:tc>
        <w:tc>
          <w:tcPr>
            <w:tcW w:w="1443" w:type="dxa"/>
            <w:noWrap w:val="0"/>
            <w:vAlign w:val="center"/>
          </w:tcPr>
          <w:p w14:paraId="22869158">
            <w:pPr>
              <w:pStyle w:val="70"/>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锅炉灰渣</w:t>
            </w:r>
          </w:p>
        </w:tc>
        <w:tc>
          <w:tcPr>
            <w:tcW w:w="1524" w:type="dxa"/>
            <w:noWrap w:val="0"/>
            <w:vAlign w:val="center"/>
          </w:tcPr>
          <w:p w14:paraId="747AD898">
            <w:pPr>
              <w:pStyle w:val="73"/>
              <w:spacing w:beforeLines="0" w:afterLines="0" w:line="240" w:lineRule="auto"/>
              <w:ind w:firstLine="0" w:firstLineChars="0"/>
              <w:rPr>
                <w:rFonts w:hint="default" w:ascii="Times New Roman" w:hAnsi="Times New Roman"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341" w:type="dxa"/>
            <w:noWrap w:val="0"/>
            <w:vAlign w:val="center"/>
          </w:tcPr>
          <w:p w14:paraId="6632A8B8">
            <w:pPr>
              <w:pStyle w:val="73"/>
              <w:spacing w:beforeLines="0" w:afterLines="0" w:line="240" w:lineRule="auto"/>
              <w:ind w:firstLine="0" w:firstLineChars="0"/>
              <w:rPr>
                <w:rFonts w:hint="default" w:ascii="Times New Roman" w:hAnsi="Times New Roman"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390" w:type="dxa"/>
            <w:shd w:val="clear" w:color="auto" w:fill="auto"/>
            <w:noWrap w:val="0"/>
            <w:vAlign w:val="center"/>
          </w:tcPr>
          <w:p w14:paraId="1A3524FB">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595" w:type="dxa"/>
            <w:noWrap w:val="0"/>
            <w:vAlign w:val="center"/>
          </w:tcPr>
          <w:p w14:paraId="59646C78">
            <w:pPr>
              <w:pStyle w:val="70"/>
              <w:rPr>
                <w:rFonts w:hint="default" w:ascii="Times New Roman" w:hAnsi="Times New Roman" w:cs="Times New Roman"/>
                <w:color w:val="auto"/>
                <w:spacing w:val="0"/>
                <w:sz w:val="24"/>
                <w:szCs w:val="24"/>
                <w:highlight w:val="none"/>
                <w:lang w:val="en-US" w:eastAsia="zh-CN"/>
              </w:rPr>
            </w:pPr>
            <w:r>
              <w:rPr>
                <w:rFonts w:hint="eastAsia" w:cs="Times New Roman"/>
                <w:color w:val="auto"/>
                <w:spacing w:val="0"/>
                <w:sz w:val="24"/>
                <w:szCs w:val="24"/>
                <w:highlight w:val="none"/>
                <w:lang w:val="en-US" w:eastAsia="zh-CN"/>
              </w:rPr>
              <w:t>21.97</w:t>
            </w:r>
          </w:p>
        </w:tc>
        <w:tc>
          <w:tcPr>
            <w:tcW w:w="1416" w:type="dxa"/>
            <w:shd w:val="clear" w:color="auto" w:fill="auto"/>
            <w:noWrap w:val="0"/>
            <w:vAlign w:val="center"/>
          </w:tcPr>
          <w:p w14:paraId="019D3C92">
            <w:pPr>
              <w:spacing w:beforeLines="0" w:afterLines="0" w:line="240" w:lineRule="auto"/>
              <w:ind w:firstLine="480" w:firstLineChars="200"/>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662" w:type="dxa"/>
            <w:shd w:val="clear" w:color="auto" w:fill="auto"/>
            <w:noWrap w:val="0"/>
            <w:vAlign w:val="center"/>
          </w:tcPr>
          <w:p w14:paraId="311B2E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cs="Times New Roman"/>
                <w:bCs/>
                <w:caps w:val="0"/>
                <w:color w:val="auto"/>
                <w:spacing w:val="0"/>
                <w:sz w:val="24"/>
                <w:szCs w:val="24"/>
                <w:highlight w:val="none"/>
                <w:lang w:val="en-US" w:eastAsia="zh-CN"/>
              </w:rPr>
              <w:t>/</w:t>
            </w:r>
          </w:p>
        </w:tc>
        <w:tc>
          <w:tcPr>
            <w:tcW w:w="1589" w:type="dxa"/>
            <w:noWrap w:val="0"/>
            <w:vAlign w:val="center"/>
          </w:tcPr>
          <w:p w14:paraId="6EDDB709">
            <w:pPr>
              <w:pStyle w:val="70"/>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0</w:t>
            </w:r>
          </w:p>
        </w:tc>
      </w:tr>
      <w:tr w14:paraId="418131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2" w:type="dxa"/>
            <w:vMerge w:val="continue"/>
            <w:noWrap w:val="0"/>
            <w:vAlign w:val="center"/>
          </w:tcPr>
          <w:p w14:paraId="538475F4">
            <w:pPr>
              <w:pStyle w:val="73"/>
              <w:spacing w:beforeLines="0" w:afterLines="0" w:line="240" w:lineRule="auto"/>
              <w:ind w:firstLine="0" w:firstLineChars="0"/>
              <w:rPr>
                <w:rFonts w:hint="default" w:ascii="Times New Roman" w:hAnsi="Times New Roman" w:eastAsia="宋体" w:cs="Times New Roman"/>
                <w:bCs/>
                <w:snapToGrid w:val="0"/>
                <w:color w:val="auto"/>
                <w:spacing w:val="0"/>
                <w:kern w:val="21"/>
                <w:sz w:val="24"/>
                <w:szCs w:val="24"/>
                <w:highlight w:val="none"/>
              </w:rPr>
            </w:pPr>
          </w:p>
        </w:tc>
        <w:tc>
          <w:tcPr>
            <w:tcW w:w="1443" w:type="dxa"/>
            <w:noWrap w:val="0"/>
            <w:vAlign w:val="center"/>
          </w:tcPr>
          <w:p w14:paraId="2268DB66">
            <w:pPr>
              <w:pStyle w:val="70"/>
              <w:rPr>
                <w:rFonts w:hint="default" w:ascii="Times New Roman" w:hAnsi="Times New Roman" w:cs="Times New Roman"/>
                <w:color w:val="auto"/>
                <w:spacing w:val="0"/>
                <w:sz w:val="24"/>
                <w:szCs w:val="24"/>
                <w:highlight w:val="none"/>
                <w:lang w:val="en-US" w:eastAsia="zh-CN"/>
              </w:rPr>
            </w:pPr>
            <w:r>
              <w:rPr>
                <w:rFonts w:hint="eastAsia" w:ascii="Times New Roman" w:hAnsi="Times New Roman" w:cs="Times New Roman"/>
                <w:color w:val="auto"/>
                <w:spacing w:val="-1"/>
                <w:sz w:val="24"/>
                <w:szCs w:val="24"/>
                <w:highlight w:val="none"/>
                <w:lang w:val="en-US" w:eastAsia="zh-CN"/>
              </w:rPr>
              <w:t>旋风+</w:t>
            </w:r>
            <w:r>
              <w:rPr>
                <w:rFonts w:hint="default" w:ascii="Times New Roman" w:hAnsi="Times New Roman" w:cs="Times New Roman"/>
                <w:color w:val="auto"/>
                <w:spacing w:val="0"/>
                <w:sz w:val="24"/>
                <w:szCs w:val="24"/>
                <w:highlight w:val="none"/>
                <w:lang w:val="en-US" w:eastAsia="zh-CN"/>
              </w:rPr>
              <w:t>布袋除尘器收集的粉尘</w:t>
            </w:r>
          </w:p>
        </w:tc>
        <w:tc>
          <w:tcPr>
            <w:tcW w:w="1524" w:type="dxa"/>
            <w:noWrap w:val="0"/>
            <w:vAlign w:val="center"/>
          </w:tcPr>
          <w:p w14:paraId="5589E07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341" w:type="dxa"/>
            <w:noWrap w:val="0"/>
            <w:vAlign w:val="center"/>
          </w:tcPr>
          <w:p w14:paraId="0519F49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390" w:type="dxa"/>
            <w:shd w:val="clear" w:color="auto" w:fill="auto"/>
            <w:noWrap w:val="0"/>
            <w:vAlign w:val="center"/>
          </w:tcPr>
          <w:p w14:paraId="1385C97B">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595" w:type="dxa"/>
            <w:noWrap w:val="0"/>
            <w:vAlign w:val="center"/>
          </w:tcPr>
          <w:p w14:paraId="01BCFAE2">
            <w:pPr>
              <w:pStyle w:val="70"/>
              <w:rPr>
                <w:rFonts w:hint="default" w:ascii="Times New Roman" w:hAnsi="Times New Roman" w:cs="Times New Roman"/>
                <w:color w:val="auto"/>
                <w:spacing w:val="0"/>
                <w:sz w:val="24"/>
                <w:szCs w:val="24"/>
                <w:highlight w:val="none"/>
                <w:lang w:val="en-US" w:eastAsia="zh-CN"/>
              </w:rPr>
            </w:pPr>
            <w:r>
              <w:rPr>
                <w:rFonts w:hint="eastAsia" w:cs="Times New Roman"/>
                <w:color w:val="auto"/>
                <w:spacing w:val="0"/>
                <w:sz w:val="24"/>
                <w:szCs w:val="24"/>
                <w:highlight w:val="none"/>
                <w:lang w:val="en-US" w:eastAsia="zh-CN"/>
              </w:rPr>
              <w:t>10.05</w:t>
            </w:r>
          </w:p>
        </w:tc>
        <w:tc>
          <w:tcPr>
            <w:tcW w:w="1416" w:type="dxa"/>
            <w:shd w:val="clear" w:color="auto" w:fill="auto"/>
            <w:noWrap w:val="0"/>
            <w:vAlign w:val="center"/>
          </w:tcPr>
          <w:p w14:paraId="3DE5DE60">
            <w:pPr>
              <w:spacing w:beforeLines="0" w:afterLines="0" w:line="240" w:lineRule="auto"/>
              <w:ind w:firstLine="480" w:firstLineChars="200"/>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662" w:type="dxa"/>
            <w:shd w:val="clear" w:color="auto" w:fill="auto"/>
            <w:noWrap w:val="0"/>
            <w:vAlign w:val="center"/>
          </w:tcPr>
          <w:p w14:paraId="74A4F0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cs="Times New Roman"/>
                <w:bCs/>
                <w:caps w:val="0"/>
                <w:color w:val="auto"/>
                <w:spacing w:val="0"/>
                <w:sz w:val="24"/>
                <w:szCs w:val="24"/>
                <w:highlight w:val="none"/>
                <w:lang w:val="en-US" w:eastAsia="zh-CN"/>
              </w:rPr>
              <w:t>/</w:t>
            </w:r>
          </w:p>
        </w:tc>
        <w:tc>
          <w:tcPr>
            <w:tcW w:w="1589" w:type="dxa"/>
            <w:noWrap w:val="0"/>
            <w:vAlign w:val="center"/>
          </w:tcPr>
          <w:p w14:paraId="6BF48ABD">
            <w:pPr>
              <w:pStyle w:val="70"/>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0</w:t>
            </w:r>
          </w:p>
        </w:tc>
      </w:tr>
      <w:tr w14:paraId="0D354E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2" w:type="dxa"/>
            <w:vMerge w:val="continue"/>
            <w:noWrap w:val="0"/>
            <w:vAlign w:val="center"/>
          </w:tcPr>
          <w:p w14:paraId="18D6A552">
            <w:pPr>
              <w:pStyle w:val="73"/>
              <w:spacing w:beforeLines="0" w:afterLines="0" w:line="240" w:lineRule="auto"/>
              <w:ind w:firstLine="0" w:firstLineChars="0"/>
              <w:rPr>
                <w:rFonts w:hint="default" w:ascii="Times New Roman" w:hAnsi="Times New Roman" w:eastAsia="宋体" w:cs="Times New Roman"/>
                <w:bCs/>
                <w:snapToGrid w:val="0"/>
                <w:color w:val="auto"/>
                <w:spacing w:val="0"/>
                <w:kern w:val="21"/>
                <w:sz w:val="24"/>
                <w:szCs w:val="24"/>
                <w:highlight w:val="none"/>
              </w:rPr>
            </w:pPr>
          </w:p>
        </w:tc>
        <w:tc>
          <w:tcPr>
            <w:tcW w:w="1443" w:type="dxa"/>
            <w:noWrap w:val="0"/>
            <w:vAlign w:val="center"/>
          </w:tcPr>
          <w:p w14:paraId="0DB124DD">
            <w:pPr>
              <w:pStyle w:val="70"/>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废布袋</w:t>
            </w:r>
          </w:p>
        </w:tc>
        <w:tc>
          <w:tcPr>
            <w:tcW w:w="1524" w:type="dxa"/>
            <w:noWrap w:val="0"/>
            <w:vAlign w:val="center"/>
          </w:tcPr>
          <w:p w14:paraId="78A5147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pacing w:val="0"/>
                <w:kern w:val="2"/>
                <w:sz w:val="24"/>
                <w:szCs w:val="24"/>
                <w:highlight w:val="none"/>
                <w:lang w:val="en-US" w:eastAsia="zh-CN" w:bidi="ar-SA"/>
              </w:rPr>
            </w:pPr>
          </w:p>
        </w:tc>
        <w:tc>
          <w:tcPr>
            <w:tcW w:w="1341" w:type="dxa"/>
            <w:noWrap w:val="0"/>
            <w:vAlign w:val="center"/>
          </w:tcPr>
          <w:p w14:paraId="67F65E9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pacing w:val="0"/>
                <w:kern w:val="2"/>
                <w:sz w:val="24"/>
                <w:szCs w:val="24"/>
                <w:highlight w:val="none"/>
                <w:lang w:val="en-US" w:eastAsia="zh-CN" w:bidi="ar-SA"/>
              </w:rPr>
            </w:pPr>
          </w:p>
        </w:tc>
        <w:tc>
          <w:tcPr>
            <w:tcW w:w="1390" w:type="dxa"/>
            <w:shd w:val="clear" w:color="auto" w:fill="auto"/>
            <w:noWrap w:val="0"/>
            <w:vAlign w:val="center"/>
          </w:tcPr>
          <w:p w14:paraId="4F04CA61">
            <w:pPr>
              <w:pStyle w:val="7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595" w:type="dxa"/>
            <w:noWrap w:val="0"/>
            <w:vAlign w:val="center"/>
          </w:tcPr>
          <w:p w14:paraId="5876CBEE">
            <w:pPr>
              <w:pStyle w:val="70"/>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0.01</w:t>
            </w:r>
          </w:p>
        </w:tc>
        <w:tc>
          <w:tcPr>
            <w:tcW w:w="1416" w:type="dxa"/>
            <w:shd w:val="clear" w:color="auto" w:fill="auto"/>
            <w:noWrap w:val="0"/>
            <w:vAlign w:val="center"/>
          </w:tcPr>
          <w:p w14:paraId="6387D542">
            <w:pPr>
              <w:spacing w:beforeLines="0" w:afterLines="0" w:line="240" w:lineRule="auto"/>
              <w:ind w:firstLine="480" w:firstLineChars="200"/>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662" w:type="dxa"/>
            <w:shd w:val="clear" w:color="auto" w:fill="auto"/>
            <w:noWrap w:val="0"/>
            <w:vAlign w:val="center"/>
          </w:tcPr>
          <w:p w14:paraId="318C90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cs="Times New Roman"/>
                <w:bCs/>
                <w:caps w:val="0"/>
                <w:color w:val="auto"/>
                <w:spacing w:val="0"/>
                <w:sz w:val="24"/>
                <w:szCs w:val="24"/>
                <w:highlight w:val="none"/>
                <w:lang w:val="en-US" w:eastAsia="zh-CN"/>
              </w:rPr>
              <w:t>/</w:t>
            </w:r>
          </w:p>
        </w:tc>
        <w:tc>
          <w:tcPr>
            <w:tcW w:w="1589" w:type="dxa"/>
            <w:noWrap w:val="0"/>
            <w:vAlign w:val="center"/>
          </w:tcPr>
          <w:p w14:paraId="73355E52">
            <w:pPr>
              <w:pStyle w:val="70"/>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0</w:t>
            </w:r>
          </w:p>
        </w:tc>
      </w:tr>
      <w:tr w14:paraId="3C246F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2" w:type="dxa"/>
            <w:vMerge w:val="continue"/>
            <w:noWrap w:val="0"/>
            <w:vAlign w:val="center"/>
          </w:tcPr>
          <w:p w14:paraId="5C0CE2DF">
            <w:pPr>
              <w:pStyle w:val="73"/>
              <w:spacing w:beforeLines="0" w:afterLines="0" w:line="240" w:lineRule="auto"/>
              <w:ind w:firstLine="0" w:firstLineChars="0"/>
              <w:rPr>
                <w:rFonts w:hint="default" w:ascii="Times New Roman" w:hAnsi="Times New Roman" w:eastAsia="宋体" w:cs="Times New Roman"/>
                <w:bCs/>
                <w:snapToGrid w:val="0"/>
                <w:color w:val="auto"/>
                <w:spacing w:val="0"/>
                <w:kern w:val="21"/>
                <w:sz w:val="24"/>
                <w:szCs w:val="24"/>
                <w:highlight w:val="none"/>
              </w:rPr>
            </w:pPr>
          </w:p>
        </w:tc>
        <w:tc>
          <w:tcPr>
            <w:tcW w:w="1443" w:type="dxa"/>
            <w:noWrap w:val="0"/>
            <w:vAlign w:val="center"/>
          </w:tcPr>
          <w:p w14:paraId="48F5E506">
            <w:pPr>
              <w:pStyle w:val="70"/>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废机油</w:t>
            </w:r>
          </w:p>
        </w:tc>
        <w:tc>
          <w:tcPr>
            <w:tcW w:w="1524" w:type="dxa"/>
            <w:noWrap w:val="0"/>
            <w:vAlign w:val="center"/>
          </w:tcPr>
          <w:p w14:paraId="0312879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341" w:type="dxa"/>
            <w:noWrap w:val="0"/>
            <w:vAlign w:val="center"/>
          </w:tcPr>
          <w:p w14:paraId="75F247A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390" w:type="dxa"/>
            <w:noWrap w:val="0"/>
            <w:vAlign w:val="center"/>
          </w:tcPr>
          <w:p w14:paraId="24D5E5CF">
            <w:pPr>
              <w:pStyle w:val="73"/>
              <w:spacing w:beforeLines="0" w:afterLines="0" w:line="240" w:lineRule="auto"/>
              <w:ind w:firstLine="0" w:firstLineChars="0"/>
              <w:rPr>
                <w:rFonts w:hint="default" w:ascii="Times New Roman" w:hAnsi="Times New Roman"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595" w:type="dxa"/>
            <w:noWrap w:val="0"/>
            <w:vAlign w:val="center"/>
          </w:tcPr>
          <w:p w14:paraId="72DF82AC">
            <w:pPr>
              <w:pStyle w:val="70"/>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0.01t/a</w:t>
            </w:r>
          </w:p>
        </w:tc>
        <w:tc>
          <w:tcPr>
            <w:tcW w:w="1416" w:type="dxa"/>
            <w:shd w:val="clear" w:color="auto" w:fill="auto"/>
            <w:noWrap w:val="0"/>
            <w:vAlign w:val="center"/>
          </w:tcPr>
          <w:p w14:paraId="75141B6F">
            <w:pPr>
              <w:spacing w:beforeLines="0" w:afterLines="0" w:line="240" w:lineRule="auto"/>
              <w:ind w:firstLine="480" w:firstLineChars="200"/>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662" w:type="dxa"/>
            <w:shd w:val="clear" w:color="auto" w:fill="auto"/>
            <w:noWrap w:val="0"/>
            <w:vAlign w:val="center"/>
          </w:tcPr>
          <w:p w14:paraId="7CEAEC0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cs="Times New Roman"/>
                <w:bCs/>
                <w:caps w:val="0"/>
                <w:color w:val="auto"/>
                <w:spacing w:val="0"/>
                <w:sz w:val="24"/>
                <w:szCs w:val="24"/>
                <w:highlight w:val="none"/>
                <w:lang w:val="en-US" w:eastAsia="zh-CN"/>
              </w:rPr>
              <w:t>/</w:t>
            </w:r>
          </w:p>
        </w:tc>
        <w:tc>
          <w:tcPr>
            <w:tcW w:w="1589" w:type="dxa"/>
            <w:noWrap w:val="0"/>
            <w:vAlign w:val="center"/>
          </w:tcPr>
          <w:p w14:paraId="47764C96">
            <w:pPr>
              <w:pStyle w:val="70"/>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0</w:t>
            </w:r>
          </w:p>
        </w:tc>
      </w:tr>
      <w:tr w14:paraId="65B01F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2" w:type="dxa"/>
            <w:vMerge w:val="continue"/>
            <w:noWrap w:val="0"/>
            <w:vAlign w:val="center"/>
          </w:tcPr>
          <w:p w14:paraId="59C220F8">
            <w:pPr>
              <w:pStyle w:val="73"/>
              <w:spacing w:beforeLines="0" w:afterLines="0" w:line="240" w:lineRule="auto"/>
              <w:ind w:firstLine="0" w:firstLineChars="0"/>
              <w:rPr>
                <w:rFonts w:hint="default" w:ascii="Times New Roman" w:hAnsi="Times New Roman" w:eastAsia="宋体" w:cs="Times New Roman"/>
                <w:bCs/>
                <w:snapToGrid w:val="0"/>
                <w:color w:val="auto"/>
                <w:spacing w:val="0"/>
                <w:kern w:val="21"/>
                <w:sz w:val="24"/>
                <w:szCs w:val="24"/>
                <w:highlight w:val="none"/>
              </w:rPr>
            </w:pPr>
          </w:p>
        </w:tc>
        <w:tc>
          <w:tcPr>
            <w:tcW w:w="1443" w:type="dxa"/>
            <w:noWrap w:val="0"/>
            <w:vAlign w:val="center"/>
          </w:tcPr>
          <w:p w14:paraId="71C88F80">
            <w:pPr>
              <w:pStyle w:val="70"/>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废机油桶</w:t>
            </w:r>
          </w:p>
        </w:tc>
        <w:tc>
          <w:tcPr>
            <w:tcW w:w="1524" w:type="dxa"/>
            <w:noWrap w:val="0"/>
            <w:vAlign w:val="center"/>
          </w:tcPr>
          <w:p w14:paraId="1E42834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341" w:type="dxa"/>
            <w:noWrap w:val="0"/>
            <w:vAlign w:val="center"/>
          </w:tcPr>
          <w:p w14:paraId="4768C1A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390" w:type="dxa"/>
            <w:noWrap w:val="0"/>
            <w:vAlign w:val="center"/>
          </w:tcPr>
          <w:p w14:paraId="1CBF624D">
            <w:pPr>
              <w:pStyle w:val="73"/>
              <w:spacing w:beforeLines="0" w:afterLines="0" w:line="240" w:lineRule="auto"/>
              <w:ind w:firstLine="0" w:firstLineChars="0"/>
              <w:rPr>
                <w:rFonts w:hint="default" w:ascii="Times New Roman" w:hAnsi="Times New Roman"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595" w:type="dxa"/>
            <w:noWrap w:val="0"/>
            <w:vAlign w:val="center"/>
          </w:tcPr>
          <w:p w14:paraId="5FCDBC5C">
            <w:pPr>
              <w:pStyle w:val="70"/>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0.01t/a</w:t>
            </w:r>
          </w:p>
        </w:tc>
        <w:tc>
          <w:tcPr>
            <w:tcW w:w="1416" w:type="dxa"/>
            <w:noWrap w:val="0"/>
            <w:vAlign w:val="center"/>
          </w:tcPr>
          <w:p w14:paraId="12C77487">
            <w:pPr>
              <w:spacing w:beforeLines="0" w:afterLines="0" w:line="240" w:lineRule="auto"/>
              <w:ind w:firstLine="480" w:firstLineChars="200"/>
              <w:rPr>
                <w:rFonts w:hint="default" w:ascii="Times New Roman" w:hAnsi="Times New Roman"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662" w:type="dxa"/>
            <w:noWrap w:val="0"/>
            <w:vAlign w:val="center"/>
          </w:tcPr>
          <w:p w14:paraId="630C34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bCs/>
                <w:caps w:val="0"/>
                <w:color w:val="auto"/>
                <w:spacing w:val="0"/>
                <w:sz w:val="24"/>
                <w:szCs w:val="24"/>
                <w:highlight w:val="none"/>
                <w:lang w:val="en-US" w:eastAsia="zh-CN"/>
              </w:rPr>
              <w:t>/</w:t>
            </w:r>
          </w:p>
        </w:tc>
        <w:tc>
          <w:tcPr>
            <w:tcW w:w="1589" w:type="dxa"/>
            <w:noWrap w:val="0"/>
            <w:vAlign w:val="center"/>
          </w:tcPr>
          <w:p w14:paraId="2C8F4E92">
            <w:pPr>
              <w:pStyle w:val="70"/>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0</w:t>
            </w:r>
          </w:p>
        </w:tc>
      </w:tr>
      <w:tr w14:paraId="50F69D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2" w:type="dxa"/>
            <w:vMerge w:val="continue"/>
            <w:noWrap w:val="0"/>
            <w:vAlign w:val="center"/>
          </w:tcPr>
          <w:p w14:paraId="507757D6">
            <w:pPr>
              <w:pStyle w:val="73"/>
              <w:spacing w:beforeLines="0" w:afterLines="0" w:line="240" w:lineRule="auto"/>
              <w:ind w:firstLine="0" w:firstLineChars="0"/>
              <w:rPr>
                <w:rFonts w:hint="default" w:ascii="Times New Roman" w:hAnsi="Times New Roman" w:eastAsia="宋体" w:cs="Times New Roman"/>
                <w:bCs/>
                <w:snapToGrid w:val="0"/>
                <w:color w:val="auto"/>
                <w:spacing w:val="0"/>
                <w:kern w:val="21"/>
                <w:sz w:val="24"/>
                <w:szCs w:val="24"/>
                <w:highlight w:val="none"/>
              </w:rPr>
            </w:pPr>
          </w:p>
        </w:tc>
        <w:tc>
          <w:tcPr>
            <w:tcW w:w="1443" w:type="dxa"/>
            <w:noWrap w:val="0"/>
            <w:vAlign w:val="center"/>
          </w:tcPr>
          <w:p w14:paraId="10BB32A2">
            <w:pPr>
              <w:pStyle w:val="70"/>
              <w:rPr>
                <w:rFonts w:hint="default" w:ascii="Times New Roman" w:hAnsi="Times New Roman" w:cs="Times New Roman"/>
                <w:color w:val="auto"/>
                <w:spacing w:val="0"/>
                <w:sz w:val="24"/>
                <w:szCs w:val="24"/>
                <w:highlight w:val="none"/>
                <w:lang w:val="en-US" w:eastAsia="zh-CN"/>
              </w:rPr>
            </w:pPr>
            <w:r>
              <w:rPr>
                <w:rFonts w:hint="eastAsia" w:cs="Times New Roman"/>
                <w:color w:val="auto"/>
                <w:spacing w:val="0"/>
                <w:sz w:val="24"/>
                <w:szCs w:val="24"/>
                <w:highlight w:val="none"/>
                <w:lang w:val="en-US" w:eastAsia="zh-CN"/>
              </w:rPr>
              <w:t>废离子交换树脂</w:t>
            </w:r>
          </w:p>
        </w:tc>
        <w:tc>
          <w:tcPr>
            <w:tcW w:w="1524" w:type="dxa"/>
            <w:noWrap w:val="0"/>
            <w:vAlign w:val="center"/>
          </w:tcPr>
          <w:p w14:paraId="1FEC75A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pacing w:val="0"/>
                <w:kern w:val="2"/>
                <w:sz w:val="24"/>
                <w:szCs w:val="24"/>
                <w:highlight w:val="none"/>
                <w:lang w:val="en-US" w:eastAsia="zh-CN" w:bidi="ar-SA"/>
              </w:rPr>
            </w:pPr>
            <w:r>
              <w:rPr>
                <w:rFonts w:hint="eastAsia" w:ascii="Times New Roman" w:hAnsi="Times New Roman" w:cs="Times New Roman"/>
                <w:color w:val="auto"/>
                <w:spacing w:val="0"/>
                <w:kern w:val="2"/>
                <w:sz w:val="24"/>
                <w:szCs w:val="24"/>
                <w:highlight w:val="none"/>
                <w:lang w:val="en-US" w:eastAsia="zh-CN" w:bidi="ar-SA"/>
              </w:rPr>
              <w:t>/</w:t>
            </w:r>
          </w:p>
        </w:tc>
        <w:tc>
          <w:tcPr>
            <w:tcW w:w="1341" w:type="dxa"/>
            <w:noWrap w:val="0"/>
            <w:vAlign w:val="center"/>
          </w:tcPr>
          <w:p w14:paraId="6778740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pacing w:val="0"/>
                <w:kern w:val="2"/>
                <w:sz w:val="24"/>
                <w:szCs w:val="24"/>
                <w:highlight w:val="none"/>
                <w:lang w:val="en-US" w:eastAsia="zh-CN" w:bidi="ar-SA"/>
              </w:rPr>
            </w:pPr>
            <w:r>
              <w:rPr>
                <w:rFonts w:hint="eastAsia" w:ascii="Times New Roman" w:hAnsi="Times New Roman" w:cs="Times New Roman"/>
                <w:color w:val="auto"/>
                <w:spacing w:val="0"/>
                <w:kern w:val="2"/>
                <w:sz w:val="24"/>
                <w:szCs w:val="24"/>
                <w:highlight w:val="none"/>
                <w:lang w:val="en-US" w:eastAsia="zh-CN" w:bidi="ar-SA"/>
              </w:rPr>
              <w:t>/</w:t>
            </w:r>
          </w:p>
        </w:tc>
        <w:tc>
          <w:tcPr>
            <w:tcW w:w="1390" w:type="dxa"/>
            <w:noWrap w:val="0"/>
            <w:vAlign w:val="center"/>
          </w:tcPr>
          <w:p w14:paraId="313FD588">
            <w:pPr>
              <w:pStyle w:val="73"/>
              <w:spacing w:beforeLines="0" w:afterLines="0" w:line="240" w:lineRule="auto"/>
              <w:ind w:firstLine="0" w:firstLineChars="0"/>
              <w:rPr>
                <w:rFonts w:hint="default" w:ascii="Times New Roman" w:hAnsi="Times New Roman" w:cs="Times New Roman"/>
                <w:color w:val="auto"/>
                <w:spacing w:val="0"/>
                <w:kern w:val="2"/>
                <w:sz w:val="24"/>
                <w:szCs w:val="24"/>
                <w:highlight w:val="none"/>
                <w:lang w:val="en-US" w:eastAsia="zh-CN" w:bidi="ar-SA"/>
              </w:rPr>
            </w:pPr>
            <w:r>
              <w:rPr>
                <w:rFonts w:hint="eastAsia" w:ascii="Times New Roman" w:cs="Times New Roman"/>
                <w:color w:val="auto"/>
                <w:spacing w:val="0"/>
                <w:kern w:val="2"/>
                <w:sz w:val="24"/>
                <w:szCs w:val="24"/>
                <w:highlight w:val="none"/>
                <w:lang w:val="en-US" w:eastAsia="zh-CN" w:bidi="ar-SA"/>
              </w:rPr>
              <w:t>/</w:t>
            </w:r>
          </w:p>
        </w:tc>
        <w:tc>
          <w:tcPr>
            <w:tcW w:w="1595" w:type="dxa"/>
            <w:noWrap w:val="0"/>
            <w:vAlign w:val="center"/>
          </w:tcPr>
          <w:p w14:paraId="2002C25B">
            <w:pPr>
              <w:pStyle w:val="70"/>
              <w:rPr>
                <w:rFonts w:hint="default" w:ascii="Times New Roman" w:hAnsi="Times New Roman" w:cs="Times New Roman"/>
                <w:color w:val="auto"/>
                <w:spacing w:val="0"/>
                <w:sz w:val="24"/>
                <w:szCs w:val="24"/>
                <w:highlight w:val="none"/>
                <w:lang w:val="en-US" w:eastAsia="zh-CN"/>
              </w:rPr>
            </w:pPr>
            <w:r>
              <w:rPr>
                <w:rFonts w:hint="eastAsia" w:cs="Times New Roman"/>
                <w:color w:val="auto"/>
                <w:spacing w:val="0"/>
                <w:sz w:val="24"/>
                <w:szCs w:val="24"/>
                <w:highlight w:val="none"/>
                <w:lang w:val="en-US" w:eastAsia="zh-CN"/>
              </w:rPr>
              <w:t>0.5</w:t>
            </w:r>
          </w:p>
        </w:tc>
        <w:tc>
          <w:tcPr>
            <w:tcW w:w="1416" w:type="dxa"/>
            <w:noWrap w:val="0"/>
            <w:vAlign w:val="center"/>
          </w:tcPr>
          <w:p w14:paraId="6CA8F737">
            <w:pPr>
              <w:spacing w:beforeLines="0" w:afterLines="0" w:line="240" w:lineRule="auto"/>
              <w:ind w:firstLine="480" w:firstLineChars="200"/>
              <w:rPr>
                <w:rFonts w:hint="default" w:ascii="Times New Roman" w:hAnsi="Times New Roman" w:cs="Times New Roman"/>
                <w:color w:val="auto"/>
                <w:spacing w:val="0"/>
                <w:kern w:val="2"/>
                <w:sz w:val="24"/>
                <w:szCs w:val="24"/>
                <w:highlight w:val="none"/>
                <w:lang w:val="en-US" w:eastAsia="zh-CN" w:bidi="ar-SA"/>
              </w:rPr>
            </w:pPr>
            <w:r>
              <w:rPr>
                <w:rFonts w:hint="eastAsia" w:ascii="Times New Roman" w:hAnsi="Times New Roman" w:cs="Times New Roman"/>
                <w:color w:val="auto"/>
                <w:spacing w:val="0"/>
                <w:kern w:val="2"/>
                <w:sz w:val="24"/>
                <w:szCs w:val="24"/>
                <w:highlight w:val="none"/>
                <w:lang w:val="en-US" w:eastAsia="zh-CN" w:bidi="ar-SA"/>
              </w:rPr>
              <w:t>/</w:t>
            </w:r>
          </w:p>
        </w:tc>
        <w:tc>
          <w:tcPr>
            <w:tcW w:w="1662" w:type="dxa"/>
            <w:noWrap w:val="0"/>
            <w:vAlign w:val="center"/>
          </w:tcPr>
          <w:p w14:paraId="696F27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aps w:val="0"/>
                <w:color w:val="auto"/>
                <w:spacing w:val="0"/>
                <w:sz w:val="24"/>
                <w:szCs w:val="24"/>
                <w:highlight w:val="none"/>
                <w:lang w:val="en-US" w:eastAsia="zh-CN"/>
              </w:rPr>
            </w:pPr>
            <w:r>
              <w:rPr>
                <w:rFonts w:hint="eastAsia" w:ascii="Times New Roman" w:hAnsi="Times New Roman" w:cs="Times New Roman"/>
                <w:bCs/>
                <w:caps w:val="0"/>
                <w:color w:val="auto"/>
                <w:spacing w:val="0"/>
                <w:sz w:val="24"/>
                <w:szCs w:val="24"/>
                <w:highlight w:val="none"/>
                <w:lang w:val="en-US" w:eastAsia="zh-CN"/>
              </w:rPr>
              <w:t>/</w:t>
            </w:r>
          </w:p>
        </w:tc>
        <w:tc>
          <w:tcPr>
            <w:tcW w:w="1589" w:type="dxa"/>
            <w:noWrap w:val="0"/>
            <w:vAlign w:val="center"/>
          </w:tcPr>
          <w:p w14:paraId="31A73A21">
            <w:pPr>
              <w:pStyle w:val="70"/>
              <w:rPr>
                <w:rFonts w:hint="default" w:ascii="Times New Roman" w:hAnsi="Times New Roman" w:cs="Times New Roman"/>
                <w:color w:val="auto"/>
                <w:spacing w:val="0"/>
                <w:sz w:val="24"/>
                <w:szCs w:val="24"/>
                <w:highlight w:val="none"/>
                <w:lang w:val="en-US" w:eastAsia="zh-CN"/>
              </w:rPr>
            </w:pPr>
            <w:r>
              <w:rPr>
                <w:rFonts w:hint="eastAsia" w:cs="Times New Roman"/>
                <w:color w:val="auto"/>
                <w:spacing w:val="0"/>
                <w:sz w:val="24"/>
                <w:szCs w:val="24"/>
                <w:highlight w:val="none"/>
                <w:lang w:val="en-US" w:eastAsia="zh-CN"/>
              </w:rPr>
              <w:t>0</w:t>
            </w:r>
          </w:p>
        </w:tc>
      </w:tr>
      <w:tr w14:paraId="29CDA9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2" w:type="dxa"/>
            <w:vMerge w:val="continue"/>
            <w:noWrap w:val="0"/>
            <w:vAlign w:val="center"/>
          </w:tcPr>
          <w:p w14:paraId="3EDB0E24">
            <w:pPr>
              <w:pStyle w:val="73"/>
              <w:spacing w:beforeLines="0" w:afterLines="0" w:line="240" w:lineRule="auto"/>
              <w:ind w:firstLine="0" w:firstLineChars="0"/>
              <w:rPr>
                <w:rFonts w:hint="default" w:ascii="Times New Roman" w:hAnsi="Times New Roman" w:eastAsia="宋体" w:cs="Times New Roman"/>
                <w:bCs/>
                <w:snapToGrid w:val="0"/>
                <w:color w:val="auto"/>
                <w:spacing w:val="0"/>
                <w:kern w:val="21"/>
                <w:sz w:val="24"/>
                <w:szCs w:val="24"/>
                <w:highlight w:val="none"/>
              </w:rPr>
            </w:pPr>
          </w:p>
        </w:tc>
        <w:tc>
          <w:tcPr>
            <w:tcW w:w="1443" w:type="dxa"/>
            <w:noWrap w:val="0"/>
            <w:vAlign w:val="center"/>
          </w:tcPr>
          <w:p w14:paraId="1A05BACF">
            <w:pPr>
              <w:pStyle w:val="70"/>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含油抹布</w:t>
            </w:r>
          </w:p>
        </w:tc>
        <w:tc>
          <w:tcPr>
            <w:tcW w:w="1524" w:type="dxa"/>
            <w:noWrap w:val="0"/>
            <w:vAlign w:val="center"/>
          </w:tcPr>
          <w:p w14:paraId="39D2AE4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341" w:type="dxa"/>
            <w:noWrap w:val="0"/>
            <w:vAlign w:val="center"/>
          </w:tcPr>
          <w:p w14:paraId="3A1363D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390" w:type="dxa"/>
            <w:noWrap w:val="0"/>
            <w:vAlign w:val="center"/>
          </w:tcPr>
          <w:p w14:paraId="62356FC2">
            <w:pPr>
              <w:pStyle w:val="73"/>
              <w:spacing w:beforeLines="0" w:afterLines="0" w:line="240" w:lineRule="auto"/>
              <w:ind w:firstLine="0" w:firstLineChars="0"/>
              <w:rPr>
                <w:rFonts w:hint="default" w:ascii="Times New Roman" w:hAnsi="Times New Roman"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595" w:type="dxa"/>
            <w:noWrap w:val="0"/>
            <w:vAlign w:val="center"/>
          </w:tcPr>
          <w:p w14:paraId="16A29E1A">
            <w:pPr>
              <w:pStyle w:val="70"/>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0.005t/a</w:t>
            </w:r>
          </w:p>
        </w:tc>
        <w:tc>
          <w:tcPr>
            <w:tcW w:w="1416" w:type="dxa"/>
            <w:noWrap w:val="0"/>
            <w:vAlign w:val="center"/>
          </w:tcPr>
          <w:p w14:paraId="4F560A14">
            <w:pPr>
              <w:spacing w:beforeLines="0" w:afterLines="0" w:line="240" w:lineRule="auto"/>
              <w:ind w:firstLine="480" w:firstLineChars="200"/>
              <w:rPr>
                <w:rFonts w:hint="default" w:ascii="Times New Roman" w:hAnsi="Times New Roman"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662" w:type="dxa"/>
            <w:noWrap w:val="0"/>
            <w:vAlign w:val="center"/>
          </w:tcPr>
          <w:p w14:paraId="569300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bCs/>
                <w:caps w:val="0"/>
                <w:color w:val="auto"/>
                <w:spacing w:val="0"/>
                <w:sz w:val="24"/>
                <w:szCs w:val="24"/>
                <w:highlight w:val="none"/>
                <w:lang w:val="en-US" w:eastAsia="zh-CN"/>
              </w:rPr>
              <w:t>/</w:t>
            </w:r>
          </w:p>
        </w:tc>
        <w:tc>
          <w:tcPr>
            <w:tcW w:w="1589" w:type="dxa"/>
            <w:noWrap w:val="0"/>
            <w:vAlign w:val="center"/>
          </w:tcPr>
          <w:p w14:paraId="3C385146">
            <w:pPr>
              <w:pStyle w:val="70"/>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0</w:t>
            </w:r>
          </w:p>
        </w:tc>
      </w:tr>
      <w:tr w14:paraId="6F6767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2" w:type="dxa"/>
            <w:noWrap w:val="0"/>
            <w:vAlign w:val="center"/>
          </w:tcPr>
          <w:p w14:paraId="1481873C">
            <w:pPr>
              <w:pStyle w:val="73"/>
              <w:spacing w:beforeLines="0" w:afterLines="0" w:line="240" w:lineRule="auto"/>
              <w:ind w:firstLine="0" w:firstLineChars="0"/>
              <w:rPr>
                <w:rFonts w:hint="default" w:ascii="Times New Roman" w:hAnsi="Times New Roman" w:eastAsia="宋体" w:cs="Times New Roman"/>
                <w:bCs/>
                <w:snapToGrid w:val="0"/>
                <w:color w:val="auto"/>
                <w:spacing w:val="0"/>
                <w:kern w:val="21"/>
                <w:sz w:val="24"/>
                <w:szCs w:val="24"/>
                <w:highlight w:val="none"/>
                <w:lang w:val="en-US" w:eastAsia="zh-CN"/>
              </w:rPr>
            </w:pPr>
            <w:r>
              <w:rPr>
                <w:rFonts w:hint="default" w:ascii="Times New Roman" w:hAnsi="Times New Roman" w:eastAsia="宋体" w:cs="Times New Roman"/>
                <w:bCs/>
                <w:snapToGrid w:val="0"/>
                <w:color w:val="auto"/>
                <w:spacing w:val="0"/>
                <w:kern w:val="21"/>
                <w:sz w:val="24"/>
                <w:szCs w:val="24"/>
                <w:highlight w:val="none"/>
                <w:lang w:val="en-US" w:eastAsia="zh-CN"/>
              </w:rPr>
              <w:t>生活垃圾</w:t>
            </w:r>
          </w:p>
        </w:tc>
        <w:tc>
          <w:tcPr>
            <w:tcW w:w="1443" w:type="dxa"/>
            <w:shd w:val="clear" w:color="auto" w:fill="auto"/>
            <w:noWrap w:val="0"/>
            <w:vAlign w:val="center"/>
          </w:tcPr>
          <w:p w14:paraId="2977BF0D">
            <w:pPr>
              <w:pStyle w:val="70"/>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生活垃圾</w:t>
            </w:r>
          </w:p>
        </w:tc>
        <w:tc>
          <w:tcPr>
            <w:tcW w:w="1524" w:type="dxa"/>
            <w:noWrap w:val="0"/>
            <w:vAlign w:val="center"/>
          </w:tcPr>
          <w:p w14:paraId="23EFBF6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w:t>
            </w:r>
          </w:p>
        </w:tc>
        <w:tc>
          <w:tcPr>
            <w:tcW w:w="1341" w:type="dxa"/>
            <w:noWrap w:val="0"/>
            <w:vAlign w:val="center"/>
          </w:tcPr>
          <w:p w14:paraId="3D940B62">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仿宋_GB2312" w:cs="Times New Roman"/>
                <w:bCs w:val="0"/>
                <w:color w:val="auto"/>
                <w:spacing w:val="0"/>
                <w:kern w:val="2"/>
                <w:sz w:val="24"/>
                <w:szCs w:val="24"/>
                <w:highlight w:val="none"/>
                <w:lang w:val="en-US" w:eastAsia="zh-CN" w:bidi="ar-SA"/>
              </w:rPr>
            </w:pPr>
          </w:p>
        </w:tc>
        <w:tc>
          <w:tcPr>
            <w:tcW w:w="1390" w:type="dxa"/>
            <w:noWrap w:val="0"/>
            <w:vAlign w:val="center"/>
          </w:tcPr>
          <w:p w14:paraId="700AF735">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color w:val="auto"/>
                <w:spacing w:val="0"/>
                <w:kern w:val="2"/>
                <w:sz w:val="24"/>
                <w:szCs w:val="24"/>
                <w:highlight w:val="none"/>
                <w:lang w:val="en-US" w:eastAsia="zh-CN" w:bidi="ar-SA"/>
              </w:rPr>
            </w:pPr>
          </w:p>
        </w:tc>
        <w:tc>
          <w:tcPr>
            <w:tcW w:w="1595" w:type="dxa"/>
            <w:noWrap w:val="0"/>
            <w:vAlign w:val="center"/>
          </w:tcPr>
          <w:p w14:paraId="101FC86A">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eastAsia="宋体" w:cs="Times New Roman"/>
                <w:color w:val="auto"/>
                <w:spacing w:val="0"/>
                <w:kern w:val="2"/>
                <w:sz w:val="24"/>
                <w:szCs w:val="24"/>
                <w:highlight w:val="none"/>
                <w:lang w:val="en-US" w:eastAsia="zh-CN" w:bidi="ar-SA"/>
              </w:rPr>
              <w:t>/</w:t>
            </w:r>
          </w:p>
        </w:tc>
        <w:tc>
          <w:tcPr>
            <w:tcW w:w="1416" w:type="dxa"/>
            <w:noWrap w:val="0"/>
            <w:vAlign w:val="center"/>
          </w:tcPr>
          <w:p w14:paraId="7C7FDE98">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eastAsia="宋体" w:cs="Times New Roman"/>
                <w:color w:val="auto"/>
                <w:spacing w:val="0"/>
                <w:kern w:val="2"/>
                <w:sz w:val="24"/>
                <w:szCs w:val="24"/>
                <w:highlight w:val="none"/>
                <w:lang w:val="en-US" w:eastAsia="zh-CN" w:bidi="ar-SA"/>
              </w:rPr>
              <w:t>/</w:t>
            </w:r>
          </w:p>
        </w:tc>
        <w:tc>
          <w:tcPr>
            <w:tcW w:w="1662" w:type="dxa"/>
            <w:noWrap w:val="0"/>
            <w:vAlign w:val="center"/>
          </w:tcPr>
          <w:p w14:paraId="73EDEA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bCs/>
                <w:caps w:val="0"/>
                <w:color w:val="auto"/>
                <w:spacing w:val="0"/>
                <w:sz w:val="24"/>
                <w:szCs w:val="24"/>
                <w:highlight w:val="none"/>
                <w:lang w:val="en-US" w:eastAsia="zh-CN"/>
              </w:rPr>
              <w:t>/</w:t>
            </w:r>
          </w:p>
        </w:tc>
        <w:tc>
          <w:tcPr>
            <w:tcW w:w="1589" w:type="dxa"/>
            <w:noWrap w:val="0"/>
            <w:vAlign w:val="center"/>
          </w:tcPr>
          <w:p w14:paraId="2E7C022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w:t>
            </w:r>
          </w:p>
        </w:tc>
      </w:tr>
    </w:tbl>
    <w:p w14:paraId="102F834E">
      <w:pPr>
        <w:pStyle w:val="73"/>
        <w:spacing w:before="24" w:after="24"/>
        <w:ind w:firstLine="420"/>
        <w:rPr>
          <w:rFonts w:hint="default" w:ascii="Times New Roman" w:hAnsi="Times New Roman" w:eastAsia="宋体" w:cs="Times New Roman"/>
          <w:color w:val="auto"/>
          <w:spacing w:val="0"/>
          <w:highlight w:val="none"/>
        </w:rPr>
      </w:pPr>
      <w:r>
        <w:rPr>
          <w:rFonts w:hint="default" w:ascii="Times New Roman" w:hAnsi="Times New Roman" w:eastAsia="宋体" w:cs="Times New Roman"/>
          <w:snapToGrid w:val="0"/>
          <w:color w:val="auto"/>
          <w:spacing w:val="0"/>
          <w:kern w:val="21"/>
          <w:highlight w:val="none"/>
        </w:rPr>
        <w:t>注：</w:t>
      </w:r>
      <w:r>
        <w:rPr>
          <w:rFonts w:hint="default" w:ascii="Times New Roman" w:hAnsi="Times New Roman" w:eastAsia="宋体" w:cs="Times New Roman"/>
          <w:snapToGrid w:val="0"/>
          <w:color w:val="auto"/>
          <w:spacing w:val="0"/>
          <w:kern w:val="21"/>
          <w:highlight w:val="none"/>
        </w:rPr>
        <w:fldChar w:fldCharType="begin"/>
      </w:r>
      <w:r>
        <w:rPr>
          <w:rFonts w:hint="default" w:ascii="Times New Roman" w:hAnsi="Times New Roman" w:eastAsia="宋体" w:cs="Times New Roman"/>
          <w:snapToGrid w:val="0"/>
          <w:color w:val="auto"/>
          <w:spacing w:val="0"/>
          <w:kern w:val="21"/>
          <w:highlight w:val="none"/>
        </w:rPr>
        <w:instrText xml:space="preserve"> = 6 \* GB3 \* MERGEFORMAT </w:instrText>
      </w:r>
      <w:r>
        <w:rPr>
          <w:rFonts w:hint="default" w:ascii="Times New Roman" w:hAnsi="Times New Roman" w:eastAsia="宋体" w:cs="Times New Roman"/>
          <w:snapToGrid w:val="0"/>
          <w:color w:val="auto"/>
          <w:spacing w:val="0"/>
          <w:kern w:val="21"/>
          <w:highlight w:val="none"/>
        </w:rPr>
        <w:fldChar w:fldCharType="separate"/>
      </w:r>
      <w:r>
        <w:rPr>
          <w:rFonts w:hint="default" w:ascii="Times New Roman" w:hAnsi="Times New Roman" w:eastAsia="宋体" w:cs="Times New Roman"/>
          <w:color w:val="auto"/>
          <w:spacing w:val="0"/>
          <w:highlight w:val="none"/>
        </w:rPr>
        <w:t>⑥</w:t>
      </w:r>
      <w:r>
        <w:rPr>
          <w:rFonts w:hint="default" w:ascii="Times New Roman" w:hAnsi="Times New Roman" w:eastAsia="宋体" w:cs="Times New Roman"/>
          <w:snapToGrid w:val="0"/>
          <w:color w:val="auto"/>
          <w:spacing w:val="0"/>
          <w:kern w:val="21"/>
          <w:highlight w:val="none"/>
        </w:rPr>
        <w:fldChar w:fldCharType="end"/>
      </w:r>
      <w:r>
        <w:rPr>
          <w:rFonts w:hint="default" w:ascii="Times New Roman" w:hAnsi="Times New Roman" w:eastAsia="宋体" w:cs="Times New Roman"/>
          <w:snapToGrid w:val="0"/>
          <w:color w:val="auto"/>
          <w:spacing w:val="0"/>
          <w:kern w:val="21"/>
          <w:highlight w:val="none"/>
        </w:rPr>
        <w:t>=</w:t>
      </w:r>
      <w:r>
        <w:rPr>
          <w:rFonts w:hint="default" w:ascii="Times New Roman" w:hAnsi="Times New Roman" w:eastAsia="宋体" w:cs="Times New Roman"/>
          <w:snapToGrid w:val="0"/>
          <w:color w:val="auto"/>
          <w:spacing w:val="0"/>
          <w:kern w:val="21"/>
          <w:highlight w:val="none"/>
        </w:rPr>
        <w:fldChar w:fldCharType="begin"/>
      </w:r>
      <w:r>
        <w:rPr>
          <w:rFonts w:hint="default" w:ascii="Times New Roman" w:hAnsi="Times New Roman" w:eastAsia="宋体" w:cs="Times New Roman"/>
          <w:snapToGrid w:val="0"/>
          <w:color w:val="auto"/>
          <w:spacing w:val="0"/>
          <w:kern w:val="21"/>
          <w:highlight w:val="none"/>
        </w:rPr>
        <w:instrText xml:space="preserve"> = 1 \* GB3 \* MERGEFORMAT </w:instrText>
      </w:r>
      <w:r>
        <w:rPr>
          <w:rFonts w:hint="default" w:ascii="Times New Roman" w:hAnsi="Times New Roman" w:eastAsia="宋体" w:cs="Times New Roman"/>
          <w:snapToGrid w:val="0"/>
          <w:color w:val="auto"/>
          <w:spacing w:val="0"/>
          <w:kern w:val="21"/>
          <w:highlight w:val="none"/>
        </w:rPr>
        <w:fldChar w:fldCharType="separate"/>
      </w:r>
      <w:r>
        <w:rPr>
          <w:rFonts w:hint="default" w:ascii="Times New Roman" w:hAnsi="Times New Roman" w:eastAsia="宋体" w:cs="Times New Roman"/>
          <w:color w:val="auto"/>
          <w:spacing w:val="0"/>
          <w:highlight w:val="none"/>
        </w:rPr>
        <w:t>①</w:t>
      </w:r>
      <w:r>
        <w:rPr>
          <w:rFonts w:hint="default" w:ascii="Times New Roman" w:hAnsi="Times New Roman" w:eastAsia="宋体" w:cs="Times New Roman"/>
          <w:snapToGrid w:val="0"/>
          <w:color w:val="auto"/>
          <w:spacing w:val="0"/>
          <w:kern w:val="21"/>
          <w:highlight w:val="none"/>
        </w:rPr>
        <w:fldChar w:fldCharType="end"/>
      </w:r>
      <w:r>
        <w:rPr>
          <w:rFonts w:hint="default" w:ascii="Times New Roman" w:hAnsi="Times New Roman" w:eastAsia="宋体" w:cs="Times New Roman"/>
          <w:snapToGrid w:val="0"/>
          <w:color w:val="auto"/>
          <w:spacing w:val="0"/>
          <w:kern w:val="21"/>
          <w:highlight w:val="none"/>
        </w:rPr>
        <w:t>+</w:t>
      </w:r>
      <w:r>
        <w:rPr>
          <w:rFonts w:hint="default" w:ascii="Times New Roman" w:hAnsi="Times New Roman" w:eastAsia="宋体" w:cs="Times New Roman"/>
          <w:snapToGrid w:val="0"/>
          <w:color w:val="auto"/>
          <w:spacing w:val="0"/>
          <w:kern w:val="21"/>
          <w:highlight w:val="none"/>
        </w:rPr>
        <w:fldChar w:fldCharType="begin"/>
      </w:r>
      <w:r>
        <w:rPr>
          <w:rFonts w:hint="default" w:ascii="Times New Roman" w:hAnsi="Times New Roman" w:eastAsia="宋体" w:cs="Times New Roman"/>
          <w:snapToGrid w:val="0"/>
          <w:color w:val="auto"/>
          <w:spacing w:val="0"/>
          <w:kern w:val="21"/>
          <w:highlight w:val="none"/>
        </w:rPr>
        <w:instrText xml:space="preserve"> = 3 \* GB3 \* MERGEFORMAT </w:instrText>
      </w:r>
      <w:r>
        <w:rPr>
          <w:rFonts w:hint="default" w:ascii="Times New Roman" w:hAnsi="Times New Roman" w:eastAsia="宋体" w:cs="Times New Roman"/>
          <w:snapToGrid w:val="0"/>
          <w:color w:val="auto"/>
          <w:spacing w:val="0"/>
          <w:kern w:val="21"/>
          <w:highlight w:val="none"/>
        </w:rPr>
        <w:fldChar w:fldCharType="separate"/>
      </w:r>
      <w:r>
        <w:rPr>
          <w:rFonts w:hint="default" w:ascii="Times New Roman" w:hAnsi="Times New Roman" w:eastAsia="宋体" w:cs="Times New Roman"/>
          <w:color w:val="auto"/>
          <w:spacing w:val="0"/>
          <w:highlight w:val="none"/>
        </w:rPr>
        <w:t>③</w:t>
      </w:r>
      <w:r>
        <w:rPr>
          <w:rFonts w:hint="default" w:ascii="Times New Roman" w:hAnsi="Times New Roman" w:eastAsia="宋体" w:cs="Times New Roman"/>
          <w:snapToGrid w:val="0"/>
          <w:color w:val="auto"/>
          <w:spacing w:val="0"/>
          <w:kern w:val="21"/>
          <w:highlight w:val="none"/>
        </w:rPr>
        <w:fldChar w:fldCharType="end"/>
      </w:r>
      <w:r>
        <w:rPr>
          <w:rFonts w:hint="default" w:ascii="Times New Roman" w:hAnsi="Times New Roman" w:eastAsia="宋体" w:cs="Times New Roman"/>
          <w:snapToGrid w:val="0"/>
          <w:color w:val="auto"/>
          <w:spacing w:val="0"/>
          <w:kern w:val="21"/>
          <w:highlight w:val="none"/>
        </w:rPr>
        <w:t>+</w:t>
      </w:r>
      <w:r>
        <w:rPr>
          <w:rFonts w:hint="default" w:ascii="Times New Roman" w:hAnsi="Times New Roman" w:eastAsia="宋体" w:cs="Times New Roman"/>
          <w:snapToGrid w:val="0"/>
          <w:color w:val="auto"/>
          <w:spacing w:val="0"/>
          <w:kern w:val="21"/>
          <w:highlight w:val="none"/>
        </w:rPr>
        <w:fldChar w:fldCharType="begin"/>
      </w:r>
      <w:r>
        <w:rPr>
          <w:rFonts w:hint="default" w:ascii="Times New Roman" w:hAnsi="Times New Roman" w:eastAsia="宋体" w:cs="Times New Roman"/>
          <w:snapToGrid w:val="0"/>
          <w:color w:val="auto"/>
          <w:spacing w:val="0"/>
          <w:kern w:val="21"/>
          <w:highlight w:val="none"/>
        </w:rPr>
        <w:instrText xml:space="preserve"> = 4 \* GB3 \* MERGEFORMAT </w:instrText>
      </w:r>
      <w:r>
        <w:rPr>
          <w:rFonts w:hint="default" w:ascii="Times New Roman" w:hAnsi="Times New Roman" w:eastAsia="宋体" w:cs="Times New Roman"/>
          <w:snapToGrid w:val="0"/>
          <w:color w:val="auto"/>
          <w:spacing w:val="0"/>
          <w:kern w:val="21"/>
          <w:highlight w:val="none"/>
        </w:rPr>
        <w:fldChar w:fldCharType="separate"/>
      </w:r>
      <w:r>
        <w:rPr>
          <w:rFonts w:hint="default" w:ascii="Times New Roman" w:hAnsi="Times New Roman" w:eastAsia="宋体" w:cs="Times New Roman"/>
          <w:color w:val="auto"/>
          <w:spacing w:val="0"/>
          <w:highlight w:val="none"/>
        </w:rPr>
        <w:t>④</w:t>
      </w:r>
      <w:r>
        <w:rPr>
          <w:rFonts w:hint="default" w:ascii="Times New Roman" w:hAnsi="Times New Roman" w:eastAsia="宋体" w:cs="Times New Roman"/>
          <w:snapToGrid w:val="0"/>
          <w:color w:val="auto"/>
          <w:spacing w:val="0"/>
          <w:kern w:val="21"/>
          <w:highlight w:val="none"/>
        </w:rPr>
        <w:fldChar w:fldCharType="end"/>
      </w:r>
      <w:r>
        <w:rPr>
          <w:rFonts w:hint="default" w:ascii="Times New Roman" w:hAnsi="Times New Roman" w:eastAsia="宋体" w:cs="Times New Roman"/>
          <w:snapToGrid w:val="0"/>
          <w:color w:val="auto"/>
          <w:spacing w:val="0"/>
          <w:kern w:val="21"/>
          <w:highlight w:val="none"/>
        </w:rPr>
        <w:t>-</w:t>
      </w:r>
      <w:r>
        <w:rPr>
          <w:rFonts w:hint="default" w:ascii="Times New Roman" w:hAnsi="Times New Roman" w:eastAsia="宋体" w:cs="Times New Roman"/>
          <w:snapToGrid w:val="0"/>
          <w:color w:val="auto"/>
          <w:spacing w:val="0"/>
          <w:kern w:val="21"/>
          <w:highlight w:val="none"/>
        </w:rPr>
        <w:fldChar w:fldCharType="begin"/>
      </w:r>
      <w:r>
        <w:rPr>
          <w:rFonts w:hint="default" w:ascii="Times New Roman" w:hAnsi="Times New Roman" w:eastAsia="宋体" w:cs="Times New Roman"/>
          <w:snapToGrid w:val="0"/>
          <w:color w:val="auto"/>
          <w:spacing w:val="0"/>
          <w:kern w:val="21"/>
          <w:highlight w:val="none"/>
        </w:rPr>
        <w:instrText xml:space="preserve"> = 5 \* GB3 \* MERGEFORMAT </w:instrText>
      </w:r>
      <w:r>
        <w:rPr>
          <w:rFonts w:hint="default" w:ascii="Times New Roman" w:hAnsi="Times New Roman" w:eastAsia="宋体" w:cs="Times New Roman"/>
          <w:snapToGrid w:val="0"/>
          <w:color w:val="auto"/>
          <w:spacing w:val="0"/>
          <w:kern w:val="21"/>
          <w:highlight w:val="none"/>
        </w:rPr>
        <w:fldChar w:fldCharType="separate"/>
      </w:r>
      <w:r>
        <w:rPr>
          <w:rFonts w:hint="default" w:ascii="Times New Roman" w:hAnsi="Times New Roman" w:eastAsia="宋体" w:cs="Times New Roman"/>
          <w:color w:val="auto"/>
          <w:spacing w:val="0"/>
          <w:highlight w:val="none"/>
        </w:rPr>
        <w:t>⑤</w:t>
      </w:r>
      <w:r>
        <w:rPr>
          <w:rFonts w:hint="default" w:ascii="Times New Roman" w:hAnsi="Times New Roman" w:eastAsia="宋体" w:cs="Times New Roman"/>
          <w:snapToGrid w:val="0"/>
          <w:color w:val="auto"/>
          <w:spacing w:val="0"/>
          <w:kern w:val="21"/>
          <w:highlight w:val="none"/>
        </w:rPr>
        <w:fldChar w:fldCharType="end"/>
      </w:r>
      <w:r>
        <w:rPr>
          <w:rFonts w:hint="default" w:ascii="Times New Roman" w:hAnsi="Times New Roman" w:eastAsia="宋体" w:cs="Times New Roman"/>
          <w:snapToGrid w:val="0"/>
          <w:color w:val="auto"/>
          <w:spacing w:val="0"/>
          <w:kern w:val="21"/>
          <w:highlight w:val="none"/>
        </w:rPr>
        <w:t>；</w:t>
      </w:r>
      <w:r>
        <w:rPr>
          <w:rFonts w:hint="default" w:ascii="Times New Roman" w:hAnsi="Times New Roman" w:eastAsia="宋体" w:cs="Times New Roman"/>
          <w:snapToGrid w:val="0"/>
          <w:color w:val="auto"/>
          <w:spacing w:val="0"/>
          <w:kern w:val="21"/>
          <w:highlight w:val="none"/>
        </w:rPr>
        <w:fldChar w:fldCharType="begin"/>
      </w:r>
      <w:r>
        <w:rPr>
          <w:rFonts w:hint="default" w:ascii="Times New Roman" w:hAnsi="Times New Roman" w:eastAsia="宋体" w:cs="Times New Roman"/>
          <w:snapToGrid w:val="0"/>
          <w:color w:val="auto"/>
          <w:spacing w:val="0"/>
          <w:kern w:val="21"/>
          <w:highlight w:val="none"/>
        </w:rPr>
        <w:instrText xml:space="preserve"> = 7 \* GB3 \* MERGEFORMAT </w:instrText>
      </w:r>
      <w:r>
        <w:rPr>
          <w:rFonts w:hint="default" w:ascii="Times New Roman" w:hAnsi="Times New Roman" w:eastAsia="宋体" w:cs="Times New Roman"/>
          <w:snapToGrid w:val="0"/>
          <w:color w:val="auto"/>
          <w:spacing w:val="0"/>
          <w:kern w:val="21"/>
          <w:highlight w:val="none"/>
        </w:rPr>
        <w:fldChar w:fldCharType="separate"/>
      </w:r>
      <w:r>
        <w:rPr>
          <w:rFonts w:hint="default" w:ascii="Times New Roman" w:hAnsi="Times New Roman" w:eastAsia="宋体" w:cs="Times New Roman"/>
          <w:color w:val="auto"/>
          <w:spacing w:val="0"/>
          <w:highlight w:val="none"/>
        </w:rPr>
        <w:t>⑦</w:t>
      </w:r>
      <w:r>
        <w:rPr>
          <w:rFonts w:hint="default" w:ascii="Times New Roman" w:hAnsi="Times New Roman" w:eastAsia="宋体" w:cs="Times New Roman"/>
          <w:snapToGrid w:val="0"/>
          <w:color w:val="auto"/>
          <w:spacing w:val="0"/>
          <w:kern w:val="21"/>
          <w:highlight w:val="none"/>
        </w:rPr>
        <w:fldChar w:fldCharType="end"/>
      </w:r>
      <w:r>
        <w:rPr>
          <w:rFonts w:hint="default" w:ascii="Times New Roman" w:hAnsi="Times New Roman" w:eastAsia="宋体" w:cs="Times New Roman"/>
          <w:snapToGrid w:val="0"/>
          <w:color w:val="auto"/>
          <w:spacing w:val="0"/>
          <w:kern w:val="21"/>
          <w:highlight w:val="none"/>
        </w:rPr>
        <w:t>=</w:t>
      </w:r>
      <w:r>
        <w:rPr>
          <w:rFonts w:hint="default" w:ascii="Times New Roman" w:hAnsi="Times New Roman" w:eastAsia="宋体" w:cs="Times New Roman"/>
          <w:snapToGrid w:val="0"/>
          <w:color w:val="auto"/>
          <w:spacing w:val="0"/>
          <w:kern w:val="21"/>
          <w:highlight w:val="none"/>
        </w:rPr>
        <w:fldChar w:fldCharType="begin"/>
      </w:r>
      <w:r>
        <w:rPr>
          <w:rFonts w:hint="default" w:ascii="Times New Roman" w:hAnsi="Times New Roman" w:eastAsia="宋体" w:cs="Times New Roman"/>
          <w:snapToGrid w:val="0"/>
          <w:color w:val="auto"/>
          <w:spacing w:val="0"/>
          <w:kern w:val="21"/>
          <w:highlight w:val="none"/>
        </w:rPr>
        <w:instrText xml:space="preserve"> = 6 \* GB3 \* MERGEFORMAT </w:instrText>
      </w:r>
      <w:r>
        <w:rPr>
          <w:rFonts w:hint="default" w:ascii="Times New Roman" w:hAnsi="Times New Roman" w:eastAsia="宋体" w:cs="Times New Roman"/>
          <w:snapToGrid w:val="0"/>
          <w:color w:val="auto"/>
          <w:spacing w:val="0"/>
          <w:kern w:val="21"/>
          <w:highlight w:val="none"/>
        </w:rPr>
        <w:fldChar w:fldCharType="separate"/>
      </w:r>
      <w:r>
        <w:rPr>
          <w:rFonts w:hint="default" w:ascii="Times New Roman" w:hAnsi="Times New Roman" w:eastAsia="宋体" w:cs="Times New Roman"/>
          <w:color w:val="auto"/>
          <w:spacing w:val="0"/>
          <w:highlight w:val="none"/>
        </w:rPr>
        <w:t>⑥</w:t>
      </w:r>
      <w:r>
        <w:rPr>
          <w:rFonts w:hint="default" w:ascii="Times New Roman" w:hAnsi="Times New Roman" w:eastAsia="宋体" w:cs="Times New Roman"/>
          <w:snapToGrid w:val="0"/>
          <w:color w:val="auto"/>
          <w:spacing w:val="0"/>
          <w:kern w:val="21"/>
          <w:highlight w:val="none"/>
        </w:rPr>
        <w:fldChar w:fldCharType="end"/>
      </w:r>
      <w:r>
        <w:rPr>
          <w:rFonts w:hint="default" w:ascii="Times New Roman" w:hAnsi="Times New Roman" w:eastAsia="宋体" w:cs="Times New Roman"/>
          <w:snapToGrid w:val="0"/>
          <w:color w:val="auto"/>
          <w:spacing w:val="0"/>
          <w:kern w:val="21"/>
          <w:highlight w:val="none"/>
        </w:rPr>
        <w:t>-</w:t>
      </w:r>
      <w:r>
        <w:rPr>
          <w:rFonts w:hint="default" w:ascii="Times New Roman" w:hAnsi="Times New Roman" w:eastAsia="宋体" w:cs="Times New Roman"/>
          <w:snapToGrid w:val="0"/>
          <w:color w:val="auto"/>
          <w:spacing w:val="0"/>
          <w:kern w:val="21"/>
          <w:highlight w:val="none"/>
        </w:rPr>
        <w:fldChar w:fldCharType="begin"/>
      </w:r>
      <w:r>
        <w:rPr>
          <w:rFonts w:hint="default" w:ascii="Times New Roman" w:hAnsi="Times New Roman" w:eastAsia="宋体" w:cs="Times New Roman"/>
          <w:snapToGrid w:val="0"/>
          <w:color w:val="auto"/>
          <w:spacing w:val="0"/>
          <w:kern w:val="21"/>
          <w:highlight w:val="none"/>
        </w:rPr>
        <w:instrText xml:space="preserve"> = 1 \* GB3 \* MERGEFORMAT </w:instrText>
      </w:r>
      <w:r>
        <w:rPr>
          <w:rFonts w:hint="default" w:ascii="Times New Roman" w:hAnsi="Times New Roman" w:eastAsia="宋体" w:cs="Times New Roman"/>
          <w:snapToGrid w:val="0"/>
          <w:color w:val="auto"/>
          <w:spacing w:val="0"/>
          <w:kern w:val="21"/>
          <w:highlight w:val="none"/>
        </w:rPr>
        <w:fldChar w:fldCharType="separate"/>
      </w:r>
      <w:r>
        <w:rPr>
          <w:rFonts w:hint="default" w:ascii="Times New Roman" w:hAnsi="Times New Roman" w:eastAsia="宋体" w:cs="Times New Roman"/>
          <w:color w:val="auto"/>
          <w:spacing w:val="0"/>
          <w:highlight w:val="none"/>
        </w:rPr>
        <w:t>①</w:t>
      </w:r>
      <w:r>
        <w:rPr>
          <w:rFonts w:hint="default" w:ascii="Times New Roman" w:hAnsi="Times New Roman" w:eastAsia="宋体" w:cs="Times New Roman"/>
          <w:snapToGrid w:val="0"/>
          <w:color w:val="auto"/>
          <w:spacing w:val="0"/>
          <w:kern w:val="21"/>
          <w:highlight w:val="none"/>
        </w:rPr>
        <w:fldChar w:fldCharType="end"/>
      </w:r>
    </w:p>
    <w:p w14:paraId="5C91E939">
      <w:pPr>
        <w:rPr>
          <w:rFonts w:hint="default" w:ascii="Times New Roman" w:hAnsi="Times New Roman" w:eastAsia="宋体" w:cs="Times New Roman"/>
          <w:color w:val="auto"/>
          <w:spacing w:val="0"/>
          <w:highlight w:val="none"/>
        </w:rPr>
        <w:sectPr>
          <w:footerReference r:id="rId12" w:type="default"/>
          <w:pgSz w:w="16838" w:h="11906" w:orient="landscape"/>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14:paraId="688BA960">
      <w:pPr>
        <w:ind w:left="0" w:leftChars="0" w:firstLine="0" w:firstLineChars="0"/>
        <w:outlineLvl w:val="0"/>
        <w:rPr>
          <w:rFonts w:hint="default" w:ascii="Times New Roman" w:hAnsi="Times New Roman" w:eastAsia="宋体" w:cs="Times New Roman"/>
          <w:b/>
          <w:bCs w:val="0"/>
          <w:color w:val="auto"/>
          <w:spacing w:val="0"/>
          <w:highlight w:val="none"/>
          <w:lang w:val="en-US" w:eastAsia="zh-CN"/>
        </w:rPr>
      </w:pPr>
      <w:bookmarkStart w:id="21" w:name="_Toc15147"/>
      <w:r>
        <w:rPr>
          <w:rFonts w:hint="default" w:ascii="Times New Roman" w:hAnsi="Times New Roman" w:eastAsia="宋体" w:cs="Times New Roman"/>
          <w:b/>
          <w:bCs w:val="0"/>
          <w:color w:val="auto"/>
          <w:spacing w:val="0"/>
          <w:highlight w:val="none"/>
          <w:lang w:val="en-US" w:eastAsia="zh-CN"/>
        </w:rPr>
        <w:t>附图1 项目所在位置图</w:t>
      </w:r>
      <w:bookmarkEnd w:id="21"/>
    </w:p>
    <w:p w14:paraId="15086329">
      <w:pPr>
        <w:pStyle w:val="18"/>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pacing w:val="0"/>
          <w:highlight w:val="none"/>
        </w:rPr>
        <w:sectPr>
          <w:footerReference r:id="rId13" w:type="default"/>
          <w:pgSz w:w="16838" w:h="11906" w:orient="landscape"/>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auto"/>
          <w:spacing w:val="0"/>
          <w:sz w:val="28"/>
          <w:highlight w:val="none"/>
        </w:rPr>
        <mc:AlternateContent>
          <mc:Choice Requires="wps">
            <w:drawing>
              <wp:anchor distT="0" distB="0" distL="114300" distR="114300" simplePos="0" relativeHeight="251696128" behindDoc="0" locked="0" layoutInCell="1" allowOverlap="1">
                <wp:simplePos x="0" y="0"/>
                <wp:positionH relativeFrom="column">
                  <wp:posOffset>7268845</wp:posOffset>
                </wp:positionH>
                <wp:positionV relativeFrom="paragraph">
                  <wp:posOffset>3211830</wp:posOffset>
                </wp:positionV>
                <wp:extent cx="242570" cy="250825"/>
                <wp:effectExtent l="13970" t="16510" r="29210" b="18415"/>
                <wp:wrapNone/>
                <wp:docPr id="39" name="自选图形 52"/>
                <wp:cNvGraphicFramePr/>
                <a:graphic xmlns:a="http://schemas.openxmlformats.org/drawingml/2006/main">
                  <a:graphicData uri="http://schemas.microsoft.com/office/word/2010/wordprocessingShape">
                    <wps:wsp>
                      <wps:cNvSpPr/>
                      <wps:spPr>
                        <a:xfrm>
                          <a:off x="0" y="0"/>
                          <a:ext cx="242570" cy="250825"/>
                        </a:xfrm>
                        <a:prstGeom prst="star5">
                          <a:avLst/>
                        </a:prstGeom>
                        <a:solidFill>
                          <a:srgbClr val="FF0000"/>
                        </a:solidFill>
                        <a:ln w="9525" cap="flat" cmpd="sng">
                          <a:solidFill>
                            <a:srgbClr val="FF0000"/>
                          </a:solidFill>
                          <a:prstDash val="solid"/>
                          <a:miter/>
                          <a:headEnd type="none" w="med" len="med"/>
                          <a:tailEnd type="none" w="med" len="med"/>
                        </a:ln>
                      </wps:spPr>
                      <wps:bodyPr wrap="square" upright="1"/>
                    </wps:wsp>
                  </a:graphicData>
                </a:graphic>
              </wp:anchor>
            </w:drawing>
          </mc:Choice>
          <mc:Fallback>
            <w:pict>
              <v:shape id="自选图形 52" o:spid="_x0000_s1026" style="position:absolute;left:0pt;margin-left:572.35pt;margin-top:252.9pt;height:19.75pt;width:19.1pt;z-index:251696128;mso-width-relative:page;mso-height-relative:page;" fillcolor="#FF0000" filled="t" stroked="t" coordsize="242570,250825" o:gfxdata="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fny0V3AAAAA0BAAAPAAAAAAAA&#10;AAEAIAAAACIAAABkcnMvZG93bnJldi54bWxQSwECFAAUAAAACACHTuJAIdX7sA4CAAA0BAAADgAA&#10;AAAAAAABACAAAAArAQAAZHJzL2Uyb0RvYy54bWxQSwUGAAAAAAYABgBZAQAAqwUAAAAA&#10;" path="m0,95806l92654,95807,121285,0,149915,95807,242569,95806,167610,155017,196243,250824,121285,191611,46326,250824,74959,155017xe">
                <v:path o:connectlocs="121285,0;0,95806;46326,250824;196243,250824;242569,95806" o:connectangles="247,164,82,82,0"/>
                <v:fill on="t" focussize="0,0"/>
                <v:stroke color="#FF0000" joinstyle="miter"/>
                <v:imagedata o:title=""/>
                <o:lock v:ext="edit" aspectratio="f"/>
              </v:shape>
            </w:pict>
          </mc:Fallback>
        </mc:AlternateContent>
      </w:r>
      <w:r>
        <w:rPr>
          <w:color w:val="auto"/>
          <w:sz w:val="28"/>
          <w:highlight w:val="none"/>
        </w:rPr>
        <mc:AlternateContent>
          <mc:Choice Requires="wps">
            <w:drawing>
              <wp:anchor distT="0" distB="0" distL="114300" distR="114300" simplePos="0" relativeHeight="251695104" behindDoc="0" locked="0" layoutInCell="1" allowOverlap="1">
                <wp:simplePos x="0" y="0"/>
                <wp:positionH relativeFrom="column">
                  <wp:posOffset>7245350</wp:posOffset>
                </wp:positionH>
                <wp:positionV relativeFrom="paragraph">
                  <wp:posOffset>2946400</wp:posOffset>
                </wp:positionV>
                <wp:extent cx="1047750" cy="572770"/>
                <wp:effectExtent l="4445" t="4445" r="14605" b="13335"/>
                <wp:wrapNone/>
                <wp:docPr id="36" name="文本框 36"/>
                <wp:cNvGraphicFramePr/>
                <a:graphic xmlns:a="http://schemas.openxmlformats.org/drawingml/2006/main">
                  <a:graphicData uri="http://schemas.microsoft.com/office/word/2010/wordprocessingShape">
                    <wps:wsp>
                      <wps:cNvSpPr txBox="1"/>
                      <wps:spPr>
                        <a:xfrm>
                          <a:off x="0" y="0"/>
                          <a:ext cx="1047750" cy="5727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26AD7B4">
                            <w:pPr>
                              <w:ind w:left="0" w:leftChars="0" w:firstLine="0" w:firstLineChars="0"/>
                              <w:jc w:val="center"/>
                              <w:rPr>
                                <w:rFonts w:hint="eastAsia"/>
                                <w:sz w:val="21"/>
                                <w:szCs w:val="21"/>
                                <w:lang w:val="en-US" w:eastAsia="zh-CN"/>
                              </w:rPr>
                            </w:pPr>
                            <w:r>
                              <w:rPr>
                                <w:rFonts w:hint="eastAsia"/>
                                <w:sz w:val="21"/>
                                <w:szCs w:val="21"/>
                                <w:lang w:val="en-US" w:eastAsia="zh-CN"/>
                              </w:rPr>
                              <w:t>图例</w:t>
                            </w:r>
                          </w:p>
                          <w:p w14:paraId="156EBC41">
                            <w:pPr>
                              <w:ind w:left="0" w:leftChars="0" w:firstLine="0" w:firstLineChars="0"/>
                              <w:jc w:val="center"/>
                              <w:rPr>
                                <w:rFonts w:hint="default"/>
                                <w:sz w:val="21"/>
                                <w:szCs w:val="21"/>
                                <w:lang w:val="en-US" w:eastAsia="zh-CN"/>
                              </w:rPr>
                            </w:pPr>
                            <w:r>
                              <w:rPr>
                                <w:rFonts w:hint="eastAsia"/>
                                <w:sz w:val="21"/>
                                <w:szCs w:val="21"/>
                                <w:lang w:val="en-US" w:eastAsia="zh-CN"/>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0.5pt;margin-top:232pt;height:45.1pt;width:82.5pt;z-index:251695104;mso-width-relative:page;mso-height-relative:page;" fillcolor="#FFFFFF [3201]" filled="t" stroked="t" coordsize="21600,21600" o:gfxdata="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P3mBidgA&#10;AAANAQAADwAAAAAAAAABACAAAAAiAAAAZHJzL2Rvd25yZXYueG1sUEsBAhQAFAAAAAgAh07iQAf+&#10;fqlYAgAAuQQAAA4AAAAAAAAAAQAgAAAAJwEAAGRycy9lMm9Eb2MueG1sUEsFBgAAAAAGAAYAWQEA&#10;APEFAAAAAA==&#10;">
                <v:fill on="t" focussize="0,0"/>
                <v:stroke weight="0.5pt" color="#000000 [3204]" joinstyle="round"/>
                <v:imagedata o:title=""/>
                <o:lock v:ext="edit" aspectratio="f"/>
                <v:textbox>
                  <w:txbxContent>
                    <w:p w14:paraId="326AD7B4">
                      <w:pPr>
                        <w:ind w:left="0" w:leftChars="0" w:firstLine="0" w:firstLineChars="0"/>
                        <w:jc w:val="center"/>
                        <w:rPr>
                          <w:rFonts w:hint="eastAsia"/>
                          <w:sz w:val="21"/>
                          <w:szCs w:val="21"/>
                          <w:lang w:val="en-US" w:eastAsia="zh-CN"/>
                        </w:rPr>
                      </w:pPr>
                      <w:r>
                        <w:rPr>
                          <w:rFonts w:hint="eastAsia"/>
                          <w:sz w:val="21"/>
                          <w:szCs w:val="21"/>
                          <w:lang w:val="en-US" w:eastAsia="zh-CN"/>
                        </w:rPr>
                        <w:t>图例</w:t>
                      </w:r>
                    </w:p>
                    <w:p w14:paraId="156EBC41">
                      <w:pPr>
                        <w:ind w:left="0" w:leftChars="0" w:firstLine="0" w:firstLineChars="0"/>
                        <w:jc w:val="center"/>
                        <w:rPr>
                          <w:rFonts w:hint="default"/>
                          <w:sz w:val="21"/>
                          <w:szCs w:val="21"/>
                          <w:lang w:val="en-US" w:eastAsia="zh-CN"/>
                        </w:rPr>
                      </w:pPr>
                      <w:r>
                        <w:rPr>
                          <w:rFonts w:hint="eastAsia"/>
                          <w:sz w:val="21"/>
                          <w:szCs w:val="21"/>
                          <w:lang w:val="en-US" w:eastAsia="zh-CN"/>
                        </w:rPr>
                        <w:t>：本项目</w:t>
                      </w:r>
                    </w:p>
                  </w:txbxContent>
                </v:textbox>
              </v:shape>
            </w:pict>
          </mc:Fallback>
        </mc:AlternateContent>
      </w:r>
      <w:r>
        <w:rPr>
          <w:rFonts w:hint="default" w:ascii="Times New Roman" w:hAnsi="Times New Roman" w:eastAsia="宋体" w:cs="Times New Roman"/>
          <w:b/>
          <w:bCs w:val="0"/>
          <w:color w:val="auto"/>
          <w:spacing w:val="0"/>
          <w:highlight w:val="none"/>
          <w:lang w:val="en-US" w:eastAsia="zh-CN"/>
        </w:rPr>
        <w:drawing>
          <wp:anchor distT="0" distB="0" distL="114300" distR="114300" simplePos="0" relativeHeight="251660288" behindDoc="0" locked="0" layoutInCell="1" allowOverlap="1">
            <wp:simplePos x="0" y="0"/>
            <wp:positionH relativeFrom="column">
              <wp:posOffset>7980045</wp:posOffset>
            </wp:positionH>
            <wp:positionV relativeFrom="paragraph">
              <wp:posOffset>6350</wp:posOffset>
            </wp:positionV>
            <wp:extent cx="428625" cy="809625"/>
            <wp:effectExtent l="0" t="0" r="9525" b="9525"/>
            <wp:wrapNone/>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41"/>
                    <a:stretch>
                      <a:fillRect/>
                    </a:stretch>
                  </pic:blipFill>
                  <pic:spPr>
                    <a:xfrm>
                      <a:off x="0" y="0"/>
                      <a:ext cx="428625" cy="809625"/>
                    </a:xfrm>
                    <a:prstGeom prst="rect">
                      <a:avLst/>
                    </a:prstGeom>
                    <a:noFill/>
                    <a:ln>
                      <a:noFill/>
                    </a:ln>
                  </pic:spPr>
                </pic:pic>
              </a:graphicData>
            </a:graphic>
          </wp:anchor>
        </w:drawing>
      </w:r>
      <w:r>
        <w:rPr>
          <w:rFonts w:hint="default" w:ascii="Times New Roman" w:hAnsi="Times New Roman" w:eastAsia="宋体" w:cs="Times New Roman"/>
          <w:color w:val="auto"/>
          <w:spacing w:val="0"/>
          <w:sz w:val="28"/>
          <w:highlight w:val="none"/>
        </w:rPr>
        <mc:AlternateContent>
          <mc:Choice Requires="wps">
            <w:drawing>
              <wp:anchor distT="0" distB="0" distL="114300" distR="114300" simplePos="0" relativeHeight="251661312" behindDoc="0" locked="0" layoutInCell="1" allowOverlap="1">
                <wp:simplePos x="0" y="0"/>
                <wp:positionH relativeFrom="column">
                  <wp:posOffset>4124960</wp:posOffset>
                </wp:positionH>
                <wp:positionV relativeFrom="paragraph">
                  <wp:posOffset>1589405</wp:posOffset>
                </wp:positionV>
                <wp:extent cx="787400" cy="287020"/>
                <wp:effectExtent l="247015" t="5080" r="13335" b="260350"/>
                <wp:wrapNone/>
                <wp:docPr id="7" name="自选图形 51"/>
                <wp:cNvGraphicFramePr/>
                <a:graphic xmlns:a="http://schemas.openxmlformats.org/drawingml/2006/main">
                  <a:graphicData uri="http://schemas.microsoft.com/office/word/2010/wordprocessingShape">
                    <wps:wsp>
                      <wps:cNvSpPr/>
                      <wps:spPr>
                        <a:xfrm>
                          <a:off x="0" y="0"/>
                          <a:ext cx="787400" cy="287020"/>
                        </a:xfrm>
                        <a:prstGeom prst="wedgeRectCallout">
                          <a:avLst>
                            <a:gd name="adj1" fmla="val -77009"/>
                            <a:gd name="adj2" fmla="val 128426"/>
                          </a:avLst>
                        </a:prstGeom>
                        <a:noFill/>
                        <a:ln w="9525" cap="flat" cmpd="sng">
                          <a:solidFill>
                            <a:srgbClr val="000000"/>
                          </a:solidFill>
                          <a:prstDash val="solid"/>
                          <a:miter/>
                          <a:headEnd type="none" w="med" len="med"/>
                          <a:tailEnd type="none" w="med" len="med"/>
                        </a:ln>
                      </wps:spPr>
                      <wps:txbx>
                        <w:txbxContent>
                          <w:p w14:paraId="53E19DBA">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eastAsia="宋体"/>
                                <w:b/>
                                <w:bCs w:val="0"/>
                                <w:color w:val="auto"/>
                                <w:sz w:val="21"/>
                                <w:szCs w:val="21"/>
                                <w:highlight w:val="none"/>
                                <w:lang w:val="en-US" w:eastAsia="zh-CN"/>
                              </w:rPr>
                            </w:pPr>
                            <w:r>
                              <w:rPr>
                                <w:rFonts w:hint="eastAsia"/>
                                <w:b/>
                                <w:bCs w:val="0"/>
                                <w:color w:val="auto"/>
                                <w:sz w:val="21"/>
                                <w:szCs w:val="21"/>
                                <w:highlight w:val="none"/>
                                <w:lang w:val="en-US" w:eastAsia="zh-CN"/>
                              </w:rPr>
                              <w:t>本项目</w:t>
                            </w:r>
                          </w:p>
                        </w:txbxContent>
                      </wps:txbx>
                      <wps:bodyPr wrap="square" upright="1"/>
                    </wps:wsp>
                  </a:graphicData>
                </a:graphic>
              </wp:anchor>
            </w:drawing>
          </mc:Choice>
          <mc:Fallback>
            <w:pict>
              <v:shape id="自选图形 51" o:spid="_x0000_s1026" o:spt="61" type="#_x0000_t61" style="position:absolute;left:0pt;margin-left:324.8pt;margin-top:125.15pt;height:22.6pt;width:62pt;z-index:251661312;mso-width-relative:page;mso-height-relative:page;" filled="f" stroked="t" coordsize="21600,21600" o:gfxdata="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Q5WB39sAAAALAQAADwAAAAAAAAABACAAAAAi&#10;AAAAZHJzL2Rvd25yZXYueG1sUEsBAhQAFAAAAAgAh07iQB/K+I9AAgAAcwQAAA4AAAAAAAAAAQAg&#10;AAAAKgEAAGRycy9lMm9Eb2MueG1sUEsFBgAAAAAGAAYAWQEAANwFAAAAAA==&#10;" adj="-5834,38540">
                <v:fill on="f" focussize="0,0"/>
                <v:stroke color="#000000" joinstyle="miter"/>
                <v:imagedata o:title=""/>
                <o:lock v:ext="edit" aspectratio="f"/>
                <v:textbox>
                  <w:txbxContent>
                    <w:p w14:paraId="53E19DBA">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eastAsia="宋体"/>
                          <w:b/>
                          <w:bCs w:val="0"/>
                          <w:color w:val="auto"/>
                          <w:sz w:val="21"/>
                          <w:szCs w:val="21"/>
                          <w:highlight w:val="none"/>
                          <w:lang w:val="en-US" w:eastAsia="zh-CN"/>
                        </w:rPr>
                      </w:pPr>
                      <w:r>
                        <w:rPr>
                          <w:rFonts w:hint="eastAsia"/>
                          <w:b/>
                          <w:bCs w:val="0"/>
                          <w:color w:val="auto"/>
                          <w:sz w:val="21"/>
                          <w:szCs w:val="21"/>
                          <w:highlight w:val="none"/>
                          <w:lang w:val="en-US" w:eastAsia="zh-CN"/>
                        </w:rPr>
                        <w:t>本项目</w:t>
                      </w:r>
                    </w:p>
                  </w:txbxContent>
                </v:textbox>
              </v:shape>
            </w:pict>
          </mc:Fallback>
        </mc:AlternateContent>
      </w:r>
      <w:r>
        <w:rPr>
          <w:rFonts w:hint="default" w:ascii="Times New Roman" w:hAnsi="Times New Roman" w:eastAsia="宋体" w:cs="Times New Roman"/>
          <w:color w:val="auto"/>
          <w:spacing w:val="0"/>
          <w:sz w:val="28"/>
          <w:highlight w:val="none"/>
        </w:rPr>
        <mc:AlternateContent>
          <mc:Choice Requires="wps">
            <w:drawing>
              <wp:anchor distT="0" distB="0" distL="114300" distR="114300" simplePos="0" relativeHeight="251662336" behindDoc="0" locked="0" layoutInCell="1" allowOverlap="1">
                <wp:simplePos x="0" y="0"/>
                <wp:positionH relativeFrom="column">
                  <wp:posOffset>3710940</wp:posOffset>
                </wp:positionH>
                <wp:positionV relativeFrom="paragraph">
                  <wp:posOffset>2003425</wp:posOffset>
                </wp:positionV>
                <wp:extent cx="242570" cy="250825"/>
                <wp:effectExtent l="13970" t="16510" r="29210" b="18415"/>
                <wp:wrapNone/>
                <wp:docPr id="6" name="自选图形 52"/>
                <wp:cNvGraphicFramePr/>
                <a:graphic xmlns:a="http://schemas.openxmlformats.org/drawingml/2006/main">
                  <a:graphicData uri="http://schemas.microsoft.com/office/word/2010/wordprocessingShape">
                    <wps:wsp>
                      <wps:cNvSpPr/>
                      <wps:spPr>
                        <a:xfrm>
                          <a:off x="0" y="0"/>
                          <a:ext cx="242570" cy="250825"/>
                        </a:xfrm>
                        <a:prstGeom prst="star5">
                          <a:avLst/>
                        </a:prstGeom>
                        <a:solidFill>
                          <a:srgbClr val="FF0000"/>
                        </a:solidFill>
                        <a:ln w="9525" cap="flat" cmpd="sng">
                          <a:solidFill>
                            <a:srgbClr val="FF0000"/>
                          </a:solidFill>
                          <a:prstDash val="solid"/>
                          <a:miter/>
                          <a:headEnd type="none" w="med" len="med"/>
                          <a:tailEnd type="none" w="med" len="med"/>
                        </a:ln>
                      </wps:spPr>
                      <wps:bodyPr wrap="square" upright="1"/>
                    </wps:wsp>
                  </a:graphicData>
                </a:graphic>
              </wp:anchor>
            </w:drawing>
          </mc:Choice>
          <mc:Fallback>
            <w:pict>
              <v:shape id="自选图形 52" o:spid="_x0000_s1026" style="position:absolute;left:0pt;margin-left:292.2pt;margin-top:157.75pt;height:19.75pt;width:19.1pt;z-index:251662336;mso-width-relative:page;mso-height-relative:page;" fillcolor="#FF0000" filled="t" stroked="t" coordsize="242570,250825" o:gfxdata="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WZactsAAAALAQAADwAAAAAAAAAB&#10;ACAAAAAiAAAAZHJzL2Rvd25yZXYueG1sUEsBAhQAFAAAAAgAh07iQFxRNtMNAgAAMwQAAA4AAAAA&#10;AAAAAQAgAAAAKgEAAGRycy9lMm9Eb2MueG1sUEsFBgAAAAAGAAYAWQEAAKkFAAAAAA==&#10;" path="m0,95806l92654,95807,121285,0,149915,95807,242569,95806,167610,155017,196243,250824,121285,191611,46326,250824,74959,155017xe">
                <v:path o:connectlocs="121285,0;0,95806;46326,250824;196243,250824;242569,95806" o:connectangles="247,164,82,82,0"/>
                <v:fill on="t" focussize="0,0"/>
                <v:stroke color="#FF0000" joinstyle="miter"/>
                <v:imagedata o:title=""/>
                <o:lock v:ext="edit" aspectratio="f"/>
              </v:shape>
            </w:pict>
          </mc:Fallback>
        </mc:AlternateContent>
      </w:r>
      <w:r>
        <w:rPr>
          <w:rFonts w:hint="default" w:ascii="Times New Roman" w:hAnsi="Times New Roman" w:cs="Times New Roman"/>
          <w:color w:val="auto"/>
          <w:highlight w:val="none"/>
        </w:rPr>
        <w:drawing>
          <wp:inline distT="0" distB="0" distL="114300" distR="114300">
            <wp:extent cx="8397240" cy="4125595"/>
            <wp:effectExtent l="0" t="0" r="3810" b="8255"/>
            <wp:docPr id="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4"/>
                    <pic:cNvPicPr>
                      <a:picLocks noChangeAspect="1"/>
                    </pic:cNvPicPr>
                  </pic:nvPicPr>
                  <pic:blipFill>
                    <a:blip r:embed="rId42"/>
                    <a:stretch>
                      <a:fillRect/>
                    </a:stretch>
                  </pic:blipFill>
                  <pic:spPr>
                    <a:xfrm>
                      <a:off x="0" y="0"/>
                      <a:ext cx="8397240" cy="4125595"/>
                    </a:xfrm>
                    <a:prstGeom prst="rect">
                      <a:avLst/>
                    </a:prstGeom>
                    <a:noFill/>
                    <a:ln>
                      <a:noFill/>
                    </a:ln>
                  </pic:spPr>
                </pic:pic>
              </a:graphicData>
            </a:graphic>
          </wp:inline>
        </w:drawing>
      </w:r>
    </w:p>
    <w:p w14:paraId="551743F6">
      <w:pPr>
        <w:pStyle w:val="2"/>
        <w:spacing w:line="360" w:lineRule="auto"/>
        <w:jc w:val="left"/>
        <w:rPr>
          <w:rFonts w:hint="default" w:ascii="Times New Roman" w:hAnsi="Times New Roman" w:eastAsia="宋体" w:cs="Times New Roman"/>
          <w:b/>
          <w:bCs/>
          <w:color w:val="auto"/>
          <w:spacing w:val="0"/>
          <w:sz w:val="24"/>
          <w:szCs w:val="24"/>
          <w:highlight w:val="none"/>
          <w:lang w:eastAsia="zh-CN"/>
        </w:rPr>
      </w:pPr>
      <w:bookmarkStart w:id="22" w:name="_Toc3541"/>
      <w:r>
        <w:rPr>
          <w:rFonts w:hint="default" w:ascii="Times New Roman" w:hAnsi="Times New Roman" w:eastAsia="宋体" w:cs="Times New Roman"/>
          <w:b/>
          <w:bCs/>
          <w:color w:val="auto"/>
          <w:spacing w:val="0"/>
          <w:sz w:val="24"/>
          <w:szCs w:val="24"/>
          <w:highlight w:val="none"/>
        </w:rPr>
        <w:t>附图</w:t>
      </w:r>
      <w:r>
        <w:rPr>
          <w:rFonts w:hint="default" w:ascii="Times New Roman" w:hAnsi="Times New Roman" w:eastAsia="宋体" w:cs="Times New Roman"/>
          <w:b/>
          <w:bCs/>
          <w:color w:val="auto"/>
          <w:spacing w:val="0"/>
          <w:sz w:val="24"/>
          <w:szCs w:val="24"/>
          <w:highlight w:val="none"/>
          <w:lang w:val="en-US" w:eastAsia="zh-CN"/>
        </w:rPr>
        <w:t>2</w:t>
      </w:r>
      <w:r>
        <w:rPr>
          <w:rFonts w:hint="default" w:ascii="Times New Roman" w:hAnsi="Times New Roman" w:eastAsia="宋体" w:cs="Times New Roman"/>
          <w:b/>
          <w:bCs/>
          <w:color w:val="auto"/>
          <w:spacing w:val="0"/>
          <w:sz w:val="24"/>
          <w:szCs w:val="24"/>
          <w:highlight w:val="none"/>
        </w:rPr>
        <w:t xml:space="preserve"> </w:t>
      </w:r>
      <w:r>
        <w:rPr>
          <w:rFonts w:hint="default" w:ascii="Times New Roman" w:hAnsi="Times New Roman" w:eastAsia="宋体" w:cs="Times New Roman"/>
          <w:b/>
          <w:bCs/>
          <w:color w:val="auto"/>
          <w:spacing w:val="0"/>
          <w:sz w:val="24"/>
          <w:szCs w:val="24"/>
          <w:highlight w:val="none"/>
          <w:lang w:val="en-US" w:eastAsia="zh-CN"/>
        </w:rPr>
        <w:t>锅炉总</w:t>
      </w:r>
      <w:r>
        <w:rPr>
          <w:rFonts w:hint="default" w:ascii="Times New Roman" w:hAnsi="Times New Roman" w:eastAsia="宋体" w:cs="Times New Roman"/>
          <w:b/>
          <w:bCs/>
          <w:color w:val="auto"/>
          <w:spacing w:val="0"/>
          <w:sz w:val="24"/>
          <w:szCs w:val="24"/>
          <w:highlight w:val="none"/>
        </w:rPr>
        <w:t>平面布置图</w:t>
      </w:r>
      <w:bookmarkEnd w:id="22"/>
    </w:p>
    <w:p w14:paraId="690A817F">
      <w:pPr>
        <w:pStyle w:val="18"/>
        <w:ind w:left="0" w:leftChars="0" w:firstLine="0" w:firstLineChars="0"/>
        <w:jc w:val="center"/>
        <w:rPr>
          <w:rFonts w:hint="default" w:ascii="Times New Roman" w:hAnsi="Times New Roman" w:eastAsia="宋体" w:cs="Times New Roman"/>
          <w:color w:val="auto"/>
          <w:highlight w:val="none"/>
          <w:lang w:eastAsia="zh-CN"/>
        </w:rPr>
        <w:sectPr>
          <w:pgSz w:w="16838" w:h="11906" w:orient="landscape"/>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b/>
          <w:bCs w:val="0"/>
          <w:color w:val="auto"/>
          <w:spacing w:val="0"/>
          <w:highlight w:val="none"/>
          <w:lang w:val="en-US" w:eastAsia="zh-CN"/>
        </w:rPr>
        <w:drawing>
          <wp:anchor distT="0" distB="0" distL="114300" distR="114300" simplePos="0" relativeHeight="251692032" behindDoc="0" locked="0" layoutInCell="1" allowOverlap="1">
            <wp:simplePos x="0" y="0"/>
            <wp:positionH relativeFrom="column">
              <wp:posOffset>7305040</wp:posOffset>
            </wp:positionH>
            <wp:positionV relativeFrom="paragraph">
              <wp:posOffset>53975</wp:posOffset>
            </wp:positionV>
            <wp:extent cx="507365" cy="958215"/>
            <wp:effectExtent l="0" t="0" r="6985" b="13335"/>
            <wp:wrapNone/>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41"/>
                    <a:stretch>
                      <a:fillRect/>
                    </a:stretch>
                  </pic:blipFill>
                  <pic:spPr>
                    <a:xfrm>
                      <a:off x="0" y="0"/>
                      <a:ext cx="507365" cy="958215"/>
                    </a:xfrm>
                    <a:prstGeom prst="rect">
                      <a:avLst/>
                    </a:prstGeom>
                    <a:noFill/>
                    <a:ln>
                      <a:noFill/>
                    </a:ln>
                  </pic:spPr>
                </pic:pic>
              </a:graphicData>
            </a:graphic>
          </wp:anchor>
        </w:drawing>
      </w:r>
      <w:r>
        <w:rPr>
          <w:rFonts w:hint="default" w:ascii="Times New Roman" w:hAnsi="Times New Roman" w:eastAsia="宋体" w:cs="Times New Roman"/>
          <w:color w:val="auto"/>
          <w:highlight w:val="none"/>
          <w:lang w:eastAsia="zh-CN"/>
        </w:rPr>
        <w:drawing>
          <wp:anchor distT="0" distB="0" distL="114300" distR="114300" simplePos="0" relativeHeight="251691008" behindDoc="0" locked="0" layoutInCell="1" allowOverlap="1">
            <wp:simplePos x="0" y="0"/>
            <wp:positionH relativeFrom="column">
              <wp:posOffset>316865</wp:posOffset>
            </wp:positionH>
            <wp:positionV relativeFrom="paragraph">
              <wp:posOffset>5056505</wp:posOffset>
            </wp:positionV>
            <wp:extent cx="1228725" cy="314960"/>
            <wp:effectExtent l="0" t="0" r="9525" b="0"/>
            <wp:wrapNone/>
            <wp:docPr id="27" name="图片 27" descr="scale-b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scale-bar (2)"/>
                    <pic:cNvPicPr>
                      <a:picLocks noChangeAspect="1"/>
                    </pic:cNvPicPr>
                  </pic:nvPicPr>
                  <pic:blipFill>
                    <a:blip r:embed="rId43"/>
                    <a:stretch>
                      <a:fillRect/>
                    </a:stretch>
                  </pic:blipFill>
                  <pic:spPr>
                    <a:xfrm>
                      <a:off x="0" y="0"/>
                      <a:ext cx="1228725" cy="314960"/>
                    </a:xfrm>
                    <a:prstGeom prst="rect">
                      <a:avLst/>
                    </a:prstGeom>
                  </pic:spPr>
                </pic:pic>
              </a:graphicData>
            </a:graphic>
          </wp:anchor>
        </w:drawing>
      </w:r>
      <w:r>
        <w:rPr>
          <w:rFonts w:hint="default" w:ascii="Times New Roman" w:hAnsi="Times New Roman" w:eastAsia="宋体" w:cs="Times New Roman"/>
          <w:color w:val="auto"/>
          <w:highlight w:val="none"/>
          <w:lang w:eastAsia="zh-CN"/>
        </w:rPr>
        <w:drawing>
          <wp:inline distT="0" distB="0" distL="114300" distR="114300">
            <wp:extent cx="7712710" cy="5309235"/>
            <wp:effectExtent l="0" t="0" r="2540" b="5715"/>
            <wp:docPr id="44" name="图片 44" descr="医院总平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医院总平面图"/>
                    <pic:cNvPicPr>
                      <a:picLocks noChangeAspect="1"/>
                    </pic:cNvPicPr>
                  </pic:nvPicPr>
                  <pic:blipFill>
                    <a:blip r:embed="rId44"/>
                    <a:stretch>
                      <a:fillRect/>
                    </a:stretch>
                  </pic:blipFill>
                  <pic:spPr>
                    <a:xfrm>
                      <a:off x="0" y="0"/>
                      <a:ext cx="7712710" cy="5309235"/>
                    </a:xfrm>
                    <a:prstGeom prst="rect">
                      <a:avLst/>
                    </a:prstGeom>
                  </pic:spPr>
                </pic:pic>
              </a:graphicData>
            </a:graphic>
          </wp:inline>
        </w:drawing>
      </w:r>
    </w:p>
    <w:p w14:paraId="7F92221A">
      <w:pPr>
        <w:pStyle w:val="18"/>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both"/>
        <w:textAlignment w:val="auto"/>
        <w:outlineLvl w:val="0"/>
        <w:rPr>
          <w:rFonts w:hint="default" w:ascii="Times New Roman" w:hAnsi="Times New Roman" w:cs="Times New Roman"/>
          <w:b/>
          <w:bCs w:val="0"/>
          <w:color w:val="auto"/>
          <w:highlight w:val="none"/>
          <w:lang w:val="en-US" w:eastAsia="zh-CN"/>
        </w:rPr>
      </w:pPr>
      <w:bookmarkStart w:id="23" w:name="_Toc8552"/>
      <w:r>
        <w:rPr>
          <w:rFonts w:hint="default" w:ascii="Times New Roman" w:hAnsi="Times New Roman" w:cs="Times New Roman"/>
          <w:b/>
          <w:bCs w:val="0"/>
          <w:color w:val="auto"/>
          <w:highlight w:val="none"/>
          <w:lang w:val="en-US" w:eastAsia="zh-CN"/>
        </w:rPr>
        <w:t>附件3 锅炉房平面布置图</w:t>
      </w:r>
      <w:bookmarkEnd w:id="23"/>
    </w:p>
    <w:p w14:paraId="3C1449B1">
      <w:pPr>
        <w:pStyle w:val="18"/>
        <w:ind w:left="0" w:leftChars="0" w:firstLine="0" w:firstLineChars="0"/>
        <w:jc w:val="both"/>
        <w:rPr>
          <w:rFonts w:hint="default" w:ascii="Times New Roman" w:hAnsi="Times New Roman" w:eastAsia="宋体" w:cs="Times New Roman"/>
          <w:color w:val="auto"/>
          <w:highlight w:val="none"/>
          <w:lang w:val="en-US" w:eastAsia="zh-CN"/>
        </w:rPr>
        <w:sectPr>
          <w:pgSz w:w="11906" w:h="16838"/>
          <w:pgMar w:top="1800" w:right="1440" w:bottom="1800"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color w:val="auto"/>
          <w:sz w:val="28"/>
          <w:highlight w:val="none"/>
        </w:rPr>
        <mc:AlternateContent>
          <mc:Choice Requires="wps">
            <w:drawing>
              <wp:anchor distT="0" distB="0" distL="114300" distR="114300" simplePos="0" relativeHeight="251694080" behindDoc="0" locked="0" layoutInCell="1" allowOverlap="1">
                <wp:simplePos x="0" y="0"/>
                <wp:positionH relativeFrom="column">
                  <wp:posOffset>4681220</wp:posOffset>
                </wp:positionH>
                <wp:positionV relativeFrom="paragraph">
                  <wp:posOffset>3870325</wp:posOffset>
                </wp:positionV>
                <wp:extent cx="190500" cy="135255"/>
                <wp:effectExtent l="12700" t="12700" r="25400" b="23495"/>
                <wp:wrapNone/>
                <wp:docPr id="35" name="矩形 35"/>
                <wp:cNvGraphicFramePr/>
                <a:graphic xmlns:a="http://schemas.openxmlformats.org/drawingml/2006/main">
                  <a:graphicData uri="http://schemas.microsoft.com/office/word/2010/wordprocessingShape">
                    <wps:wsp>
                      <wps:cNvSpPr/>
                      <wps:spPr>
                        <a:xfrm>
                          <a:off x="5871845" y="4919980"/>
                          <a:ext cx="190500" cy="135255"/>
                        </a:xfrm>
                        <a:prstGeom prst="rect">
                          <a:avLst/>
                        </a:prstGeom>
                        <a:no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8.6pt;margin-top:304.75pt;height:10.65pt;width:15pt;z-index:251694080;v-text-anchor:middle;mso-width-relative:page;mso-height-relative:page;" filled="f" stroked="t" coordsize="21600,21600" o:gfxdata="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Oqy6f2QAAAAsBAAAPAAAAAAAAAAEAIAAA&#10;ACIAAABkcnMvZG93bnJldi54bWxQSwECFAAUAAAACACHTuJAfx3C8X0CAADjBAAADgAAAAAAAAAB&#10;ACAAAAAoAQAAZHJzL2Uyb0RvYy54bWxQSwUGAAAAAAYABgBZAQAAFwYAAAAA&#10;">
                <v:fill on="f" focussize="0,0"/>
                <v:stroke weight="2pt" color="#376092 [2404]" joinstyle="round"/>
                <v:imagedata o:title=""/>
                <o:lock v:ext="edit" aspectratio="f"/>
              </v:rect>
            </w:pict>
          </mc:Fallback>
        </mc:AlternateContent>
      </w:r>
      <w:r>
        <w:rPr>
          <w:color w:val="auto"/>
          <w:sz w:val="28"/>
          <w:highlight w:val="none"/>
        </w:rPr>
        <mc:AlternateContent>
          <mc:Choice Requires="wps">
            <w:drawing>
              <wp:anchor distT="0" distB="0" distL="114300" distR="114300" simplePos="0" relativeHeight="251693056" behindDoc="0" locked="0" layoutInCell="1" allowOverlap="1">
                <wp:simplePos x="0" y="0"/>
                <wp:positionH relativeFrom="column">
                  <wp:posOffset>4622800</wp:posOffset>
                </wp:positionH>
                <wp:positionV relativeFrom="paragraph">
                  <wp:posOffset>3535680</wp:posOffset>
                </wp:positionV>
                <wp:extent cx="1047750" cy="572770"/>
                <wp:effectExtent l="4445" t="4445" r="14605" b="13335"/>
                <wp:wrapNone/>
                <wp:docPr id="34" name="文本框 34"/>
                <wp:cNvGraphicFramePr/>
                <a:graphic xmlns:a="http://schemas.openxmlformats.org/drawingml/2006/main">
                  <a:graphicData uri="http://schemas.microsoft.com/office/word/2010/wordprocessingShape">
                    <wps:wsp>
                      <wps:cNvSpPr txBox="1"/>
                      <wps:spPr>
                        <a:xfrm>
                          <a:off x="6014720" y="4078605"/>
                          <a:ext cx="1047750" cy="5727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022AD4B">
                            <w:pPr>
                              <w:ind w:left="0" w:leftChars="0" w:firstLine="0" w:firstLineChars="0"/>
                              <w:jc w:val="center"/>
                              <w:rPr>
                                <w:rFonts w:hint="eastAsia"/>
                                <w:sz w:val="21"/>
                                <w:szCs w:val="21"/>
                                <w:lang w:val="en-US" w:eastAsia="zh-CN"/>
                              </w:rPr>
                            </w:pPr>
                            <w:r>
                              <w:rPr>
                                <w:rFonts w:hint="eastAsia"/>
                                <w:sz w:val="21"/>
                                <w:szCs w:val="21"/>
                                <w:lang w:val="en-US" w:eastAsia="zh-CN"/>
                              </w:rPr>
                              <w:t>图例</w:t>
                            </w:r>
                          </w:p>
                          <w:p w14:paraId="4565FC69">
                            <w:pPr>
                              <w:ind w:left="0" w:leftChars="0" w:firstLine="0" w:firstLineChars="0"/>
                              <w:jc w:val="center"/>
                              <w:rPr>
                                <w:rFonts w:hint="default"/>
                                <w:sz w:val="21"/>
                                <w:szCs w:val="21"/>
                                <w:lang w:val="en-US" w:eastAsia="zh-CN"/>
                              </w:rPr>
                            </w:pPr>
                            <w:r>
                              <w:rPr>
                                <w:rFonts w:hint="eastAsia"/>
                                <w:sz w:val="21"/>
                                <w:szCs w:val="21"/>
                                <w:lang w:val="en-US" w:eastAsia="zh-CN"/>
                              </w:rPr>
                              <w:t>：锅炉房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4pt;margin-top:278.4pt;height:45.1pt;width:82.5pt;z-index:251693056;mso-width-relative:page;mso-height-relative:page;" fillcolor="#FFFFFF [3201]" filled="t" stroked="t" coordsize="21600,21600" o:gfxdata="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O49ZLNgAAAALAQAADwAAAAAAAAABACAAAAAiAAAAZHJzL2Rvd25yZXYueG1sUEsBAhQA&#10;FAAAAAgAh07iQMceE01kAgAAxQQAAA4AAAAAAAAAAQAgAAAAJwEAAGRycy9lMm9Eb2MueG1sUEsF&#10;BgAAAAAGAAYAWQEAAP0FAAAAAA==&#10;">
                <v:fill on="t" focussize="0,0"/>
                <v:stroke weight="0.5pt" color="#000000 [3204]" joinstyle="round"/>
                <v:imagedata o:title=""/>
                <o:lock v:ext="edit" aspectratio="f"/>
                <v:textbox>
                  <w:txbxContent>
                    <w:p w14:paraId="1022AD4B">
                      <w:pPr>
                        <w:ind w:left="0" w:leftChars="0" w:firstLine="0" w:firstLineChars="0"/>
                        <w:jc w:val="center"/>
                        <w:rPr>
                          <w:rFonts w:hint="eastAsia"/>
                          <w:sz w:val="21"/>
                          <w:szCs w:val="21"/>
                          <w:lang w:val="en-US" w:eastAsia="zh-CN"/>
                        </w:rPr>
                      </w:pPr>
                      <w:r>
                        <w:rPr>
                          <w:rFonts w:hint="eastAsia"/>
                          <w:sz w:val="21"/>
                          <w:szCs w:val="21"/>
                          <w:lang w:val="en-US" w:eastAsia="zh-CN"/>
                        </w:rPr>
                        <w:t>图例</w:t>
                      </w:r>
                    </w:p>
                    <w:p w14:paraId="4565FC69">
                      <w:pPr>
                        <w:ind w:left="0" w:leftChars="0" w:firstLine="0" w:firstLineChars="0"/>
                        <w:jc w:val="center"/>
                        <w:rPr>
                          <w:rFonts w:hint="default"/>
                          <w:sz w:val="21"/>
                          <w:szCs w:val="21"/>
                          <w:lang w:val="en-US" w:eastAsia="zh-CN"/>
                        </w:rPr>
                      </w:pPr>
                      <w:r>
                        <w:rPr>
                          <w:rFonts w:hint="eastAsia"/>
                          <w:sz w:val="21"/>
                          <w:szCs w:val="21"/>
                          <w:lang w:val="en-US" w:eastAsia="zh-CN"/>
                        </w:rPr>
                        <w:t>：锅炉房</w:t>
                      </w:r>
                    </w:p>
                  </w:txbxContent>
                </v:textbox>
              </v:shape>
            </w:pict>
          </mc:Fallback>
        </mc:AlternateContent>
      </w:r>
      <w:r>
        <w:rPr>
          <w:rFonts w:hint="default" w:ascii="Times New Roman" w:hAnsi="Times New Roman" w:eastAsia="宋体" w:cs="Times New Roman"/>
          <w:color w:val="auto"/>
          <w:spacing w:val="0"/>
          <w:highlight w:val="none"/>
        </w:rPr>
        <w:pict>
          <v:shape id="_x0000_s1080" o:spid="_x0000_s1080" o:spt="75" type="#_x0000_t75" style="position:absolute;left:0pt;margin-left:-5.55pt;margin-top:305.25pt;height:28.2pt;width:79.75pt;z-index:251665408;mso-width-relative:page;mso-height-relative:page;" o:ole="t" filled="f" o:preferrelative="t" stroked="f" coordsize="21600,21600">
            <v:path/>
            <v:fill on="f" focussize="0,0"/>
            <v:stroke on="f"/>
            <v:imagedata r:id="rId46" o:title=""/>
            <o:lock v:ext="edit" aspectratio="f"/>
          </v:shape>
          <o:OLEObject Type="Embed" ProgID="Visio.Drawing.15" ShapeID="_x0000_s1080" DrawAspect="Content" ObjectID="_1468075731" r:id="rId45">
            <o:LockedField>false</o:LockedField>
          </o:OLEObject>
        </w:pict>
      </w:r>
      <w:r>
        <w:rPr>
          <w:rFonts w:hint="default" w:ascii="Times New Roman" w:hAnsi="Times New Roman" w:eastAsia="宋体" w:cs="Times New Roman"/>
          <w:b/>
          <w:bCs w:val="0"/>
          <w:color w:val="auto"/>
          <w:spacing w:val="0"/>
          <w:highlight w:val="none"/>
          <w:lang w:val="en-US" w:eastAsia="zh-CN"/>
        </w:rPr>
        <w:drawing>
          <wp:anchor distT="0" distB="0" distL="114300" distR="114300" simplePos="0" relativeHeight="251664384" behindDoc="0" locked="0" layoutInCell="1" allowOverlap="1">
            <wp:simplePos x="0" y="0"/>
            <wp:positionH relativeFrom="column">
              <wp:posOffset>4952365</wp:posOffset>
            </wp:positionH>
            <wp:positionV relativeFrom="paragraph">
              <wp:posOffset>252095</wp:posOffset>
            </wp:positionV>
            <wp:extent cx="428625" cy="809625"/>
            <wp:effectExtent l="0" t="0" r="9525" b="9525"/>
            <wp:wrapNone/>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41"/>
                    <a:stretch>
                      <a:fillRect/>
                    </a:stretch>
                  </pic:blipFill>
                  <pic:spPr>
                    <a:xfrm>
                      <a:off x="0" y="0"/>
                      <a:ext cx="428625" cy="809625"/>
                    </a:xfrm>
                    <a:prstGeom prst="rect">
                      <a:avLst/>
                    </a:prstGeom>
                    <a:noFill/>
                    <a:ln>
                      <a:noFill/>
                    </a:ln>
                  </pic:spPr>
                </pic:pic>
              </a:graphicData>
            </a:graphic>
          </wp:anchor>
        </w:drawing>
      </w:r>
      <w:r>
        <w:rPr>
          <w:color w:val="auto"/>
          <w:highlight w:val="none"/>
        </w:rPr>
        <w:drawing>
          <wp:inline distT="0" distB="0" distL="114300" distR="114300">
            <wp:extent cx="5727700" cy="4138930"/>
            <wp:effectExtent l="0" t="0" r="6350" b="13970"/>
            <wp:docPr id="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pic:cNvPicPr>
                      <a:picLocks noChangeAspect="1"/>
                    </pic:cNvPicPr>
                  </pic:nvPicPr>
                  <pic:blipFill>
                    <a:blip r:embed="rId47"/>
                    <a:stretch>
                      <a:fillRect/>
                    </a:stretch>
                  </pic:blipFill>
                  <pic:spPr>
                    <a:xfrm>
                      <a:off x="0" y="0"/>
                      <a:ext cx="5727700" cy="4138930"/>
                    </a:xfrm>
                    <a:prstGeom prst="rect">
                      <a:avLst/>
                    </a:prstGeom>
                    <a:noFill/>
                    <a:ln>
                      <a:noFill/>
                    </a:ln>
                  </pic:spPr>
                </pic:pic>
              </a:graphicData>
            </a:graphic>
          </wp:inline>
        </w:drawing>
      </w:r>
    </w:p>
    <w:p w14:paraId="2B1B541A">
      <w:pPr>
        <w:pStyle w:val="18"/>
        <w:spacing w:line="240" w:lineRule="auto"/>
        <w:ind w:left="0" w:leftChars="0" w:firstLine="0" w:firstLineChars="0"/>
        <w:outlineLvl w:val="0"/>
        <w:rPr>
          <w:rFonts w:hint="default" w:ascii="Times New Roman" w:hAnsi="Times New Roman" w:cs="Times New Roman"/>
          <w:b/>
          <w:bCs w:val="0"/>
          <w:color w:val="auto"/>
          <w:sz w:val="24"/>
          <w:szCs w:val="18"/>
          <w:highlight w:val="none"/>
          <w:lang w:val="en-US" w:eastAsia="zh-CN"/>
        </w:rPr>
      </w:pPr>
      <w:bookmarkStart w:id="24" w:name="_Toc1708"/>
      <w:r>
        <w:rPr>
          <w:rFonts w:hint="default" w:ascii="Times New Roman" w:hAnsi="Times New Roman" w:cs="Times New Roman"/>
          <w:b/>
          <w:bCs w:val="0"/>
          <w:color w:val="auto"/>
          <w:sz w:val="24"/>
          <w:szCs w:val="18"/>
          <w:highlight w:val="none"/>
          <w:lang w:val="en-US" w:eastAsia="zh-CN"/>
        </w:rPr>
        <w:t>附图4 环境管控单元分布图</w:t>
      </w:r>
      <w:bookmarkEnd w:id="24"/>
      <w:r>
        <w:rPr>
          <w:rFonts w:hint="default" w:ascii="Times New Roman" w:hAnsi="Times New Roman" w:cs="Times New Roman"/>
          <w:b/>
          <w:bCs w:val="0"/>
          <w:color w:val="auto"/>
          <w:sz w:val="24"/>
          <w:szCs w:val="18"/>
          <w:highlight w:val="none"/>
          <w:lang w:val="en-US" w:eastAsia="zh-CN"/>
        </w:rPr>
        <w:t xml:space="preserve"> </w:t>
      </w:r>
    </w:p>
    <w:p w14:paraId="21ACE36F">
      <w:pPr>
        <w:pStyle w:val="18"/>
        <w:rPr>
          <w:rFonts w:hint="default" w:ascii="Times New Roman" w:hAnsi="Times New Roman" w:cs="Times New Roman"/>
          <w:color w:val="auto"/>
          <w:highlight w:val="none"/>
          <w:lang w:val="en-US" w:eastAsia="zh-CN"/>
        </w:rPr>
        <w:sectPr>
          <w:pgSz w:w="16838" w:h="11906" w:orient="landscape"/>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sz w:val="28"/>
          <w:highlight w:val="none"/>
        </w:rPr>
        <mc:AlternateContent>
          <mc:Choice Requires="wps">
            <w:drawing>
              <wp:anchor distT="0" distB="0" distL="114300" distR="114300" simplePos="0" relativeHeight="251663360" behindDoc="0" locked="0" layoutInCell="1" allowOverlap="1">
                <wp:simplePos x="0" y="0"/>
                <wp:positionH relativeFrom="column">
                  <wp:posOffset>1678305</wp:posOffset>
                </wp:positionH>
                <wp:positionV relativeFrom="paragraph">
                  <wp:posOffset>2934335</wp:posOffset>
                </wp:positionV>
                <wp:extent cx="654685" cy="262255"/>
                <wp:effectExtent l="4445" t="4445" r="7620" b="133350"/>
                <wp:wrapNone/>
                <wp:docPr id="24" name="矩形标注 24"/>
                <wp:cNvGraphicFramePr/>
                <a:graphic xmlns:a="http://schemas.openxmlformats.org/drawingml/2006/main">
                  <a:graphicData uri="http://schemas.microsoft.com/office/word/2010/wordprocessingShape">
                    <wps:wsp>
                      <wps:cNvSpPr/>
                      <wps:spPr>
                        <a:xfrm>
                          <a:off x="2525395" y="4551045"/>
                          <a:ext cx="654685" cy="262255"/>
                        </a:xfrm>
                        <a:prstGeom prst="wedgeRectCallout">
                          <a:avLst>
                            <a:gd name="adj1" fmla="val -45091"/>
                            <a:gd name="adj2" fmla="val 92649"/>
                          </a:avLst>
                        </a:prstGeom>
                        <a:solidFill>
                          <a:schemeClr val="bg1"/>
                        </a:solid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A08D3F1">
                            <w:pPr>
                              <w:spacing w:line="240" w:lineRule="auto"/>
                              <w:ind w:left="0" w:leftChars="0" w:firstLine="0" w:firstLineChars="0"/>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32.15pt;margin-top:231.05pt;height:20.65pt;width:51.55pt;z-index:251663360;v-text-anchor:middle;mso-width-relative:page;mso-height-relative:page;" fillcolor="#FFFFFF [3212]" filled="t" stroked="t" coordsize="21600,21600" o:gfxdata="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8oyYU2QAAAAsBAAAPAAAAAAAAAAEAIAAAACIAAABkcnMv&#10;ZG93bnJldi54bWxQSwECFAAUAAAACACHTuJAmMRNBa0CAABYBQAADgAAAAAAAAABACAAAAAoAQAA&#10;ZHJzL2Uyb0RvYy54bWxQSwUGAAAAAAYABgBZAQAARwYAAAAA&#10;" adj="1060,30812">
                <v:fill on="t" focussize="0,0"/>
                <v:stroke weight="0.5pt" color="#000000 [3213]" joinstyle="round"/>
                <v:imagedata o:title=""/>
                <o:lock v:ext="edit" aspectratio="f"/>
                <v:textbox>
                  <w:txbxContent>
                    <w:p w14:paraId="3A08D3F1">
                      <w:pPr>
                        <w:spacing w:line="240" w:lineRule="auto"/>
                        <w:ind w:left="0" w:leftChars="0" w:firstLine="0" w:firstLineChars="0"/>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w:t>
                      </w:r>
                    </w:p>
                  </w:txbxContent>
                </v:textbox>
              </v:shape>
            </w:pict>
          </mc:Fallback>
        </mc:AlternateContent>
      </w:r>
      <w:r>
        <w:rPr>
          <w:rFonts w:hint="default" w:ascii="Times New Roman" w:hAnsi="Times New Roman" w:cs="Times New Roman"/>
          <w:color w:val="auto"/>
          <w:highlight w:val="none"/>
          <w:lang w:val="en-US" w:eastAsia="zh-CN"/>
        </w:rPr>
        <w:drawing>
          <wp:inline distT="0" distB="0" distL="114300" distR="114300">
            <wp:extent cx="6713855" cy="4749165"/>
            <wp:effectExtent l="0" t="0" r="10795" b="13335"/>
            <wp:docPr id="146" name="图片 98" descr="971785f5e851cc10cc77fa6b452fc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98" descr="971785f5e851cc10cc77fa6b452fc50"/>
                    <pic:cNvPicPr>
                      <a:picLocks noChangeAspect="1"/>
                    </pic:cNvPicPr>
                  </pic:nvPicPr>
                  <pic:blipFill>
                    <a:blip r:embed="rId48"/>
                    <a:stretch>
                      <a:fillRect/>
                    </a:stretch>
                  </pic:blipFill>
                  <pic:spPr>
                    <a:xfrm>
                      <a:off x="0" y="0"/>
                      <a:ext cx="6713855" cy="4749165"/>
                    </a:xfrm>
                    <a:prstGeom prst="rect">
                      <a:avLst/>
                    </a:prstGeom>
                    <a:noFill/>
                    <a:ln>
                      <a:noFill/>
                    </a:ln>
                  </pic:spPr>
                </pic:pic>
              </a:graphicData>
            </a:graphic>
          </wp:inline>
        </w:drawing>
      </w:r>
    </w:p>
    <w:p w14:paraId="2139512E">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left"/>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附件7 本项目分区防渗图</w:t>
      </w:r>
    </w:p>
    <w:p w14:paraId="427B5512">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color w:val="auto"/>
          <w:highlight w:val="none"/>
        </w:rPr>
        <w:sectPr>
          <w:pgSz w:w="16838" w:h="11906" w:orient="landscape"/>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sz w:val="24"/>
          <w:highlight w:val="none"/>
        </w:rPr>
        <mc:AlternateContent>
          <mc:Choice Requires="wps">
            <w:drawing>
              <wp:anchor distT="0" distB="0" distL="114300" distR="114300" simplePos="0" relativeHeight="251687936" behindDoc="0" locked="0" layoutInCell="1" allowOverlap="1">
                <wp:simplePos x="0" y="0"/>
                <wp:positionH relativeFrom="column">
                  <wp:posOffset>6359525</wp:posOffset>
                </wp:positionH>
                <wp:positionV relativeFrom="paragraph">
                  <wp:posOffset>4163695</wp:posOffset>
                </wp:positionV>
                <wp:extent cx="285750" cy="198755"/>
                <wp:effectExtent l="12700" t="12700" r="25400" b="17145"/>
                <wp:wrapNone/>
                <wp:docPr id="112" name="矩形 112"/>
                <wp:cNvGraphicFramePr/>
                <a:graphic xmlns:a="http://schemas.openxmlformats.org/drawingml/2006/main">
                  <a:graphicData uri="http://schemas.microsoft.com/office/word/2010/wordprocessingShape">
                    <wps:wsp>
                      <wps:cNvSpPr/>
                      <wps:spPr>
                        <a:xfrm>
                          <a:off x="7901305" y="4822825"/>
                          <a:ext cx="285750" cy="198755"/>
                        </a:xfrm>
                        <a:prstGeom prst="rect">
                          <a:avLst/>
                        </a:prstGeom>
                        <a:solidFill>
                          <a:srgbClr val="C2EAE7"/>
                        </a:solidFill>
                        <a:ln>
                          <a:prstDash val="sys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0.75pt;margin-top:327.85pt;height:15.65pt;width:22.5pt;z-index:251687936;v-text-anchor:middle;mso-width-relative:page;mso-height-relative:page;" fillcolor="#C2EAE7" filled="t" stroked="t" coordsize="21600,21600" o:gfxdata="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CUzF9n1gAAAA0BAAAPAAAA&#10;AAAAAAEAIAAAACIAAABkcnMvZG93bnJldi54bWxQSwECFAAUAAAACACHTuJAPXZvmYkCAAAQBQAA&#10;DgAAAAAAAAABACAAAAAlAQAAZHJzL2Uyb0RvYy54bWxQSwUGAAAAAAYABgBZAQAAIAYAAAAA&#10;">
                <v:fill on="t" focussize="0,0"/>
                <v:stroke weight="2pt" color="#376092 [2404]" joinstyle="round" dashstyle="3 1"/>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8960" behindDoc="0" locked="0" layoutInCell="1" allowOverlap="1">
                <wp:simplePos x="0" y="0"/>
                <wp:positionH relativeFrom="column">
                  <wp:posOffset>6351270</wp:posOffset>
                </wp:positionH>
                <wp:positionV relativeFrom="paragraph">
                  <wp:posOffset>4508500</wp:posOffset>
                </wp:positionV>
                <wp:extent cx="285750" cy="198755"/>
                <wp:effectExtent l="12700" t="12700" r="25400" b="17145"/>
                <wp:wrapNone/>
                <wp:docPr id="113" name="矩形 113"/>
                <wp:cNvGraphicFramePr/>
                <a:graphic xmlns:a="http://schemas.openxmlformats.org/drawingml/2006/main">
                  <a:graphicData uri="http://schemas.microsoft.com/office/word/2010/wordprocessingShape">
                    <wps:wsp>
                      <wps:cNvSpPr/>
                      <wps:spPr>
                        <a:xfrm>
                          <a:off x="0" y="0"/>
                          <a:ext cx="285750" cy="198755"/>
                        </a:xfrm>
                        <a:prstGeom prst="rect">
                          <a:avLst/>
                        </a:prstGeom>
                        <a:solidFill>
                          <a:srgbClr val="E57684"/>
                        </a:solidFill>
                        <a:ln>
                          <a:prstDash val="sys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0.1pt;margin-top:355pt;height:15.65pt;width:22.5pt;z-index:251688960;v-text-anchor:middle;mso-width-relative:page;mso-height-relative:page;" fillcolor="#E57684" filled="t" stroked="t" coordsize="21600,21600" o:gfxdata="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AC7qifXAAAADQEAAA8AAAAAAAAAAQAgAAAAIgAA&#10;AGRycy9kb3ducmV2LnhtbFBLAQIUABQAAAAIAIdO4kDMh83hewIAAAQFAAAOAAAAAAAAAAEAIAAA&#10;ACYBAABkcnMvZTJvRG9jLnhtbFBLBQYAAAAABgAGAFkBAAATBgAAAAA=&#10;">
                <v:fill on="t" focussize="0,0"/>
                <v:stroke weight="2pt" color="#376092 [2404]" joinstyle="round" dashstyle="3 1"/>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6912" behindDoc="0" locked="0" layoutInCell="1" allowOverlap="1">
                <wp:simplePos x="0" y="0"/>
                <wp:positionH relativeFrom="column">
                  <wp:posOffset>6279515</wp:posOffset>
                </wp:positionH>
                <wp:positionV relativeFrom="paragraph">
                  <wp:posOffset>3815715</wp:posOffset>
                </wp:positionV>
                <wp:extent cx="1708785" cy="1079500"/>
                <wp:effectExtent l="4445" t="5080" r="20320" b="20320"/>
                <wp:wrapNone/>
                <wp:docPr id="111" name="文本框 111"/>
                <wp:cNvGraphicFramePr/>
                <a:graphic xmlns:a="http://schemas.openxmlformats.org/drawingml/2006/main">
                  <a:graphicData uri="http://schemas.microsoft.com/office/word/2010/wordprocessingShape">
                    <wps:wsp>
                      <wps:cNvSpPr txBox="1"/>
                      <wps:spPr>
                        <a:xfrm>
                          <a:off x="7869555" y="3965575"/>
                          <a:ext cx="1708785" cy="10795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5E8C179">
                            <w:pPr>
                              <w:ind w:left="0" w:leftChars="0" w:firstLine="0" w:firstLineChars="0"/>
                              <w:jc w:val="center"/>
                              <w:rPr>
                                <w:rFonts w:hint="eastAsia"/>
                                <w:lang w:val="en-US" w:eastAsia="zh-CN"/>
                              </w:rPr>
                            </w:pPr>
                            <w:r>
                              <w:rPr>
                                <w:rFonts w:hint="eastAsia"/>
                                <w:lang w:val="en-US" w:eastAsia="zh-CN"/>
                              </w:rPr>
                              <w:t>图例</w:t>
                            </w:r>
                          </w:p>
                          <w:p w14:paraId="047A20F8">
                            <w:pPr>
                              <w:ind w:left="0" w:leftChars="0" w:firstLine="0" w:firstLineChars="0"/>
                              <w:jc w:val="both"/>
                              <w:rPr>
                                <w:rFonts w:hint="eastAsia"/>
                                <w:lang w:val="en-US" w:eastAsia="zh-CN"/>
                              </w:rPr>
                            </w:pPr>
                            <w:r>
                              <w:rPr>
                                <w:rFonts w:hint="eastAsia"/>
                                <w:lang w:val="en-US" w:eastAsia="zh-CN"/>
                              </w:rPr>
                              <w:t xml:space="preserve">    ：一般防渗</w:t>
                            </w:r>
                          </w:p>
                          <w:p w14:paraId="552EE296">
                            <w:pPr>
                              <w:ind w:left="0" w:leftChars="0" w:firstLine="0" w:firstLineChars="0"/>
                              <w:jc w:val="both"/>
                              <w:rPr>
                                <w:rFonts w:hint="default"/>
                                <w:lang w:val="en-US" w:eastAsia="zh-CN"/>
                              </w:rPr>
                            </w:pPr>
                            <w:r>
                              <w:rPr>
                                <w:rFonts w:hint="eastAsia"/>
                                <w:lang w:val="en-US" w:eastAsia="zh-CN"/>
                              </w:rPr>
                              <w:t xml:space="preserve">    ：重点防渗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4.45pt;margin-top:300.45pt;height:85pt;width:134.55pt;z-index:251686912;mso-width-relative:page;mso-height-relative:page;" fillcolor="#FFFFFF [3201]" filled="t" stroked="t" coordsize="21600,21600" o:gfxdata="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XTVVe2AAAAAwBAAAPAAAAAAAAAAEAIAAAACIAAABkcnMvZG93bnJldi54bWxQ&#10;SwECFAAUAAAACACHTuJAiT6rtWkCAADIBAAADgAAAAAAAAABACAAAAAnAQAAZHJzL2Uyb0RvYy54&#10;bWxQSwUGAAAAAAYABgBZAQAAAgYAAAAA&#10;">
                <v:fill on="t" focussize="0,0"/>
                <v:stroke weight="0.5pt" color="#000000 [3204]" joinstyle="round"/>
                <v:imagedata o:title=""/>
                <o:lock v:ext="edit" aspectratio="f"/>
                <v:textbox>
                  <w:txbxContent>
                    <w:p w14:paraId="65E8C179">
                      <w:pPr>
                        <w:ind w:left="0" w:leftChars="0" w:firstLine="0" w:firstLineChars="0"/>
                        <w:jc w:val="center"/>
                        <w:rPr>
                          <w:rFonts w:hint="eastAsia"/>
                          <w:lang w:val="en-US" w:eastAsia="zh-CN"/>
                        </w:rPr>
                      </w:pPr>
                      <w:r>
                        <w:rPr>
                          <w:rFonts w:hint="eastAsia"/>
                          <w:lang w:val="en-US" w:eastAsia="zh-CN"/>
                        </w:rPr>
                        <w:t>图例</w:t>
                      </w:r>
                    </w:p>
                    <w:p w14:paraId="047A20F8">
                      <w:pPr>
                        <w:ind w:left="0" w:leftChars="0" w:firstLine="0" w:firstLineChars="0"/>
                        <w:jc w:val="both"/>
                        <w:rPr>
                          <w:rFonts w:hint="eastAsia"/>
                          <w:lang w:val="en-US" w:eastAsia="zh-CN"/>
                        </w:rPr>
                      </w:pPr>
                      <w:r>
                        <w:rPr>
                          <w:rFonts w:hint="eastAsia"/>
                          <w:lang w:val="en-US" w:eastAsia="zh-CN"/>
                        </w:rPr>
                        <w:t xml:space="preserve">    ：一般防渗</w:t>
                      </w:r>
                    </w:p>
                    <w:p w14:paraId="552EE296">
                      <w:pPr>
                        <w:ind w:left="0" w:leftChars="0" w:firstLine="0" w:firstLineChars="0"/>
                        <w:jc w:val="both"/>
                        <w:rPr>
                          <w:rFonts w:hint="default"/>
                          <w:lang w:val="en-US" w:eastAsia="zh-CN"/>
                        </w:rPr>
                      </w:pPr>
                      <w:r>
                        <w:rPr>
                          <w:rFonts w:hint="eastAsia"/>
                          <w:lang w:val="en-US" w:eastAsia="zh-CN"/>
                        </w:rPr>
                        <w:t xml:space="preserve">    ：重点防渗</w:t>
                      </w:r>
                    </w:p>
                  </w:txbxContent>
                </v:textbox>
              </v:shape>
            </w:pict>
          </mc:Fallback>
        </mc:AlternateContent>
      </w:r>
      <w:r>
        <w:rPr>
          <w:rFonts w:hint="default" w:ascii="Times New Roman" w:hAnsi="Times New Roman" w:eastAsia="宋体" w:cs="Times New Roman"/>
          <w:b/>
          <w:bCs w:val="0"/>
          <w:color w:val="auto"/>
          <w:spacing w:val="0"/>
          <w:highlight w:val="none"/>
          <w:lang w:val="en-US" w:eastAsia="zh-CN"/>
        </w:rPr>
        <w:drawing>
          <wp:anchor distT="0" distB="0" distL="114300" distR="114300" simplePos="0" relativeHeight="251685888" behindDoc="0" locked="0" layoutInCell="1" allowOverlap="1">
            <wp:simplePos x="0" y="0"/>
            <wp:positionH relativeFrom="column">
              <wp:posOffset>5875020</wp:posOffset>
            </wp:positionH>
            <wp:positionV relativeFrom="paragraph">
              <wp:posOffset>476885</wp:posOffset>
            </wp:positionV>
            <wp:extent cx="501015" cy="1030605"/>
            <wp:effectExtent l="0" t="0" r="13335" b="17145"/>
            <wp:wrapNone/>
            <wp:docPr id="1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
                    <pic:cNvPicPr>
                      <a:picLocks noChangeAspect="1"/>
                    </pic:cNvPicPr>
                  </pic:nvPicPr>
                  <pic:blipFill>
                    <a:blip r:embed="rId41"/>
                    <a:stretch>
                      <a:fillRect/>
                    </a:stretch>
                  </pic:blipFill>
                  <pic:spPr>
                    <a:xfrm>
                      <a:off x="0" y="0"/>
                      <a:ext cx="501015" cy="1030605"/>
                    </a:xfrm>
                    <a:prstGeom prst="rect">
                      <a:avLst/>
                    </a:prstGeom>
                    <a:noFill/>
                    <a:ln>
                      <a:noFill/>
                    </a:ln>
                  </pic:spPr>
                </pic:pic>
              </a:graphicData>
            </a:graphic>
          </wp:anchor>
        </w:drawing>
      </w:r>
      <w:r>
        <w:rPr>
          <w:color w:val="auto"/>
          <w:highlight w:val="none"/>
        </w:rPr>
        <w:drawing>
          <wp:inline distT="0" distB="0" distL="114300" distR="114300">
            <wp:extent cx="8397875" cy="4991735"/>
            <wp:effectExtent l="0" t="0" r="3175" b="18415"/>
            <wp:docPr id="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pic:cNvPicPr>
                      <a:picLocks noChangeAspect="1"/>
                    </pic:cNvPicPr>
                  </pic:nvPicPr>
                  <pic:blipFill>
                    <a:blip r:embed="rId49"/>
                    <a:stretch>
                      <a:fillRect/>
                    </a:stretch>
                  </pic:blipFill>
                  <pic:spPr>
                    <a:xfrm>
                      <a:off x="0" y="0"/>
                      <a:ext cx="8397875" cy="4991735"/>
                    </a:xfrm>
                    <a:prstGeom prst="rect">
                      <a:avLst/>
                    </a:prstGeom>
                    <a:noFill/>
                    <a:ln>
                      <a:noFill/>
                    </a:ln>
                  </pic:spPr>
                </pic:pic>
              </a:graphicData>
            </a:graphic>
          </wp:inline>
        </w:drawing>
      </w:r>
    </w:p>
    <w:p w14:paraId="3A902CF9">
      <w:pPr>
        <w:ind w:left="0" w:leftChars="0" w:firstLine="0" w:firstLineChars="0"/>
        <w:outlineLvl w:val="0"/>
        <w:rPr>
          <w:rFonts w:hint="default" w:ascii="Times New Roman" w:hAnsi="Times New Roman" w:eastAsia="宋体" w:cs="Times New Roman"/>
          <w:b/>
          <w:bCs w:val="0"/>
          <w:color w:val="auto"/>
          <w:spacing w:val="0"/>
          <w:highlight w:val="none"/>
          <w:lang w:val="en-US" w:eastAsia="zh-CN"/>
        </w:rPr>
      </w:pPr>
      <w:bookmarkStart w:id="25" w:name="_Toc28376"/>
      <w:r>
        <w:rPr>
          <w:rFonts w:hint="default" w:ascii="Times New Roman" w:hAnsi="Times New Roman" w:eastAsia="宋体" w:cs="Times New Roman"/>
          <w:b/>
          <w:bCs w:val="0"/>
          <w:color w:val="auto"/>
          <w:spacing w:val="0"/>
          <w:highlight w:val="none"/>
          <w:lang w:val="en-US" w:eastAsia="zh-CN"/>
        </w:rPr>
        <w:t xml:space="preserve">附件1 </w:t>
      </w:r>
      <w:r>
        <w:rPr>
          <w:rFonts w:hint="default" w:ascii="Times New Roman" w:hAnsi="Times New Roman" w:cs="Times New Roman"/>
          <w:b/>
          <w:bCs w:val="0"/>
          <w:color w:val="auto"/>
          <w:spacing w:val="0"/>
          <w:highlight w:val="none"/>
          <w:lang w:val="en-US" w:eastAsia="zh-CN"/>
        </w:rPr>
        <w:t>医疗机构执业许可证</w:t>
      </w:r>
      <w:bookmarkEnd w:id="25"/>
    </w:p>
    <w:p w14:paraId="7B0DC071">
      <w:pPr>
        <w:pStyle w:val="18"/>
        <w:ind w:left="0" w:leftChars="0" w:firstLine="0" w:firstLineChars="0"/>
        <w:jc w:val="center"/>
        <w:rPr>
          <w:rFonts w:hint="default" w:ascii="Times New Roman" w:hAnsi="Times New Roman" w:eastAsia="宋体" w:cs="Times New Roman"/>
          <w:color w:val="auto"/>
          <w:spacing w:val="0"/>
          <w:szCs w:val="32"/>
          <w:highlight w:val="none"/>
          <w:lang w:eastAsia="zh-CN"/>
        </w:rPr>
        <w:sectPr>
          <w:pgSz w:w="16838" w:h="11906" w:orient="landscape"/>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highlight w:val="none"/>
        </w:rPr>
        <w:drawing>
          <wp:inline distT="0" distB="0" distL="114300" distR="114300">
            <wp:extent cx="7495540" cy="4987925"/>
            <wp:effectExtent l="0" t="0" r="10160" b="3175"/>
            <wp:docPr id="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pic:cNvPicPr>
                      <a:picLocks noChangeAspect="1"/>
                    </pic:cNvPicPr>
                  </pic:nvPicPr>
                  <pic:blipFill>
                    <a:blip r:embed="rId50"/>
                    <a:stretch>
                      <a:fillRect/>
                    </a:stretch>
                  </pic:blipFill>
                  <pic:spPr>
                    <a:xfrm>
                      <a:off x="0" y="0"/>
                      <a:ext cx="7495540" cy="498792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7930515" cy="5344160"/>
            <wp:effectExtent l="0" t="0" r="13335" b="8890"/>
            <wp:docPr id="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
                    <pic:cNvPicPr>
                      <a:picLocks noChangeAspect="1"/>
                    </pic:cNvPicPr>
                  </pic:nvPicPr>
                  <pic:blipFill>
                    <a:blip r:embed="rId51"/>
                    <a:stretch>
                      <a:fillRect/>
                    </a:stretch>
                  </pic:blipFill>
                  <pic:spPr>
                    <a:xfrm>
                      <a:off x="0" y="0"/>
                      <a:ext cx="7930515" cy="534416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7907020" cy="5200015"/>
            <wp:effectExtent l="0" t="0" r="17780" b="635"/>
            <wp:docPr id="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3"/>
                    <pic:cNvPicPr>
                      <a:picLocks noChangeAspect="1"/>
                    </pic:cNvPicPr>
                  </pic:nvPicPr>
                  <pic:blipFill>
                    <a:blip r:embed="rId52"/>
                    <a:stretch>
                      <a:fillRect/>
                    </a:stretch>
                  </pic:blipFill>
                  <pic:spPr>
                    <a:xfrm>
                      <a:off x="0" y="0"/>
                      <a:ext cx="7907020" cy="520001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8397240" cy="5506085"/>
            <wp:effectExtent l="0" t="0" r="3810" b="18415"/>
            <wp:docPr id="3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4"/>
                    <pic:cNvPicPr>
                      <a:picLocks noChangeAspect="1"/>
                    </pic:cNvPicPr>
                  </pic:nvPicPr>
                  <pic:blipFill>
                    <a:blip r:embed="rId53"/>
                    <a:stretch>
                      <a:fillRect/>
                    </a:stretch>
                  </pic:blipFill>
                  <pic:spPr>
                    <a:xfrm>
                      <a:off x="0" y="0"/>
                      <a:ext cx="8397240" cy="550608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8397875" cy="5772785"/>
            <wp:effectExtent l="0" t="0" r="3175" b="18415"/>
            <wp:docPr id="5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5"/>
                    <pic:cNvPicPr>
                      <a:picLocks noChangeAspect="1"/>
                    </pic:cNvPicPr>
                  </pic:nvPicPr>
                  <pic:blipFill>
                    <a:blip r:embed="rId54"/>
                    <a:stretch>
                      <a:fillRect/>
                    </a:stretch>
                  </pic:blipFill>
                  <pic:spPr>
                    <a:xfrm>
                      <a:off x="0" y="0"/>
                      <a:ext cx="8397875" cy="5772785"/>
                    </a:xfrm>
                    <a:prstGeom prst="rect">
                      <a:avLst/>
                    </a:prstGeom>
                    <a:noFill/>
                    <a:ln>
                      <a:noFill/>
                    </a:ln>
                  </pic:spPr>
                </pic:pic>
              </a:graphicData>
            </a:graphic>
          </wp:inline>
        </w:drawing>
      </w:r>
    </w:p>
    <w:p w14:paraId="61F48A43">
      <w:pPr>
        <w:spacing w:line="360" w:lineRule="auto"/>
        <w:ind w:left="0" w:leftChars="0" w:firstLine="0" w:firstLineChars="0"/>
        <w:outlineLvl w:val="0"/>
        <w:rPr>
          <w:rFonts w:hint="default" w:ascii="Times New Roman" w:hAnsi="Times New Roman" w:cs="Times New Roman"/>
          <w:b/>
          <w:bCs w:val="0"/>
          <w:color w:val="auto"/>
          <w:spacing w:val="0"/>
          <w:highlight w:val="none"/>
          <w:lang w:val="en-US" w:eastAsia="zh-CN"/>
        </w:rPr>
      </w:pPr>
      <w:bookmarkStart w:id="26" w:name="_Toc18076"/>
      <w:r>
        <w:rPr>
          <w:rFonts w:hint="default" w:ascii="Times New Roman" w:hAnsi="Times New Roman" w:cs="Times New Roman"/>
          <w:b/>
          <w:bCs w:val="0"/>
          <w:color w:val="auto"/>
          <w:spacing w:val="0"/>
          <w:highlight w:val="none"/>
          <w:lang w:val="en-US" w:eastAsia="zh-CN"/>
        </w:rPr>
        <w:t>附件2 排污许可证正本</w:t>
      </w:r>
      <w:bookmarkEnd w:id="26"/>
    </w:p>
    <w:p w14:paraId="7EACC21E">
      <w:pPr>
        <w:spacing w:line="360" w:lineRule="auto"/>
        <w:ind w:left="0" w:leftChars="0" w:firstLine="0" w:firstLineChars="0"/>
        <w:jc w:val="center"/>
        <w:outlineLvl w:val="9"/>
        <w:rPr>
          <w:rFonts w:hint="default" w:ascii="Times New Roman" w:hAnsi="Times New Roman" w:eastAsia="宋体" w:cs="Times New Roman"/>
          <w:b/>
          <w:bCs w:val="0"/>
          <w:color w:val="auto"/>
          <w:spacing w:val="0"/>
          <w:highlight w:val="none"/>
          <w:lang w:val="en-US" w:eastAsia="zh-CN"/>
        </w:rPr>
        <w:sectPr>
          <w:pgSz w:w="16838" w:h="11906" w:orient="landscape"/>
          <w:pgMar w:top="1800" w:right="1440" w:bottom="1800"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color w:val="auto"/>
          <w:highlight w:val="none"/>
        </w:rPr>
        <w:drawing>
          <wp:inline distT="0" distB="0" distL="114300" distR="114300">
            <wp:extent cx="6913880" cy="4773295"/>
            <wp:effectExtent l="0" t="0" r="1270" b="8255"/>
            <wp:docPr id="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
                    <pic:cNvPicPr>
                      <a:picLocks noChangeAspect="1"/>
                    </pic:cNvPicPr>
                  </pic:nvPicPr>
                  <pic:blipFill>
                    <a:blip r:embed="rId55"/>
                    <a:stretch>
                      <a:fillRect/>
                    </a:stretch>
                  </pic:blipFill>
                  <pic:spPr>
                    <a:xfrm>
                      <a:off x="0" y="0"/>
                      <a:ext cx="6913880" cy="4773295"/>
                    </a:xfrm>
                    <a:prstGeom prst="rect">
                      <a:avLst/>
                    </a:prstGeom>
                    <a:noFill/>
                    <a:ln>
                      <a:noFill/>
                    </a:ln>
                  </pic:spPr>
                </pic:pic>
              </a:graphicData>
            </a:graphic>
          </wp:inline>
        </w:drawing>
      </w:r>
    </w:p>
    <w:p w14:paraId="6C4A72CD">
      <w:pPr>
        <w:pStyle w:val="46"/>
        <w:spacing w:line="360" w:lineRule="auto"/>
        <w:jc w:val="both"/>
        <w:outlineLvl w:val="0"/>
        <w:rPr>
          <w:rFonts w:hint="default" w:ascii="Times New Roman" w:hAnsi="Times New Roman" w:eastAsia="宋体" w:cs="Times New Roman"/>
          <w:b/>
          <w:bCs/>
          <w:snapToGrid w:val="0"/>
          <w:color w:val="auto"/>
          <w:spacing w:val="0"/>
          <w:kern w:val="0"/>
          <w:sz w:val="24"/>
          <w:szCs w:val="24"/>
          <w:highlight w:val="none"/>
          <w:lang w:val="en-US" w:eastAsia="zh-CN" w:bidi="ar-SA"/>
        </w:rPr>
      </w:pPr>
      <w:bookmarkStart w:id="27" w:name="_Toc17899"/>
      <w:r>
        <w:rPr>
          <w:rFonts w:hint="default" w:ascii="Times New Roman" w:hAnsi="Times New Roman" w:eastAsia="宋体" w:cs="Times New Roman"/>
          <w:b/>
          <w:bCs/>
          <w:snapToGrid w:val="0"/>
          <w:color w:val="auto"/>
          <w:spacing w:val="0"/>
          <w:kern w:val="0"/>
          <w:sz w:val="24"/>
          <w:szCs w:val="24"/>
          <w:highlight w:val="none"/>
          <w:lang w:val="en-US" w:eastAsia="zh-CN" w:bidi="ar-SA"/>
        </w:rPr>
        <w:t>附件</w:t>
      </w:r>
      <w:r>
        <w:rPr>
          <w:rFonts w:hint="default" w:ascii="Times New Roman" w:hAnsi="Times New Roman" w:cs="Times New Roman"/>
          <w:b/>
          <w:bCs/>
          <w:snapToGrid w:val="0"/>
          <w:color w:val="auto"/>
          <w:spacing w:val="0"/>
          <w:kern w:val="0"/>
          <w:sz w:val="24"/>
          <w:szCs w:val="24"/>
          <w:highlight w:val="none"/>
          <w:lang w:val="en-US" w:eastAsia="zh-CN" w:bidi="ar-SA"/>
        </w:rPr>
        <w:t>3</w:t>
      </w:r>
      <w:r>
        <w:rPr>
          <w:rFonts w:hint="default" w:ascii="Times New Roman" w:hAnsi="Times New Roman" w:eastAsia="宋体" w:cs="Times New Roman"/>
          <w:b/>
          <w:bCs/>
          <w:snapToGrid w:val="0"/>
          <w:color w:val="auto"/>
          <w:spacing w:val="0"/>
          <w:kern w:val="0"/>
          <w:sz w:val="24"/>
          <w:szCs w:val="24"/>
          <w:highlight w:val="none"/>
          <w:lang w:val="en-US" w:eastAsia="zh-CN" w:bidi="ar-SA"/>
        </w:rPr>
        <w:t xml:space="preserve"> </w:t>
      </w:r>
      <w:r>
        <w:rPr>
          <w:rFonts w:hint="default" w:ascii="Times New Roman" w:hAnsi="Times New Roman" w:cs="Times New Roman"/>
          <w:b/>
          <w:bCs/>
          <w:snapToGrid w:val="0"/>
          <w:color w:val="auto"/>
          <w:spacing w:val="0"/>
          <w:kern w:val="0"/>
          <w:sz w:val="24"/>
          <w:szCs w:val="24"/>
          <w:highlight w:val="none"/>
          <w:lang w:val="en-US" w:eastAsia="zh-CN" w:bidi="ar-SA"/>
        </w:rPr>
        <w:t>燃料分析</w:t>
      </w:r>
      <w:r>
        <w:rPr>
          <w:rFonts w:hint="default" w:ascii="Times New Roman" w:hAnsi="Times New Roman" w:eastAsia="宋体" w:cs="Times New Roman"/>
          <w:b/>
          <w:bCs/>
          <w:snapToGrid w:val="0"/>
          <w:color w:val="auto"/>
          <w:spacing w:val="0"/>
          <w:kern w:val="0"/>
          <w:sz w:val="24"/>
          <w:szCs w:val="24"/>
          <w:highlight w:val="none"/>
          <w:lang w:val="en-US" w:eastAsia="zh-CN" w:bidi="ar-SA"/>
        </w:rPr>
        <w:t>报告</w:t>
      </w:r>
      <w:bookmarkEnd w:id="27"/>
    </w:p>
    <w:p w14:paraId="302AB038">
      <w:pPr>
        <w:pStyle w:val="46"/>
        <w:jc w:val="center"/>
        <w:rPr>
          <w:rFonts w:hint="default" w:ascii="Times New Roman" w:hAnsi="Times New Roman" w:eastAsia="宋体" w:cs="Times New Roman"/>
          <w:color w:val="auto"/>
          <w:highlight w:val="none"/>
          <w:lang w:eastAsia="zh-CN"/>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highlight w:val="none"/>
        </w:rPr>
        <w:drawing>
          <wp:inline distT="0" distB="0" distL="114300" distR="114300">
            <wp:extent cx="5271770" cy="7574915"/>
            <wp:effectExtent l="0" t="0" r="5080" b="6985"/>
            <wp:docPr id="5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3"/>
                    <pic:cNvPicPr>
                      <a:picLocks noChangeAspect="1"/>
                    </pic:cNvPicPr>
                  </pic:nvPicPr>
                  <pic:blipFill>
                    <a:blip r:embed="rId56"/>
                    <a:stretch>
                      <a:fillRect/>
                    </a:stretch>
                  </pic:blipFill>
                  <pic:spPr>
                    <a:xfrm>
                      <a:off x="0" y="0"/>
                      <a:ext cx="5271770" cy="7574915"/>
                    </a:xfrm>
                    <a:prstGeom prst="rect">
                      <a:avLst/>
                    </a:prstGeom>
                    <a:noFill/>
                    <a:ln>
                      <a:noFill/>
                    </a:ln>
                  </pic:spPr>
                </pic:pic>
              </a:graphicData>
            </a:graphic>
          </wp:inline>
        </w:drawing>
      </w:r>
    </w:p>
    <w:p w14:paraId="4780D20C">
      <w:pPr>
        <w:outlineLvl w:val="0"/>
        <w:rPr>
          <w:rFonts w:hint="default" w:ascii="Times New Roman" w:hAnsi="Times New Roman" w:cs="Times New Roman"/>
          <w:b/>
          <w:bCs w:val="0"/>
          <w:color w:val="auto"/>
          <w:highlight w:val="none"/>
          <w:lang w:val="en-US" w:eastAsia="zh-CN"/>
        </w:rPr>
      </w:pPr>
      <w:bookmarkStart w:id="28" w:name="_Toc19932"/>
      <w:r>
        <w:rPr>
          <w:rFonts w:hint="default" w:ascii="Times New Roman" w:hAnsi="Times New Roman" w:cs="Times New Roman"/>
          <w:b/>
          <w:bCs w:val="0"/>
          <w:color w:val="auto"/>
          <w:highlight w:val="none"/>
          <w:lang w:val="en-US" w:eastAsia="zh-CN"/>
        </w:rPr>
        <w:t>附件4 环境现状监测报告</w:t>
      </w:r>
      <w:bookmarkEnd w:id="28"/>
    </w:p>
    <w:p w14:paraId="1594F53D">
      <w:pPr>
        <w:pStyle w:val="18"/>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color w:val="auto"/>
          <w:highlight w:val="none"/>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color w:val="auto"/>
          <w:highlight w:val="none"/>
        </w:rPr>
        <w:drawing>
          <wp:inline distT="0" distB="0" distL="114300" distR="114300">
            <wp:extent cx="5271770" cy="7510145"/>
            <wp:effectExtent l="0" t="0" r="5080" b="14605"/>
            <wp:docPr id="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7"/>
                    <pic:cNvPicPr>
                      <a:picLocks noChangeAspect="1"/>
                    </pic:cNvPicPr>
                  </pic:nvPicPr>
                  <pic:blipFill>
                    <a:blip r:embed="rId57"/>
                    <a:stretch>
                      <a:fillRect/>
                    </a:stretch>
                  </pic:blipFill>
                  <pic:spPr>
                    <a:xfrm>
                      <a:off x="0" y="0"/>
                      <a:ext cx="5271770" cy="7510145"/>
                    </a:xfrm>
                    <a:prstGeom prst="rect">
                      <a:avLst/>
                    </a:prstGeom>
                    <a:noFill/>
                    <a:ln>
                      <a:noFill/>
                    </a:ln>
                  </pic:spPr>
                </pic:pic>
              </a:graphicData>
            </a:graphic>
          </wp:inline>
        </w:drawing>
      </w:r>
      <w:r>
        <w:rPr>
          <w:color w:val="auto"/>
          <w:highlight w:val="none"/>
        </w:rPr>
        <w:drawing>
          <wp:inline distT="0" distB="0" distL="114300" distR="114300">
            <wp:extent cx="5269230" cy="7560945"/>
            <wp:effectExtent l="0" t="0" r="7620" b="1905"/>
            <wp:docPr id="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8"/>
                    <pic:cNvPicPr>
                      <a:picLocks noChangeAspect="1"/>
                    </pic:cNvPicPr>
                  </pic:nvPicPr>
                  <pic:blipFill>
                    <a:blip r:embed="rId58"/>
                    <a:stretch>
                      <a:fillRect/>
                    </a:stretch>
                  </pic:blipFill>
                  <pic:spPr>
                    <a:xfrm>
                      <a:off x="0" y="0"/>
                      <a:ext cx="5269230" cy="7560945"/>
                    </a:xfrm>
                    <a:prstGeom prst="rect">
                      <a:avLst/>
                    </a:prstGeom>
                    <a:noFill/>
                    <a:ln>
                      <a:noFill/>
                    </a:ln>
                  </pic:spPr>
                </pic:pic>
              </a:graphicData>
            </a:graphic>
          </wp:inline>
        </w:drawing>
      </w:r>
      <w:r>
        <w:rPr>
          <w:color w:val="auto"/>
          <w:highlight w:val="none"/>
        </w:rPr>
        <w:drawing>
          <wp:inline distT="0" distB="0" distL="114300" distR="114300">
            <wp:extent cx="5274310" cy="7495540"/>
            <wp:effectExtent l="0" t="0" r="2540" b="10160"/>
            <wp:docPr id="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9"/>
                    <pic:cNvPicPr>
                      <a:picLocks noChangeAspect="1"/>
                    </pic:cNvPicPr>
                  </pic:nvPicPr>
                  <pic:blipFill>
                    <a:blip r:embed="rId59"/>
                    <a:stretch>
                      <a:fillRect/>
                    </a:stretch>
                  </pic:blipFill>
                  <pic:spPr>
                    <a:xfrm>
                      <a:off x="0" y="0"/>
                      <a:ext cx="5274310" cy="7495540"/>
                    </a:xfrm>
                    <a:prstGeom prst="rect">
                      <a:avLst/>
                    </a:prstGeom>
                    <a:noFill/>
                    <a:ln>
                      <a:noFill/>
                    </a:ln>
                  </pic:spPr>
                </pic:pic>
              </a:graphicData>
            </a:graphic>
          </wp:inline>
        </w:drawing>
      </w:r>
      <w:r>
        <w:rPr>
          <w:color w:val="auto"/>
          <w:highlight w:val="none"/>
        </w:rPr>
        <w:drawing>
          <wp:inline distT="0" distB="0" distL="114300" distR="114300">
            <wp:extent cx="5274310" cy="7477125"/>
            <wp:effectExtent l="0" t="0" r="2540"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60"/>
                    <a:stretch>
                      <a:fillRect/>
                    </a:stretch>
                  </pic:blipFill>
                  <pic:spPr>
                    <a:xfrm>
                      <a:off x="0" y="0"/>
                      <a:ext cx="5274310" cy="7477125"/>
                    </a:xfrm>
                    <a:prstGeom prst="rect">
                      <a:avLst/>
                    </a:prstGeom>
                    <a:noFill/>
                    <a:ln>
                      <a:noFill/>
                    </a:ln>
                  </pic:spPr>
                </pic:pic>
              </a:graphicData>
            </a:graphic>
          </wp:inline>
        </w:drawing>
      </w:r>
      <w:r>
        <w:rPr>
          <w:color w:val="auto"/>
          <w:highlight w:val="none"/>
        </w:rPr>
        <w:drawing>
          <wp:inline distT="0" distB="0" distL="114300" distR="114300">
            <wp:extent cx="5272405" cy="7424420"/>
            <wp:effectExtent l="0" t="0" r="4445" b="508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61"/>
                    <a:stretch>
                      <a:fillRect/>
                    </a:stretch>
                  </pic:blipFill>
                  <pic:spPr>
                    <a:xfrm>
                      <a:off x="0" y="0"/>
                      <a:ext cx="5272405" cy="7424420"/>
                    </a:xfrm>
                    <a:prstGeom prst="rect">
                      <a:avLst/>
                    </a:prstGeom>
                    <a:noFill/>
                    <a:ln>
                      <a:noFill/>
                    </a:ln>
                  </pic:spPr>
                </pic:pic>
              </a:graphicData>
            </a:graphic>
          </wp:inline>
        </w:drawing>
      </w:r>
    </w:p>
    <w:p w14:paraId="40438B83">
      <w:pPr>
        <w:pStyle w:val="2"/>
        <w:spacing w:line="360" w:lineRule="auto"/>
        <w:jc w:val="left"/>
        <w:rPr>
          <w:rFonts w:hint="default" w:ascii="Times New Roman" w:hAnsi="Times New Roman" w:eastAsia="宋体" w:cs="Times New Roman"/>
          <w:b/>
          <w:bCs/>
          <w:color w:val="auto"/>
          <w:spacing w:val="0"/>
          <w:sz w:val="24"/>
          <w:szCs w:val="24"/>
          <w:highlight w:val="none"/>
          <w:lang w:val="en-US" w:eastAsia="zh-CN"/>
        </w:rPr>
      </w:pPr>
      <w:bookmarkStart w:id="29" w:name="_Toc5977"/>
      <w:r>
        <w:rPr>
          <w:rFonts w:hint="default" w:ascii="Times New Roman" w:hAnsi="Times New Roman" w:eastAsia="宋体" w:cs="Times New Roman"/>
          <w:b/>
          <w:bCs/>
          <w:color w:val="auto"/>
          <w:spacing w:val="0"/>
          <w:sz w:val="24"/>
          <w:szCs w:val="24"/>
          <w:highlight w:val="none"/>
        </w:rPr>
        <w:t>附件</w:t>
      </w:r>
      <w:r>
        <w:rPr>
          <w:rFonts w:hint="default" w:ascii="Times New Roman" w:hAnsi="Times New Roman" w:eastAsia="宋体" w:cs="Times New Roman"/>
          <w:b/>
          <w:bCs/>
          <w:color w:val="auto"/>
          <w:spacing w:val="0"/>
          <w:sz w:val="24"/>
          <w:szCs w:val="24"/>
          <w:highlight w:val="none"/>
          <w:lang w:val="en-US" w:eastAsia="zh-CN"/>
        </w:rPr>
        <w:t>5总量计算说明</w:t>
      </w:r>
      <w:bookmarkEnd w:id="29"/>
    </w:p>
    <w:p w14:paraId="5042401A">
      <w:pPr>
        <w:pStyle w:val="75"/>
        <w:spacing w:line="360" w:lineRule="auto"/>
        <w:ind w:firstLine="480"/>
        <w:rPr>
          <w:rFonts w:hint="default" w:ascii="Times New Roman" w:hAnsi="Times New Roman" w:eastAsia="宋体" w:cs="Times New Roman"/>
          <w:b/>
          <w:bCs/>
          <w:color w:val="auto"/>
          <w:spacing w:val="0"/>
          <w:sz w:val="24"/>
          <w:szCs w:val="24"/>
          <w:highlight w:val="none"/>
          <w:lang w:eastAsia="zh-CN"/>
        </w:rPr>
      </w:pPr>
      <w:r>
        <w:rPr>
          <w:rFonts w:hint="default" w:ascii="Times New Roman" w:hAnsi="Times New Roman" w:eastAsia="宋体" w:cs="Times New Roman"/>
          <w:b/>
          <w:bCs/>
          <w:color w:val="auto"/>
          <w:spacing w:val="0"/>
          <w:sz w:val="24"/>
          <w:szCs w:val="24"/>
          <w:highlight w:val="none"/>
        </w:rPr>
        <w:t>废</w:t>
      </w:r>
      <w:r>
        <w:rPr>
          <w:rFonts w:hint="default" w:ascii="Times New Roman" w:hAnsi="Times New Roman" w:eastAsia="宋体" w:cs="Times New Roman"/>
          <w:b/>
          <w:bCs/>
          <w:color w:val="auto"/>
          <w:spacing w:val="0"/>
          <w:sz w:val="24"/>
          <w:szCs w:val="24"/>
          <w:highlight w:val="none"/>
          <w:lang w:eastAsia="zh-CN"/>
        </w:rPr>
        <w:t>气</w:t>
      </w:r>
    </w:p>
    <w:p w14:paraId="01ACA190">
      <w:pPr>
        <w:keepNext w:val="0"/>
        <w:keepLines w:val="0"/>
        <w:widowControl/>
        <w:suppressLineNumbers w:val="0"/>
        <w:spacing w:line="360" w:lineRule="auto"/>
        <w:jc w:val="both"/>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b w:val="0"/>
          <w:bCs/>
          <w:color w:val="auto"/>
          <w:spacing w:val="0"/>
          <w:sz w:val="24"/>
          <w:szCs w:val="24"/>
          <w:highlight w:val="none"/>
          <w:lang w:val="en-US" w:eastAsia="zh-CN"/>
        </w:rPr>
        <w:t>本项目产生的废气主要为</w:t>
      </w:r>
      <w:r>
        <w:rPr>
          <w:rFonts w:hint="default" w:ascii="Times New Roman" w:hAnsi="Times New Roman" w:eastAsia="宋体" w:cs="Times New Roman"/>
          <w:color w:val="auto"/>
          <w:spacing w:val="0"/>
          <w:sz w:val="24"/>
          <w:szCs w:val="24"/>
          <w:highlight w:val="none"/>
          <w:lang w:val="en-US" w:eastAsia="zh-CN"/>
        </w:rPr>
        <w:t>锅炉产生的</w:t>
      </w:r>
      <w:r>
        <w:rPr>
          <w:rFonts w:hint="default" w:ascii="Times New Roman" w:hAnsi="Times New Roman" w:eastAsia="宋体" w:cs="Times New Roman"/>
          <w:b w:val="0"/>
          <w:bCs/>
          <w:color w:val="auto"/>
          <w:spacing w:val="0"/>
          <w:sz w:val="24"/>
          <w:szCs w:val="24"/>
          <w:highlight w:val="none"/>
          <w:lang w:val="en-US" w:eastAsia="zh-CN"/>
        </w:rPr>
        <w:t>颗粒物、二氧化硫、氮氧化物。产生的废气由</w:t>
      </w:r>
      <w:r>
        <w:rPr>
          <w:rFonts w:hint="default" w:ascii="Times New Roman" w:hAnsi="Times New Roman" w:cs="Times New Roman"/>
          <w:b w:val="0"/>
          <w:bCs/>
          <w:color w:val="auto"/>
          <w:spacing w:val="0"/>
          <w:sz w:val="24"/>
          <w:szCs w:val="24"/>
          <w:highlight w:val="none"/>
          <w:lang w:val="en-US" w:eastAsia="zh-CN"/>
        </w:rPr>
        <w:t>1</w:t>
      </w:r>
      <w:r>
        <w:rPr>
          <w:rFonts w:hint="default" w:ascii="Times New Roman" w:hAnsi="Times New Roman" w:eastAsia="宋体" w:cs="Times New Roman"/>
          <w:b w:val="0"/>
          <w:bCs/>
          <w:color w:val="auto"/>
          <w:spacing w:val="0"/>
          <w:sz w:val="24"/>
          <w:szCs w:val="24"/>
          <w:highlight w:val="none"/>
          <w:lang w:val="en-US" w:eastAsia="zh-CN"/>
        </w:rPr>
        <w:t>根</w:t>
      </w:r>
      <w:r>
        <w:rPr>
          <w:rFonts w:hint="default" w:ascii="Times New Roman" w:hAnsi="Times New Roman" w:cs="Times New Roman"/>
          <w:b w:val="0"/>
          <w:bCs/>
          <w:color w:val="auto"/>
          <w:spacing w:val="0"/>
          <w:sz w:val="24"/>
          <w:szCs w:val="24"/>
          <w:highlight w:val="none"/>
          <w:lang w:val="en-US" w:eastAsia="zh-CN"/>
        </w:rPr>
        <w:t>30m高</w:t>
      </w:r>
      <w:r>
        <w:rPr>
          <w:rFonts w:hint="default" w:ascii="Times New Roman" w:hAnsi="Times New Roman" w:eastAsia="宋体" w:cs="Times New Roman"/>
          <w:b w:val="0"/>
          <w:bCs/>
          <w:color w:val="auto"/>
          <w:spacing w:val="0"/>
          <w:sz w:val="24"/>
          <w:szCs w:val="24"/>
          <w:highlight w:val="none"/>
          <w:lang w:val="en-US" w:eastAsia="zh-CN"/>
        </w:rPr>
        <w:t>烟囱有组织排放。</w:t>
      </w:r>
      <w:r>
        <w:rPr>
          <w:rFonts w:hint="default" w:ascii="Times New Roman" w:hAnsi="Times New Roman" w:eastAsia="宋体" w:cs="Times New Roman"/>
          <w:color w:val="auto"/>
          <w:spacing w:val="0"/>
          <w:sz w:val="24"/>
          <w:highlight w:val="none"/>
          <w:lang w:val="en-US" w:eastAsia="zh-CN"/>
        </w:rPr>
        <w:t>年运行</w:t>
      </w:r>
      <w:r>
        <w:rPr>
          <w:rFonts w:hint="eastAsia" w:ascii="Times New Roman" w:hAnsi="Times New Roman" w:cs="Times New Roman"/>
          <w:color w:val="auto"/>
          <w:spacing w:val="0"/>
          <w:sz w:val="24"/>
          <w:highlight w:val="none"/>
          <w:lang w:val="en-US" w:eastAsia="zh-CN"/>
        </w:rPr>
        <w:t>5808</w:t>
      </w:r>
      <w:r>
        <w:rPr>
          <w:rFonts w:hint="default" w:ascii="Times New Roman" w:hAnsi="Times New Roman" w:eastAsia="宋体" w:cs="Times New Roman"/>
          <w:color w:val="auto"/>
          <w:spacing w:val="0"/>
          <w:sz w:val="24"/>
          <w:highlight w:val="none"/>
          <w:lang w:val="en-US" w:eastAsia="zh-CN"/>
        </w:rPr>
        <w:t>h。</w:t>
      </w:r>
    </w:p>
    <w:p w14:paraId="44CD0D3D">
      <w:pPr>
        <w:pStyle w:val="11"/>
        <w:keepNext w:val="0"/>
        <w:keepLines w:val="0"/>
        <w:pageBreakBefore w:val="0"/>
        <w:widowControl/>
        <w:kinsoku/>
        <w:wordWrap/>
        <w:overflowPunct/>
        <w:topLinePunct w:val="0"/>
        <w:autoSpaceDE/>
        <w:autoSpaceDN/>
        <w:bidi w:val="0"/>
        <w:adjustRightInd w:val="0"/>
        <w:snapToGrid w:val="0"/>
        <w:spacing w:before="0" w:after="0" w:line="360" w:lineRule="auto"/>
        <w:ind w:right="0"/>
        <w:jc w:val="both"/>
        <w:textAlignment w:val="auto"/>
        <w:rPr>
          <w:rFonts w:hint="default" w:ascii="Times New Roman" w:hAnsi="Times New Roman" w:eastAsia="宋体" w:cs="Times New Roman"/>
          <w:bCs/>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eastAsia="zh-CN"/>
        </w:rPr>
        <w:t>根据《</w:t>
      </w:r>
      <w:r>
        <w:rPr>
          <w:rFonts w:hint="default" w:ascii="Times New Roman" w:hAnsi="Times New Roman" w:eastAsia="宋体" w:cs="Times New Roman"/>
          <w:color w:val="auto"/>
          <w:spacing w:val="0"/>
          <w:sz w:val="24"/>
          <w:szCs w:val="24"/>
          <w:highlight w:val="none"/>
          <w:lang w:val="en-US" w:eastAsia="zh-CN"/>
        </w:rPr>
        <w:t>排污许可证申请与核发技术规范 锅炉》（HJ953-2018）中基准烟气量核算方法，本项目为</w:t>
      </w:r>
      <w:r>
        <w:rPr>
          <w:rFonts w:hint="default" w:ascii="Times New Roman" w:hAnsi="Times New Roman" w:cs="Times New Roman"/>
          <w:color w:val="auto"/>
          <w:spacing w:val="0"/>
          <w:sz w:val="24"/>
          <w:szCs w:val="24"/>
          <w:highlight w:val="none"/>
          <w:lang w:val="en-US" w:eastAsia="zh-CN"/>
        </w:rPr>
        <w:t>生物质锅炉</w:t>
      </w:r>
      <w:r>
        <w:rPr>
          <w:rFonts w:hint="default" w:ascii="Times New Roman" w:hAnsi="Times New Roman" w:eastAsia="宋体" w:cs="Times New Roman"/>
          <w:color w:val="auto"/>
          <w:spacing w:val="0"/>
          <w:sz w:val="24"/>
          <w:szCs w:val="24"/>
          <w:highlight w:val="none"/>
          <w:lang w:val="en-US" w:eastAsia="zh-CN"/>
        </w:rPr>
        <w:t>，Vgy=</w:t>
      </w:r>
      <w:r>
        <w:rPr>
          <w:rFonts w:hint="default" w:ascii="Times New Roman" w:hAnsi="Times New Roman" w:cs="Times New Roman"/>
          <w:color w:val="auto"/>
          <w:spacing w:val="0"/>
          <w:sz w:val="24"/>
          <w:szCs w:val="24"/>
          <w:highlight w:val="none"/>
          <w:lang w:val="en-US" w:eastAsia="zh-CN"/>
        </w:rPr>
        <w:t>0.393</w:t>
      </w:r>
      <w:r>
        <w:rPr>
          <w:rFonts w:hint="default" w:ascii="Times New Roman" w:hAnsi="Times New Roman" w:eastAsia="宋体" w:cs="Times New Roman"/>
          <w:color w:val="auto"/>
          <w:spacing w:val="0"/>
          <w:sz w:val="24"/>
          <w:szCs w:val="24"/>
          <w:highlight w:val="none"/>
          <w:lang w:val="en-US" w:eastAsia="zh-CN"/>
        </w:rPr>
        <w:t>Qnet+0.</w:t>
      </w:r>
      <w:r>
        <w:rPr>
          <w:rFonts w:hint="default" w:ascii="Times New Roman" w:hAnsi="Times New Roman" w:cs="Times New Roman"/>
          <w:color w:val="auto"/>
          <w:spacing w:val="0"/>
          <w:sz w:val="24"/>
          <w:szCs w:val="24"/>
          <w:highlight w:val="none"/>
          <w:lang w:val="en-US" w:eastAsia="zh-CN"/>
        </w:rPr>
        <w:t>876</w:t>
      </w:r>
      <w:r>
        <w:rPr>
          <w:rFonts w:hint="default" w:ascii="Times New Roman" w:hAnsi="Times New Roman" w:eastAsia="宋体" w:cs="Times New Roman"/>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lang w:val="en-US" w:eastAsia="zh-CN"/>
        </w:rPr>
        <w:t>7.71813N</w:t>
      </w:r>
      <w:r>
        <w:rPr>
          <w:rFonts w:hint="default" w:ascii="Times New Roman" w:hAnsi="Times New Roman" w:eastAsia="宋体" w:cs="Times New Roman"/>
          <w:color w:val="auto"/>
          <w:spacing w:val="0"/>
          <w:sz w:val="24"/>
          <w:szCs w:val="24"/>
          <w:highlight w:val="none"/>
          <w:lang w:val="en-US" w:eastAsia="zh-CN"/>
        </w:rPr>
        <w:t>m</w:t>
      </w:r>
      <w:r>
        <w:rPr>
          <w:rFonts w:hint="default" w:ascii="Times New Roman" w:hAnsi="Times New Roman" w:eastAsia="宋体" w:cs="Times New Roman"/>
          <w:caps w:val="0"/>
          <w:smallCaps w:val="0"/>
          <w:strike w:val="0"/>
          <w:dstrike w:val="0"/>
          <w:vanish w:val="0"/>
          <w:color w:val="auto"/>
          <w:spacing w:val="0"/>
          <w:sz w:val="24"/>
          <w:szCs w:val="24"/>
          <w:highlight w:val="none"/>
          <w:vertAlign w:val="superscript"/>
          <w:lang w:val="en-US" w:eastAsia="zh-CN"/>
        </w:rPr>
        <w:t>3</w:t>
      </w:r>
      <w:r>
        <w:rPr>
          <w:rFonts w:hint="default" w:ascii="Times New Roman" w:hAnsi="Times New Roman" w:eastAsia="宋体" w:cs="Times New Roman"/>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lang w:val="en-US" w:eastAsia="zh-CN"/>
        </w:rPr>
        <w:t>kg</w:t>
      </w:r>
      <w:r>
        <w:rPr>
          <w:rFonts w:hint="default" w:ascii="Times New Roman" w:hAnsi="Times New Roman" w:eastAsia="宋体" w:cs="Times New Roman"/>
          <w:color w:val="auto"/>
          <w:spacing w:val="0"/>
          <w:sz w:val="24"/>
          <w:szCs w:val="24"/>
          <w:highlight w:val="none"/>
          <w:lang w:val="en-US" w:eastAsia="zh-CN"/>
        </w:rPr>
        <w:t>原料。本项目</w:t>
      </w:r>
      <w:r>
        <w:rPr>
          <w:rFonts w:hint="default" w:ascii="Times New Roman" w:hAnsi="Times New Roman" w:cs="Times New Roman"/>
          <w:color w:val="auto"/>
          <w:spacing w:val="0"/>
          <w:sz w:val="24"/>
          <w:szCs w:val="24"/>
          <w:highlight w:val="none"/>
          <w:lang w:val="en-US" w:eastAsia="zh-CN"/>
        </w:rPr>
        <w:t>生物质燃料</w:t>
      </w:r>
      <w:r>
        <w:rPr>
          <w:rFonts w:hint="default" w:ascii="Times New Roman" w:hAnsi="Times New Roman" w:eastAsia="宋体" w:cs="Times New Roman"/>
          <w:color w:val="auto"/>
          <w:spacing w:val="0"/>
          <w:sz w:val="24"/>
          <w:szCs w:val="24"/>
          <w:highlight w:val="none"/>
          <w:lang w:val="en-US" w:eastAsia="zh-CN"/>
        </w:rPr>
        <w:t>消耗量</w:t>
      </w:r>
      <w:r>
        <w:rPr>
          <w:rFonts w:hint="eastAsia" w:cs="Times New Roman"/>
          <w:color w:val="auto"/>
          <w:spacing w:val="0"/>
          <w:sz w:val="24"/>
          <w:szCs w:val="24"/>
          <w:highlight w:val="none"/>
          <w:lang w:val="en-US" w:eastAsia="zh-CN"/>
        </w:rPr>
        <w:t>3020.16</w:t>
      </w:r>
      <w:r>
        <w:rPr>
          <w:rFonts w:hint="default" w:ascii="Times New Roman" w:hAnsi="Times New Roman" w:cs="Times New Roman"/>
          <w:color w:val="auto"/>
          <w:spacing w:val="0"/>
          <w:sz w:val="24"/>
          <w:szCs w:val="24"/>
          <w:highlight w:val="none"/>
          <w:lang w:val="en-US" w:eastAsia="zh-CN"/>
        </w:rPr>
        <w:t>t/a=</w:t>
      </w:r>
      <w:r>
        <w:rPr>
          <w:rFonts w:hint="eastAsia" w:cs="Times New Roman"/>
          <w:color w:val="auto"/>
          <w:spacing w:val="0"/>
          <w:sz w:val="24"/>
          <w:szCs w:val="24"/>
          <w:highlight w:val="none"/>
          <w:lang w:val="en-US" w:eastAsia="zh-CN"/>
        </w:rPr>
        <w:t>3020160</w:t>
      </w:r>
      <w:r>
        <w:rPr>
          <w:rFonts w:hint="default" w:ascii="Times New Roman" w:hAnsi="Times New Roman" w:cs="Times New Roman"/>
          <w:color w:val="auto"/>
          <w:spacing w:val="0"/>
          <w:sz w:val="24"/>
          <w:szCs w:val="24"/>
          <w:highlight w:val="none"/>
          <w:lang w:val="en-US" w:eastAsia="zh-CN"/>
        </w:rPr>
        <w:t>kg/a；0.52t/h=520kg/h；</w:t>
      </w:r>
    </w:p>
    <w:p w14:paraId="4319EA44">
      <w:pPr>
        <w:pStyle w:val="11"/>
        <w:keepNext w:val="0"/>
        <w:keepLines w:val="0"/>
        <w:pageBreakBefore w:val="0"/>
        <w:widowControl/>
        <w:kinsoku/>
        <w:wordWrap/>
        <w:overflowPunct/>
        <w:topLinePunct w:val="0"/>
        <w:autoSpaceDE/>
        <w:autoSpaceDN/>
        <w:bidi w:val="0"/>
        <w:adjustRightInd w:val="0"/>
        <w:snapToGrid w:val="0"/>
        <w:spacing w:before="0" w:after="0" w:line="360" w:lineRule="auto"/>
        <w:ind w:right="0"/>
        <w:jc w:val="both"/>
        <w:textAlignment w:val="auto"/>
        <w:rPr>
          <w:rFonts w:hint="default" w:ascii="Times New Roman" w:hAnsi="Times New Roman" w:eastAsia="宋体" w:cs="Times New Roman"/>
          <w:b w:val="0"/>
          <w:bCs/>
          <w:color w:val="auto"/>
          <w:spacing w:val="0"/>
          <w:sz w:val="24"/>
          <w:szCs w:val="24"/>
          <w:highlight w:val="none"/>
          <w:lang w:val="en-US" w:eastAsia="zh-CN"/>
        </w:rPr>
      </w:pPr>
      <w:r>
        <w:rPr>
          <w:rFonts w:hint="default" w:ascii="Times New Roman" w:hAnsi="Times New Roman" w:eastAsia="宋体" w:cs="Times New Roman"/>
          <w:caps w:val="0"/>
          <w:snapToGrid w:val="0"/>
          <w:color w:val="auto"/>
          <w:spacing w:val="0"/>
          <w:kern w:val="0"/>
          <w:sz w:val="24"/>
          <w:highlight w:val="none"/>
          <w:lang w:val="en-US" w:eastAsia="zh-CN"/>
        </w:rPr>
        <w:t>锅炉工业废气量：</w:t>
      </w:r>
      <w:r>
        <w:rPr>
          <w:rFonts w:hint="eastAsia" w:cs="Times New Roman"/>
          <w:color w:val="auto"/>
          <w:spacing w:val="0"/>
          <w:sz w:val="24"/>
          <w:szCs w:val="24"/>
          <w:highlight w:val="none"/>
          <w:lang w:val="en-US" w:eastAsia="zh-CN"/>
        </w:rPr>
        <w:t>3020160</w:t>
      </w:r>
      <w:r>
        <w:rPr>
          <w:rFonts w:hint="default" w:ascii="Times New Roman" w:hAnsi="Times New Roman" w:cs="Times New Roman"/>
          <w:color w:val="auto"/>
          <w:spacing w:val="0"/>
          <w:sz w:val="24"/>
          <w:szCs w:val="24"/>
          <w:highlight w:val="none"/>
          <w:lang w:val="en-US" w:eastAsia="zh-CN"/>
        </w:rPr>
        <w:t>kg</w:t>
      </w:r>
      <w:r>
        <w:rPr>
          <w:rFonts w:hint="default" w:ascii="Times New Roman" w:hAnsi="Times New Roman" w:eastAsia="宋体" w:cs="Times New Roman"/>
          <w:bCs/>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lang w:val="en-US" w:eastAsia="zh-CN"/>
        </w:rPr>
        <w:t>7.71813N</w:t>
      </w:r>
      <w:r>
        <w:rPr>
          <w:rFonts w:hint="default" w:ascii="Times New Roman" w:hAnsi="Times New Roman" w:eastAsia="宋体" w:cs="Times New Roman"/>
          <w:color w:val="auto"/>
          <w:spacing w:val="0"/>
          <w:sz w:val="24"/>
          <w:szCs w:val="24"/>
          <w:highlight w:val="none"/>
          <w:lang w:val="en-US" w:eastAsia="zh-CN"/>
        </w:rPr>
        <w:t>m</w:t>
      </w:r>
      <w:r>
        <w:rPr>
          <w:rFonts w:hint="default" w:ascii="Times New Roman" w:hAnsi="Times New Roman" w:eastAsia="宋体" w:cs="Times New Roman"/>
          <w:caps w:val="0"/>
          <w:smallCaps w:val="0"/>
          <w:strike w:val="0"/>
          <w:dstrike w:val="0"/>
          <w:vanish w:val="0"/>
          <w:color w:val="auto"/>
          <w:spacing w:val="0"/>
          <w:sz w:val="24"/>
          <w:szCs w:val="24"/>
          <w:highlight w:val="none"/>
          <w:vertAlign w:val="superscript"/>
          <w:lang w:val="en-US" w:eastAsia="zh-CN"/>
        </w:rPr>
        <w:t>3</w:t>
      </w:r>
      <w:r>
        <w:rPr>
          <w:rFonts w:hint="default" w:ascii="Times New Roman" w:hAnsi="Times New Roman" w:eastAsia="宋体" w:cs="Times New Roman"/>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lang w:val="en-US" w:eastAsia="zh-CN"/>
        </w:rPr>
        <w:t>kg</w:t>
      </w:r>
      <w:r>
        <w:rPr>
          <w:rFonts w:hint="default" w:ascii="Times New Roman" w:hAnsi="Times New Roman" w:eastAsia="宋体" w:cs="Times New Roman"/>
          <w:color w:val="auto"/>
          <w:spacing w:val="0"/>
          <w:sz w:val="24"/>
          <w:szCs w:val="24"/>
          <w:highlight w:val="none"/>
          <w:lang w:val="en-US" w:eastAsia="zh-CN"/>
        </w:rPr>
        <w:t>原料=</w:t>
      </w:r>
      <w:r>
        <w:rPr>
          <w:rFonts w:hint="eastAsia" w:cs="Times New Roman"/>
          <w:color w:val="auto"/>
          <w:spacing w:val="0"/>
          <w:sz w:val="24"/>
          <w:szCs w:val="24"/>
          <w:highlight w:val="none"/>
          <w:lang w:val="en-US" w:eastAsia="zh-CN"/>
        </w:rPr>
        <w:t>23309987.5</w:t>
      </w:r>
      <w:r>
        <w:rPr>
          <w:rFonts w:hint="default" w:ascii="Times New Roman" w:hAnsi="Times New Roman" w:eastAsia="宋体" w:cs="Times New Roman"/>
          <w:color w:val="auto"/>
          <w:spacing w:val="0"/>
          <w:sz w:val="24"/>
          <w:szCs w:val="24"/>
          <w:highlight w:val="none"/>
        </w:rPr>
        <w:t>N</w:t>
      </w:r>
      <w:r>
        <w:rPr>
          <w:rFonts w:hint="default" w:ascii="Times New Roman" w:hAnsi="Times New Roman" w:eastAsia="宋体" w:cs="Times New Roman"/>
          <w:color w:val="auto"/>
          <w:spacing w:val="0"/>
          <w:sz w:val="24"/>
          <w:szCs w:val="24"/>
          <w:highlight w:val="none"/>
          <w:lang w:eastAsia="zh-CN"/>
        </w:rPr>
        <w:t>m</w:t>
      </w:r>
      <w:r>
        <w:rPr>
          <w:rFonts w:hint="default" w:ascii="Times New Roman" w:hAnsi="Times New Roman" w:eastAsia="宋体" w:cs="Times New Roman"/>
          <w:caps w:val="0"/>
          <w:smallCaps w:val="0"/>
          <w:strike w:val="0"/>
          <w:dstrike w:val="0"/>
          <w:vanish w:val="0"/>
          <w:color w:val="auto"/>
          <w:spacing w:val="0"/>
          <w:sz w:val="24"/>
          <w:szCs w:val="24"/>
          <w:highlight w:val="none"/>
          <w:vertAlign w:val="superscript"/>
          <w:lang w:eastAsia="zh-CN"/>
        </w:rPr>
        <w:t>3</w:t>
      </w:r>
      <w:r>
        <w:rPr>
          <w:rFonts w:hint="default" w:ascii="Times New Roman" w:hAnsi="Times New Roman" w:eastAsia="宋体" w:cs="Times New Roman"/>
          <w:color w:val="auto"/>
          <w:spacing w:val="0"/>
          <w:sz w:val="24"/>
          <w:szCs w:val="24"/>
          <w:highlight w:val="none"/>
        </w:rPr>
        <w:t>/a</w:t>
      </w:r>
    </w:p>
    <w:p w14:paraId="72E22DC4">
      <w:pPr>
        <w:keepNext w:val="0"/>
        <w:keepLines w:val="0"/>
        <w:widowControl/>
        <w:suppressLineNumbers w:val="0"/>
        <w:spacing w:line="360" w:lineRule="auto"/>
        <w:jc w:val="both"/>
        <w:rPr>
          <w:rFonts w:hint="default" w:ascii="Times New Roman" w:hAnsi="Times New Roman" w:eastAsia="宋体" w:cs="Times New Roman"/>
          <w:b w:val="0"/>
          <w:bCs/>
          <w:color w:val="auto"/>
          <w:spacing w:val="0"/>
          <w:sz w:val="24"/>
          <w:szCs w:val="24"/>
          <w:highlight w:val="none"/>
          <w:lang w:val="en-US" w:eastAsia="zh-CN"/>
        </w:rPr>
      </w:pPr>
      <w:r>
        <w:rPr>
          <w:rFonts w:hint="default" w:ascii="Times New Roman" w:hAnsi="Times New Roman" w:eastAsia="宋体" w:cs="Times New Roman"/>
          <w:b w:val="0"/>
          <w:bCs/>
          <w:color w:val="auto"/>
          <w:spacing w:val="0"/>
          <w:sz w:val="24"/>
          <w:szCs w:val="24"/>
          <w:highlight w:val="none"/>
          <w:lang w:val="en-US" w:eastAsia="zh-CN"/>
        </w:rPr>
        <w:t>本项目颗粒物、二氧化硫、氮氧化物执行《锅炉大气污染物排放标准》（GB13271-2014）</w:t>
      </w:r>
      <w:r>
        <w:rPr>
          <w:rFonts w:hint="default" w:ascii="Times New Roman" w:hAnsi="Times New Roman" w:cs="Times New Roman"/>
          <w:b w:val="0"/>
          <w:bCs/>
          <w:color w:val="auto"/>
          <w:spacing w:val="0"/>
          <w:sz w:val="24"/>
          <w:szCs w:val="24"/>
          <w:highlight w:val="none"/>
          <w:lang w:val="en-US" w:eastAsia="zh-CN"/>
        </w:rPr>
        <w:t>表2锅炉</w:t>
      </w:r>
      <w:r>
        <w:rPr>
          <w:rFonts w:hint="default" w:ascii="Times New Roman" w:hAnsi="Times New Roman" w:eastAsia="宋体" w:cs="Times New Roman"/>
          <w:b w:val="0"/>
          <w:bCs/>
          <w:color w:val="auto"/>
          <w:spacing w:val="0"/>
          <w:sz w:val="24"/>
          <w:szCs w:val="24"/>
          <w:highlight w:val="none"/>
          <w:lang w:val="en-US" w:eastAsia="zh-CN"/>
        </w:rPr>
        <w:t>排放限值标准。</w:t>
      </w:r>
    </w:p>
    <w:p w14:paraId="146FF49E">
      <w:pPr>
        <w:keepNext w:val="0"/>
        <w:keepLines w:val="0"/>
        <w:widowControl/>
        <w:suppressLineNumbers w:val="0"/>
        <w:shd w:val="clear"/>
        <w:spacing w:line="360" w:lineRule="auto"/>
        <w:jc w:val="both"/>
        <w:rPr>
          <w:rFonts w:hint="default" w:ascii="Times New Roman" w:hAnsi="Times New Roman" w:eastAsia="宋体" w:cs="Times New Roman"/>
          <w:color w:val="auto"/>
          <w:spacing w:val="0"/>
          <w:kern w:val="0"/>
          <w:sz w:val="24"/>
          <w:highlight w:val="none"/>
        </w:rPr>
      </w:pPr>
      <w:r>
        <w:rPr>
          <w:rFonts w:hint="default" w:ascii="Times New Roman" w:hAnsi="Times New Roman" w:eastAsia="宋体" w:cs="Times New Roman"/>
          <w:b w:val="0"/>
          <w:bCs/>
          <w:color w:val="auto"/>
          <w:spacing w:val="0"/>
          <w:sz w:val="24"/>
          <w:szCs w:val="24"/>
          <w:highlight w:val="none"/>
          <w:lang w:val="en-US" w:eastAsia="zh-CN"/>
        </w:rPr>
        <w:t>计算过程：根据《排污许可证申请与核发技术规范 锅炉》（HJ953-2018）中锅炉的废气污染物（颗粒物、二氧化硫、氮氧化物）年许可排放量计算公式E年许可：</w:t>
      </w:r>
    </w:p>
    <w:p w14:paraId="0596ACE8">
      <w:pPr>
        <w:keepNext w:val="0"/>
        <w:keepLines w:val="0"/>
        <w:pageBreakBefore w:val="0"/>
        <w:widowControl/>
        <w:shd w:val="clea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343150" cy="400050"/>
            <wp:effectExtent l="0" t="0" r="0" b="0"/>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62"/>
                    <a:stretch>
                      <a:fillRect/>
                    </a:stretch>
                  </pic:blipFill>
                  <pic:spPr>
                    <a:xfrm>
                      <a:off x="0" y="0"/>
                      <a:ext cx="2343150" cy="400050"/>
                    </a:xfrm>
                    <a:prstGeom prst="rect">
                      <a:avLst/>
                    </a:prstGeom>
                    <a:noFill/>
                    <a:ln>
                      <a:noFill/>
                    </a:ln>
                  </pic:spPr>
                </pic:pic>
              </a:graphicData>
            </a:graphic>
          </wp:inline>
        </w:drawing>
      </w:r>
    </w:p>
    <w:p w14:paraId="75953BB6">
      <w:pPr>
        <w:keepNext w:val="0"/>
        <w:keepLines w:val="0"/>
        <w:pageBreakBefore w:val="0"/>
        <w:widowControl/>
        <w:shd w:val="clea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271770" cy="1901190"/>
            <wp:effectExtent l="0" t="0" r="5080" b="3810"/>
            <wp:docPr id="11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7"/>
                    <pic:cNvPicPr>
                      <a:picLocks noChangeAspect="1"/>
                    </pic:cNvPicPr>
                  </pic:nvPicPr>
                  <pic:blipFill>
                    <a:blip r:embed="rId63"/>
                    <a:stretch>
                      <a:fillRect/>
                    </a:stretch>
                  </pic:blipFill>
                  <pic:spPr>
                    <a:xfrm>
                      <a:off x="0" y="0"/>
                      <a:ext cx="5271770" cy="190119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272405" cy="1268730"/>
            <wp:effectExtent l="0" t="0" r="4445" b="7620"/>
            <wp:docPr id="11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8"/>
                    <pic:cNvPicPr>
                      <a:picLocks noChangeAspect="1"/>
                    </pic:cNvPicPr>
                  </pic:nvPicPr>
                  <pic:blipFill>
                    <a:blip r:embed="rId64"/>
                    <a:stretch>
                      <a:fillRect/>
                    </a:stretch>
                  </pic:blipFill>
                  <pic:spPr>
                    <a:xfrm>
                      <a:off x="0" y="0"/>
                      <a:ext cx="5272405" cy="1268730"/>
                    </a:xfrm>
                    <a:prstGeom prst="rect">
                      <a:avLst/>
                    </a:prstGeom>
                    <a:noFill/>
                    <a:ln>
                      <a:noFill/>
                    </a:ln>
                  </pic:spPr>
                </pic:pic>
              </a:graphicData>
            </a:graphic>
          </wp:inline>
        </w:drawing>
      </w:r>
    </w:p>
    <w:p w14:paraId="592AEA52">
      <w:pPr>
        <w:keepNext w:val="0"/>
        <w:keepLines w:val="0"/>
        <w:pageBreakBefore w:val="0"/>
        <w:widowControl/>
        <w:shd w:val="clear"/>
        <w:kinsoku/>
        <w:wordWrap/>
        <w:overflowPunct/>
        <w:topLinePunct w:val="0"/>
        <w:autoSpaceDE/>
        <w:autoSpaceDN/>
        <w:bidi w:val="0"/>
        <w:adjustRightInd/>
        <w:snapToGrid/>
        <w:spacing w:line="360" w:lineRule="auto"/>
        <w:ind w:firstLine="720" w:firstLineChars="300"/>
        <w:jc w:val="left"/>
        <w:textAlignment w:val="auto"/>
        <w:rPr>
          <w:rFonts w:hint="default" w:ascii="Times New Roman" w:hAnsi="Times New Roman" w:eastAsia="宋体" w:cs="Times New Roman"/>
          <w:bCs w:val="0"/>
          <w:color w:val="auto"/>
          <w:spacing w:val="0"/>
          <w:kern w:val="0"/>
          <w:sz w:val="24"/>
          <w:highlight w:val="none"/>
        </w:rPr>
      </w:pPr>
      <w:r>
        <w:rPr>
          <w:rFonts w:hint="default" w:ascii="Times New Roman" w:hAnsi="Times New Roman" w:eastAsia="宋体" w:cs="Times New Roman"/>
          <w:bCs w:val="0"/>
          <w:color w:val="auto"/>
          <w:spacing w:val="0"/>
          <w:kern w:val="0"/>
          <w:sz w:val="24"/>
          <w:highlight w:val="none"/>
        </w:rPr>
        <w:t>则E</w:t>
      </w:r>
      <w:r>
        <w:rPr>
          <w:rFonts w:hint="default" w:ascii="Times New Roman" w:hAnsi="Times New Roman" w:eastAsia="宋体" w:cs="Times New Roman"/>
          <w:bCs w:val="0"/>
          <w:color w:val="auto"/>
          <w:spacing w:val="0"/>
          <w:kern w:val="0"/>
          <w:sz w:val="24"/>
          <w:highlight w:val="none"/>
          <w:vertAlign w:val="subscript"/>
        </w:rPr>
        <w:t>颗粒物</w:t>
      </w:r>
      <w:r>
        <w:rPr>
          <w:rFonts w:hint="default" w:ascii="Times New Roman" w:hAnsi="Times New Roman" w:eastAsia="宋体" w:cs="Times New Roman"/>
          <w:bCs w:val="0"/>
          <w:color w:val="auto"/>
          <w:spacing w:val="0"/>
          <w:kern w:val="0"/>
          <w:sz w:val="24"/>
          <w:highlight w:val="none"/>
        </w:rPr>
        <w:t>=</w:t>
      </w:r>
      <w:r>
        <w:rPr>
          <w:rFonts w:hint="default" w:ascii="Times New Roman" w:hAnsi="Times New Roman" w:eastAsia="宋体" w:cs="Times New Roman"/>
          <w:bCs w:val="0"/>
          <w:color w:val="auto"/>
          <w:spacing w:val="0"/>
          <w:kern w:val="0"/>
          <w:sz w:val="24"/>
          <w:highlight w:val="none"/>
          <w:lang w:val="en-US" w:eastAsia="zh-CN"/>
        </w:rPr>
        <w:t>50</w:t>
      </w:r>
      <w:r>
        <w:rPr>
          <w:rFonts w:hint="default" w:ascii="Times New Roman" w:hAnsi="Times New Roman" w:eastAsia="宋体" w:cs="Times New Roman"/>
          <w:bCs w:val="0"/>
          <w:color w:val="auto"/>
          <w:spacing w:val="0"/>
          <w:kern w:val="0"/>
          <w:sz w:val="24"/>
          <w:highlight w:val="none"/>
        </w:rPr>
        <w:t>mg/</w:t>
      </w:r>
      <w:r>
        <w:rPr>
          <w:rFonts w:hint="default" w:ascii="Times New Roman" w:hAnsi="Times New Roman" w:eastAsia="宋体" w:cs="Times New Roman"/>
          <w:bCs w:val="0"/>
          <w:color w:val="auto"/>
          <w:spacing w:val="0"/>
          <w:kern w:val="0"/>
          <w:sz w:val="24"/>
          <w:highlight w:val="none"/>
          <w:lang w:eastAsia="zh-CN"/>
        </w:rPr>
        <w:t>m</w:t>
      </w:r>
      <w:r>
        <w:rPr>
          <w:rFonts w:hint="default" w:ascii="Times New Roman" w:hAnsi="Times New Roman" w:eastAsia="宋体" w:cs="Times New Roman"/>
          <w:bCs w:val="0"/>
          <w:caps w:val="0"/>
          <w:smallCaps w:val="0"/>
          <w:strike w:val="0"/>
          <w:dstrike w:val="0"/>
          <w:vanish w:val="0"/>
          <w:color w:val="auto"/>
          <w:spacing w:val="0"/>
          <w:kern w:val="0"/>
          <w:sz w:val="24"/>
          <w:highlight w:val="none"/>
          <w:vertAlign w:val="superscript"/>
          <w:lang w:eastAsia="zh-CN"/>
        </w:rPr>
        <w:t>3</w:t>
      </w:r>
      <w:r>
        <w:rPr>
          <w:rFonts w:hint="default" w:ascii="Times New Roman" w:hAnsi="Times New Roman" w:eastAsia="宋体" w:cs="Times New Roman"/>
          <w:bCs w:val="0"/>
          <w:color w:val="auto"/>
          <w:spacing w:val="0"/>
          <w:kern w:val="0"/>
          <w:sz w:val="24"/>
          <w:highlight w:val="none"/>
        </w:rPr>
        <w:t>×</w:t>
      </w:r>
      <w:r>
        <w:rPr>
          <w:rFonts w:hint="eastAsia" w:ascii="Times New Roman" w:hAnsi="Times New Roman" w:cs="Times New Roman"/>
          <w:color w:val="auto"/>
          <w:spacing w:val="0"/>
          <w:sz w:val="24"/>
          <w:szCs w:val="24"/>
          <w:highlight w:val="none"/>
          <w:lang w:val="en-US" w:eastAsia="zh-CN"/>
        </w:rPr>
        <w:t>3020.16</w:t>
      </w:r>
      <w:r>
        <w:rPr>
          <w:rFonts w:hint="default" w:ascii="Times New Roman" w:hAnsi="Times New Roman" w:eastAsia="宋体" w:cs="Times New Roman"/>
          <w:color w:val="auto"/>
          <w:spacing w:val="0"/>
          <w:sz w:val="24"/>
          <w:szCs w:val="24"/>
          <w:highlight w:val="none"/>
          <w:lang w:val="en-US" w:eastAsia="zh-CN"/>
        </w:rPr>
        <w:t>t×7.71813N</w:t>
      </w:r>
      <w:r>
        <w:rPr>
          <w:rFonts w:hint="default" w:ascii="Times New Roman" w:hAnsi="Times New Roman" w:eastAsia="宋体" w:cs="Times New Roman"/>
          <w:color w:val="auto"/>
          <w:spacing w:val="-1"/>
          <w:sz w:val="24"/>
          <w:szCs w:val="24"/>
          <w:highlight w:val="none"/>
        </w:rPr>
        <w:t>m</w:t>
      </w:r>
      <w:r>
        <w:rPr>
          <w:rFonts w:hint="default" w:ascii="Times New Roman" w:hAnsi="Times New Roman" w:eastAsia="宋体" w:cs="Times New Roman"/>
          <w:color w:val="auto"/>
          <w:spacing w:val="-1"/>
          <w:position w:val="8"/>
          <w:sz w:val="16"/>
          <w:szCs w:val="16"/>
          <w:highlight w:val="none"/>
        </w:rPr>
        <w:t>3</w:t>
      </w:r>
      <w:r>
        <w:rPr>
          <w:rFonts w:hint="default" w:ascii="Times New Roman" w:hAnsi="Times New Roman" w:eastAsia="宋体" w:cs="Times New Roman"/>
          <w:color w:val="auto"/>
          <w:spacing w:val="-1"/>
          <w:sz w:val="24"/>
          <w:szCs w:val="24"/>
          <w:highlight w:val="none"/>
        </w:rPr>
        <w:t>/</w:t>
      </w:r>
      <w:r>
        <w:rPr>
          <w:rFonts w:hint="default" w:ascii="Times New Roman" w:hAnsi="Times New Roman" w:eastAsia="宋体" w:cs="Times New Roman"/>
          <w:color w:val="auto"/>
          <w:spacing w:val="-2"/>
          <w:sz w:val="24"/>
          <w:szCs w:val="24"/>
          <w:highlight w:val="none"/>
          <w:lang w:val="en-US" w:eastAsia="zh-CN"/>
        </w:rPr>
        <w:t>kg</w:t>
      </w:r>
      <w:r>
        <w:rPr>
          <w:rFonts w:hint="default" w:ascii="Times New Roman" w:hAnsi="Times New Roman" w:eastAsia="宋体" w:cs="Times New Roman"/>
          <w:bCs w:val="0"/>
          <w:color w:val="auto"/>
          <w:spacing w:val="0"/>
          <w:kern w:val="0"/>
          <w:sz w:val="24"/>
          <w:highlight w:val="none"/>
        </w:rPr>
        <w:t>×</w:t>
      </w:r>
      <w:r>
        <w:rPr>
          <w:rFonts w:hint="default" w:ascii="Times New Roman" w:hAnsi="Times New Roman" w:eastAsia="宋体" w:cs="Times New Roman"/>
          <w:bCs w:val="0"/>
          <w:color w:val="auto"/>
          <w:spacing w:val="0"/>
          <w:kern w:val="0"/>
          <w:sz w:val="24"/>
          <w:highlight w:val="none"/>
          <w:lang w:val="en-US" w:eastAsia="zh-CN"/>
        </w:rPr>
        <w:t>1×</w:t>
      </w:r>
      <w:r>
        <w:rPr>
          <w:rFonts w:hint="default" w:ascii="Times New Roman" w:hAnsi="Times New Roman" w:eastAsia="宋体" w:cs="Times New Roman"/>
          <w:bCs w:val="0"/>
          <w:color w:val="auto"/>
          <w:spacing w:val="0"/>
          <w:kern w:val="0"/>
          <w:sz w:val="24"/>
          <w:highlight w:val="none"/>
        </w:rPr>
        <w:t>10</w:t>
      </w:r>
      <w:r>
        <w:rPr>
          <w:rFonts w:hint="default" w:ascii="Times New Roman" w:hAnsi="Times New Roman" w:eastAsia="宋体" w:cs="Times New Roman"/>
          <w:bCs w:val="0"/>
          <w:color w:val="auto"/>
          <w:spacing w:val="0"/>
          <w:kern w:val="0"/>
          <w:sz w:val="24"/>
          <w:highlight w:val="none"/>
          <w:vertAlign w:val="superscript"/>
        </w:rPr>
        <w:t>-</w:t>
      </w:r>
      <w:r>
        <w:rPr>
          <w:rFonts w:hint="default" w:ascii="Times New Roman" w:hAnsi="Times New Roman" w:eastAsia="宋体" w:cs="Times New Roman"/>
          <w:bCs w:val="0"/>
          <w:color w:val="auto"/>
          <w:spacing w:val="0"/>
          <w:kern w:val="0"/>
          <w:sz w:val="24"/>
          <w:highlight w:val="none"/>
          <w:vertAlign w:val="superscript"/>
          <w:lang w:val="en-US" w:eastAsia="zh-CN"/>
        </w:rPr>
        <w:t>6</w:t>
      </w:r>
      <w:r>
        <w:rPr>
          <w:rFonts w:hint="default" w:ascii="Times New Roman" w:hAnsi="Times New Roman" w:eastAsia="宋体" w:cs="Times New Roman"/>
          <w:bCs w:val="0"/>
          <w:color w:val="auto"/>
          <w:spacing w:val="0"/>
          <w:kern w:val="0"/>
          <w:sz w:val="24"/>
          <w:highlight w:val="none"/>
        </w:rPr>
        <w:t>=</w:t>
      </w:r>
      <w:r>
        <w:rPr>
          <w:rFonts w:hint="default" w:ascii="Times New Roman" w:hAnsi="Times New Roman" w:cs="Times New Roman"/>
          <w:bCs w:val="0"/>
          <w:color w:val="auto"/>
          <w:spacing w:val="0"/>
          <w:kern w:val="0"/>
          <w:sz w:val="24"/>
          <w:highlight w:val="none"/>
          <w:lang w:val="en-US" w:eastAsia="zh-CN"/>
        </w:rPr>
        <w:t>1.</w:t>
      </w:r>
      <w:r>
        <w:rPr>
          <w:rFonts w:hint="eastAsia" w:ascii="Times New Roman" w:hAnsi="Times New Roman" w:cs="Times New Roman"/>
          <w:bCs w:val="0"/>
          <w:color w:val="auto"/>
          <w:spacing w:val="0"/>
          <w:kern w:val="0"/>
          <w:sz w:val="24"/>
          <w:highlight w:val="none"/>
          <w:lang w:val="en-US" w:eastAsia="zh-CN"/>
        </w:rPr>
        <w:t>165</w:t>
      </w:r>
      <w:r>
        <w:rPr>
          <w:rFonts w:hint="default" w:ascii="Times New Roman" w:hAnsi="Times New Roman" w:eastAsia="宋体" w:cs="Times New Roman"/>
          <w:bCs w:val="0"/>
          <w:color w:val="auto"/>
          <w:spacing w:val="0"/>
          <w:kern w:val="0"/>
          <w:sz w:val="24"/>
          <w:highlight w:val="none"/>
        </w:rPr>
        <w:t>t/a；</w:t>
      </w:r>
    </w:p>
    <w:p w14:paraId="19D4AE4B">
      <w:pPr>
        <w:keepNext w:val="0"/>
        <w:keepLines w:val="0"/>
        <w:pageBreakBefore w:val="0"/>
        <w:widowControl/>
        <w:shd w:val="clear"/>
        <w:kinsoku/>
        <w:wordWrap/>
        <w:overflowPunct/>
        <w:topLinePunct w:val="0"/>
        <w:autoSpaceDE/>
        <w:autoSpaceDN/>
        <w:bidi w:val="0"/>
        <w:adjustRightInd/>
        <w:snapToGrid/>
        <w:spacing w:line="360" w:lineRule="auto"/>
        <w:ind w:firstLine="720" w:firstLineChars="300"/>
        <w:jc w:val="left"/>
        <w:textAlignment w:val="auto"/>
        <w:rPr>
          <w:rFonts w:hint="default" w:ascii="Times New Roman" w:hAnsi="Times New Roman" w:eastAsia="宋体" w:cs="Times New Roman"/>
          <w:bCs w:val="0"/>
          <w:color w:val="auto"/>
          <w:spacing w:val="0"/>
          <w:kern w:val="0"/>
          <w:sz w:val="24"/>
          <w:highlight w:val="none"/>
        </w:rPr>
      </w:pPr>
      <w:r>
        <w:rPr>
          <w:rFonts w:hint="default" w:ascii="Times New Roman" w:hAnsi="Times New Roman" w:eastAsia="宋体" w:cs="Times New Roman"/>
          <w:bCs w:val="0"/>
          <w:color w:val="auto"/>
          <w:spacing w:val="0"/>
          <w:kern w:val="0"/>
          <w:sz w:val="24"/>
          <w:highlight w:val="none"/>
        </w:rPr>
        <w:t>E</w:t>
      </w:r>
      <w:r>
        <w:rPr>
          <w:rFonts w:hint="default" w:ascii="Times New Roman" w:hAnsi="Times New Roman" w:eastAsia="宋体" w:cs="Times New Roman"/>
          <w:bCs w:val="0"/>
          <w:color w:val="auto"/>
          <w:spacing w:val="0"/>
          <w:kern w:val="0"/>
          <w:sz w:val="24"/>
          <w:highlight w:val="none"/>
          <w:vertAlign w:val="subscript"/>
        </w:rPr>
        <w:t>二氧化硫</w:t>
      </w:r>
      <w:r>
        <w:rPr>
          <w:rFonts w:hint="default" w:ascii="Times New Roman" w:hAnsi="Times New Roman" w:eastAsia="宋体" w:cs="Times New Roman"/>
          <w:bCs w:val="0"/>
          <w:color w:val="auto"/>
          <w:spacing w:val="0"/>
          <w:kern w:val="0"/>
          <w:sz w:val="24"/>
          <w:highlight w:val="none"/>
        </w:rPr>
        <w:t>=</w:t>
      </w:r>
      <w:r>
        <w:rPr>
          <w:rFonts w:hint="default" w:ascii="Times New Roman" w:hAnsi="Times New Roman" w:eastAsia="宋体" w:cs="Times New Roman"/>
          <w:bCs w:val="0"/>
          <w:color w:val="auto"/>
          <w:spacing w:val="0"/>
          <w:kern w:val="0"/>
          <w:sz w:val="24"/>
          <w:highlight w:val="none"/>
          <w:lang w:val="en-US" w:eastAsia="zh-CN"/>
        </w:rPr>
        <w:t>300</w:t>
      </w:r>
      <w:r>
        <w:rPr>
          <w:rFonts w:hint="default" w:ascii="Times New Roman" w:hAnsi="Times New Roman" w:eastAsia="宋体" w:cs="Times New Roman"/>
          <w:bCs w:val="0"/>
          <w:color w:val="auto"/>
          <w:spacing w:val="0"/>
          <w:kern w:val="0"/>
          <w:sz w:val="24"/>
          <w:highlight w:val="none"/>
        </w:rPr>
        <w:t>mg/</w:t>
      </w:r>
      <w:r>
        <w:rPr>
          <w:rFonts w:hint="default" w:ascii="Times New Roman" w:hAnsi="Times New Roman" w:eastAsia="宋体" w:cs="Times New Roman"/>
          <w:bCs w:val="0"/>
          <w:color w:val="auto"/>
          <w:spacing w:val="0"/>
          <w:kern w:val="0"/>
          <w:sz w:val="24"/>
          <w:highlight w:val="none"/>
          <w:lang w:eastAsia="zh-CN"/>
        </w:rPr>
        <w:t>m</w:t>
      </w:r>
      <w:r>
        <w:rPr>
          <w:rFonts w:hint="default" w:ascii="Times New Roman" w:hAnsi="Times New Roman" w:eastAsia="宋体" w:cs="Times New Roman"/>
          <w:bCs w:val="0"/>
          <w:caps w:val="0"/>
          <w:smallCaps w:val="0"/>
          <w:strike w:val="0"/>
          <w:dstrike w:val="0"/>
          <w:vanish w:val="0"/>
          <w:color w:val="auto"/>
          <w:spacing w:val="0"/>
          <w:kern w:val="0"/>
          <w:sz w:val="24"/>
          <w:highlight w:val="none"/>
          <w:vertAlign w:val="superscript"/>
          <w:lang w:eastAsia="zh-CN"/>
        </w:rPr>
        <w:t>3</w:t>
      </w:r>
      <w:r>
        <w:rPr>
          <w:rFonts w:hint="default" w:ascii="Times New Roman" w:hAnsi="Times New Roman" w:eastAsia="宋体" w:cs="Times New Roman"/>
          <w:bCs w:val="0"/>
          <w:color w:val="auto"/>
          <w:spacing w:val="0"/>
          <w:kern w:val="0"/>
          <w:sz w:val="24"/>
          <w:highlight w:val="none"/>
        </w:rPr>
        <w:t>×</w:t>
      </w:r>
      <w:r>
        <w:rPr>
          <w:rFonts w:hint="eastAsia" w:ascii="Times New Roman" w:hAnsi="Times New Roman" w:cs="Times New Roman"/>
          <w:bCs w:val="0"/>
          <w:color w:val="auto"/>
          <w:spacing w:val="0"/>
          <w:kern w:val="0"/>
          <w:sz w:val="24"/>
          <w:highlight w:val="none"/>
          <w:lang w:val="en-US" w:eastAsia="zh-CN"/>
        </w:rPr>
        <w:t>3020.16</w:t>
      </w:r>
      <w:r>
        <w:rPr>
          <w:rFonts w:hint="default" w:ascii="Times New Roman" w:hAnsi="Times New Roman" w:eastAsia="宋体" w:cs="Times New Roman"/>
          <w:color w:val="auto"/>
          <w:spacing w:val="0"/>
          <w:sz w:val="24"/>
          <w:szCs w:val="24"/>
          <w:highlight w:val="none"/>
          <w:lang w:val="en-US" w:eastAsia="zh-CN"/>
        </w:rPr>
        <w:t>t×7.71813N</w:t>
      </w:r>
      <w:r>
        <w:rPr>
          <w:rFonts w:hint="default" w:ascii="Times New Roman" w:hAnsi="Times New Roman" w:eastAsia="宋体" w:cs="Times New Roman"/>
          <w:color w:val="auto"/>
          <w:spacing w:val="-1"/>
          <w:sz w:val="24"/>
          <w:szCs w:val="24"/>
          <w:highlight w:val="none"/>
        </w:rPr>
        <w:t>m</w:t>
      </w:r>
      <w:r>
        <w:rPr>
          <w:rFonts w:hint="default" w:ascii="Times New Roman" w:hAnsi="Times New Roman" w:eastAsia="宋体" w:cs="Times New Roman"/>
          <w:color w:val="auto"/>
          <w:spacing w:val="-1"/>
          <w:position w:val="8"/>
          <w:sz w:val="16"/>
          <w:szCs w:val="16"/>
          <w:highlight w:val="none"/>
        </w:rPr>
        <w:t>3</w:t>
      </w:r>
      <w:r>
        <w:rPr>
          <w:rFonts w:hint="default" w:ascii="Times New Roman" w:hAnsi="Times New Roman" w:eastAsia="宋体" w:cs="Times New Roman"/>
          <w:color w:val="auto"/>
          <w:spacing w:val="-1"/>
          <w:sz w:val="24"/>
          <w:szCs w:val="24"/>
          <w:highlight w:val="none"/>
        </w:rPr>
        <w:t>/</w:t>
      </w:r>
      <w:r>
        <w:rPr>
          <w:rFonts w:hint="default" w:ascii="Times New Roman" w:hAnsi="Times New Roman" w:eastAsia="宋体" w:cs="Times New Roman"/>
          <w:color w:val="auto"/>
          <w:spacing w:val="-2"/>
          <w:sz w:val="24"/>
          <w:szCs w:val="24"/>
          <w:highlight w:val="none"/>
          <w:lang w:val="en-US" w:eastAsia="zh-CN"/>
        </w:rPr>
        <w:t>kg</w:t>
      </w:r>
      <w:r>
        <w:rPr>
          <w:rFonts w:hint="default" w:ascii="Times New Roman" w:hAnsi="Times New Roman" w:eastAsia="宋体" w:cs="Times New Roman"/>
          <w:bCs w:val="0"/>
          <w:color w:val="auto"/>
          <w:spacing w:val="0"/>
          <w:kern w:val="0"/>
          <w:sz w:val="24"/>
          <w:highlight w:val="none"/>
        </w:rPr>
        <w:t>×</w:t>
      </w:r>
      <w:r>
        <w:rPr>
          <w:rFonts w:hint="default" w:ascii="Times New Roman" w:hAnsi="Times New Roman" w:eastAsia="宋体" w:cs="Times New Roman"/>
          <w:bCs w:val="0"/>
          <w:color w:val="auto"/>
          <w:spacing w:val="0"/>
          <w:kern w:val="0"/>
          <w:sz w:val="24"/>
          <w:highlight w:val="none"/>
          <w:lang w:val="en-US" w:eastAsia="zh-CN"/>
        </w:rPr>
        <w:t>0.8×</w:t>
      </w:r>
      <w:r>
        <w:rPr>
          <w:rFonts w:hint="default" w:ascii="Times New Roman" w:hAnsi="Times New Roman" w:eastAsia="宋体" w:cs="Times New Roman"/>
          <w:bCs w:val="0"/>
          <w:color w:val="auto"/>
          <w:spacing w:val="0"/>
          <w:kern w:val="0"/>
          <w:sz w:val="24"/>
          <w:highlight w:val="none"/>
        </w:rPr>
        <w:t>10</w:t>
      </w:r>
      <w:r>
        <w:rPr>
          <w:rFonts w:hint="default" w:ascii="Times New Roman" w:hAnsi="Times New Roman" w:eastAsia="宋体" w:cs="Times New Roman"/>
          <w:bCs w:val="0"/>
          <w:color w:val="auto"/>
          <w:spacing w:val="0"/>
          <w:kern w:val="0"/>
          <w:sz w:val="24"/>
          <w:highlight w:val="none"/>
          <w:vertAlign w:val="superscript"/>
        </w:rPr>
        <w:t>-</w:t>
      </w:r>
      <w:r>
        <w:rPr>
          <w:rFonts w:hint="default" w:ascii="Times New Roman" w:hAnsi="Times New Roman" w:eastAsia="宋体" w:cs="Times New Roman"/>
          <w:bCs w:val="0"/>
          <w:color w:val="auto"/>
          <w:spacing w:val="0"/>
          <w:kern w:val="0"/>
          <w:sz w:val="24"/>
          <w:highlight w:val="none"/>
          <w:vertAlign w:val="superscript"/>
          <w:lang w:val="en-US" w:eastAsia="zh-CN"/>
        </w:rPr>
        <w:t>6</w:t>
      </w:r>
      <w:r>
        <w:rPr>
          <w:rFonts w:hint="default" w:ascii="Times New Roman" w:hAnsi="Times New Roman" w:eastAsia="宋体" w:cs="Times New Roman"/>
          <w:bCs w:val="0"/>
          <w:color w:val="auto"/>
          <w:spacing w:val="0"/>
          <w:kern w:val="0"/>
          <w:sz w:val="24"/>
          <w:highlight w:val="none"/>
        </w:rPr>
        <w:t>=</w:t>
      </w:r>
      <w:r>
        <w:rPr>
          <w:rFonts w:hint="eastAsia" w:ascii="Times New Roman" w:hAnsi="Times New Roman" w:cs="Times New Roman"/>
          <w:bCs w:val="0"/>
          <w:color w:val="auto"/>
          <w:spacing w:val="0"/>
          <w:kern w:val="0"/>
          <w:sz w:val="24"/>
          <w:highlight w:val="none"/>
          <w:lang w:val="en-US" w:eastAsia="zh-CN"/>
        </w:rPr>
        <w:t>5.594</w:t>
      </w:r>
      <w:r>
        <w:rPr>
          <w:rFonts w:hint="default" w:ascii="Times New Roman" w:hAnsi="Times New Roman" w:eastAsia="宋体" w:cs="Times New Roman"/>
          <w:bCs w:val="0"/>
          <w:color w:val="auto"/>
          <w:spacing w:val="0"/>
          <w:kern w:val="0"/>
          <w:sz w:val="24"/>
          <w:highlight w:val="none"/>
        </w:rPr>
        <w:t>t/a；</w:t>
      </w:r>
    </w:p>
    <w:p w14:paraId="1BC902A6">
      <w:pPr>
        <w:keepNext w:val="0"/>
        <w:keepLines w:val="0"/>
        <w:pageBreakBefore w:val="0"/>
        <w:widowControl/>
        <w:kinsoku/>
        <w:wordWrap/>
        <w:overflowPunct/>
        <w:topLinePunct w:val="0"/>
        <w:autoSpaceDE/>
        <w:autoSpaceDN/>
        <w:bidi w:val="0"/>
        <w:adjustRightInd/>
        <w:snapToGrid/>
        <w:spacing w:line="360" w:lineRule="auto"/>
        <w:ind w:firstLine="720" w:firstLineChars="300"/>
        <w:jc w:val="left"/>
        <w:textAlignment w:val="auto"/>
        <w:rPr>
          <w:rFonts w:hint="default" w:ascii="Times New Roman" w:hAnsi="Times New Roman" w:eastAsia="宋体" w:cs="Times New Roman"/>
          <w:bCs w:val="0"/>
          <w:color w:val="auto"/>
          <w:spacing w:val="0"/>
          <w:kern w:val="0"/>
          <w:sz w:val="24"/>
          <w:highlight w:val="none"/>
          <w:lang w:eastAsia="zh-CN"/>
        </w:rPr>
      </w:pPr>
      <w:r>
        <w:rPr>
          <w:rFonts w:hint="default" w:ascii="Times New Roman" w:hAnsi="Times New Roman" w:eastAsia="宋体" w:cs="Times New Roman"/>
          <w:bCs w:val="0"/>
          <w:color w:val="auto"/>
          <w:spacing w:val="0"/>
          <w:kern w:val="0"/>
          <w:sz w:val="24"/>
          <w:highlight w:val="none"/>
        </w:rPr>
        <w:t>E</w:t>
      </w:r>
      <w:r>
        <w:rPr>
          <w:rFonts w:hint="default" w:ascii="Times New Roman" w:hAnsi="Times New Roman" w:eastAsia="宋体" w:cs="Times New Roman"/>
          <w:bCs w:val="0"/>
          <w:color w:val="auto"/>
          <w:spacing w:val="0"/>
          <w:kern w:val="0"/>
          <w:sz w:val="24"/>
          <w:highlight w:val="none"/>
          <w:vertAlign w:val="subscript"/>
        </w:rPr>
        <w:t>氮氧化物</w:t>
      </w:r>
      <w:r>
        <w:rPr>
          <w:rFonts w:hint="default" w:ascii="Times New Roman" w:hAnsi="Times New Roman" w:eastAsia="宋体" w:cs="Times New Roman"/>
          <w:bCs w:val="0"/>
          <w:color w:val="auto"/>
          <w:spacing w:val="0"/>
          <w:kern w:val="0"/>
          <w:sz w:val="24"/>
          <w:highlight w:val="none"/>
        </w:rPr>
        <w:t>=</w:t>
      </w:r>
      <w:r>
        <w:rPr>
          <w:rFonts w:hint="default" w:ascii="Times New Roman" w:hAnsi="Times New Roman" w:eastAsia="宋体" w:cs="Times New Roman"/>
          <w:bCs w:val="0"/>
          <w:color w:val="auto"/>
          <w:spacing w:val="0"/>
          <w:kern w:val="0"/>
          <w:sz w:val="24"/>
          <w:highlight w:val="none"/>
          <w:lang w:val="en-US" w:eastAsia="zh-CN"/>
        </w:rPr>
        <w:t>300</w:t>
      </w:r>
      <w:r>
        <w:rPr>
          <w:rFonts w:hint="default" w:ascii="Times New Roman" w:hAnsi="Times New Roman" w:eastAsia="宋体" w:cs="Times New Roman"/>
          <w:bCs w:val="0"/>
          <w:color w:val="auto"/>
          <w:spacing w:val="0"/>
          <w:kern w:val="0"/>
          <w:sz w:val="24"/>
          <w:highlight w:val="none"/>
        </w:rPr>
        <w:t>mg/</w:t>
      </w:r>
      <w:r>
        <w:rPr>
          <w:rFonts w:hint="default" w:ascii="Times New Roman" w:hAnsi="Times New Roman" w:eastAsia="宋体" w:cs="Times New Roman"/>
          <w:bCs w:val="0"/>
          <w:color w:val="auto"/>
          <w:spacing w:val="0"/>
          <w:kern w:val="0"/>
          <w:sz w:val="24"/>
          <w:highlight w:val="none"/>
          <w:lang w:eastAsia="zh-CN"/>
        </w:rPr>
        <w:t>m</w:t>
      </w:r>
      <w:r>
        <w:rPr>
          <w:rFonts w:hint="default" w:ascii="Times New Roman" w:hAnsi="Times New Roman" w:eastAsia="宋体" w:cs="Times New Roman"/>
          <w:bCs w:val="0"/>
          <w:caps w:val="0"/>
          <w:smallCaps w:val="0"/>
          <w:strike w:val="0"/>
          <w:dstrike w:val="0"/>
          <w:vanish w:val="0"/>
          <w:color w:val="auto"/>
          <w:spacing w:val="0"/>
          <w:kern w:val="0"/>
          <w:sz w:val="24"/>
          <w:highlight w:val="none"/>
          <w:vertAlign w:val="superscript"/>
          <w:lang w:eastAsia="zh-CN"/>
        </w:rPr>
        <w:t>3</w:t>
      </w:r>
      <w:r>
        <w:rPr>
          <w:rFonts w:hint="default" w:ascii="Times New Roman" w:hAnsi="Times New Roman" w:eastAsia="宋体" w:cs="Times New Roman"/>
          <w:bCs w:val="0"/>
          <w:color w:val="auto"/>
          <w:spacing w:val="0"/>
          <w:kern w:val="0"/>
          <w:sz w:val="24"/>
          <w:highlight w:val="none"/>
        </w:rPr>
        <w:t>×</w:t>
      </w:r>
      <w:r>
        <w:rPr>
          <w:rFonts w:hint="eastAsia" w:ascii="Times New Roman" w:hAnsi="Times New Roman" w:cs="Times New Roman"/>
          <w:color w:val="auto"/>
          <w:spacing w:val="0"/>
          <w:sz w:val="24"/>
          <w:szCs w:val="24"/>
          <w:highlight w:val="none"/>
          <w:lang w:val="en-US" w:eastAsia="zh-CN"/>
        </w:rPr>
        <w:t>3020.16</w:t>
      </w:r>
      <w:r>
        <w:rPr>
          <w:rFonts w:hint="default" w:ascii="Times New Roman" w:hAnsi="Times New Roman" w:eastAsia="宋体" w:cs="Times New Roman"/>
          <w:color w:val="auto"/>
          <w:spacing w:val="0"/>
          <w:sz w:val="24"/>
          <w:szCs w:val="24"/>
          <w:highlight w:val="none"/>
          <w:lang w:val="en-US" w:eastAsia="zh-CN"/>
        </w:rPr>
        <w:t>t×7.71813N</w:t>
      </w:r>
      <w:r>
        <w:rPr>
          <w:rFonts w:hint="default" w:ascii="Times New Roman" w:hAnsi="Times New Roman" w:eastAsia="宋体" w:cs="Times New Roman"/>
          <w:color w:val="auto"/>
          <w:spacing w:val="-1"/>
          <w:sz w:val="24"/>
          <w:szCs w:val="24"/>
          <w:highlight w:val="none"/>
        </w:rPr>
        <w:t>m</w:t>
      </w:r>
      <w:r>
        <w:rPr>
          <w:rFonts w:hint="default" w:ascii="Times New Roman" w:hAnsi="Times New Roman" w:eastAsia="宋体" w:cs="Times New Roman"/>
          <w:color w:val="auto"/>
          <w:spacing w:val="-1"/>
          <w:position w:val="8"/>
          <w:sz w:val="16"/>
          <w:szCs w:val="16"/>
          <w:highlight w:val="none"/>
        </w:rPr>
        <w:t>3</w:t>
      </w:r>
      <w:r>
        <w:rPr>
          <w:rFonts w:hint="default" w:ascii="Times New Roman" w:hAnsi="Times New Roman" w:eastAsia="宋体" w:cs="Times New Roman"/>
          <w:color w:val="auto"/>
          <w:spacing w:val="-1"/>
          <w:sz w:val="24"/>
          <w:szCs w:val="24"/>
          <w:highlight w:val="none"/>
        </w:rPr>
        <w:t>/</w:t>
      </w:r>
      <w:r>
        <w:rPr>
          <w:rFonts w:hint="default" w:ascii="Times New Roman" w:hAnsi="Times New Roman" w:eastAsia="宋体" w:cs="Times New Roman"/>
          <w:color w:val="auto"/>
          <w:spacing w:val="-2"/>
          <w:sz w:val="24"/>
          <w:szCs w:val="24"/>
          <w:highlight w:val="none"/>
          <w:lang w:val="en-US" w:eastAsia="zh-CN"/>
        </w:rPr>
        <w:t>kg</w:t>
      </w:r>
      <w:r>
        <w:rPr>
          <w:rFonts w:hint="default" w:ascii="Times New Roman" w:hAnsi="Times New Roman" w:eastAsia="宋体" w:cs="Times New Roman"/>
          <w:bCs w:val="0"/>
          <w:color w:val="auto"/>
          <w:spacing w:val="0"/>
          <w:kern w:val="0"/>
          <w:sz w:val="24"/>
          <w:highlight w:val="none"/>
        </w:rPr>
        <w:t>×</w:t>
      </w:r>
      <w:r>
        <w:rPr>
          <w:rFonts w:hint="default" w:ascii="Times New Roman" w:hAnsi="Times New Roman" w:eastAsia="宋体" w:cs="Times New Roman"/>
          <w:bCs w:val="0"/>
          <w:color w:val="auto"/>
          <w:spacing w:val="0"/>
          <w:kern w:val="0"/>
          <w:sz w:val="24"/>
          <w:highlight w:val="none"/>
          <w:lang w:val="en-US" w:eastAsia="zh-CN"/>
        </w:rPr>
        <w:t>1</w:t>
      </w:r>
      <w:r>
        <w:rPr>
          <w:rFonts w:hint="default" w:ascii="Times New Roman" w:hAnsi="Times New Roman" w:eastAsia="宋体" w:cs="Times New Roman"/>
          <w:bCs w:val="0"/>
          <w:color w:val="auto"/>
          <w:spacing w:val="0"/>
          <w:kern w:val="0"/>
          <w:sz w:val="24"/>
          <w:highlight w:val="none"/>
        </w:rPr>
        <w:t>×10</w:t>
      </w:r>
      <w:r>
        <w:rPr>
          <w:rFonts w:hint="default" w:ascii="Times New Roman" w:hAnsi="Times New Roman" w:eastAsia="宋体" w:cs="Times New Roman"/>
          <w:bCs w:val="0"/>
          <w:color w:val="auto"/>
          <w:spacing w:val="0"/>
          <w:kern w:val="0"/>
          <w:sz w:val="24"/>
          <w:highlight w:val="none"/>
          <w:vertAlign w:val="superscript"/>
        </w:rPr>
        <w:t>-</w:t>
      </w:r>
      <w:r>
        <w:rPr>
          <w:rFonts w:hint="default" w:ascii="Times New Roman" w:hAnsi="Times New Roman" w:eastAsia="宋体" w:cs="Times New Roman"/>
          <w:bCs w:val="0"/>
          <w:color w:val="auto"/>
          <w:spacing w:val="0"/>
          <w:kern w:val="0"/>
          <w:sz w:val="24"/>
          <w:highlight w:val="none"/>
          <w:vertAlign w:val="superscript"/>
          <w:lang w:val="en-US" w:eastAsia="zh-CN"/>
        </w:rPr>
        <w:t>6</w:t>
      </w:r>
      <w:r>
        <w:rPr>
          <w:rFonts w:hint="default" w:ascii="Times New Roman" w:hAnsi="Times New Roman" w:eastAsia="宋体" w:cs="Times New Roman"/>
          <w:bCs w:val="0"/>
          <w:color w:val="auto"/>
          <w:spacing w:val="0"/>
          <w:kern w:val="0"/>
          <w:sz w:val="24"/>
          <w:highlight w:val="none"/>
        </w:rPr>
        <w:t>=</w:t>
      </w:r>
      <w:r>
        <w:rPr>
          <w:rFonts w:hint="eastAsia" w:ascii="Times New Roman" w:hAnsi="Times New Roman" w:cs="Times New Roman"/>
          <w:bCs w:val="0"/>
          <w:color w:val="auto"/>
          <w:spacing w:val="0"/>
          <w:kern w:val="0"/>
          <w:sz w:val="24"/>
          <w:highlight w:val="none"/>
          <w:lang w:val="en-US" w:eastAsia="zh-CN"/>
        </w:rPr>
        <w:t>6.993</w:t>
      </w:r>
      <w:r>
        <w:rPr>
          <w:rFonts w:hint="default" w:ascii="Times New Roman" w:hAnsi="Times New Roman" w:cs="Times New Roman"/>
          <w:bCs w:val="0"/>
          <w:color w:val="auto"/>
          <w:spacing w:val="0"/>
          <w:kern w:val="0"/>
          <w:sz w:val="24"/>
          <w:highlight w:val="none"/>
          <w:lang w:val="en-US" w:eastAsia="zh-CN"/>
        </w:rPr>
        <w:t>t</w:t>
      </w:r>
      <w:r>
        <w:rPr>
          <w:rFonts w:hint="default" w:ascii="Times New Roman" w:hAnsi="Times New Roman" w:eastAsia="宋体" w:cs="Times New Roman"/>
          <w:bCs w:val="0"/>
          <w:color w:val="auto"/>
          <w:spacing w:val="0"/>
          <w:kern w:val="0"/>
          <w:sz w:val="24"/>
          <w:highlight w:val="none"/>
        </w:rPr>
        <w:t>/a</w:t>
      </w:r>
      <w:r>
        <w:rPr>
          <w:rFonts w:hint="default" w:ascii="Times New Roman" w:hAnsi="Times New Roman" w:eastAsia="宋体" w:cs="Times New Roman"/>
          <w:bCs w:val="0"/>
          <w:color w:val="auto"/>
          <w:spacing w:val="0"/>
          <w:kern w:val="0"/>
          <w:sz w:val="24"/>
          <w:highlight w:val="none"/>
          <w:lang w:eastAsia="zh-CN"/>
        </w:rPr>
        <w:t>。</w:t>
      </w:r>
    </w:p>
    <w:p w14:paraId="2060B01C">
      <w:pPr>
        <w:rPr>
          <w:rFonts w:hint="default" w:ascii="Times New Roman" w:hAnsi="Times New Roman" w:cs="Times New Roman"/>
          <w:b/>
          <w:bCs w:val="0"/>
          <w:color w:val="auto"/>
          <w:spacing w:val="0"/>
          <w:kern w:val="2"/>
          <w:sz w:val="24"/>
          <w:szCs w:val="24"/>
          <w:highlight w:val="none"/>
          <w:vertAlign w:val="baseline"/>
          <w:lang w:val="en-US" w:eastAsia="zh-CN" w:bidi="ar-SA"/>
        </w:rPr>
      </w:pPr>
    </w:p>
    <w:p w14:paraId="126289DD">
      <w:pPr>
        <w:rPr>
          <w:rFonts w:hint="default" w:ascii="Times New Roman" w:hAnsi="Times New Roman" w:cs="Times New Roman"/>
          <w:b/>
          <w:bCs w:val="0"/>
          <w:color w:val="auto"/>
          <w:spacing w:val="0"/>
          <w:kern w:val="2"/>
          <w:sz w:val="24"/>
          <w:szCs w:val="24"/>
          <w:highlight w:val="none"/>
          <w:vertAlign w:val="baseline"/>
          <w:lang w:val="en-US" w:eastAsia="zh-CN" w:bidi="ar-SA"/>
        </w:rPr>
      </w:pPr>
      <w:r>
        <w:rPr>
          <w:rFonts w:hint="default" w:ascii="Times New Roman" w:hAnsi="Times New Roman" w:cs="Times New Roman"/>
          <w:b/>
          <w:bCs w:val="0"/>
          <w:color w:val="auto"/>
          <w:spacing w:val="0"/>
          <w:kern w:val="2"/>
          <w:sz w:val="24"/>
          <w:szCs w:val="24"/>
          <w:highlight w:val="none"/>
          <w:vertAlign w:val="baseline"/>
          <w:lang w:val="en-US" w:eastAsia="zh-CN" w:bidi="ar-SA"/>
        </w:rPr>
        <w:t>核定排放总量：</w:t>
      </w:r>
    </w:p>
    <w:p w14:paraId="13D1F1D7">
      <w:pPr>
        <w:pStyle w:val="46"/>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附表1 核定排放总量   单位</w:t>
      </w:r>
      <w:r>
        <w:rPr>
          <w:rFonts w:hint="default" w:ascii="Times New Roman" w:hAnsi="Times New Roman" w:eastAsia="宋体" w:cs="Times New Roman"/>
          <w:b/>
          <w:bCs/>
          <w:color w:val="auto"/>
          <w:highlight w:val="none"/>
          <w:lang w:val="en-US" w:eastAsia="zh-CN"/>
        </w:rPr>
        <w:t>t/a</w:t>
      </w:r>
    </w:p>
    <w:tbl>
      <w:tblPr>
        <w:tblStyle w:val="36"/>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9"/>
        <w:gridCol w:w="3113"/>
        <w:gridCol w:w="4018"/>
      </w:tblGrid>
      <w:tr w14:paraId="598676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815" w:type="pct"/>
            <w:tcBorders>
              <w:tl2br w:val="nil"/>
              <w:tr2bl w:val="nil"/>
            </w:tcBorders>
            <w:vAlign w:val="center"/>
          </w:tcPr>
          <w:p w14:paraId="3373C7F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类别</w:t>
            </w:r>
          </w:p>
        </w:tc>
        <w:tc>
          <w:tcPr>
            <w:tcW w:w="1826" w:type="pct"/>
            <w:tcBorders>
              <w:tl2br w:val="nil"/>
              <w:tr2bl w:val="nil"/>
            </w:tcBorders>
            <w:vAlign w:val="center"/>
          </w:tcPr>
          <w:p w14:paraId="47DBCA8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总量控制因子</w:t>
            </w:r>
          </w:p>
        </w:tc>
        <w:tc>
          <w:tcPr>
            <w:tcW w:w="2357" w:type="pct"/>
            <w:tcBorders>
              <w:tl2br w:val="nil"/>
              <w:tr2bl w:val="nil"/>
            </w:tcBorders>
            <w:vAlign w:val="center"/>
          </w:tcPr>
          <w:p w14:paraId="4B6A29A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本项目核定排放量</w:t>
            </w:r>
          </w:p>
        </w:tc>
      </w:tr>
      <w:tr w14:paraId="0E6A9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815" w:type="pct"/>
            <w:vMerge w:val="restart"/>
            <w:tcBorders>
              <w:tl2br w:val="nil"/>
              <w:tr2bl w:val="nil"/>
            </w:tcBorders>
            <w:vAlign w:val="center"/>
          </w:tcPr>
          <w:p w14:paraId="65C0C0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废气</w:t>
            </w:r>
          </w:p>
        </w:tc>
        <w:tc>
          <w:tcPr>
            <w:tcW w:w="1826" w:type="pct"/>
            <w:tcBorders>
              <w:tl2br w:val="nil"/>
              <w:tr2bl w:val="nil"/>
            </w:tcBorders>
            <w:vAlign w:val="center"/>
          </w:tcPr>
          <w:p w14:paraId="483F6B2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颗粒物</w:t>
            </w:r>
          </w:p>
        </w:tc>
        <w:tc>
          <w:tcPr>
            <w:tcW w:w="2357" w:type="pct"/>
            <w:tcBorders>
              <w:tl2br w:val="nil"/>
              <w:tr2bl w:val="nil"/>
            </w:tcBorders>
            <w:vAlign w:val="center"/>
          </w:tcPr>
          <w:p w14:paraId="592767A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1.165</w:t>
            </w:r>
          </w:p>
        </w:tc>
      </w:tr>
      <w:tr w14:paraId="6D60E5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5" w:type="pct"/>
            <w:vMerge w:val="continue"/>
            <w:tcBorders>
              <w:tl2br w:val="nil"/>
              <w:tr2bl w:val="nil"/>
            </w:tcBorders>
            <w:vAlign w:val="center"/>
          </w:tcPr>
          <w:p w14:paraId="364FB0B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p>
        </w:tc>
        <w:tc>
          <w:tcPr>
            <w:tcW w:w="1826" w:type="pct"/>
            <w:tcBorders>
              <w:tl2br w:val="nil"/>
              <w:tr2bl w:val="nil"/>
            </w:tcBorders>
            <w:vAlign w:val="center"/>
          </w:tcPr>
          <w:p w14:paraId="2459927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二氧化硫</w:t>
            </w:r>
          </w:p>
        </w:tc>
        <w:tc>
          <w:tcPr>
            <w:tcW w:w="2357" w:type="pct"/>
            <w:tcBorders>
              <w:tl2br w:val="nil"/>
              <w:tr2bl w:val="nil"/>
            </w:tcBorders>
            <w:vAlign w:val="center"/>
          </w:tcPr>
          <w:p w14:paraId="57DE697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5.594</w:t>
            </w:r>
          </w:p>
        </w:tc>
      </w:tr>
      <w:tr w14:paraId="397041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5" w:type="pct"/>
            <w:vMerge w:val="continue"/>
            <w:tcBorders>
              <w:tl2br w:val="nil"/>
              <w:tr2bl w:val="nil"/>
            </w:tcBorders>
            <w:vAlign w:val="center"/>
          </w:tcPr>
          <w:p w14:paraId="5BE56E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p>
        </w:tc>
        <w:tc>
          <w:tcPr>
            <w:tcW w:w="1826" w:type="pct"/>
            <w:tcBorders>
              <w:tl2br w:val="nil"/>
              <w:tr2bl w:val="nil"/>
            </w:tcBorders>
            <w:vAlign w:val="center"/>
          </w:tcPr>
          <w:p w14:paraId="514B5C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氮氧化物</w:t>
            </w:r>
          </w:p>
        </w:tc>
        <w:tc>
          <w:tcPr>
            <w:tcW w:w="2357" w:type="pct"/>
            <w:tcBorders>
              <w:tl2br w:val="nil"/>
              <w:tr2bl w:val="nil"/>
            </w:tcBorders>
            <w:vAlign w:val="center"/>
          </w:tcPr>
          <w:p w14:paraId="08B91A7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6.993</w:t>
            </w:r>
          </w:p>
        </w:tc>
      </w:tr>
    </w:tbl>
    <w:p w14:paraId="18D3CCB6">
      <w:pPr>
        <w:rPr>
          <w:rFonts w:hint="default" w:ascii="Times New Roman" w:hAnsi="Times New Roman" w:cs="Times New Roman"/>
          <w:color w:val="auto"/>
          <w:highlight w:val="none"/>
          <w:lang w:val="en-US" w:eastAsia="zh-CN"/>
        </w:rPr>
        <w:sectPr>
          <w:footerReference r:id="rId14"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14:paraId="7E2E938E">
      <w:pPr>
        <w:pStyle w:val="46"/>
        <w:jc w:val="both"/>
        <w:outlineLvl w:val="0"/>
        <w:rPr>
          <w:rFonts w:hint="default" w:ascii="Times New Roman" w:hAnsi="Times New Roman" w:cs="Times New Roman"/>
          <w:b/>
          <w:bCs/>
          <w:color w:val="auto"/>
          <w:highlight w:val="none"/>
          <w:lang w:val="en-US" w:eastAsia="zh-CN"/>
        </w:rPr>
      </w:pPr>
      <w:bookmarkStart w:id="30" w:name="_Toc32291"/>
      <w:r>
        <w:rPr>
          <w:rFonts w:hint="default" w:ascii="Times New Roman" w:hAnsi="Times New Roman" w:cs="Times New Roman"/>
          <w:b/>
          <w:bCs/>
          <w:color w:val="auto"/>
          <w:highlight w:val="none"/>
          <w:lang w:val="en-US" w:eastAsia="zh-CN"/>
        </w:rPr>
        <w:t>附件</w:t>
      </w:r>
      <w:r>
        <w:rPr>
          <w:rFonts w:hint="default" w:ascii="Times New Roman" w:hAnsi="Times New Roman" w:cs="Times New Roman" w:eastAsiaTheme="minorEastAsia"/>
          <w:b/>
          <w:bCs/>
          <w:color w:val="auto"/>
          <w:highlight w:val="none"/>
          <w:lang w:val="en-US" w:eastAsia="zh-CN"/>
        </w:rPr>
        <w:t>6</w:t>
      </w:r>
      <w:r>
        <w:rPr>
          <w:rFonts w:hint="default" w:ascii="Times New Roman" w:hAnsi="Times New Roman" w:cs="Times New Roman"/>
          <w:b/>
          <w:bCs/>
          <w:color w:val="auto"/>
          <w:highlight w:val="none"/>
          <w:lang w:val="en-US" w:eastAsia="zh-CN"/>
        </w:rPr>
        <w:t xml:space="preserve"> 生态环境分区管控分析报告</w:t>
      </w:r>
      <w:bookmarkEnd w:id="30"/>
    </w:p>
    <w:p w14:paraId="611AF9CA">
      <w:pPr>
        <w:pStyle w:val="46"/>
        <w:jc w:val="center"/>
        <w:outlineLvl w:val="9"/>
        <w:rPr>
          <w:rFonts w:hint="default" w:ascii="Times New Roman" w:hAnsi="Times New Roman" w:cs="Times New Roman"/>
          <w:b/>
          <w:bCs/>
          <w:color w:val="auto"/>
          <w:highlight w:val="none"/>
          <w:lang w:val="en-US" w:eastAsia="zh-CN"/>
        </w:rPr>
      </w:pPr>
    </w:p>
    <w:p w14:paraId="03B36718">
      <w:pPr>
        <w:pStyle w:val="46"/>
        <w:jc w:val="center"/>
        <w:outlineLvl w:val="9"/>
        <w:rPr>
          <w:rFonts w:hint="default" w:ascii="Times New Roman" w:hAnsi="Times New Roman" w:cs="Times New Roman"/>
          <w:b/>
          <w:bCs/>
          <w:color w:val="auto"/>
          <w:highlight w:val="none"/>
          <w:lang w:val="en-US" w:eastAsia="zh-CN"/>
        </w:rPr>
        <w:sectPr>
          <w:pgSz w:w="16838" w:h="11906" w:orient="landscape"/>
          <w:pgMar w:top="1519" w:right="1440" w:bottom="1800"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drawing>
          <wp:inline distT="0" distB="0" distL="114300" distR="114300">
            <wp:extent cx="7265670" cy="5006975"/>
            <wp:effectExtent l="0" t="0" r="11430" b="3175"/>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65"/>
                    <a:stretch>
                      <a:fillRect/>
                    </a:stretch>
                  </pic:blipFill>
                  <pic:spPr>
                    <a:xfrm>
                      <a:off x="0" y="0"/>
                      <a:ext cx="7265670" cy="5006975"/>
                    </a:xfrm>
                    <a:prstGeom prst="rect">
                      <a:avLst/>
                    </a:prstGeom>
                    <a:noFill/>
                    <a:ln>
                      <a:noFill/>
                    </a:ln>
                  </pic:spPr>
                </pic:pic>
              </a:graphicData>
            </a:graphic>
          </wp:inline>
        </w:drawing>
      </w:r>
      <w:r>
        <w:drawing>
          <wp:inline distT="0" distB="0" distL="114300" distR="114300">
            <wp:extent cx="7724775" cy="5353050"/>
            <wp:effectExtent l="0" t="0" r="9525" b="0"/>
            <wp:docPr id="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66"/>
                    <a:stretch>
                      <a:fillRect/>
                    </a:stretch>
                  </pic:blipFill>
                  <pic:spPr>
                    <a:xfrm>
                      <a:off x="0" y="0"/>
                      <a:ext cx="7724775" cy="5353050"/>
                    </a:xfrm>
                    <a:prstGeom prst="rect">
                      <a:avLst/>
                    </a:prstGeom>
                    <a:noFill/>
                    <a:ln>
                      <a:noFill/>
                    </a:ln>
                  </pic:spPr>
                </pic:pic>
              </a:graphicData>
            </a:graphic>
          </wp:inline>
        </w:drawing>
      </w:r>
      <w:r>
        <w:drawing>
          <wp:inline distT="0" distB="0" distL="114300" distR="114300">
            <wp:extent cx="7600950" cy="4933950"/>
            <wp:effectExtent l="0" t="0" r="0" b="0"/>
            <wp:docPr id="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
                    <pic:cNvPicPr>
                      <a:picLocks noChangeAspect="1"/>
                    </pic:cNvPicPr>
                  </pic:nvPicPr>
                  <pic:blipFill>
                    <a:blip r:embed="rId67"/>
                    <a:stretch>
                      <a:fillRect/>
                    </a:stretch>
                  </pic:blipFill>
                  <pic:spPr>
                    <a:xfrm>
                      <a:off x="0" y="0"/>
                      <a:ext cx="7600950" cy="4933950"/>
                    </a:xfrm>
                    <a:prstGeom prst="rect">
                      <a:avLst/>
                    </a:prstGeom>
                    <a:noFill/>
                    <a:ln>
                      <a:noFill/>
                    </a:ln>
                  </pic:spPr>
                </pic:pic>
              </a:graphicData>
            </a:graphic>
          </wp:inline>
        </w:drawing>
      </w:r>
      <w:r>
        <w:drawing>
          <wp:inline distT="0" distB="0" distL="114300" distR="114300">
            <wp:extent cx="7562850" cy="4981575"/>
            <wp:effectExtent l="0" t="0" r="0" b="9525"/>
            <wp:docPr id="4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0"/>
                    <pic:cNvPicPr>
                      <a:picLocks noChangeAspect="1"/>
                    </pic:cNvPicPr>
                  </pic:nvPicPr>
                  <pic:blipFill>
                    <a:blip r:embed="rId68"/>
                    <a:stretch>
                      <a:fillRect/>
                    </a:stretch>
                  </pic:blipFill>
                  <pic:spPr>
                    <a:xfrm>
                      <a:off x="0" y="0"/>
                      <a:ext cx="7562850" cy="4981575"/>
                    </a:xfrm>
                    <a:prstGeom prst="rect">
                      <a:avLst/>
                    </a:prstGeom>
                    <a:noFill/>
                    <a:ln>
                      <a:noFill/>
                    </a:ln>
                  </pic:spPr>
                </pic:pic>
              </a:graphicData>
            </a:graphic>
          </wp:inline>
        </w:drawing>
      </w:r>
      <w:r>
        <w:drawing>
          <wp:inline distT="0" distB="0" distL="114300" distR="114300">
            <wp:extent cx="7629525" cy="5000625"/>
            <wp:effectExtent l="0" t="0" r="9525" b="9525"/>
            <wp:docPr id="4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1"/>
                    <pic:cNvPicPr>
                      <a:picLocks noChangeAspect="1"/>
                    </pic:cNvPicPr>
                  </pic:nvPicPr>
                  <pic:blipFill>
                    <a:blip r:embed="rId69"/>
                    <a:stretch>
                      <a:fillRect/>
                    </a:stretch>
                  </pic:blipFill>
                  <pic:spPr>
                    <a:xfrm>
                      <a:off x="0" y="0"/>
                      <a:ext cx="7629525" cy="5000625"/>
                    </a:xfrm>
                    <a:prstGeom prst="rect">
                      <a:avLst/>
                    </a:prstGeom>
                    <a:noFill/>
                    <a:ln>
                      <a:noFill/>
                    </a:ln>
                  </pic:spPr>
                </pic:pic>
              </a:graphicData>
            </a:graphic>
          </wp:inline>
        </w:drawing>
      </w:r>
      <w:r>
        <w:drawing>
          <wp:inline distT="0" distB="0" distL="114300" distR="114300">
            <wp:extent cx="7524750" cy="4933950"/>
            <wp:effectExtent l="0" t="0" r="0" b="0"/>
            <wp:docPr id="5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2"/>
                    <pic:cNvPicPr>
                      <a:picLocks noChangeAspect="1"/>
                    </pic:cNvPicPr>
                  </pic:nvPicPr>
                  <pic:blipFill>
                    <a:blip r:embed="rId70"/>
                    <a:stretch>
                      <a:fillRect/>
                    </a:stretch>
                  </pic:blipFill>
                  <pic:spPr>
                    <a:xfrm>
                      <a:off x="0" y="0"/>
                      <a:ext cx="7524750" cy="4933950"/>
                    </a:xfrm>
                    <a:prstGeom prst="rect">
                      <a:avLst/>
                    </a:prstGeom>
                    <a:noFill/>
                    <a:ln>
                      <a:noFill/>
                    </a:ln>
                  </pic:spPr>
                </pic:pic>
              </a:graphicData>
            </a:graphic>
          </wp:inline>
        </w:drawing>
      </w:r>
      <w:r>
        <w:drawing>
          <wp:inline distT="0" distB="0" distL="114300" distR="114300">
            <wp:extent cx="7534275" cy="5114925"/>
            <wp:effectExtent l="0" t="0" r="9525" b="9525"/>
            <wp:docPr id="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3"/>
                    <pic:cNvPicPr>
                      <a:picLocks noChangeAspect="1"/>
                    </pic:cNvPicPr>
                  </pic:nvPicPr>
                  <pic:blipFill>
                    <a:blip r:embed="rId71"/>
                    <a:stretch>
                      <a:fillRect/>
                    </a:stretch>
                  </pic:blipFill>
                  <pic:spPr>
                    <a:xfrm>
                      <a:off x="0" y="0"/>
                      <a:ext cx="7534275" cy="5114925"/>
                    </a:xfrm>
                    <a:prstGeom prst="rect">
                      <a:avLst/>
                    </a:prstGeom>
                    <a:noFill/>
                    <a:ln>
                      <a:noFill/>
                    </a:ln>
                  </pic:spPr>
                </pic:pic>
              </a:graphicData>
            </a:graphic>
          </wp:inline>
        </w:drawing>
      </w:r>
      <w:r>
        <w:drawing>
          <wp:inline distT="0" distB="0" distL="114300" distR="114300">
            <wp:extent cx="7305675" cy="4953000"/>
            <wp:effectExtent l="0" t="0" r="9525" b="0"/>
            <wp:docPr id="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4"/>
                    <pic:cNvPicPr>
                      <a:picLocks noChangeAspect="1"/>
                    </pic:cNvPicPr>
                  </pic:nvPicPr>
                  <pic:blipFill>
                    <a:blip r:embed="rId72"/>
                    <a:stretch>
                      <a:fillRect/>
                    </a:stretch>
                  </pic:blipFill>
                  <pic:spPr>
                    <a:xfrm>
                      <a:off x="0" y="0"/>
                      <a:ext cx="7305675" cy="4953000"/>
                    </a:xfrm>
                    <a:prstGeom prst="rect">
                      <a:avLst/>
                    </a:prstGeom>
                    <a:noFill/>
                    <a:ln>
                      <a:noFill/>
                    </a:ln>
                  </pic:spPr>
                </pic:pic>
              </a:graphicData>
            </a:graphic>
          </wp:inline>
        </w:drawing>
      </w:r>
      <w:r>
        <w:drawing>
          <wp:inline distT="0" distB="0" distL="114300" distR="114300">
            <wp:extent cx="7572375" cy="5200650"/>
            <wp:effectExtent l="0" t="0" r="9525" b="0"/>
            <wp:docPr id="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5"/>
                    <pic:cNvPicPr>
                      <a:picLocks noChangeAspect="1"/>
                    </pic:cNvPicPr>
                  </pic:nvPicPr>
                  <pic:blipFill>
                    <a:blip r:embed="rId73"/>
                    <a:stretch>
                      <a:fillRect/>
                    </a:stretch>
                  </pic:blipFill>
                  <pic:spPr>
                    <a:xfrm>
                      <a:off x="0" y="0"/>
                      <a:ext cx="7572375" cy="5200650"/>
                    </a:xfrm>
                    <a:prstGeom prst="rect">
                      <a:avLst/>
                    </a:prstGeom>
                    <a:noFill/>
                    <a:ln>
                      <a:noFill/>
                    </a:ln>
                  </pic:spPr>
                </pic:pic>
              </a:graphicData>
            </a:graphic>
          </wp:inline>
        </w:drawing>
      </w:r>
      <w:r>
        <w:drawing>
          <wp:inline distT="0" distB="0" distL="114300" distR="114300">
            <wp:extent cx="7334250" cy="5086350"/>
            <wp:effectExtent l="0" t="0" r="0" b="0"/>
            <wp:docPr id="7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6"/>
                    <pic:cNvPicPr>
                      <a:picLocks noChangeAspect="1"/>
                    </pic:cNvPicPr>
                  </pic:nvPicPr>
                  <pic:blipFill>
                    <a:blip r:embed="rId74"/>
                    <a:stretch>
                      <a:fillRect/>
                    </a:stretch>
                  </pic:blipFill>
                  <pic:spPr>
                    <a:xfrm>
                      <a:off x="0" y="0"/>
                      <a:ext cx="7334250" cy="5086350"/>
                    </a:xfrm>
                    <a:prstGeom prst="rect">
                      <a:avLst/>
                    </a:prstGeom>
                    <a:noFill/>
                    <a:ln>
                      <a:noFill/>
                    </a:ln>
                  </pic:spPr>
                </pic:pic>
              </a:graphicData>
            </a:graphic>
          </wp:inline>
        </w:drawing>
      </w:r>
      <w:r>
        <w:drawing>
          <wp:inline distT="0" distB="0" distL="114300" distR="114300">
            <wp:extent cx="7505700" cy="4953000"/>
            <wp:effectExtent l="0" t="0" r="0" b="0"/>
            <wp:docPr id="8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7"/>
                    <pic:cNvPicPr>
                      <a:picLocks noChangeAspect="1"/>
                    </pic:cNvPicPr>
                  </pic:nvPicPr>
                  <pic:blipFill>
                    <a:blip r:embed="rId75"/>
                    <a:stretch>
                      <a:fillRect/>
                    </a:stretch>
                  </pic:blipFill>
                  <pic:spPr>
                    <a:xfrm>
                      <a:off x="0" y="0"/>
                      <a:ext cx="7505700" cy="4953000"/>
                    </a:xfrm>
                    <a:prstGeom prst="rect">
                      <a:avLst/>
                    </a:prstGeom>
                    <a:noFill/>
                    <a:ln>
                      <a:noFill/>
                    </a:ln>
                  </pic:spPr>
                </pic:pic>
              </a:graphicData>
            </a:graphic>
          </wp:inline>
        </w:drawing>
      </w:r>
      <w:r>
        <w:drawing>
          <wp:inline distT="0" distB="0" distL="114300" distR="114300">
            <wp:extent cx="7591425" cy="4867275"/>
            <wp:effectExtent l="0" t="0" r="9525" b="9525"/>
            <wp:docPr id="8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8"/>
                    <pic:cNvPicPr>
                      <a:picLocks noChangeAspect="1"/>
                    </pic:cNvPicPr>
                  </pic:nvPicPr>
                  <pic:blipFill>
                    <a:blip r:embed="rId76"/>
                    <a:stretch>
                      <a:fillRect/>
                    </a:stretch>
                  </pic:blipFill>
                  <pic:spPr>
                    <a:xfrm>
                      <a:off x="0" y="0"/>
                      <a:ext cx="7591425" cy="4867275"/>
                    </a:xfrm>
                    <a:prstGeom prst="rect">
                      <a:avLst/>
                    </a:prstGeom>
                    <a:noFill/>
                    <a:ln>
                      <a:noFill/>
                    </a:ln>
                  </pic:spPr>
                </pic:pic>
              </a:graphicData>
            </a:graphic>
          </wp:inline>
        </w:drawing>
      </w:r>
      <w:bookmarkStart w:id="41" w:name="_GoBack"/>
      <w:bookmarkEnd w:id="41"/>
    </w:p>
    <w:p w14:paraId="37772339">
      <w:pPr>
        <w:spacing w:line="240" w:lineRule="auto"/>
        <w:outlineLvl w:val="0"/>
        <w:rPr>
          <w:rFonts w:hint="default" w:ascii="Times New Roman" w:hAnsi="Times New Roman" w:cs="Times New Roman"/>
          <w:b/>
          <w:bCs w:val="0"/>
          <w:color w:val="auto"/>
          <w:highlight w:val="none"/>
          <w:lang w:val="en-US" w:eastAsia="zh-CN"/>
        </w:rPr>
      </w:pPr>
      <w:bookmarkStart w:id="31" w:name="_Toc2678"/>
      <w:r>
        <w:rPr>
          <w:rFonts w:hint="default" w:ascii="Times New Roman" w:hAnsi="Times New Roman" w:cs="Times New Roman"/>
          <w:b/>
          <w:bCs w:val="0"/>
          <w:color w:val="auto"/>
          <w:highlight w:val="none"/>
          <w:lang w:val="en-US" w:eastAsia="zh-CN"/>
        </w:rPr>
        <w:t>附件</w:t>
      </w:r>
      <w:r>
        <w:rPr>
          <w:rFonts w:hint="eastAsia" w:ascii="Times New Roman" w:hAnsi="Times New Roman" w:cs="Times New Roman"/>
          <w:b/>
          <w:bCs w:val="0"/>
          <w:color w:val="auto"/>
          <w:highlight w:val="none"/>
          <w:lang w:val="en-US" w:eastAsia="zh-CN"/>
        </w:rPr>
        <w:t>7</w:t>
      </w:r>
      <w:r>
        <w:rPr>
          <w:rFonts w:hint="default" w:ascii="Times New Roman" w:hAnsi="Times New Roman" w:cs="Times New Roman"/>
          <w:b/>
          <w:bCs w:val="0"/>
          <w:color w:val="auto"/>
          <w:highlight w:val="none"/>
          <w:lang w:val="en-US" w:eastAsia="zh-CN"/>
        </w:rPr>
        <w:t xml:space="preserve"> 环境影响评价文件备案</w:t>
      </w:r>
      <w:bookmarkEnd w:id="31"/>
    </w:p>
    <w:p w14:paraId="1F1F7614">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953000" cy="7496175"/>
            <wp:effectExtent l="0" t="0" r="0" b="9525"/>
            <wp:docPr id="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3"/>
                    <pic:cNvPicPr>
                      <a:picLocks noChangeAspect="1"/>
                    </pic:cNvPicPr>
                  </pic:nvPicPr>
                  <pic:blipFill>
                    <a:blip r:embed="rId77"/>
                    <a:stretch>
                      <a:fillRect/>
                    </a:stretch>
                  </pic:blipFill>
                  <pic:spPr>
                    <a:xfrm>
                      <a:off x="0" y="0"/>
                      <a:ext cx="4953000" cy="7496175"/>
                    </a:xfrm>
                    <a:prstGeom prst="rect">
                      <a:avLst/>
                    </a:prstGeom>
                    <a:noFill/>
                    <a:ln>
                      <a:noFill/>
                    </a:ln>
                  </pic:spPr>
                </pic:pic>
              </a:graphicData>
            </a:graphic>
          </wp:inline>
        </w:drawing>
      </w:r>
    </w:p>
    <w:p w14:paraId="452336CA">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cs="Times New Roman"/>
          <w:color w:val="auto"/>
          <w:highlight w:val="none"/>
        </w:rPr>
      </w:pPr>
    </w:p>
    <w:p w14:paraId="3ADD05E3">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cs="Times New Roman"/>
          <w:color w:val="auto"/>
          <w:highlight w:val="none"/>
        </w:rPr>
      </w:pPr>
    </w:p>
    <w:p w14:paraId="0A7FA06B">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cs="Times New Roman"/>
          <w:color w:val="auto"/>
          <w:highlight w:val="none"/>
        </w:rPr>
      </w:pPr>
    </w:p>
    <w:p w14:paraId="2F0E6A57">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cs="Times New Roman"/>
          <w:color w:val="auto"/>
          <w:highlight w:val="none"/>
        </w:rPr>
      </w:pPr>
    </w:p>
    <w:p w14:paraId="4C561B4A">
      <w:pPr>
        <w:spacing w:line="240" w:lineRule="auto"/>
        <w:outlineLvl w:val="0"/>
        <w:rPr>
          <w:rFonts w:hint="default" w:ascii="Times New Roman" w:hAnsi="Times New Roman" w:cs="Times New Roman"/>
          <w:b/>
          <w:bCs w:val="0"/>
          <w:color w:val="auto"/>
          <w:highlight w:val="none"/>
          <w:lang w:val="en-US" w:eastAsia="zh-CN"/>
        </w:rPr>
      </w:pPr>
      <w:bookmarkStart w:id="32" w:name="_Toc17435"/>
      <w:r>
        <w:rPr>
          <w:rFonts w:hint="default" w:ascii="Times New Roman" w:hAnsi="Times New Roman" w:cs="Times New Roman"/>
          <w:b/>
          <w:bCs w:val="0"/>
          <w:color w:val="auto"/>
          <w:highlight w:val="none"/>
          <w:lang w:val="en-US" w:eastAsia="zh-CN"/>
        </w:rPr>
        <w:t>附件</w:t>
      </w:r>
      <w:r>
        <w:rPr>
          <w:rFonts w:hint="eastAsia" w:ascii="Times New Roman" w:hAnsi="Times New Roman" w:cs="Times New Roman"/>
          <w:b/>
          <w:bCs w:val="0"/>
          <w:color w:val="auto"/>
          <w:highlight w:val="none"/>
          <w:lang w:val="en-US" w:eastAsia="zh-CN"/>
        </w:rPr>
        <w:t>8</w:t>
      </w:r>
      <w:r>
        <w:rPr>
          <w:rFonts w:hint="default" w:ascii="Times New Roman" w:hAnsi="Times New Roman" w:cs="Times New Roman"/>
          <w:b/>
          <w:bCs w:val="0"/>
          <w:color w:val="auto"/>
          <w:highlight w:val="none"/>
          <w:lang w:val="en-US" w:eastAsia="zh-CN"/>
        </w:rPr>
        <w:t xml:space="preserve"> 环境影响评价报告书批复</w:t>
      </w:r>
      <w:bookmarkEnd w:id="32"/>
    </w:p>
    <w:p w14:paraId="7ACD3953">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343525" cy="7334250"/>
            <wp:effectExtent l="0" t="0" r="9525" b="0"/>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78"/>
                    <a:stretch>
                      <a:fillRect/>
                    </a:stretch>
                  </pic:blipFill>
                  <pic:spPr>
                    <a:xfrm>
                      <a:off x="0" y="0"/>
                      <a:ext cx="5343525" cy="733425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666105" cy="7573010"/>
            <wp:effectExtent l="0" t="0" r="10795" b="8890"/>
            <wp:docPr id="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4"/>
                    <pic:cNvPicPr>
                      <a:picLocks noChangeAspect="1"/>
                    </pic:cNvPicPr>
                  </pic:nvPicPr>
                  <pic:blipFill>
                    <a:blip r:embed="rId79"/>
                    <a:stretch>
                      <a:fillRect/>
                    </a:stretch>
                  </pic:blipFill>
                  <pic:spPr>
                    <a:xfrm>
                      <a:off x="0" y="0"/>
                      <a:ext cx="5666105" cy="757301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410200" cy="7334250"/>
            <wp:effectExtent l="0" t="0" r="0" b="0"/>
            <wp:docPr id="2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
                    <pic:cNvPicPr>
                      <a:picLocks noChangeAspect="1"/>
                    </pic:cNvPicPr>
                  </pic:nvPicPr>
                  <pic:blipFill>
                    <a:blip r:embed="rId80"/>
                    <a:stretch>
                      <a:fillRect/>
                    </a:stretch>
                  </pic:blipFill>
                  <pic:spPr>
                    <a:xfrm>
                      <a:off x="0" y="0"/>
                      <a:ext cx="5410200" cy="7334250"/>
                    </a:xfrm>
                    <a:prstGeom prst="rect">
                      <a:avLst/>
                    </a:prstGeom>
                    <a:noFill/>
                    <a:ln>
                      <a:noFill/>
                    </a:ln>
                  </pic:spPr>
                </pic:pic>
              </a:graphicData>
            </a:graphic>
          </wp:inline>
        </w:drawing>
      </w:r>
    </w:p>
    <w:p w14:paraId="5BA10D0F">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cs="Times New Roman"/>
          <w:color w:val="auto"/>
          <w:highlight w:val="none"/>
        </w:rPr>
      </w:pPr>
    </w:p>
    <w:p w14:paraId="3E43C785">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cs="Times New Roman"/>
          <w:color w:val="auto"/>
          <w:highlight w:val="none"/>
        </w:rPr>
      </w:pPr>
    </w:p>
    <w:p w14:paraId="2F871278">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cs="Times New Roman"/>
          <w:color w:val="auto"/>
          <w:highlight w:val="none"/>
        </w:rPr>
      </w:pPr>
    </w:p>
    <w:p w14:paraId="179A37B5">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cs="Times New Roman"/>
          <w:color w:val="auto"/>
          <w:highlight w:val="none"/>
        </w:rPr>
      </w:pPr>
    </w:p>
    <w:p w14:paraId="5DA0E85F">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cs="Times New Roman"/>
          <w:color w:val="auto"/>
          <w:highlight w:val="none"/>
        </w:rPr>
      </w:pPr>
    </w:p>
    <w:p w14:paraId="23DF6A61">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cs="Times New Roman"/>
          <w:color w:val="auto"/>
          <w:highlight w:val="none"/>
        </w:rPr>
      </w:pPr>
    </w:p>
    <w:p w14:paraId="101F4ABF">
      <w:pPr>
        <w:keepNext w:val="0"/>
        <w:keepLines w:val="0"/>
        <w:pageBreakBefore w:val="0"/>
        <w:widowControl w:val="0"/>
        <w:kinsoku/>
        <w:wordWrap/>
        <w:overflowPunct/>
        <w:topLinePunct w:val="0"/>
        <w:autoSpaceDE/>
        <w:autoSpaceDN/>
        <w:bidi w:val="0"/>
        <w:adjustRightInd w:val="0"/>
        <w:snapToGrid w:val="0"/>
        <w:ind w:firstLine="0" w:firstLineChars="0"/>
        <w:jc w:val="left"/>
        <w:textAlignment w:val="auto"/>
        <w:outlineLvl w:val="0"/>
        <w:rPr>
          <w:rFonts w:hint="default" w:ascii="Times New Roman" w:hAnsi="Times New Roman" w:cs="Times New Roman"/>
          <w:b/>
          <w:bCs w:val="0"/>
          <w:color w:val="auto"/>
          <w:highlight w:val="none"/>
          <w:lang w:val="en-US" w:eastAsia="zh-CN"/>
        </w:rPr>
      </w:pPr>
      <w:bookmarkStart w:id="33" w:name="_Toc22848"/>
      <w:r>
        <w:rPr>
          <w:rFonts w:hint="default" w:ascii="Times New Roman" w:hAnsi="Times New Roman" w:cs="Times New Roman"/>
          <w:b/>
          <w:bCs w:val="0"/>
          <w:color w:val="auto"/>
          <w:highlight w:val="none"/>
          <w:lang w:val="en-US" w:eastAsia="zh-CN"/>
        </w:rPr>
        <w:t>附件</w:t>
      </w:r>
      <w:r>
        <w:rPr>
          <w:rFonts w:hint="eastAsia" w:ascii="Times New Roman" w:hAnsi="Times New Roman" w:cs="Times New Roman"/>
          <w:b/>
          <w:bCs w:val="0"/>
          <w:color w:val="auto"/>
          <w:highlight w:val="none"/>
          <w:lang w:val="en-US" w:eastAsia="zh-CN"/>
        </w:rPr>
        <w:t>9</w:t>
      </w:r>
      <w:r>
        <w:rPr>
          <w:rFonts w:hint="default" w:ascii="Times New Roman" w:hAnsi="Times New Roman" w:cs="Times New Roman"/>
          <w:b/>
          <w:bCs w:val="0"/>
          <w:color w:val="auto"/>
          <w:highlight w:val="none"/>
          <w:lang w:val="en-US" w:eastAsia="zh-CN"/>
        </w:rPr>
        <w:t xml:space="preserve"> 应急预案备案回执</w:t>
      </w:r>
      <w:bookmarkEnd w:id="33"/>
    </w:p>
    <w:p w14:paraId="4F898133">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0"/>
        <w:rPr>
          <w:rFonts w:hint="default" w:ascii="Times New Roman" w:hAnsi="Times New Roman" w:cs="Times New Roman"/>
          <w:b/>
          <w:bCs w:val="0"/>
          <w:color w:val="auto"/>
          <w:highlight w:val="none"/>
          <w:lang w:val="en-US" w:eastAsia="zh-CN"/>
        </w:rPr>
        <w:sectPr>
          <w:pgSz w:w="11906" w:h="16838"/>
          <w:pgMar w:top="567" w:right="567" w:bottom="567" w:left="567" w:header="851" w:footer="992" w:gutter="0"/>
          <w:pgBorders w:offsetFrom="page">
            <w:top w:val="none" w:sz="0" w:space="0"/>
            <w:left w:val="none" w:sz="0" w:space="0"/>
            <w:bottom w:val="none" w:sz="0" w:space="0"/>
            <w:right w:val="none" w:sz="0" w:space="0"/>
          </w:pgBorders>
          <w:pgNumType w:fmt="decimal"/>
          <w:cols w:space="720" w:num="1"/>
          <w:docGrid w:linePitch="312" w:charSpace="0"/>
        </w:sectPr>
      </w:pPr>
      <w:bookmarkStart w:id="34" w:name="_Toc31174"/>
      <w:r>
        <w:rPr>
          <w:rFonts w:hint="default" w:ascii="Times New Roman" w:hAnsi="Times New Roman" w:cs="Times New Roman"/>
          <w:color w:val="auto"/>
          <w:highlight w:val="none"/>
        </w:rPr>
        <w:drawing>
          <wp:inline distT="0" distB="0" distL="114300" distR="114300">
            <wp:extent cx="5391150" cy="7458075"/>
            <wp:effectExtent l="0" t="0" r="0" b="9525"/>
            <wp:docPr id="2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6"/>
                    <pic:cNvPicPr>
                      <a:picLocks noChangeAspect="1"/>
                    </pic:cNvPicPr>
                  </pic:nvPicPr>
                  <pic:blipFill>
                    <a:blip r:embed="rId81"/>
                    <a:stretch>
                      <a:fillRect/>
                    </a:stretch>
                  </pic:blipFill>
                  <pic:spPr>
                    <a:xfrm>
                      <a:off x="0" y="0"/>
                      <a:ext cx="5391150" cy="7458075"/>
                    </a:xfrm>
                    <a:prstGeom prst="rect">
                      <a:avLst/>
                    </a:prstGeom>
                    <a:noFill/>
                    <a:ln>
                      <a:noFill/>
                    </a:ln>
                  </pic:spPr>
                </pic:pic>
              </a:graphicData>
            </a:graphic>
          </wp:inline>
        </w:drawing>
      </w:r>
      <w:bookmarkEnd w:id="34"/>
    </w:p>
    <w:p w14:paraId="1D1E5F5D">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0"/>
        <w:rPr>
          <w:rFonts w:hint="default" w:ascii="Times New Roman" w:hAnsi="Times New Roman" w:cs="Times New Roman"/>
          <w:color w:val="auto"/>
          <w:highlight w:val="none"/>
        </w:rPr>
      </w:pPr>
      <w:bookmarkStart w:id="35" w:name="_Toc17862"/>
      <w:r>
        <w:rPr>
          <w:rFonts w:hint="default" w:ascii="Times New Roman" w:hAnsi="Times New Roman" w:cs="Times New Roman"/>
          <w:color w:val="auto"/>
          <w:highlight w:val="none"/>
        </w:rPr>
        <w:drawing>
          <wp:inline distT="0" distB="0" distL="114300" distR="114300">
            <wp:extent cx="5410200" cy="7610475"/>
            <wp:effectExtent l="0" t="0" r="0" b="9525"/>
            <wp:docPr id="4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7"/>
                    <pic:cNvPicPr>
                      <a:picLocks noChangeAspect="1"/>
                    </pic:cNvPicPr>
                  </pic:nvPicPr>
                  <pic:blipFill>
                    <a:blip r:embed="rId82"/>
                    <a:stretch>
                      <a:fillRect/>
                    </a:stretch>
                  </pic:blipFill>
                  <pic:spPr>
                    <a:xfrm>
                      <a:off x="0" y="0"/>
                      <a:ext cx="5410200" cy="7610475"/>
                    </a:xfrm>
                    <a:prstGeom prst="rect">
                      <a:avLst/>
                    </a:prstGeom>
                    <a:noFill/>
                    <a:ln>
                      <a:noFill/>
                    </a:ln>
                  </pic:spPr>
                </pic:pic>
              </a:graphicData>
            </a:graphic>
          </wp:inline>
        </w:drawing>
      </w:r>
      <w:bookmarkEnd w:id="35"/>
    </w:p>
    <w:p w14:paraId="43FA9DD0">
      <w:pPr>
        <w:keepNext w:val="0"/>
        <w:keepLines w:val="0"/>
        <w:pageBreakBefore w:val="0"/>
        <w:widowControl w:val="0"/>
        <w:kinsoku/>
        <w:wordWrap/>
        <w:overflowPunct/>
        <w:topLinePunct w:val="0"/>
        <w:autoSpaceDE/>
        <w:autoSpaceDN/>
        <w:bidi w:val="0"/>
        <w:adjustRightInd w:val="0"/>
        <w:snapToGrid w:val="0"/>
        <w:ind w:firstLine="0" w:firstLineChars="0"/>
        <w:jc w:val="left"/>
        <w:textAlignment w:val="auto"/>
        <w:outlineLvl w:val="9"/>
        <w:rPr>
          <w:rFonts w:hint="default" w:ascii="Times New Roman" w:hAnsi="Times New Roman" w:cs="Times New Roman"/>
          <w:color w:val="auto"/>
          <w:highlight w:val="none"/>
        </w:rPr>
      </w:pPr>
    </w:p>
    <w:p w14:paraId="26BA0A91">
      <w:pPr>
        <w:keepNext w:val="0"/>
        <w:keepLines w:val="0"/>
        <w:pageBreakBefore w:val="0"/>
        <w:widowControl w:val="0"/>
        <w:kinsoku/>
        <w:wordWrap/>
        <w:overflowPunct/>
        <w:topLinePunct w:val="0"/>
        <w:autoSpaceDE/>
        <w:autoSpaceDN/>
        <w:bidi w:val="0"/>
        <w:adjustRightInd w:val="0"/>
        <w:snapToGrid w:val="0"/>
        <w:ind w:firstLine="0" w:firstLineChars="0"/>
        <w:jc w:val="left"/>
        <w:textAlignment w:val="auto"/>
        <w:outlineLvl w:val="9"/>
        <w:rPr>
          <w:rFonts w:hint="default" w:ascii="Times New Roman" w:hAnsi="Times New Roman" w:cs="Times New Roman"/>
          <w:color w:val="auto"/>
          <w:highlight w:val="none"/>
        </w:rPr>
      </w:pPr>
    </w:p>
    <w:p w14:paraId="2E7DEADE">
      <w:pPr>
        <w:keepNext w:val="0"/>
        <w:keepLines w:val="0"/>
        <w:pageBreakBefore w:val="0"/>
        <w:widowControl w:val="0"/>
        <w:kinsoku/>
        <w:wordWrap/>
        <w:overflowPunct/>
        <w:topLinePunct w:val="0"/>
        <w:autoSpaceDE/>
        <w:autoSpaceDN/>
        <w:bidi w:val="0"/>
        <w:adjustRightInd w:val="0"/>
        <w:snapToGrid w:val="0"/>
        <w:ind w:firstLine="0" w:firstLineChars="0"/>
        <w:jc w:val="left"/>
        <w:textAlignment w:val="auto"/>
        <w:outlineLvl w:val="9"/>
        <w:rPr>
          <w:rFonts w:hint="default" w:ascii="Times New Roman" w:hAnsi="Times New Roman" w:cs="Times New Roman"/>
          <w:color w:val="auto"/>
          <w:highlight w:val="none"/>
        </w:rPr>
      </w:pPr>
    </w:p>
    <w:p w14:paraId="0D784827">
      <w:pPr>
        <w:keepNext w:val="0"/>
        <w:keepLines w:val="0"/>
        <w:pageBreakBefore w:val="0"/>
        <w:widowControl w:val="0"/>
        <w:kinsoku/>
        <w:wordWrap/>
        <w:overflowPunct/>
        <w:topLinePunct w:val="0"/>
        <w:autoSpaceDE/>
        <w:autoSpaceDN/>
        <w:bidi w:val="0"/>
        <w:adjustRightInd w:val="0"/>
        <w:snapToGrid w:val="0"/>
        <w:ind w:firstLine="0" w:firstLineChars="0"/>
        <w:jc w:val="left"/>
        <w:textAlignment w:val="auto"/>
        <w:outlineLvl w:val="9"/>
        <w:rPr>
          <w:rFonts w:hint="default" w:ascii="Times New Roman" w:hAnsi="Times New Roman" w:cs="Times New Roman"/>
          <w:color w:val="auto"/>
          <w:highlight w:val="none"/>
        </w:rPr>
      </w:pPr>
    </w:p>
    <w:p w14:paraId="4B59ACA2">
      <w:pPr>
        <w:keepNext w:val="0"/>
        <w:keepLines w:val="0"/>
        <w:pageBreakBefore w:val="0"/>
        <w:widowControl w:val="0"/>
        <w:kinsoku/>
        <w:wordWrap/>
        <w:overflowPunct/>
        <w:topLinePunct w:val="0"/>
        <w:autoSpaceDE/>
        <w:autoSpaceDN/>
        <w:bidi w:val="0"/>
        <w:adjustRightInd w:val="0"/>
        <w:snapToGrid w:val="0"/>
        <w:ind w:firstLine="0" w:firstLineChars="0"/>
        <w:jc w:val="left"/>
        <w:textAlignment w:val="auto"/>
        <w:outlineLvl w:val="9"/>
        <w:rPr>
          <w:rFonts w:hint="default" w:ascii="Times New Roman" w:hAnsi="Times New Roman" w:cs="Times New Roman"/>
          <w:b/>
          <w:bCs w:val="0"/>
          <w:color w:val="auto"/>
          <w:highlight w:val="none"/>
          <w:lang w:val="en-US" w:eastAsia="zh-CN"/>
        </w:rPr>
      </w:pPr>
    </w:p>
    <w:p w14:paraId="3A2DDEEC">
      <w:pPr>
        <w:keepNext w:val="0"/>
        <w:keepLines w:val="0"/>
        <w:pageBreakBefore w:val="0"/>
        <w:widowControl w:val="0"/>
        <w:kinsoku/>
        <w:wordWrap/>
        <w:overflowPunct/>
        <w:topLinePunct w:val="0"/>
        <w:autoSpaceDE/>
        <w:autoSpaceDN/>
        <w:bidi w:val="0"/>
        <w:adjustRightInd w:val="0"/>
        <w:snapToGrid w:val="0"/>
        <w:ind w:firstLine="0" w:firstLineChars="0"/>
        <w:jc w:val="left"/>
        <w:textAlignment w:val="auto"/>
        <w:outlineLvl w:val="0"/>
        <w:rPr>
          <w:rFonts w:hint="default" w:ascii="Times New Roman" w:hAnsi="Times New Roman" w:cs="Times New Roman"/>
          <w:b/>
          <w:bCs w:val="0"/>
          <w:color w:val="auto"/>
          <w:highlight w:val="none"/>
          <w:lang w:val="en-US" w:eastAsia="zh-CN"/>
        </w:rPr>
      </w:pPr>
      <w:bookmarkStart w:id="36" w:name="_Toc12479"/>
      <w:r>
        <w:rPr>
          <w:rFonts w:hint="default" w:ascii="Times New Roman" w:hAnsi="Times New Roman" w:cs="Times New Roman"/>
          <w:b/>
          <w:bCs w:val="0"/>
          <w:color w:val="auto"/>
          <w:highlight w:val="none"/>
          <w:lang w:val="en-US" w:eastAsia="zh-CN"/>
        </w:rPr>
        <w:t>附件</w:t>
      </w:r>
      <w:r>
        <w:rPr>
          <w:rFonts w:hint="eastAsia" w:ascii="Times New Roman" w:hAnsi="Times New Roman" w:cs="Times New Roman"/>
          <w:b/>
          <w:bCs w:val="0"/>
          <w:color w:val="auto"/>
          <w:highlight w:val="none"/>
          <w:lang w:val="en-US" w:eastAsia="zh-CN"/>
        </w:rPr>
        <w:t>10</w:t>
      </w:r>
      <w:r>
        <w:rPr>
          <w:rFonts w:hint="default" w:ascii="Times New Roman" w:hAnsi="Times New Roman" w:cs="Times New Roman"/>
          <w:b/>
          <w:bCs w:val="0"/>
          <w:color w:val="auto"/>
          <w:highlight w:val="none"/>
          <w:lang w:val="en-US" w:eastAsia="zh-CN"/>
        </w:rPr>
        <w:t xml:space="preserve"> 验收报告专家意见</w:t>
      </w:r>
      <w:bookmarkEnd w:id="36"/>
    </w:p>
    <w:p w14:paraId="3B7DE963">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0"/>
        <w:rPr>
          <w:rFonts w:hint="default" w:ascii="Times New Roman" w:hAnsi="Times New Roman" w:cs="Times New Roman"/>
          <w:color w:val="auto"/>
          <w:highlight w:val="none"/>
        </w:rPr>
        <w:sectPr>
          <w:pgSz w:w="11906" w:h="16838"/>
          <w:pgMar w:top="567" w:right="567" w:bottom="567" w:left="567" w:header="851" w:footer="992" w:gutter="0"/>
          <w:pgBorders w:offsetFrom="page">
            <w:top w:val="none" w:sz="0" w:space="0"/>
            <w:left w:val="none" w:sz="0" w:space="0"/>
            <w:bottom w:val="none" w:sz="0" w:space="0"/>
            <w:right w:val="none" w:sz="0" w:space="0"/>
          </w:pgBorders>
          <w:pgNumType w:fmt="decimal"/>
          <w:cols w:space="720" w:num="1"/>
          <w:docGrid w:linePitch="312" w:charSpace="0"/>
        </w:sectPr>
      </w:pPr>
      <w:bookmarkStart w:id="37" w:name="_Toc15319"/>
      <w:r>
        <w:rPr>
          <w:rFonts w:hint="default" w:ascii="Times New Roman" w:hAnsi="Times New Roman" w:cs="Times New Roman"/>
          <w:color w:val="auto"/>
          <w:highlight w:val="none"/>
        </w:rPr>
        <w:drawing>
          <wp:inline distT="0" distB="0" distL="114300" distR="114300">
            <wp:extent cx="5711825" cy="7657465"/>
            <wp:effectExtent l="0" t="0" r="3175" b="635"/>
            <wp:docPr id="9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0"/>
                    <pic:cNvPicPr>
                      <a:picLocks noChangeAspect="1"/>
                    </pic:cNvPicPr>
                  </pic:nvPicPr>
                  <pic:blipFill>
                    <a:blip r:embed="rId83"/>
                    <a:stretch>
                      <a:fillRect/>
                    </a:stretch>
                  </pic:blipFill>
                  <pic:spPr>
                    <a:xfrm>
                      <a:off x="0" y="0"/>
                      <a:ext cx="5711825" cy="765746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659120" cy="7859395"/>
            <wp:effectExtent l="0" t="0" r="17780" b="8255"/>
            <wp:docPr id="9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1"/>
                    <pic:cNvPicPr>
                      <a:picLocks noChangeAspect="1"/>
                    </pic:cNvPicPr>
                  </pic:nvPicPr>
                  <pic:blipFill>
                    <a:blip r:embed="rId84"/>
                    <a:stretch>
                      <a:fillRect/>
                    </a:stretch>
                  </pic:blipFill>
                  <pic:spPr>
                    <a:xfrm>
                      <a:off x="0" y="0"/>
                      <a:ext cx="5659120" cy="785939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717540" cy="7927975"/>
            <wp:effectExtent l="0" t="0" r="16510" b="15875"/>
            <wp:docPr id="9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2"/>
                    <pic:cNvPicPr>
                      <a:picLocks noChangeAspect="1"/>
                    </pic:cNvPicPr>
                  </pic:nvPicPr>
                  <pic:blipFill>
                    <a:blip r:embed="rId85"/>
                    <a:stretch>
                      <a:fillRect/>
                    </a:stretch>
                  </pic:blipFill>
                  <pic:spPr>
                    <a:xfrm>
                      <a:off x="0" y="0"/>
                      <a:ext cx="5717540" cy="792797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794375" cy="8000365"/>
            <wp:effectExtent l="0" t="0" r="15875" b="635"/>
            <wp:docPr id="9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3"/>
                    <pic:cNvPicPr>
                      <a:picLocks noChangeAspect="1"/>
                    </pic:cNvPicPr>
                  </pic:nvPicPr>
                  <pic:blipFill>
                    <a:blip r:embed="rId86"/>
                    <a:stretch>
                      <a:fillRect/>
                    </a:stretch>
                  </pic:blipFill>
                  <pic:spPr>
                    <a:xfrm>
                      <a:off x="0" y="0"/>
                      <a:ext cx="5794375" cy="8000365"/>
                    </a:xfrm>
                    <a:prstGeom prst="rect">
                      <a:avLst/>
                    </a:prstGeom>
                    <a:noFill/>
                    <a:ln>
                      <a:noFill/>
                    </a:ln>
                  </pic:spPr>
                </pic:pic>
              </a:graphicData>
            </a:graphic>
          </wp:inline>
        </w:drawing>
      </w:r>
      <w:bookmarkEnd w:id="37"/>
    </w:p>
    <w:p w14:paraId="0FDF867F">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8331200" cy="5438140"/>
            <wp:effectExtent l="0" t="0" r="12700" b="10160"/>
            <wp:docPr id="10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4"/>
                    <pic:cNvPicPr>
                      <a:picLocks noChangeAspect="1"/>
                    </pic:cNvPicPr>
                  </pic:nvPicPr>
                  <pic:blipFill>
                    <a:blip r:embed="rId87"/>
                    <a:stretch>
                      <a:fillRect/>
                    </a:stretch>
                  </pic:blipFill>
                  <pic:spPr>
                    <a:xfrm>
                      <a:off x="0" y="0"/>
                      <a:ext cx="8331200" cy="5438140"/>
                    </a:xfrm>
                    <a:prstGeom prst="rect">
                      <a:avLst/>
                    </a:prstGeom>
                    <a:noFill/>
                    <a:ln>
                      <a:noFill/>
                    </a:ln>
                  </pic:spPr>
                </pic:pic>
              </a:graphicData>
            </a:graphic>
          </wp:inline>
        </w:drawing>
      </w:r>
    </w:p>
    <w:p w14:paraId="4A0E9521">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cs="Times New Roman"/>
          <w:color w:val="auto"/>
          <w:highlight w:val="none"/>
        </w:rPr>
      </w:pPr>
    </w:p>
    <w:p w14:paraId="3B644826">
      <w:pPr>
        <w:keepNext w:val="0"/>
        <w:keepLines w:val="0"/>
        <w:pageBreakBefore w:val="0"/>
        <w:widowControl w:val="0"/>
        <w:kinsoku/>
        <w:wordWrap/>
        <w:overflowPunct/>
        <w:topLinePunct w:val="0"/>
        <w:autoSpaceDE/>
        <w:autoSpaceDN/>
        <w:bidi w:val="0"/>
        <w:adjustRightInd w:val="0"/>
        <w:snapToGrid w:val="0"/>
        <w:ind w:firstLine="0" w:firstLineChars="0"/>
        <w:jc w:val="left"/>
        <w:textAlignment w:val="auto"/>
        <w:outlineLvl w:val="0"/>
        <w:rPr>
          <w:rFonts w:hint="default" w:ascii="Times New Roman" w:hAnsi="Times New Roman" w:eastAsia="宋体" w:cs="Times New Roman"/>
          <w:b/>
          <w:bCs w:val="0"/>
          <w:color w:val="auto"/>
          <w:highlight w:val="none"/>
          <w:lang w:val="en-US" w:eastAsia="zh-CN"/>
        </w:rPr>
      </w:pPr>
      <w:bookmarkStart w:id="38" w:name="_Toc19381"/>
      <w:r>
        <w:rPr>
          <w:rFonts w:hint="eastAsia" w:ascii="Times New Roman" w:hAnsi="Times New Roman" w:eastAsia="宋体" w:cs="Times New Roman"/>
          <w:b/>
          <w:bCs w:val="0"/>
          <w:color w:val="auto"/>
          <w:highlight w:val="none"/>
          <w:lang w:val="en-US" w:eastAsia="zh-CN"/>
        </w:rPr>
        <w:t>附件1</w:t>
      </w:r>
      <w:r>
        <w:rPr>
          <w:rFonts w:hint="eastAsia" w:ascii="Times New Roman" w:hAnsi="Times New Roman" w:cs="Times New Roman"/>
          <w:b/>
          <w:bCs w:val="0"/>
          <w:color w:val="auto"/>
          <w:highlight w:val="none"/>
          <w:lang w:val="en-US" w:eastAsia="zh-CN"/>
        </w:rPr>
        <w:t>1</w:t>
      </w:r>
      <w:r>
        <w:rPr>
          <w:rFonts w:hint="eastAsia" w:ascii="Times New Roman" w:hAnsi="Times New Roman" w:eastAsia="宋体" w:cs="Times New Roman"/>
          <w:b/>
          <w:bCs w:val="0"/>
          <w:color w:val="auto"/>
          <w:highlight w:val="none"/>
          <w:lang w:val="en-US" w:eastAsia="zh-CN"/>
        </w:rPr>
        <w:t xml:space="preserve"> 不动产权证</w:t>
      </w:r>
      <w:bookmarkEnd w:id="38"/>
    </w:p>
    <w:p w14:paraId="76282294">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color w:val="auto"/>
          <w:highlight w:val="none"/>
        </w:rPr>
        <w:sectPr>
          <w:pgSz w:w="16838" w:h="11906" w:orient="landscape"/>
          <w:pgMar w:top="567" w:right="567" w:bottom="567" w:left="567"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color w:val="auto"/>
          <w:highlight w:val="none"/>
        </w:rPr>
        <w:drawing>
          <wp:inline distT="0" distB="0" distL="114300" distR="114300">
            <wp:extent cx="9197975" cy="5496560"/>
            <wp:effectExtent l="0" t="0" r="3175" b="8890"/>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88"/>
                    <a:stretch>
                      <a:fillRect/>
                    </a:stretch>
                  </pic:blipFill>
                  <pic:spPr>
                    <a:xfrm>
                      <a:off x="0" y="0"/>
                      <a:ext cx="9197975" cy="5496560"/>
                    </a:xfrm>
                    <a:prstGeom prst="rect">
                      <a:avLst/>
                    </a:prstGeom>
                    <a:noFill/>
                    <a:ln>
                      <a:noFill/>
                    </a:ln>
                  </pic:spPr>
                </pic:pic>
              </a:graphicData>
            </a:graphic>
          </wp:inline>
        </w:drawing>
      </w:r>
    </w:p>
    <w:p w14:paraId="581E6FA2">
      <w:pPr>
        <w:keepNext w:val="0"/>
        <w:keepLines w:val="0"/>
        <w:pageBreakBefore w:val="0"/>
        <w:widowControl w:val="0"/>
        <w:kinsoku/>
        <w:wordWrap/>
        <w:overflowPunct/>
        <w:topLinePunct w:val="0"/>
        <w:autoSpaceDE/>
        <w:autoSpaceDN/>
        <w:bidi w:val="0"/>
        <w:adjustRightInd w:val="0"/>
        <w:snapToGrid w:val="0"/>
        <w:ind w:firstLine="0" w:firstLineChars="0"/>
        <w:jc w:val="left"/>
        <w:textAlignment w:val="auto"/>
        <w:outlineLvl w:val="0"/>
        <w:rPr>
          <w:rFonts w:hint="default" w:ascii="Times New Roman" w:hAnsi="Times New Roman" w:eastAsia="宋体" w:cs="Times New Roman"/>
          <w:b/>
          <w:bCs w:val="0"/>
          <w:color w:val="auto"/>
          <w:highlight w:val="none"/>
          <w:lang w:val="en-US" w:eastAsia="zh-CN"/>
        </w:rPr>
      </w:pPr>
      <w:bookmarkStart w:id="39" w:name="_Toc2332"/>
      <w:r>
        <w:rPr>
          <w:rFonts w:hint="eastAsia" w:ascii="Times New Roman" w:hAnsi="Times New Roman" w:eastAsia="宋体" w:cs="Times New Roman"/>
          <w:b/>
          <w:bCs w:val="0"/>
          <w:color w:val="auto"/>
          <w:highlight w:val="none"/>
          <w:lang w:val="en-US" w:eastAsia="zh-CN"/>
        </w:rPr>
        <w:t>附件1</w:t>
      </w:r>
      <w:r>
        <w:rPr>
          <w:rFonts w:hint="eastAsia" w:ascii="Times New Roman" w:hAnsi="Times New Roman" w:cs="Times New Roman"/>
          <w:b/>
          <w:bCs w:val="0"/>
          <w:color w:val="auto"/>
          <w:highlight w:val="none"/>
          <w:lang w:val="en-US" w:eastAsia="zh-CN"/>
        </w:rPr>
        <w:t>2</w:t>
      </w:r>
      <w:r>
        <w:rPr>
          <w:rFonts w:hint="eastAsia" w:ascii="Times New Roman" w:hAnsi="Times New Roman" w:eastAsia="宋体" w:cs="Times New Roman"/>
          <w:b/>
          <w:bCs w:val="0"/>
          <w:color w:val="auto"/>
          <w:highlight w:val="none"/>
          <w:lang w:val="en-US" w:eastAsia="zh-CN"/>
        </w:rPr>
        <w:t xml:space="preserve"> 城子河医院关于申请自行供热的请示</w:t>
      </w:r>
      <w:bookmarkEnd w:id="39"/>
    </w:p>
    <w:p w14:paraId="0B6EE852">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color w:val="auto"/>
          <w:highlight w:val="none"/>
        </w:rPr>
      </w:pPr>
      <w:r>
        <w:rPr>
          <w:color w:val="auto"/>
          <w:highlight w:val="none"/>
        </w:rPr>
        <w:drawing>
          <wp:inline distT="0" distB="0" distL="114300" distR="114300">
            <wp:extent cx="5467350" cy="7734300"/>
            <wp:effectExtent l="0" t="0" r="0" b="0"/>
            <wp:docPr id="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pic:cNvPicPr>
                      <a:picLocks noChangeAspect="1"/>
                    </pic:cNvPicPr>
                  </pic:nvPicPr>
                  <pic:blipFill>
                    <a:blip r:embed="rId89"/>
                    <a:stretch>
                      <a:fillRect/>
                    </a:stretch>
                  </pic:blipFill>
                  <pic:spPr>
                    <a:xfrm>
                      <a:off x="0" y="0"/>
                      <a:ext cx="5467350" cy="7734300"/>
                    </a:xfrm>
                    <a:prstGeom prst="rect">
                      <a:avLst/>
                    </a:prstGeom>
                    <a:noFill/>
                    <a:ln>
                      <a:noFill/>
                    </a:ln>
                  </pic:spPr>
                </pic:pic>
              </a:graphicData>
            </a:graphic>
          </wp:inline>
        </w:drawing>
      </w:r>
    </w:p>
    <w:p w14:paraId="23CFA500">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color w:val="auto"/>
          <w:highlight w:val="none"/>
        </w:rPr>
      </w:pPr>
    </w:p>
    <w:p w14:paraId="5E163BC0">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color w:val="auto"/>
          <w:highlight w:val="none"/>
        </w:rPr>
      </w:pPr>
    </w:p>
    <w:p w14:paraId="30C9B284">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color w:val="auto"/>
          <w:highlight w:val="none"/>
        </w:rPr>
      </w:pPr>
    </w:p>
    <w:p w14:paraId="642F501B">
      <w:pPr>
        <w:keepNext w:val="0"/>
        <w:keepLines w:val="0"/>
        <w:pageBreakBefore w:val="0"/>
        <w:widowControl w:val="0"/>
        <w:kinsoku/>
        <w:wordWrap/>
        <w:overflowPunct/>
        <w:topLinePunct w:val="0"/>
        <w:autoSpaceDE/>
        <w:autoSpaceDN/>
        <w:bidi w:val="0"/>
        <w:adjustRightInd w:val="0"/>
        <w:snapToGrid w:val="0"/>
        <w:ind w:firstLine="0" w:firstLineChars="0"/>
        <w:jc w:val="left"/>
        <w:textAlignment w:val="auto"/>
        <w:outlineLvl w:val="0"/>
        <w:rPr>
          <w:rFonts w:hint="eastAsia" w:ascii="Times New Roman" w:hAnsi="Times New Roman" w:eastAsia="宋体" w:cs="Times New Roman"/>
          <w:b/>
          <w:bCs w:val="0"/>
          <w:color w:val="auto"/>
          <w:highlight w:val="none"/>
          <w:lang w:val="en-US" w:eastAsia="zh-CN"/>
        </w:rPr>
      </w:pPr>
      <w:bookmarkStart w:id="40" w:name="_Toc18582"/>
      <w:r>
        <w:rPr>
          <w:rFonts w:hint="eastAsia" w:ascii="Times New Roman" w:hAnsi="Times New Roman" w:eastAsia="宋体" w:cs="Times New Roman"/>
          <w:b/>
          <w:bCs w:val="0"/>
          <w:color w:val="auto"/>
          <w:highlight w:val="none"/>
          <w:lang w:val="en-US" w:eastAsia="zh-CN"/>
        </w:rPr>
        <w:t>附件1</w:t>
      </w:r>
      <w:r>
        <w:rPr>
          <w:rFonts w:hint="eastAsia" w:ascii="Times New Roman" w:hAnsi="Times New Roman" w:cs="Times New Roman"/>
          <w:b/>
          <w:bCs w:val="0"/>
          <w:color w:val="auto"/>
          <w:highlight w:val="none"/>
          <w:lang w:val="en-US" w:eastAsia="zh-CN"/>
        </w:rPr>
        <w:t>3</w:t>
      </w:r>
      <w:r>
        <w:rPr>
          <w:rFonts w:hint="eastAsia" w:ascii="Times New Roman" w:hAnsi="Times New Roman" w:eastAsia="宋体" w:cs="Times New Roman"/>
          <w:b/>
          <w:bCs w:val="0"/>
          <w:color w:val="auto"/>
          <w:highlight w:val="none"/>
          <w:lang w:val="en-US" w:eastAsia="zh-CN"/>
        </w:rPr>
        <w:t xml:space="preserve"> 关于鸡西鸡矿医院有限公司城子河医院供热问题的说明</w:t>
      </w:r>
      <w:bookmarkEnd w:id="40"/>
    </w:p>
    <w:p w14:paraId="0EBE55E0">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color w:val="auto"/>
          <w:highlight w:val="none"/>
          <w:lang w:val="en-US" w:eastAsia="zh-CN"/>
        </w:rPr>
      </w:pPr>
      <w:r>
        <w:rPr>
          <w:color w:val="auto"/>
          <w:highlight w:val="none"/>
        </w:rPr>
        <w:drawing>
          <wp:inline distT="0" distB="0" distL="114300" distR="114300">
            <wp:extent cx="5057775" cy="7258050"/>
            <wp:effectExtent l="0" t="0" r="952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90"/>
                    <a:stretch>
                      <a:fillRect/>
                    </a:stretch>
                  </pic:blipFill>
                  <pic:spPr>
                    <a:xfrm>
                      <a:off x="0" y="0"/>
                      <a:ext cx="5057775" cy="7258050"/>
                    </a:xfrm>
                    <a:prstGeom prst="rect">
                      <a:avLst/>
                    </a:prstGeom>
                    <a:noFill/>
                    <a:ln>
                      <a:noFill/>
                    </a:ln>
                  </pic:spPr>
                </pic:pic>
              </a:graphicData>
            </a:graphic>
          </wp:inline>
        </w:drawing>
      </w:r>
    </w:p>
    <w:sectPr>
      <w:pgSz w:w="11906" w:h="16838"/>
      <w:pgMar w:top="567" w:right="567" w:bottom="567" w:left="567" w:header="851" w:footer="992" w:gutter="0"/>
      <w:pgBorders w:offsetFrom="page">
        <w:top w:val="none" w:sz="0" w:space="0"/>
        <w:left w:val="none" w:sz="0" w:space="0"/>
        <w:bottom w:val="none" w:sz="0" w:space="0"/>
        <w:right w:val="none" w:sz="0" w:space="0"/>
      </w:pgBorders>
      <w:pgNumType w:fmt="decimal"/>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modern"/>
    <w:pitch w:val="default"/>
    <w:sig w:usb0="00000001" w:usb1="080E0000" w:usb2="00000000" w:usb3="00000000" w:csb0="00040000" w:csb1="00000000"/>
    <w:embedRegular r:id="rId1" w:fontKey="{468C4078-9574-47EA-90CD-FACBEBB76BF1}"/>
  </w:font>
  <w:font w:name="华文宋体">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Wingdings 2">
    <w:panose1 w:val="05020102010507070707"/>
    <w:charset w:val="02"/>
    <w:family w:val="auto"/>
    <w:pitch w:val="default"/>
    <w:sig w:usb0="00000000" w:usb1="00000000" w:usb2="00000000" w:usb3="00000000" w:csb0="80000000" w:csb1="00000000"/>
    <w:embedRegular r:id="rId2" w:fontKey="{93B6333E-232E-444D-95B6-53B1C136E079}"/>
  </w:font>
  <w:font w:name="方正书宋_GBK">
    <w:panose1 w:val="02000000000000000000"/>
    <w:charset w:val="86"/>
    <w:family w:val="auto"/>
    <w:pitch w:val="default"/>
    <w:sig w:usb0="A00002BF" w:usb1="38CF7CFA" w:usb2="00082016" w:usb3="00000000" w:csb0="00040001" w:csb1="00000000"/>
    <w:embedRegular r:id="rId3" w:fontKey="{12E3F68D-5278-48FC-8D31-6AB0367EADD1}"/>
  </w:font>
  <w:font w:name="WPSEMBED5">
    <w:panose1 w:val="02010609030101010101"/>
    <w:charset w:val="86"/>
    <w:family w:val="auto"/>
    <w:pitch w:val="default"/>
    <w:sig w:usb0="00000001" w:usb1="080E0000" w:usb2="00000000" w:usb3="00000000" w:csb0="00040000" w:csb1="00000000"/>
  </w:font>
  <w:font w:name="WPSEMBED6">
    <w:panose1 w:val="02000000000000000000"/>
    <w:charset w:val="86"/>
    <w:family w:val="auto"/>
    <w:pitch w:val="default"/>
    <w:sig w:usb0="A00002BF" w:usb1="38CF7CFA" w:usb2="00082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AB77F3">
    <w:pPr>
      <w:pStyle w:val="20"/>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8330D5">
    <w:pPr>
      <w:pStyle w:val="20"/>
      <w:ind w:firstLine="360"/>
      <w:rPr>
        <w:rStyle w:val="39"/>
      </w:rPr>
    </w:pPr>
    <w:r>
      <w:fldChar w:fldCharType="begin"/>
    </w:r>
    <w:r>
      <w:rPr>
        <w:rStyle w:val="39"/>
      </w:rPr>
      <w:instrText xml:space="preserve">PAGE  </w:instrText>
    </w:r>
    <w:r>
      <w:fldChar w:fldCharType="end"/>
    </w:r>
  </w:p>
  <w:p w14:paraId="1894CB62">
    <w:pPr>
      <w:pStyle w:val="2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8F6580">
    <w:pPr>
      <w:pStyle w:val="2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75358C">
    <w:pPr>
      <w:pStyle w:val="20"/>
      <w:ind w:firstLine="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0DE2417">
                          <w:pPr>
                            <w:pStyle w:val="20"/>
                          </w:pPr>
                          <w:r>
                            <w:fldChar w:fldCharType="begin"/>
                          </w:r>
                          <w:r>
                            <w:instrText xml:space="preserve"> PAGE  \* MERGEFORMAT </w:instrText>
                          </w:r>
                          <w:r>
                            <w:fldChar w:fldCharType="separate"/>
                          </w:r>
                          <w:r>
                            <w:t>1</w:t>
                          </w:r>
                          <w:r>
                            <w:fldChar w:fldCharType="end"/>
                          </w:r>
                        </w:p>
                      </w:txbxContent>
                    </wps:txbx>
                    <wps:bodyPr vert="horz" wrap="none" lIns="0" tIns="0" rIns="0" bIns="0" anchor="t" anchorCtr="0" upright="0">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AxnsAu3gEAAL8DAAAOAAAAAAAA&#10;AAEAIAAAAB4BAABkcnMvZTJvRG9jLnhtbFBLBQYAAAAABgAGAFkBAABuBQAAAAA=&#10;">
              <v:fill on="f" focussize="0,0"/>
              <v:stroke on="f"/>
              <v:imagedata o:title=""/>
              <o:lock v:ext="edit" aspectratio="f"/>
              <v:textbox inset="0mm,0mm,0mm,0mm" style="mso-fit-shape-to-text:t;">
                <w:txbxContent>
                  <w:p w14:paraId="60DE2417">
                    <w:pPr>
                      <w:pStyle w:val="2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B346B0">
    <w:pPr>
      <w:pStyle w:val="20"/>
      <w:ind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9"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71DAE5A">
                          <w:pPr>
                            <w:pStyle w:val="20"/>
                          </w:pPr>
                          <w:r>
                            <w:fldChar w:fldCharType="begin"/>
                          </w:r>
                          <w:r>
                            <w:instrText xml:space="preserve"> PAGE  \* MERGEFORMAT </w:instrText>
                          </w:r>
                          <w:r>
                            <w:fldChar w:fldCharType="separate"/>
                          </w:r>
                          <w:r>
                            <w:t>68</w:t>
                          </w:r>
                          <w:r>
                            <w:fldChar w:fldCharType="end"/>
                          </w:r>
                        </w:p>
                      </w:txbxContent>
                    </wps:txbx>
                    <wps:bodyPr vert="horz" wrap="none" lIns="0" tIns="0" rIns="0" bIns="0" anchor="t" anchorCtr="0" upright="0">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BEQoPP3gEAAL8DAAAOAAAAAAAA&#10;AAEAIAAAAB4BAABkcnMvZTJvRG9jLnhtbFBLBQYAAAAABgAGAFkBAABuBQAAAAA=&#10;">
              <v:fill on="f" focussize="0,0"/>
              <v:stroke on="f"/>
              <v:imagedata o:title=""/>
              <o:lock v:ext="edit" aspectratio="f"/>
              <v:textbox inset="0mm,0mm,0mm,0mm" style="mso-fit-shape-to-text:t;">
                <w:txbxContent>
                  <w:p w14:paraId="171DAE5A">
                    <w:pPr>
                      <w:pStyle w:val="20"/>
                    </w:pPr>
                    <w:r>
                      <w:fldChar w:fldCharType="begin"/>
                    </w:r>
                    <w:r>
                      <w:instrText xml:space="preserve"> PAGE  \* MERGEFORMAT </w:instrText>
                    </w:r>
                    <w:r>
                      <w:fldChar w:fldCharType="separate"/>
                    </w:r>
                    <w:r>
                      <w:t>68</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7B6BD1">
    <w:pPr>
      <w:pStyle w:val="20"/>
      <w:ind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FFAE354">
                          <w:pPr>
                            <w:pStyle w:val="20"/>
                          </w:pPr>
                          <w:r>
                            <w:fldChar w:fldCharType="begin"/>
                          </w:r>
                          <w:r>
                            <w:instrText xml:space="preserve"> PAGE  \* MERGEFORMAT </w:instrText>
                          </w:r>
                          <w:r>
                            <w:fldChar w:fldCharType="separate"/>
                          </w:r>
                          <w:r>
                            <w:t>70</w:t>
                          </w:r>
                          <w:r>
                            <w:fldChar w:fldCharType="end"/>
                          </w:r>
                        </w:p>
                      </w:txbxContent>
                    </wps:txbx>
                    <wps:bodyPr vert="horz" wrap="none" lIns="0" tIns="0" rIns="0" bIns="0" anchor="t" anchorCtr="0" upright="0">
                      <a:spAutoFit/>
                    </wps:bodyPr>
                  </wps:wsp>
                </a:graphicData>
              </a:graphic>
            </wp:anchor>
          </w:drawing>
        </mc:Choice>
        <mc:Fallback>
          <w:pict>
            <v:shape id="文本框 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C1pUC83gEAAL8DAAAOAAAAAAAA&#10;AAEAIAAAAB4BAABkcnMvZTJvRG9jLnhtbFBLBQYAAAAABgAGAFkBAABuBQAAAAA=&#10;">
              <v:fill on="f" focussize="0,0"/>
              <v:stroke on="f"/>
              <v:imagedata o:title=""/>
              <o:lock v:ext="edit" aspectratio="f"/>
              <v:textbox inset="0mm,0mm,0mm,0mm" style="mso-fit-shape-to-text:t;">
                <w:txbxContent>
                  <w:p w14:paraId="3FFAE354">
                    <w:pPr>
                      <w:pStyle w:val="20"/>
                    </w:pPr>
                    <w:r>
                      <w:fldChar w:fldCharType="begin"/>
                    </w:r>
                    <w:r>
                      <w:instrText xml:space="preserve"> PAGE  \* MERGEFORMAT </w:instrText>
                    </w:r>
                    <w:r>
                      <w:fldChar w:fldCharType="separate"/>
                    </w:r>
                    <w:r>
                      <w:t>70</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47044F">
    <w:pPr>
      <w:pStyle w:val="20"/>
      <w:ind w:firstLine="36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1"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23EB845">
                          <w:pPr>
                            <w:pStyle w:val="20"/>
                          </w:pPr>
                          <w:r>
                            <w:fldChar w:fldCharType="begin"/>
                          </w:r>
                          <w:r>
                            <w:instrText xml:space="preserve"> PAGE  \* MERGEFORMAT </w:instrText>
                          </w:r>
                          <w:r>
                            <w:fldChar w:fldCharType="separate"/>
                          </w:r>
                          <w:r>
                            <w:t>97</w:t>
                          </w:r>
                          <w:r>
                            <w:fldChar w:fldCharType="end"/>
                          </w:r>
                        </w:p>
                      </w:txbxContent>
                    </wps:txbx>
                    <wps:bodyPr vert="horz" wrap="none" lIns="0" tIns="0" rIns="0" bIns="0" anchor="t" anchorCtr="0" upright="0">
                      <a:spAutoFit/>
                    </wps:bodyPr>
                  </wps:wsp>
                </a:graphicData>
              </a:graphic>
            </wp:anchor>
          </w:drawing>
        </mc:Choice>
        <mc:Fallback>
          <w:pict>
            <v:shape id="文本框 7"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wHkDXd8BAAC/AwAADgAAAAAA&#10;AAABACAAAAAeAQAAZHJzL2Uyb0RvYy54bWxQSwUGAAAAAAYABgBZAQAAbwUAAAAA&#10;">
              <v:fill on="f" focussize="0,0"/>
              <v:stroke on="f"/>
              <v:imagedata o:title=""/>
              <o:lock v:ext="edit" aspectratio="f"/>
              <v:textbox inset="0mm,0mm,0mm,0mm" style="mso-fit-shape-to-text:t;">
                <w:txbxContent>
                  <w:p w14:paraId="523EB845">
                    <w:pPr>
                      <w:pStyle w:val="20"/>
                    </w:pPr>
                    <w:r>
                      <w:fldChar w:fldCharType="begin"/>
                    </w:r>
                    <w:r>
                      <w:instrText xml:space="preserve"> PAGE  \* MERGEFORMAT </w:instrText>
                    </w:r>
                    <w:r>
                      <w:fldChar w:fldCharType="separate"/>
                    </w:r>
                    <w:r>
                      <w:t>97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6F9877">
    <w:pPr>
      <w:ind w:firstLine="0" w:firstLineChars="0"/>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BCC333">
    <w:pPr>
      <w:pStyle w:val="21"/>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D86850">
    <w:pPr>
      <w:pStyle w:val="21"/>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E96FBC"/>
    <w:multiLevelType w:val="singleLevel"/>
    <w:tmpl w:val="88E96FBC"/>
    <w:lvl w:ilvl="0" w:tentative="0">
      <w:start w:val="1"/>
      <w:numFmt w:val="decimal"/>
      <w:suff w:val="nothing"/>
      <w:lvlText w:val="（%1）"/>
      <w:lvlJc w:val="left"/>
    </w:lvl>
  </w:abstractNum>
  <w:abstractNum w:abstractNumId="1">
    <w:nsid w:val="B072D955"/>
    <w:multiLevelType w:val="singleLevel"/>
    <w:tmpl w:val="B072D955"/>
    <w:lvl w:ilvl="0" w:tentative="0">
      <w:start w:val="1"/>
      <w:numFmt w:val="bullet"/>
      <w:pStyle w:val="7"/>
      <w:lvlText w:val=""/>
      <w:lvlJc w:val="left"/>
      <w:pPr>
        <w:tabs>
          <w:tab w:val="left" w:pos="360"/>
        </w:tabs>
        <w:ind w:left="360" w:hanging="360"/>
      </w:pPr>
      <w:rPr>
        <w:rFonts w:hint="default" w:ascii="Wingdings" w:hAnsi="Wingdings"/>
      </w:rPr>
    </w:lvl>
  </w:abstractNum>
  <w:abstractNum w:abstractNumId="2">
    <w:nsid w:val="0E5D6063"/>
    <w:multiLevelType w:val="singleLevel"/>
    <w:tmpl w:val="0E5D6063"/>
    <w:lvl w:ilvl="0" w:tentative="0">
      <w:start w:val="1"/>
      <w:numFmt w:val="bullet"/>
      <w:pStyle w:val="16"/>
      <w:lvlText w:val=""/>
      <w:lvlJc w:val="left"/>
      <w:pPr>
        <w:tabs>
          <w:tab w:val="left" w:pos="2040"/>
        </w:tabs>
        <w:ind w:left="2040" w:hanging="360"/>
      </w:pPr>
      <w:rPr>
        <w:rFonts w:hint="default" w:ascii="Wingdings" w:hAnsi="Wingdings"/>
      </w:rPr>
    </w:lvl>
  </w:abstractNum>
  <w:abstractNum w:abstractNumId="3">
    <w:nsid w:val="2FBC2613"/>
    <w:multiLevelType w:val="singleLevel"/>
    <w:tmpl w:val="2FBC2613"/>
    <w:lvl w:ilvl="0" w:tentative="0">
      <w:start w:val="1"/>
      <w:numFmt w:val="decimal"/>
      <w:suff w:val="nothing"/>
      <w:lvlText w:val="%1、"/>
      <w:lvlJc w:val="left"/>
    </w:lvl>
  </w:abstractNum>
  <w:abstractNum w:abstractNumId="4">
    <w:nsid w:val="4164DA95"/>
    <w:multiLevelType w:val="singleLevel"/>
    <w:tmpl w:val="4164DA95"/>
    <w:lvl w:ilvl="0" w:tentative="0">
      <w:start w:val="1"/>
      <w:numFmt w:val="decimal"/>
      <w:suff w:val="nothing"/>
      <w:lvlText w:val="（%1）"/>
      <w:lvlJc w:val="left"/>
    </w:lvl>
  </w:abstractNum>
  <w:abstractNum w:abstractNumId="5">
    <w:nsid w:val="524A8F44"/>
    <w:multiLevelType w:val="singleLevel"/>
    <w:tmpl w:val="524A8F44"/>
    <w:lvl w:ilvl="0" w:tentative="0">
      <w:start w:val="1"/>
      <w:numFmt w:val="decimal"/>
      <w:suff w:val="nothing"/>
      <w:lvlText w:val="%1、"/>
      <w:lvlJc w:val="left"/>
    </w:lvl>
  </w:abstractNum>
  <w:num w:numId="1">
    <w:abstractNumId w:val="1"/>
  </w:num>
  <w:num w:numId="2">
    <w:abstractNumId w:val="2"/>
  </w:num>
  <w:num w:numId="3">
    <w:abstractNumId w:val="0"/>
  </w:num>
  <w:num w:numId="4">
    <w:abstractNumId w:val="3"/>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k2MDNiMDNlYTVkZmQxMmFlNzdhMzZiYjJlOTlmM2UifQ=="/>
  </w:docVars>
  <w:rsids>
    <w:rsidRoot w:val="00172A27"/>
    <w:rsid w:val="00003236"/>
    <w:rsid w:val="000060B3"/>
    <w:rsid w:val="000172C8"/>
    <w:rsid w:val="00024231"/>
    <w:rsid w:val="00037513"/>
    <w:rsid w:val="0004364B"/>
    <w:rsid w:val="00061B1F"/>
    <w:rsid w:val="00072469"/>
    <w:rsid w:val="000733C4"/>
    <w:rsid w:val="00073ECC"/>
    <w:rsid w:val="00074783"/>
    <w:rsid w:val="0008070B"/>
    <w:rsid w:val="000810AC"/>
    <w:rsid w:val="00081A02"/>
    <w:rsid w:val="00082231"/>
    <w:rsid w:val="00086069"/>
    <w:rsid w:val="00087265"/>
    <w:rsid w:val="00091AC5"/>
    <w:rsid w:val="00092D38"/>
    <w:rsid w:val="0009352F"/>
    <w:rsid w:val="0009377B"/>
    <w:rsid w:val="000A20C9"/>
    <w:rsid w:val="000A29AF"/>
    <w:rsid w:val="000B058F"/>
    <w:rsid w:val="000B4467"/>
    <w:rsid w:val="000B4DB9"/>
    <w:rsid w:val="000C09AC"/>
    <w:rsid w:val="000C2B13"/>
    <w:rsid w:val="000C767F"/>
    <w:rsid w:val="000D5A44"/>
    <w:rsid w:val="000E3ED2"/>
    <w:rsid w:val="00114652"/>
    <w:rsid w:val="001203E5"/>
    <w:rsid w:val="00124346"/>
    <w:rsid w:val="00130C7C"/>
    <w:rsid w:val="00131F42"/>
    <w:rsid w:val="001357F1"/>
    <w:rsid w:val="00140FA8"/>
    <w:rsid w:val="00142FEB"/>
    <w:rsid w:val="00143A2D"/>
    <w:rsid w:val="00145A41"/>
    <w:rsid w:val="00151675"/>
    <w:rsid w:val="0015218A"/>
    <w:rsid w:val="00157435"/>
    <w:rsid w:val="00171932"/>
    <w:rsid w:val="00173291"/>
    <w:rsid w:val="00173B58"/>
    <w:rsid w:val="0017504D"/>
    <w:rsid w:val="0017671A"/>
    <w:rsid w:val="00177422"/>
    <w:rsid w:val="00184590"/>
    <w:rsid w:val="001870D1"/>
    <w:rsid w:val="0018781E"/>
    <w:rsid w:val="0019262D"/>
    <w:rsid w:val="00194BAF"/>
    <w:rsid w:val="001A01DE"/>
    <w:rsid w:val="001A190C"/>
    <w:rsid w:val="001A1B35"/>
    <w:rsid w:val="001A48A2"/>
    <w:rsid w:val="001A6F61"/>
    <w:rsid w:val="001B72B8"/>
    <w:rsid w:val="001C2B13"/>
    <w:rsid w:val="001C69B3"/>
    <w:rsid w:val="001D4F2B"/>
    <w:rsid w:val="001D5595"/>
    <w:rsid w:val="001D6C8B"/>
    <w:rsid w:val="001D7874"/>
    <w:rsid w:val="001D7F22"/>
    <w:rsid w:val="001F0F17"/>
    <w:rsid w:val="001F3347"/>
    <w:rsid w:val="001F69E4"/>
    <w:rsid w:val="001F6BD8"/>
    <w:rsid w:val="00201541"/>
    <w:rsid w:val="00205F31"/>
    <w:rsid w:val="002125B4"/>
    <w:rsid w:val="00213BDC"/>
    <w:rsid w:val="002155B8"/>
    <w:rsid w:val="00215FA6"/>
    <w:rsid w:val="00224839"/>
    <w:rsid w:val="002249B2"/>
    <w:rsid w:val="00226574"/>
    <w:rsid w:val="002278EC"/>
    <w:rsid w:val="00227F55"/>
    <w:rsid w:val="00230302"/>
    <w:rsid w:val="0023280E"/>
    <w:rsid w:val="002377D1"/>
    <w:rsid w:val="002467D9"/>
    <w:rsid w:val="002506BC"/>
    <w:rsid w:val="00253944"/>
    <w:rsid w:val="00254345"/>
    <w:rsid w:val="002602ED"/>
    <w:rsid w:val="00264557"/>
    <w:rsid w:val="002701D9"/>
    <w:rsid w:val="00276D2E"/>
    <w:rsid w:val="002805AB"/>
    <w:rsid w:val="00280650"/>
    <w:rsid w:val="00284204"/>
    <w:rsid w:val="00285373"/>
    <w:rsid w:val="00287B81"/>
    <w:rsid w:val="00291773"/>
    <w:rsid w:val="0029456E"/>
    <w:rsid w:val="002A168C"/>
    <w:rsid w:val="002A3DC7"/>
    <w:rsid w:val="002B49E2"/>
    <w:rsid w:val="002B4BB2"/>
    <w:rsid w:val="002B7B00"/>
    <w:rsid w:val="002B7C44"/>
    <w:rsid w:val="002C2B17"/>
    <w:rsid w:val="002C5701"/>
    <w:rsid w:val="002C5F61"/>
    <w:rsid w:val="002D0A5A"/>
    <w:rsid w:val="002D3DD0"/>
    <w:rsid w:val="002E1F3A"/>
    <w:rsid w:val="002E298A"/>
    <w:rsid w:val="00301978"/>
    <w:rsid w:val="0030332C"/>
    <w:rsid w:val="003051C2"/>
    <w:rsid w:val="003075BC"/>
    <w:rsid w:val="00310544"/>
    <w:rsid w:val="003120BC"/>
    <w:rsid w:val="00312296"/>
    <w:rsid w:val="00314F0E"/>
    <w:rsid w:val="00321D8E"/>
    <w:rsid w:val="00325928"/>
    <w:rsid w:val="00332863"/>
    <w:rsid w:val="0033350C"/>
    <w:rsid w:val="0033684D"/>
    <w:rsid w:val="00337B42"/>
    <w:rsid w:val="00341B42"/>
    <w:rsid w:val="0034348F"/>
    <w:rsid w:val="003507DF"/>
    <w:rsid w:val="00355E08"/>
    <w:rsid w:val="00356125"/>
    <w:rsid w:val="00356653"/>
    <w:rsid w:val="0035743F"/>
    <w:rsid w:val="00357BE2"/>
    <w:rsid w:val="0036170C"/>
    <w:rsid w:val="00366E0F"/>
    <w:rsid w:val="00373320"/>
    <w:rsid w:val="00373BF2"/>
    <w:rsid w:val="00377D06"/>
    <w:rsid w:val="00381A72"/>
    <w:rsid w:val="00384676"/>
    <w:rsid w:val="00387770"/>
    <w:rsid w:val="00390857"/>
    <w:rsid w:val="003936DF"/>
    <w:rsid w:val="003A4BF3"/>
    <w:rsid w:val="003A5379"/>
    <w:rsid w:val="003B3F2A"/>
    <w:rsid w:val="003B419F"/>
    <w:rsid w:val="003B420D"/>
    <w:rsid w:val="003C6C16"/>
    <w:rsid w:val="003D3E8A"/>
    <w:rsid w:val="003D794D"/>
    <w:rsid w:val="003E3058"/>
    <w:rsid w:val="003E76A9"/>
    <w:rsid w:val="003F0809"/>
    <w:rsid w:val="003F64B8"/>
    <w:rsid w:val="003F6A8C"/>
    <w:rsid w:val="003F755C"/>
    <w:rsid w:val="0040210F"/>
    <w:rsid w:val="00406F01"/>
    <w:rsid w:val="00410556"/>
    <w:rsid w:val="00414D62"/>
    <w:rsid w:val="00416D50"/>
    <w:rsid w:val="00416FD5"/>
    <w:rsid w:val="00417772"/>
    <w:rsid w:val="00420E6A"/>
    <w:rsid w:val="00425A9E"/>
    <w:rsid w:val="00426D6B"/>
    <w:rsid w:val="00431E6C"/>
    <w:rsid w:val="00433CE7"/>
    <w:rsid w:val="00435B20"/>
    <w:rsid w:val="00452738"/>
    <w:rsid w:val="00456091"/>
    <w:rsid w:val="0046290C"/>
    <w:rsid w:val="00466321"/>
    <w:rsid w:val="0047037F"/>
    <w:rsid w:val="00484B9B"/>
    <w:rsid w:val="00485120"/>
    <w:rsid w:val="004855F6"/>
    <w:rsid w:val="0048661E"/>
    <w:rsid w:val="00494670"/>
    <w:rsid w:val="004A3823"/>
    <w:rsid w:val="004B17F3"/>
    <w:rsid w:val="004D38E9"/>
    <w:rsid w:val="004D521E"/>
    <w:rsid w:val="004E6946"/>
    <w:rsid w:val="004F1AD8"/>
    <w:rsid w:val="00500573"/>
    <w:rsid w:val="005034E2"/>
    <w:rsid w:val="005039CB"/>
    <w:rsid w:val="0050558F"/>
    <w:rsid w:val="00505EC0"/>
    <w:rsid w:val="0050615C"/>
    <w:rsid w:val="00506286"/>
    <w:rsid w:val="00510813"/>
    <w:rsid w:val="00511990"/>
    <w:rsid w:val="00511DE0"/>
    <w:rsid w:val="00514870"/>
    <w:rsid w:val="00514B9B"/>
    <w:rsid w:val="00517F02"/>
    <w:rsid w:val="00524303"/>
    <w:rsid w:val="005258A2"/>
    <w:rsid w:val="005276CB"/>
    <w:rsid w:val="00531AF3"/>
    <w:rsid w:val="005401AE"/>
    <w:rsid w:val="00542403"/>
    <w:rsid w:val="00542E07"/>
    <w:rsid w:val="00545424"/>
    <w:rsid w:val="0055447B"/>
    <w:rsid w:val="00554A7B"/>
    <w:rsid w:val="0055572C"/>
    <w:rsid w:val="00556975"/>
    <w:rsid w:val="0056106A"/>
    <w:rsid w:val="005720AE"/>
    <w:rsid w:val="00581B8B"/>
    <w:rsid w:val="0059172E"/>
    <w:rsid w:val="00594D77"/>
    <w:rsid w:val="005969E4"/>
    <w:rsid w:val="005A06B7"/>
    <w:rsid w:val="005A0AAB"/>
    <w:rsid w:val="005A1759"/>
    <w:rsid w:val="005A1FDE"/>
    <w:rsid w:val="005A68A7"/>
    <w:rsid w:val="005B5534"/>
    <w:rsid w:val="005D36AB"/>
    <w:rsid w:val="005D64C9"/>
    <w:rsid w:val="00601B03"/>
    <w:rsid w:val="00617CC3"/>
    <w:rsid w:val="0063331D"/>
    <w:rsid w:val="006352CC"/>
    <w:rsid w:val="006377A6"/>
    <w:rsid w:val="00637A3D"/>
    <w:rsid w:val="006411EF"/>
    <w:rsid w:val="00650B23"/>
    <w:rsid w:val="00660580"/>
    <w:rsid w:val="0066143E"/>
    <w:rsid w:val="006664CF"/>
    <w:rsid w:val="006748B8"/>
    <w:rsid w:val="00677229"/>
    <w:rsid w:val="006775C3"/>
    <w:rsid w:val="00677E69"/>
    <w:rsid w:val="006823FE"/>
    <w:rsid w:val="00687021"/>
    <w:rsid w:val="00691E36"/>
    <w:rsid w:val="0069290A"/>
    <w:rsid w:val="00693724"/>
    <w:rsid w:val="0069775A"/>
    <w:rsid w:val="00697813"/>
    <w:rsid w:val="006A1276"/>
    <w:rsid w:val="006A1809"/>
    <w:rsid w:val="006A22B1"/>
    <w:rsid w:val="006A3EE8"/>
    <w:rsid w:val="006A72BF"/>
    <w:rsid w:val="006B03F2"/>
    <w:rsid w:val="006B37DC"/>
    <w:rsid w:val="006B4F68"/>
    <w:rsid w:val="006B529E"/>
    <w:rsid w:val="006B531E"/>
    <w:rsid w:val="006C0592"/>
    <w:rsid w:val="006C272E"/>
    <w:rsid w:val="006C38F9"/>
    <w:rsid w:val="006C5479"/>
    <w:rsid w:val="006D13B5"/>
    <w:rsid w:val="006D2458"/>
    <w:rsid w:val="006D474F"/>
    <w:rsid w:val="006E12FF"/>
    <w:rsid w:val="006E152D"/>
    <w:rsid w:val="006E37C7"/>
    <w:rsid w:val="006E607E"/>
    <w:rsid w:val="00706C5D"/>
    <w:rsid w:val="007115DC"/>
    <w:rsid w:val="00717AD2"/>
    <w:rsid w:val="00717FC5"/>
    <w:rsid w:val="00732922"/>
    <w:rsid w:val="007465BA"/>
    <w:rsid w:val="00750CCB"/>
    <w:rsid w:val="0075162E"/>
    <w:rsid w:val="00754034"/>
    <w:rsid w:val="00756556"/>
    <w:rsid w:val="007618C4"/>
    <w:rsid w:val="0076736C"/>
    <w:rsid w:val="00767980"/>
    <w:rsid w:val="00770B19"/>
    <w:rsid w:val="0077463F"/>
    <w:rsid w:val="007768C8"/>
    <w:rsid w:val="00781C1D"/>
    <w:rsid w:val="007836EA"/>
    <w:rsid w:val="00784CDA"/>
    <w:rsid w:val="00786642"/>
    <w:rsid w:val="007906C4"/>
    <w:rsid w:val="007940EA"/>
    <w:rsid w:val="007967E8"/>
    <w:rsid w:val="007A2170"/>
    <w:rsid w:val="007A22BF"/>
    <w:rsid w:val="007A3323"/>
    <w:rsid w:val="007B72B8"/>
    <w:rsid w:val="007B7A58"/>
    <w:rsid w:val="007C21B5"/>
    <w:rsid w:val="007C48C5"/>
    <w:rsid w:val="007E4BD2"/>
    <w:rsid w:val="0080071F"/>
    <w:rsid w:val="00801393"/>
    <w:rsid w:val="00802F88"/>
    <w:rsid w:val="0080571F"/>
    <w:rsid w:val="00810CF9"/>
    <w:rsid w:val="00810D80"/>
    <w:rsid w:val="008120B6"/>
    <w:rsid w:val="0081293E"/>
    <w:rsid w:val="00813266"/>
    <w:rsid w:val="00815465"/>
    <w:rsid w:val="00817E9A"/>
    <w:rsid w:val="008232FC"/>
    <w:rsid w:val="008306BD"/>
    <w:rsid w:val="00830B9B"/>
    <w:rsid w:val="00831666"/>
    <w:rsid w:val="00831A80"/>
    <w:rsid w:val="00831ECF"/>
    <w:rsid w:val="00833743"/>
    <w:rsid w:val="008340A4"/>
    <w:rsid w:val="00834AF3"/>
    <w:rsid w:val="00857B54"/>
    <w:rsid w:val="0087135F"/>
    <w:rsid w:val="00872D94"/>
    <w:rsid w:val="00880364"/>
    <w:rsid w:val="00887896"/>
    <w:rsid w:val="00891592"/>
    <w:rsid w:val="00891E9E"/>
    <w:rsid w:val="008A2F68"/>
    <w:rsid w:val="008A48EA"/>
    <w:rsid w:val="008A5AFB"/>
    <w:rsid w:val="008B4FA6"/>
    <w:rsid w:val="008B5282"/>
    <w:rsid w:val="008B7C17"/>
    <w:rsid w:val="008C2D01"/>
    <w:rsid w:val="008C40E6"/>
    <w:rsid w:val="008C6F40"/>
    <w:rsid w:val="008D07DB"/>
    <w:rsid w:val="008D0F7A"/>
    <w:rsid w:val="008D5D1F"/>
    <w:rsid w:val="008D68E4"/>
    <w:rsid w:val="008D734E"/>
    <w:rsid w:val="008E0506"/>
    <w:rsid w:val="008E0CFF"/>
    <w:rsid w:val="008E5D6B"/>
    <w:rsid w:val="008E76F0"/>
    <w:rsid w:val="008E7BB9"/>
    <w:rsid w:val="008F15FE"/>
    <w:rsid w:val="008F2D29"/>
    <w:rsid w:val="008F4057"/>
    <w:rsid w:val="008F5187"/>
    <w:rsid w:val="008F60D8"/>
    <w:rsid w:val="00901125"/>
    <w:rsid w:val="0090239C"/>
    <w:rsid w:val="00902727"/>
    <w:rsid w:val="0090312B"/>
    <w:rsid w:val="0091736D"/>
    <w:rsid w:val="00923AC9"/>
    <w:rsid w:val="00924AE9"/>
    <w:rsid w:val="0093037A"/>
    <w:rsid w:val="0094154D"/>
    <w:rsid w:val="0094714D"/>
    <w:rsid w:val="0095155F"/>
    <w:rsid w:val="00954429"/>
    <w:rsid w:val="009563CE"/>
    <w:rsid w:val="009664C0"/>
    <w:rsid w:val="00976328"/>
    <w:rsid w:val="0097680D"/>
    <w:rsid w:val="00982438"/>
    <w:rsid w:val="0098404C"/>
    <w:rsid w:val="00985283"/>
    <w:rsid w:val="00995992"/>
    <w:rsid w:val="0099684F"/>
    <w:rsid w:val="009A03E5"/>
    <w:rsid w:val="009A0F3B"/>
    <w:rsid w:val="009A0F81"/>
    <w:rsid w:val="009A1BB4"/>
    <w:rsid w:val="009A2628"/>
    <w:rsid w:val="009A3200"/>
    <w:rsid w:val="009B0897"/>
    <w:rsid w:val="009B7BD9"/>
    <w:rsid w:val="009B7EB2"/>
    <w:rsid w:val="009C7DD5"/>
    <w:rsid w:val="009E227D"/>
    <w:rsid w:val="009E5019"/>
    <w:rsid w:val="009F004C"/>
    <w:rsid w:val="009F7B58"/>
    <w:rsid w:val="00A04F1B"/>
    <w:rsid w:val="00A0501B"/>
    <w:rsid w:val="00A14947"/>
    <w:rsid w:val="00A16E83"/>
    <w:rsid w:val="00A22653"/>
    <w:rsid w:val="00A226FF"/>
    <w:rsid w:val="00A32A83"/>
    <w:rsid w:val="00A368DB"/>
    <w:rsid w:val="00A423AA"/>
    <w:rsid w:val="00A44AD2"/>
    <w:rsid w:val="00A53EC6"/>
    <w:rsid w:val="00A55C0F"/>
    <w:rsid w:val="00A60DC3"/>
    <w:rsid w:val="00A70155"/>
    <w:rsid w:val="00A8713F"/>
    <w:rsid w:val="00A90BA1"/>
    <w:rsid w:val="00A91E36"/>
    <w:rsid w:val="00A97A9A"/>
    <w:rsid w:val="00AA0671"/>
    <w:rsid w:val="00AA2531"/>
    <w:rsid w:val="00AB1E09"/>
    <w:rsid w:val="00AB2FA2"/>
    <w:rsid w:val="00AB5330"/>
    <w:rsid w:val="00AB7747"/>
    <w:rsid w:val="00AB7ED2"/>
    <w:rsid w:val="00AC14CE"/>
    <w:rsid w:val="00AC2A56"/>
    <w:rsid w:val="00AD055E"/>
    <w:rsid w:val="00AD47A7"/>
    <w:rsid w:val="00AD7501"/>
    <w:rsid w:val="00AF0CBF"/>
    <w:rsid w:val="00AF257F"/>
    <w:rsid w:val="00AF33CF"/>
    <w:rsid w:val="00AF4D50"/>
    <w:rsid w:val="00AF6179"/>
    <w:rsid w:val="00B00C56"/>
    <w:rsid w:val="00B035C1"/>
    <w:rsid w:val="00B11A0D"/>
    <w:rsid w:val="00B1295A"/>
    <w:rsid w:val="00B207F5"/>
    <w:rsid w:val="00B20A45"/>
    <w:rsid w:val="00B22C5C"/>
    <w:rsid w:val="00B24F30"/>
    <w:rsid w:val="00B257F9"/>
    <w:rsid w:val="00B31ABF"/>
    <w:rsid w:val="00B33BE3"/>
    <w:rsid w:val="00B3768C"/>
    <w:rsid w:val="00B51FDD"/>
    <w:rsid w:val="00B53B5D"/>
    <w:rsid w:val="00B6055E"/>
    <w:rsid w:val="00B62014"/>
    <w:rsid w:val="00B6317D"/>
    <w:rsid w:val="00B7577B"/>
    <w:rsid w:val="00B7723F"/>
    <w:rsid w:val="00B80534"/>
    <w:rsid w:val="00B81ABC"/>
    <w:rsid w:val="00B8433C"/>
    <w:rsid w:val="00B87491"/>
    <w:rsid w:val="00B91D44"/>
    <w:rsid w:val="00BA29E9"/>
    <w:rsid w:val="00BA7142"/>
    <w:rsid w:val="00BB237C"/>
    <w:rsid w:val="00BB41A3"/>
    <w:rsid w:val="00BC32DC"/>
    <w:rsid w:val="00BC35B6"/>
    <w:rsid w:val="00BC65DD"/>
    <w:rsid w:val="00BD1B51"/>
    <w:rsid w:val="00BD3CE6"/>
    <w:rsid w:val="00BD4596"/>
    <w:rsid w:val="00BE1405"/>
    <w:rsid w:val="00BE312D"/>
    <w:rsid w:val="00BF1C20"/>
    <w:rsid w:val="00BF4FB1"/>
    <w:rsid w:val="00C067DE"/>
    <w:rsid w:val="00C10578"/>
    <w:rsid w:val="00C135BC"/>
    <w:rsid w:val="00C15C95"/>
    <w:rsid w:val="00C2170B"/>
    <w:rsid w:val="00C21C33"/>
    <w:rsid w:val="00C23EB9"/>
    <w:rsid w:val="00C2596A"/>
    <w:rsid w:val="00C27537"/>
    <w:rsid w:val="00C328FE"/>
    <w:rsid w:val="00C33507"/>
    <w:rsid w:val="00C42026"/>
    <w:rsid w:val="00C4409D"/>
    <w:rsid w:val="00C44E72"/>
    <w:rsid w:val="00C45A06"/>
    <w:rsid w:val="00C47E5B"/>
    <w:rsid w:val="00C60D54"/>
    <w:rsid w:val="00C61E4B"/>
    <w:rsid w:val="00C64BFF"/>
    <w:rsid w:val="00C704E9"/>
    <w:rsid w:val="00C737BD"/>
    <w:rsid w:val="00C74A45"/>
    <w:rsid w:val="00C763C9"/>
    <w:rsid w:val="00C80057"/>
    <w:rsid w:val="00C80869"/>
    <w:rsid w:val="00C82232"/>
    <w:rsid w:val="00C82913"/>
    <w:rsid w:val="00C859A3"/>
    <w:rsid w:val="00C865A1"/>
    <w:rsid w:val="00C972B1"/>
    <w:rsid w:val="00C976F1"/>
    <w:rsid w:val="00CA2CCE"/>
    <w:rsid w:val="00CA43FD"/>
    <w:rsid w:val="00CA7EF8"/>
    <w:rsid w:val="00CB0014"/>
    <w:rsid w:val="00CB78BF"/>
    <w:rsid w:val="00CC42B3"/>
    <w:rsid w:val="00CC489B"/>
    <w:rsid w:val="00CD2BCD"/>
    <w:rsid w:val="00CD3A4C"/>
    <w:rsid w:val="00CD6220"/>
    <w:rsid w:val="00CE01A3"/>
    <w:rsid w:val="00CE10E9"/>
    <w:rsid w:val="00CE2910"/>
    <w:rsid w:val="00CE47EA"/>
    <w:rsid w:val="00CE5393"/>
    <w:rsid w:val="00CF36BE"/>
    <w:rsid w:val="00CF4CC9"/>
    <w:rsid w:val="00CF6000"/>
    <w:rsid w:val="00D003F3"/>
    <w:rsid w:val="00D00C42"/>
    <w:rsid w:val="00D02137"/>
    <w:rsid w:val="00D02955"/>
    <w:rsid w:val="00D0364F"/>
    <w:rsid w:val="00D06834"/>
    <w:rsid w:val="00D1660E"/>
    <w:rsid w:val="00D2588B"/>
    <w:rsid w:val="00D308ED"/>
    <w:rsid w:val="00D339BE"/>
    <w:rsid w:val="00D36D86"/>
    <w:rsid w:val="00D428AA"/>
    <w:rsid w:val="00D50A34"/>
    <w:rsid w:val="00D53EFA"/>
    <w:rsid w:val="00D553E8"/>
    <w:rsid w:val="00D6190C"/>
    <w:rsid w:val="00D76F9B"/>
    <w:rsid w:val="00D94A7C"/>
    <w:rsid w:val="00D95896"/>
    <w:rsid w:val="00DB2983"/>
    <w:rsid w:val="00DC1257"/>
    <w:rsid w:val="00DC3DC0"/>
    <w:rsid w:val="00DC5B2B"/>
    <w:rsid w:val="00DC5BFC"/>
    <w:rsid w:val="00DD318D"/>
    <w:rsid w:val="00DF252B"/>
    <w:rsid w:val="00DF2E12"/>
    <w:rsid w:val="00DF2F17"/>
    <w:rsid w:val="00DF514A"/>
    <w:rsid w:val="00DF6690"/>
    <w:rsid w:val="00DF6804"/>
    <w:rsid w:val="00E0358D"/>
    <w:rsid w:val="00E04323"/>
    <w:rsid w:val="00E04675"/>
    <w:rsid w:val="00E070A2"/>
    <w:rsid w:val="00E26243"/>
    <w:rsid w:val="00E2656A"/>
    <w:rsid w:val="00E32413"/>
    <w:rsid w:val="00E32DC9"/>
    <w:rsid w:val="00E412D0"/>
    <w:rsid w:val="00E50736"/>
    <w:rsid w:val="00E5141D"/>
    <w:rsid w:val="00E56322"/>
    <w:rsid w:val="00E60982"/>
    <w:rsid w:val="00E60D4F"/>
    <w:rsid w:val="00E61030"/>
    <w:rsid w:val="00E62C62"/>
    <w:rsid w:val="00E63036"/>
    <w:rsid w:val="00E654C1"/>
    <w:rsid w:val="00E65D97"/>
    <w:rsid w:val="00E72A5A"/>
    <w:rsid w:val="00E73354"/>
    <w:rsid w:val="00E778E0"/>
    <w:rsid w:val="00E9242D"/>
    <w:rsid w:val="00E9605A"/>
    <w:rsid w:val="00EA148C"/>
    <w:rsid w:val="00EB0B25"/>
    <w:rsid w:val="00EB0B8D"/>
    <w:rsid w:val="00EB5255"/>
    <w:rsid w:val="00EB5C47"/>
    <w:rsid w:val="00EC5499"/>
    <w:rsid w:val="00ED0639"/>
    <w:rsid w:val="00ED7304"/>
    <w:rsid w:val="00EF4755"/>
    <w:rsid w:val="00EF4F2C"/>
    <w:rsid w:val="00EF7135"/>
    <w:rsid w:val="00F004BA"/>
    <w:rsid w:val="00F027DB"/>
    <w:rsid w:val="00F112EC"/>
    <w:rsid w:val="00F14A7A"/>
    <w:rsid w:val="00F22985"/>
    <w:rsid w:val="00F3383E"/>
    <w:rsid w:val="00F378B6"/>
    <w:rsid w:val="00F465A7"/>
    <w:rsid w:val="00F50B7C"/>
    <w:rsid w:val="00F550E6"/>
    <w:rsid w:val="00F6343B"/>
    <w:rsid w:val="00F64C8E"/>
    <w:rsid w:val="00F74345"/>
    <w:rsid w:val="00F74EF3"/>
    <w:rsid w:val="00F76060"/>
    <w:rsid w:val="00F77E22"/>
    <w:rsid w:val="00F80A0A"/>
    <w:rsid w:val="00F82B19"/>
    <w:rsid w:val="00F9212D"/>
    <w:rsid w:val="00F965DA"/>
    <w:rsid w:val="00FA406A"/>
    <w:rsid w:val="00FB503A"/>
    <w:rsid w:val="00FB516C"/>
    <w:rsid w:val="00FD0236"/>
    <w:rsid w:val="00FD18F4"/>
    <w:rsid w:val="00FD2B06"/>
    <w:rsid w:val="00FD3915"/>
    <w:rsid w:val="00FD54DB"/>
    <w:rsid w:val="00FD619F"/>
    <w:rsid w:val="00FE3760"/>
    <w:rsid w:val="00FF095A"/>
    <w:rsid w:val="00FF68A3"/>
    <w:rsid w:val="010867C9"/>
    <w:rsid w:val="01290F7E"/>
    <w:rsid w:val="01300A27"/>
    <w:rsid w:val="01460A76"/>
    <w:rsid w:val="015D1E09"/>
    <w:rsid w:val="01663F90"/>
    <w:rsid w:val="01666B5F"/>
    <w:rsid w:val="017C59C2"/>
    <w:rsid w:val="01A9280E"/>
    <w:rsid w:val="01B90ABA"/>
    <w:rsid w:val="01CF21B0"/>
    <w:rsid w:val="01DD7B02"/>
    <w:rsid w:val="02064377"/>
    <w:rsid w:val="021A2D94"/>
    <w:rsid w:val="023B2CD8"/>
    <w:rsid w:val="0256613B"/>
    <w:rsid w:val="02697903"/>
    <w:rsid w:val="02995CE7"/>
    <w:rsid w:val="02C22A03"/>
    <w:rsid w:val="02C9569D"/>
    <w:rsid w:val="02E24107"/>
    <w:rsid w:val="02E30E4D"/>
    <w:rsid w:val="02F96569"/>
    <w:rsid w:val="030E3053"/>
    <w:rsid w:val="036850EB"/>
    <w:rsid w:val="0372606E"/>
    <w:rsid w:val="037635EA"/>
    <w:rsid w:val="038F7C57"/>
    <w:rsid w:val="03A339C4"/>
    <w:rsid w:val="03B46A51"/>
    <w:rsid w:val="03BF588C"/>
    <w:rsid w:val="03C017BA"/>
    <w:rsid w:val="03C62363"/>
    <w:rsid w:val="03D07BE1"/>
    <w:rsid w:val="03D1684D"/>
    <w:rsid w:val="03EA7B21"/>
    <w:rsid w:val="03EF5C41"/>
    <w:rsid w:val="04184EE5"/>
    <w:rsid w:val="04285347"/>
    <w:rsid w:val="04454295"/>
    <w:rsid w:val="04741F14"/>
    <w:rsid w:val="04766699"/>
    <w:rsid w:val="047857D5"/>
    <w:rsid w:val="047A4A97"/>
    <w:rsid w:val="04840C27"/>
    <w:rsid w:val="04D203B0"/>
    <w:rsid w:val="04D45D6E"/>
    <w:rsid w:val="04E13EAC"/>
    <w:rsid w:val="04F263D9"/>
    <w:rsid w:val="050302DF"/>
    <w:rsid w:val="05150D0F"/>
    <w:rsid w:val="051C20D1"/>
    <w:rsid w:val="05485182"/>
    <w:rsid w:val="05512885"/>
    <w:rsid w:val="05595109"/>
    <w:rsid w:val="056015BF"/>
    <w:rsid w:val="05AC2477"/>
    <w:rsid w:val="05C14567"/>
    <w:rsid w:val="05D73596"/>
    <w:rsid w:val="05DD7067"/>
    <w:rsid w:val="05F83EAE"/>
    <w:rsid w:val="05FC5C90"/>
    <w:rsid w:val="06091BEB"/>
    <w:rsid w:val="060F5438"/>
    <w:rsid w:val="06215620"/>
    <w:rsid w:val="06371BBC"/>
    <w:rsid w:val="063D54C5"/>
    <w:rsid w:val="063E7D85"/>
    <w:rsid w:val="064236D8"/>
    <w:rsid w:val="06471ACB"/>
    <w:rsid w:val="064D0B68"/>
    <w:rsid w:val="065C17E8"/>
    <w:rsid w:val="06636A09"/>
    <w:rsid w:val="06654933"/>
    <w:rsid w:val="06654AE8"/>
    <w:rsid w:val="068E2C6F"/>
    <w:rsid w:val="069E1A1A"/>
    <w:rsid w:val="06B0795D"/>
    <w:rsid w:val="06BE122C"/>
    <w:rsid w:val="06D87510"/>
    <w:rsid w:val="06DA1C43"/>
    <w:rsid w:val="06F80762"/>
    <w:rsid w:val="070237CC"/>
    <w:rsid w:val="07091CFF"/>
    <w:rsid w:val="07246295"/>
    <w:rsid w:val="07260B5E"/>
    <w:rsid w:val="07293586"/>
    <w:rsid w:val="07295285"/>
    <w:rsid w:val="073F33A8"/>
    <w:rsid w:val="074A6A54"/>
    <w:rsid w:val="07636392"/>
    <w:rsid w:val="076A6353"/>
    <w:rsid w:val="076A7D33"/>
    <w:rsid w:val="0776775C"/>
    <w:rsid w:val="07770C56"/>
    <w:rsid w:val="077D1FAE"/>
    <w:rsid w:val="07BB4CCE"/>
    <w:rsid w:val="07E31BCF"/>
    <w:rsid w:val="07EB4288"/>
    <w:rsid w:val="07F8081C"/>
    <w:rsid w:val="08030D99"/>
    <w:rsid w:val="080B2D42"/>
    <w:rsid w:val="081748E2"/>
    <w:rsid w:val="081E77D0"/>
    <w:rsid w:val="08402FB0"/>
    <w:rsid w:val="0891753F"/>
    <w:rsid w:val="089E4348"/>
    <w:rsid w:val="08AA054E"/>
    <w:rsid w:val="08AB74B7"/>
    <w:rsid w:val="08AC711D"/>
    <w:rsid w:val="08B9275D"/>
    <w:rsid w:val="08BC0E66"/>
    <w:rsid w:val="08F82719"/>
    <w:rsid w:val="08F96C82"/>
    <w:rsid w:val="09074462"/>
    <w:rsid w:val="09105520"/>
    <w:rsid w:val="092217DD"/>
    <w:rsid w:val="093A7294"/>
    <w:rsid w:val="0950494E"/>
    <w:rsid w:val="0966210B"/>
    <w:rsid w:val="097A1C21"/>
    <w:rsid w:val="098344E6"/>
    <w:rsid w:val="09877907"/>
    <w:rsid w:val="099C655D"/>
    <w:rsid w:val="09A22484"/>
    <w:rsid w:val="09B47B5E"/>
    <w:rsid w:val="09B74ED1"/>
    <w:rsid w:val="09BF2DCD"/>
    <w:rsid w:val="09EC589B"/>
    <w:rsid w:val="0A006EBA"/>
    <w:rsid w:val="0A0540CC"/>
    <w:rsid w:val="0A0D5232"/>
    <w:rsid w:val="0A163DFC"/>
    <w:rsid w:val="0A177C1C"/>
    <w:rsid w:val="0A1C1B29"/>
    <w:rsid w:val="0A201028"/>
    <w:rsid w:val="0A263993"/>
    <w:rsid w:val="0A2D3AC2"/>
    <w:rsid w:val="0A616ED6"/>
    <w:rsid w:val="0A760186"/>
    <w:rsid w:val="0A9B4E2F"/>
    <w:rsid w:val="0AA755DF"/>
    <w:rsid w:val="0ABC03A3"/>
    <w:rsid w:val="0AC920E4"/>
    <w:rsid w:val="0ACA117A"/>
    <w:rsid w:val="0ACC1910"/>
    <w:rsid w:val="0B120D44"/>
    <w:rsid w:val="0B340EA0"/>
    <w:rsid w:val="0B4932C3"/>
    <w:rsid w:val="0BB208A1"/>
    <w:rsid w:val="0BC746FC"/>
    <w:rsid w:val="0BD27BF6"/>
    <w:rsid w:val="0BEF322F"/>
    <w:rsid w:val="0BFA2D2F"/>
    <w:rsid w:val="0BFC18E3"/>
    <w:rsid w:val="0C05226C"/>
    <w:rsid w:val="0C135DA4"/>
    <w:rsid w:val="0C1E2E71"/>
    <w:rsid w:val="0C2F1E06"/>
    <w:rsid w:val="0C3B3C7D"/>
    <w:rsid w:val="0C490F3E"/>
    <w:rsid w:val="0C8A10DB"/>
    <w:rsid w:val="0C8E4631"/>
    <w:rsid w:val="0C9D239C"/>
    <w:rsid w:val="0CA52046"/>
    <w:rsid w:val="0CAB2EAE"/>
    <w:rsid w:val="0CB90E13"/>
    <w:rsid w:val="0CD52054"/>
    <w:rsid w:val="0CE7033B"/>
    <w:rsid w:val="0CEA6E40"/>
    <w:rsid w:val="0CF11954"/>
    <w:rsid w:val="0D1362C7"/>
    <w:rsid w:val="0D1403B2"/>
    <w:rsid w:val="0D227EC5"/>
    <w:rsid w:val="0D2968DE"/>
    <w:rsid w:val="0D3F1EEE"/>
    <w:rsid w:val="0D621C7D"/>
    <w:rsid w:val="0D6413A9"/>
    <w:rsid w:val="0D6E6802"/>
    <w:rsid w:val="0D720D1E"/>
    <w:rsid w:val="0D84706A"/>
    <w:rsid w:val="0DB86830"/>
    <w:rsid w:val="0DBF37F9"/>
    <w:rsid w:val="0DC1607F"/>
    <w:rsid w:val="0DE87E11"/>
    <w:rsid w:val="0E021F8C"/>
    <w:rsid w:val="0E3D0C6E"/>
    <w:rsid w:val="0E600EA9"/>
    <w:rsid w:val="0E73034D"/>
    <w:rsid w:val="0E7856C7"/>
    <w:rsid w:val="0E790BB9"/>
    <w:rsid w:val="0E9B4BB8"/>
    <w:rsid w:val="0EAF7D9C"/>
    <w:rsid w:val="0EB65B0F"/>
    <w:rsid w:val="0EBF25A6"/>
    <w:rsid w:val="0ED767DC"/>
    <w:rsid w:val="0EDB687C"/>
    <w:rsid w:val="0EE96B98"/>
    <w:rsid w:val="0EF10B71"/>
    <w:rsid w:val="0F094B6F"/>
    <w:rsid w:val="0F13775A"/>
    <w:rsid w:val="0F157EEA"/>
    <w:rsid w:val="0F457629"/>
    <w:rsid w:val="0F5F45FE"/>
    <w:rsid w:val="0F61376D"/>
    <w:rsid w:val="0F662D61"/>
    <w:rsid w:val="0F7E381E"/>
    <w:rsid w:val="0F887398"/>
    <w:rsid w:val="0F8F47A8"/>
    <w:rsid w:val="0F983509"/>
    <w:rsid w:val="0F9A112B"/>
    <w:rsid w:val="0F9D3180"/>
    <w:rsid w:val="0FB846CA"/>
    <w:rsid w:val="0FBE309A"/>
    <w:rsid w:val="0FEA0047"/>
    <w:rsid w:val="0FFF2259"/>
    <w:rsid w:val="100844F6"/>
    <w:rsid w:val="104C2584"/>
    <w:rsid w:val="106D2F64"/>
    <w:rsid w:val="108C5181"/>
    <w:rsid w:val="10B63710"/>
    <w:rsid w:val="10BD72C7"/>
    <w:rsid w:val="10E26C0C"/>
    <w:rsid w:val="10F10820"/>
    <w:rsid w:val="10F46657"/>
    <w:rsid w:val="110D5972"/>
    <w:rsid w:val="111C2F7A"/>
    <w:rsid w:val="11452919"/>
    <w:rsid w:val="116377AF"/>
    <w:rsid w:val="11665CA1"/>
    <w:rsid w:val="11C216D3"/>
    <w:rsid w:val="11D16950"/>
    <w:rsid w:val="11DD2D71"/>
    <w:rsid w:val="12256CAD"/>
    <w:rsid w:val="12324BD9"/>
    <w:rsid w:val="12403AD9"/>
    <w:rsid w:val="12451BBE"/>
    <w:rsid w:val="127D54E3"/>
    <w:rsid w:val="1282472F"/>
    <w:rsid w:val="12A60C13"/>
    <w:rsid w:val="12A91AF5"/>
    <w:rsid w:val="12AF5DFA"/>
    <w:rsid w:val="12B01B9D"/>
    <w:rsid w:val="12B71E90"/>
    <w:rsid w:val="12B72DB9"/>
    <w:rsid w:val="12C62CAF"/>
    <w:rsid w:val="12E10B94"/>
    <w:rsid w:val="12EE1C08"/>
    <w:rsid w:val="1304431A"/>
    <w:rsid w:val="130703CD"/>
    <w:rsid w:val="131840B3"/>
    <w:rsid w:val="1332117A"/>
    <w:rsid w:val="133E04D1"/>
    <w:rsid w:val="136141C9"/>
    <w:rsid w:val="13951726"/>
    <w:rsid w:val="139A11EF"/>
    <w:rsid w:val="13A762FD"/>
    <w:rsid w:val="13A9243A"/>
    <w:rsid w:val="13B970D0"/>
    <w:rsid w:val="13EC7FAA"/>
    <w:rsid w:val="13F5371E"/>
    <w:rsid w:val="13FE664D"/>
    <w:rsid w:val="140E0234"/>
    <w:rsid w:val="14373358"/>
    <w:rsid w:val="14396509"/>
    <w:rsid w:val="143D47C6"/>
    <w:rsid w:val="14434DD1"/>
    <w:rsid w:val="145A657E"/>
    <w:rsid w:val="14624318"/>
    <w:rsid w:val="147748BC"/>
    <w:rsid w:val="14BB63E8"/>
    <w:rsid w:val="14CB7487"/>
    <w:rsid w:val="14DD2C3C"/>
    <w:rsid w:val="14E44334"/>
    <w:rsid w:val="14FB22E6"/>
    <w:rsid w:val="151503C0"/>
    <w:rsid w:val="15226E2D"/>
    <w:rsid w:val="152504A9"/>
    <w:rsid w:val="15377A08"/>
    <w:rsid w:val="154E4847"/>
    <w:rsid w:val="159C4635"/>
    <w:rsid w:val="15AE5C33"/>
    <w:rsid w:val="15B047E5"/>
    <w:rsid w:val="15C56000"/>
    <w:rsid w:val="15E76D5B"/>
    <w:rsid w:val="15EF6763"/>
    <w:rsid w:val="16087E1D"/>
    <w:rsid w:val="16095CCF"/>
    <w:rsid w:val="16114D0A"/>
    <w:rsid w:val="1636219B"/>
    <w:rsid w:val="164B5DE4"/>
    <w:rsid w:val="16531CFB"/>
    <w:rsid w:val="166C7CB8"/>
    <w:rsid w:val="16B125E7"/>
    <w:rsid w:val="16B72D18"/>
    <w:rsid w:val="16D20E9B"/>
    <w:rsid w:val="170C7B07"/>
    <w:rsid w:val="170D3A96"/>
    <w:rsid w:val="17126B58"/>
    <w:rsid w:val="172A58BB"/>
    <w:rsid w:val="17546E02"/>
    <w:rsid w:val="17577289"/>
    <w:rsid w:val="175C3F04"/>
    <w:rsid w:val="175F366B"/>
    <w:rsid w:val="17613B7A"/>
    <w:rsid w:val="176E0C2C"/>
    <w:rsid w:val="17701D14"/>
    <w:rsid w:val="17721666"/>
    <w:rsid w:val="17735226"/>
    <w:rsid w:val="17AB72E5"/>
    <w:rsid w:val="17AF0AEF"/>
    <w:rsid w:val="17C517A1"/>
    <w:rsid w:val="17C97F2D"/>
    <w:rsid w:val="18097B5B"/>
    <w:rsid w:val="180B401D"/>
    <w:rsid w:val="183236C3"/>
    <w:rsid w:val="183408CF"/>
    <w:rsid w:val="1847640E"/>
    <w:rsid w:val="184C62A3"/>
    <w:rsid w:val="187D3872"/>
    <w:rsid w:val="189F624C"/>
    <w:rsid w:val="18A47A76"/>
    <w:rsid w:val="18DF21CB"/>
    <w:rsid w:val="19153B64"/>
    <w:rsid w:val="1945116D"/>
    <w:rsid w:val="19645810"/>
    <w:rsid w:val="197A68B5"/>
    <w:rsid w:val="19904874"/>
    <w:rsid w:val="199827F0"/>
    <w:rsid w:val="199B7F69"/>
    <w:rsid w:val="19D37B4F"/>
    <w:rsid w:val="19E05946"/>
    <w:rsid w:val="19E1017F"/>
    <w:rsid w:val="19E22226"/>
    <w:rsid w:val="19F87E79"/>
    <w:rsid w:val="19F91BA8"/>
    <w:rsid w:val="1A1175D1"/>
    <w:rsid w:val="1A182C08"/>
    <w:rsid w:val="1A1C66C0"/>
    <w:rsid w:val="1A331172"/>
    <w:rsid w:val="1A42393B"/>
    <w:rsid w:val="1A5747A5"/>
    <w:rsid w:val="1A5C2AF6"/>
    <w:rsid w:val="1A5D6F31"/>
    <w:rsid w:val="1A630246"/>
    <w:rsid w:val="1A7235DA"/>
    <w:rsid w:val="1A92760D"/>
    <w:rsid w:val="1A96543D"/>
    <w:rsid w:val="1A976860"/>
    <w:rsid w:val="1A9E49DD"/>
    <w:rsid w:val="1AA7213B"/>
    <w:rsid w:val="1AAD45DE"/>
    <w:rsid w:val="1ABA5EC8"/>
    <w:rsid w:val="1ACD3016"/>
    <w:rsid w:val="1AE325CA"/>
    <w:rsid w:val="1AEB6F83"/>
    <w:rsid w:val="1AF7627B"/>
    <w:rsid w:val="1AF831C3"/>
    <w:rsid w:val="1B03508B"/>
    <w:rsid w:val="1B046F80"/>
    <w:rsid w:val="1B0A1B40"/>
    <w:rsid w:val="1B1531FC"/>
    <w:rsid w:val="1B1905E9"/>
    <w:rsid w:val="1B24437D"/>
    <w:rsid w:val="1B3267B5"/>
    <w:rsid w:val="1B40161D"/>
    <w:rsid w:val="1B441859"/>
    <w:rsid w:val="1B522B5E"/>
    <w:rsid w:val="1B6225F9"/>
    <w:rsid w:val="1B6606B1"/>
    <w:rsid w:val="1B8555F2"/>
    <w:rsid w:val="1B8E2EC4"/>
    <w:rsid w:val="1B992192"/>
    <w:rsid w:val="1BA736D7"/>
    <w:rsid w:val="1BAD1694"/>
    <w:rsid w:val="1BD55245"/>
    <w:rsid w:val="1BE717DE"/>
    <w:rsid w:val="1BE92F0C"/>
    <w:rsid w:val="1BF0073E"/>
    <w:rsid w:val="1C031B3A"/>
    <w:rsid w:val="1C205197"/>
    <w:rsid w:val="1C32334A"/>
    <w:rsid w:val="1C376A21"/>
    <w:rsid w:val="1C4E5A1B"/>
    <w:rsid w:val="1C5B7FB2"/>
    <w:rsid w:val="1C5C7FF6"/>
    <w:rsid w:val="1C5E7925"/>
    <w:rsid w:val="1C634FB9"/>
    <w:rsid w:val="1C8F73BC"/>
    <w:rsid w:val="1C916D0A"/>
    <w:rsid w:val="1CD6444F"/>
    <w:rsid w:val="1CDB47CB"/>
    <w:rsid w:val="1CFD070F"/>
    <w:rsid w:val="1D2C60E4"/>
    <w:rsid w:val="1D47750F"/>
    <w:rsid w:val="1D543DA2"/>
    <w:rsid w:val="1D5F6196"/>
    <w:rsid w:val="1D607642"/>
    <w:rsid w:val="1D6132A5"/>
    <w:rsid w:val="1D635BEB"/>
    <w:rsid w:val="1D88007A"/>
    <w:rsid w:val="1D8D6D69"/>
    <w:rsid w:val="1D8E56D5"/>
    <w:rsid w:val="1D911E78"/>
    <w:rsid w:val="1D95202E"/>
    <w:rsid w:val="1DA61672"/>
    <w:rsid w:val="1DAD68B4"/>
    <w:rsid w:val="1DBD340A"/>
    <w:rsid w:val="1DF2075D"/>
    <w:rsid w:val="1DFB5D40"/>
    <w:rsid w:val="1E0E6763"/>
    <w:rsid w:val="1E122523"/>
    <w:rsid w:val="1E1570DE"/>
    <w:rsid w:val="1E226714"/>
    <w:rsid w:val="1E2908E7"/>
    <w:rsid w:val="1E324005"/>
    <w:rsid w:val="1E606046"/>
    <w:rsid w:val="1E641501"/>
    <w:rsid w:val="1E6B2BF2"/>
    <w:rsid w:val="1E7A43DA"/>
    <w:rsid w:val="1EA82FFE"/>
    <w:rsid w:val="1EB012FF"/>
    <w:rsid w:val="1EBE708C"/>
    <w:rsid w:val="1EC82BCC"/>
    <w:rsid w:val="1ED645E7"/>
    <w:rsid w:val="1EEB326A"/>
    <w:rsid w:val="1F0423D1"/>
    <w:rsid w:val="1F11463E"/>
    <w:rsid w:val="1F1A4B93"/>
    <w:rsid w:val="1F1F0C24"/>
    <w:rsid w:val="1F2127CD"/>
    <w:rsid w:val="1F300909"/>
    <w:rsid w:val="1F3B1FFC"/>
    <w:rsid w:val="1F4324C7"/>
    <w:rsid w:val="1F451771"/>
    <w:rsid w:val="1F83778A"/>
    <w:rsid w:val="1F84517F"/>
    <w:rsid w:val="1F861D90"/>
    <w:rsid w:val="1F9C5DA0"/>
    <w:rsid w:val="1FA152CA"/>
    <w:rsid w:val="1FC54A80"/>
    <w:rsid w:val="1FD45061"/>
    <w:rsid w:val="1FD55731"/>
    <w:rsid w:val="1FE7539E"/>
    <w:rsid w:val="1FEB5C4B"/>
    <w:rsid w:val="1FFC753C"/>
    <w:rsid w:val="2016308A"/>
    <w:rsid w:val="203F5D2D"/>
    <w:rsid w:val="204549CB"/>
    <w:rsid w:val="204C261F"/>
    <w:rsid w:val="204D5AF5"/>
    <w:rsid w:val="20671BE0"/>
    <w:rsid w:val="206E4856"/>
    <w:rsid w:val="20750AEE"/>
    <w:rsid w:val="20800589"/>
    <w:rsid w:val="208970CB"/>
    <w:rsid w:val="208C6A3B"/>
    <w:rsid w:val="20963CB8"/>
    <w:rsid w:val="209E0C68"/>
    <w:rsid w:val="20A81A1B"/>
    <w:rsid w:val="20B07FB6"/>
    <w:rsid w:val="20B441AC"/>
    <w:rsid w:val="20B646FB"/>
    <w:rsid w:val="20C63571"/>
    <w:rsid w:val="20CA24A2"/>
    <w:rsid w:val="20ED67A3"/>
    <w:rsid w:val="20F008ED"/>
    <w:rsid w:val="21052EB3"/>
    <w:rsid w:val="211F0A7F"/>
    <w:rsid w:val="21213A63"/>
    <w:rsid w:val="213B74B1"/>
    <w:rsid w:val="214E52F3"/>
    <w:rsid w:val="215A0888"/>
    <w:rsid w:val="215A2310"/>
    <w:rsid w:val="215C01BC"/>
    <w:rsid w:val="21612C00"/>
    <w:rsid w:val="21793E98"/>
    <w:rsid w:val="217F3513"/>
    <w:rsid w:val="21863EB8"/>
    <w:rsid w:val="219E4563"/>
    <w:rsid w:val="21A8288A"/>
    <w:rsid w:val="21D75FCF"/>
    <w:rsid w:val="21DE318A"/>
    <w:rsid w:val="21DF4E18"/>
    <w:rsid w:val="21E11254"/>
    <w:rsid w:val="21EE5ADE"/>
    <w:rsid w:val="21EF5B80"/>
    <w:rsid w:val="22087549"/>
    <w:rsid w:val="22131D3A"/>
    <w:rsid w:val="2219214C"/>
    <w:rsid w:val="22576990"/>
    <w:rsid w:val="22667476"/>
    <w:rsid w:val="227B4BD4"/>
    <w:rsid w:val="22882321"/>
    <w:rsid w:val="22BD1A49"/>
    <w:rsid w:val="22E04820"/>
    <w:rsid w:val="22E63661"/>
    <w:rsid w:val="22EA5E9B"/>
    <w:rsid w:val="22F47480"/>
    <w:rsid w:val="22FC54CE"/>
    <w:rsid w:val="22FF1876"/>
    <w:rsid w:val="23417FB4"/>
    <w:rsid w:val="23565B95"/>
    <w:rsid w:val="23835679"/>
    <w:rsid w:val="23863EB6"/>
    <w:rsid w:val="23C72311"/>
    <w:rsid w:val="23C81237"/>
    <w:rsid w:val="23DE1C48"/>
    <w:rsid w:val="23F7122B"/>
    <w:rsid w:val="23F93549"/>
    <w:rsid w:val="240210CD"/>
    <w:rsid w:val="24414D43"/>
    <w:rsid w:val="24511A45"/>
    <w:rsid w:val="246E05DA"/>
    <w:rsid w:val="248554CD"/>
    <w:rsid w:val="249246E6"/>
    <w:rsid w:val="24963975"/>
    <w:rsid w:val="24BF09F7"/>
    <w:rsid w:val="24D06096"/>
    <w:rsid w:val="24D61335"/>
    <w:rsid w:val="24D74947"/>
    <w:rsid w:val="24D85DC1"/>
    <w:rsid w:val="24DB4282"/>
    <w:rsid w:val="24E24C38"/>
    <w:rsid w:val="24F10547"/>
    <w:rsid w:val="25082082"/>
    <w:rsid w:val="250E45B1"/>
    <w:rsid w:val="2515011E"/>
    <w:rsid w:val="251B39DB"/>
    <w:rsid w:val="251C5519"/>
    <w:rsid w:val="25287243"/>
    <w:rsid w:val="252D53FE"/>
    <w:rsid w:val="25A2482D"/>
    <w:rsid w:val="25A90B0A"/>
    <w:rsid w:val="25E04F5A"/>
    <w:rsid w:val="25EC2D81"/>
    <w:rsid w:val="25FA559F"/>
    <w:rsid w:val="260333D3"/>
    <w:rsid w:val="2611108C"/>
    <w:rsid w:val="261E217E"/>
    <w:rsid w:val="26284522"/>
    <w:rsid w:val="26321B73"/>
    <w:rsid w:val="265B7A3B"/>
    <w:rsid w:val="2661244A"/>
    <w:rsid w:val="268C3924"/>
    <w:rsid w:val="2691167F"/>
    <w:rsid w:val="26A530D5"/>
    <w:rsid w:val="26D273CF"/>
    <w:rsid w:val="26D5763B"/>
    <w:rsid w:val="26FA33CA"/>
    <w:rsid w:val="274B5418"/>
    <w:rsid w:val="277057A2"/>
    <w:rsid w:val="278A4A25"/>
    <w:rsid w:val="27933CD0"/>
    <w:rsid w:val="27A20992"/>
    <w:rsid w:val="27B76A17"/>
    <w:rsid w:val="27BD725A"/>
    <w:rsid w:val="27CA37EF"/>
    <w:rsid w:val="27CF7F00"/>
    <w:rsid w:val="280A304D"/>
    <w:rsid w:val="280C59E4"/>
    <w:rsid w:val="280D3CB7"/>
    <w:rsid w:val="28273D82"/>
    <w:rsid w:val="28524E45"/>
    <w:rsid w:val="28565E54"/>
    <w:rsid w:val="28613050"/>
    <w:rsid w:val="288427F2"/>
    <w:rsid w:val="289C0A39"/>
    <w:rsid w:val="28E15EFF"/>
    <w:rsid w:val="28E83CAF"/>
    <w:rsid w:val="290D6316"/>
    <w:rsid w:val="291B5FC8"/>
    <w:rsid w:val="29206EB8"/>
    <w:rsid w:val="293D6F46"/>
    <w:rsid w:val="29593039"/>
    <w:rsid w:val="29595666"/>
    <w:rsid w:val="295F32F9"/>
    <w:rsid w:val="29736389"/>
    <w:rsid w:val="29874881"/>
    <w:rsid w:val="29890A5A"/>
    <w:rsid w:val="299C73FB"/>
    <w:rsid w:val="29AA5CD0"/>
    <w:rsid w:val="29CB6716"/>
    <w:rsid w:val="29CD08C2"/>
    <w:rsid w:val="29DC68FB"/>
    <w:rsid w:val="29E325E0"/>
    <w:rsid w:val="29EE7784"/>
    <w:rsid w:val="2A2A3E76"/>
    <w:rsid w:val="2A314286"/>
    <w:rsid w:val="2A3479E3"/>
    <w:rsid w:val="2A420242"/>
    <w:rsid w:val="2A452503"/>
    <w:rsid w:val="2A476ABE"/>
    <w:rsid w:val="2A4D5827"/>
    <w:rsid w:val="2A773A72"/>
    <w:rsid w:val="2A7A3C32"/>
    <w:rsid w:val="2A810432"/>
    <w:rsid w:val="2A9769F6"/>
    <w:rsid w:val="2A9847A9"/>
    <w:rsid w:val="2A9A42EB"/>
    <w:rsid w:val="2A9B6C9D"/>
    <w:rsid w:val="2AA76D2F"/>
    <w:rsid w:val="2ACE1068"/>
    <w:rsid w:val="2AFE7B18"/>
    <w:rsid w:val="2B072BE4"/>
    <w:rsid w:val="2B0A3367"/>
    <w:rsid w:val="2B234F0D"/>
    <w:rsid w:val="2B356FA1"/>
    <w:rsid w:val="2B454771"/>
    <w:rsid w:val="2B611EFD"/>
    <w:rsid w:val="2B682F41"/>
    <w:rsid w:val="2B7365F7"/>
    <w:rsid w:val="2B913161"/>
    <w:rsid w:val="2B936F03"/>
    <w:rsid w:val="2BA748D0"/>
    <w:rsid w:val="2BA936A8"/>
    <w:rsid w:val="2BDD26D5"/>
    <w:rsid w:val="2BE03CF2"/>
    <w:rsid w:val="2C0733A9"/>
    <w:rsid w:val="2C113D11"/>
    <w:rsid w:val="2C1A42E8"/>
    <w:rsid w:val="2C1F4178"/>
    <w:rsid w:val="2C295603"/>
    <w:rsid w:val="2C315A5A"/>
    <w:rsid w:val="2C4B1C25"/>
    <w:rsid w:val="2C4B3942"/>
    <w:rsid w:val="2C6A18D9"/>
    <w:rsid w:val="2CB217E3"/>
    <w:rsid w:val="2CBD29B0"/>
    <w:rsid w:val="2CF843FD"/>
    <w:rsid w:val="2D1A7254"/>
    <w:rsid w:val="2D2D5F77"/>
    <w:rsid w:val="2D790641"/>
    <w:rsid w:val="2D81217C"/>
    <w:rsid w:val="2D8208A3"/>
    <w:rsid w:val="2D9E56F5"/>
    <w:rsid w:val="2DBA28CE"/>
    <w:rsid w:val="2DCD3447"/>
    <w:rsid w:val="2DE04014"/>
    <w:rsid w:val="2DE43670"/>
    <w:rsid w:val="2DE72470"/>
    <w:rsid w:val="2DEA1E2C"/>
    <w:rsid w:val="2DEB4B31"/>
    <w:rsid w:val="2DF46AB8"/>
    <w:rsid w:val="2E055C28"/>
    <w:rsid w:val="2E095DDD"/>
    <w:rsid w:val="2E2B600A"/>
    <w:rsid w:val="2E2D7726"/>
    <w:rsid w:val="2E30624D"/>
    <w:rsid w:val="2E4A4FA4"/>
    <w:rsid w:val="2E5806CC"/>
    <w:rsid w:val="2E667F96"/>
    <w:rsid w:val="2E756942"/>
    <w:rsid w:val="2E7669E3"/>
    <w:rsid w:val="2E8226AB"/>
    <w:rsid w:val="2E8D600E"/>
    <w:rsid w:val="2E910F9F"/>
    <w:rsid w:val="2E970A54"/>
    <w:rsid w:val="2E9E03AD"/>
    <w:rsid w:val="2EA44235"/>
    <w:rsid w:val="2EDD7E41"/>
    <w:rsid w:val="2EE3638F"/>
    <w:rsid w:val="2EF305A3"/>
    <w:rsid w:val="2EFA572F"/>
    <w:rsid w:val="2F1131E6"/>
    <w:rsid w:val="2F551940"/>
    <w:rsid w:val="2F64219A"/>
    <w:rsid w:val="2F883999"/>
    <w:rsid w:val="2FA32719"/>
    <w:rsid w:val="2FA75995"/>
    <w:rsid w:val="2FAD27F0"/>
    <w:rsid w:val="2FBA04FC"/>
    <w:rsid w:val="2FD065E6"/>
    <w:rsid w:val="2FD96870"/>
    <w:rsid w:val="2FDA2B8D"/>
    <w:rsid w:val="2FDE5857"/>
    <w:rsid w:val="302A47C7"/>
    <w:rsid w:val="30335488"/>
    <w:rsid w:val="30580BC9"/>
    <w:rsid w:val="308E18D5"/>
    <w:rsid w:val="309249F7"/>
    <w:rsid w:val="30E92438"/>
    <w:rsid w:val="31105E7F"/>
    <w:rsid w:val="311E2ED7"/>
    <w:rsid w:val="31315A06"/>
    <w:rsid w:val="315619EE"/>
    <w:rsid w:val="315C449C"/>
    <w:rsid w:val="31703102"/>
    <w:rsid w:val="318A21B6"/>
    <w:rsid w:val="31996BCE"/>
    <w:rsid w:val="31A25EFF"/>
    <w:rsid w:val="31AC0AD4"/>
    <w:rsid w:val="31B82709"/>
    <w:rsid w:val="31BA1B94"/>
    <w:rsid w:val="31C20893"/>
    <w:rsid w:val="31CD7FB6"/>
    <w:rsid w:val="31D05482"/>
    <w:rsid w:val="31E337DF"/>
    <w:rsid w:val="3225408E"/>
    <w:rsid w:val="32282AFE"/>
    <w:rsid w:val="3229451B"/>
    <w:rsid w:val="32400B34"/>
    <w:rsid w:val="32454E0D"/>
    <w:rsid w:val="324F4DC0"/>
    <w:rsid w:val="326B0BB5"/>
    <w:rsid w:val="327227C1"/>
    <w:rsid w:val="32983F19"/>
    <w:rsid w:val="3299130F"/>
    <w:rsid w:val="329A6510"/>
    <w:rsid w:val="329E6876"/>
    <w:rsid w:val="32A76D49"/>
    <w:rsid w:val="32AA36D6"/>
    <w:rsid w:val="32BA29DD"/>
    <w:rsid w:val="32C136BE"/>
    <w:rsid w:val="32C8370C"/>
    <w:rsid w:val="32CA6D9F"/>
    <w:rsid w:val="32DB5CD7"/>
    <w:rsid w:val="32FC42B7"/>
    <w:rsid w:val="330C16E5"/>
    <w:rsid w:val="331C631F"/>
    <w:rsid w:val="33296CA7"/>
    <w:rsid w:val="333015F2"/>
    <w:rsid w:val="333773D4"/>
    <w:rsid w:val="334B6320"/>
    <w:rsid w:val="334C079D"/>
    <w:rsid w:val="33557385"/>
    <w:rsid w:val="335711A5"/>
    <w:rsid w:val="33877693"/>
    <w:rsid w:val="33A25C0F"/>
    <w:rsid w:val="33A80923"/>
    <w:rsid w:val="33BD5E72"/>
    <w:rsid w:val="33D934D4"/>
    <w:rsid w:val="33FE2F6A"/>
    <w:rsid w:val="33FF3AA8"/>
    <w:rsid w:val="340E07E5"/>
    <w:rsid w:val="34235BF7"/>
    <w:rsid w:val="34336383"/>
    <w:rsid w:val="343F6DF9"/>
    <w:rsid w:val="34757159"/>
    <w:rsid w:val="348424FD"/>
    <w:rsid w:val="34A46F07"/>
    <w:rsid w:val="34B82A8C"/>
    <w:rsid w:val="34C1184D"/>
    <w:rsid w:val="34C920C6"/>
    <w:rsid w:val="34FA1A35"/>
    <w:rsid w:val="34FA4F3C"/>
    <w:rsid w:val="350A489C"/>
    <w:rsid w:val="350B3333"/>
    <w:rsid w:val="351121C1"/>
    <w:rsid w:val="35212AE3"/>
    <w:rsid w:val="35251E29"/>
    <w:rsid w:val="35265D3D"/>
    <w:rsid w:val="355D6871"/>
    <w:rsid w:val="356B742C"/>
    <w:rsid w:val="356D7D9E"/>
    <w:rsid w:val="3588463C"/>
    <w:rsid w:val="358C5FA8"/>
    <w:rsid w:val="35951697"/>
    <w:rsid w:val="35970EF6"/>
    <w:rsid w:val="35AB4451"/>
    <w:rsid w:val="35B55468"/>
    <w:rsid w:val="35C15DF1"/>
    <w:rsid w:val="35D64F26"/>
    <w:rsid w:val="35E804F5"/>
    <w:rsid w:val="35F511BE"/>
    <w:rsid w:val="3605537E"/>
    <w:rsid w:val="36074A7F"/>
    <w:rsid w:val="36271489"/>
    <w:rsid w:val="3641505C"/>
    <w:rsid w:val="365219E1"/>
    <w:rsid w:val="36712378"/>
    <w:rsid w:val="367A375C"/>
    <w:rsid w:val="368C7F57"/>
    <w:rsid w:val="36923549"/>
    <w:rsid w:val="36977C6B"/>
    <w:rsid w:val="36B75FBF"/>
    <w:rsid w:val="36BD0C45"/>
    <w:rsid w:val="36BF2268"/>
    <w:rsid w:val="36C079A4"/>
    <w:rsid w:val="36C43473"/>
    <w:rsid w:val="36C6458F"/>
    <w:rsid w:val="36E71C9A"/>
    <w:rsid w:val="36EF6B43"/>
    <w:rsid w:val="36F37BB4"/>
    <w:rsid w:val="36F56754"/>
    <w:rsid w:val="37011928"/>
    <w:rsid w:val="371D2ADC"/>
    <w:rsid w:val="37294C4E"/>
    <w:rsid w:val="37550A06"/>
    <w:rsid w:val="37566220"/>
    <w:rsid w:val="376F1C80"/>
    <w:rsid w:val="378A06BB"/>
    <w:rsid w:val="378C32AC"/>
    <w:rsid w:val="37B27B48"/>
    <w:rsid w:val="37B426A4"/>
    <w:rsid w:val="37C22663"/>
    <w:rsid w:val="37D766CE"/>
    <w:rsid w:val="37E00298"/>
    <w:rsid w:val="37E6149A"/>
    <w:rsid w:val="37F561C3"/>
    <w:rsid w:val="380A1955"/>
    <w:rsid w:val="381470B3"/>
    <w:rsid w:val="38172A3A"/>
    <w:rsid w:val="381D7270"/>
    <w:rsid w:val="38385519"/>
    <w:rsid w:val="38567186"/>
    <w:rsid w:val="38590FF7"/>
    <w:rsid w:val="386B7DEF"/>
    <w:rsid w:val="387115AC"/>
    <w:rsid w:val="38853DEF"/>
    <w:rsid w:val="38961245"/>
    <w:rsid w:val="38B302F9"/>
    <w:rsid w:val="38BC1F81"/>
    <w:rsid w:val="38BF4E5C"/>
    <w:rsid w:val="38D86F16"/>
    <w:rsid w:val="38DF57B3"/>
    <w:rsid w:val="38F12CD3"/>
    <w:rsid w:val="38F15E2F"/>
    <w:rsid w:val="38F94775"/>
    <w:rsid w:val="390B5AA7"/>
    <w:rsid w:val="392971ED"/>
    <w:rsid w:val="392A3C5D"/>
    <w:rsid w:val="392E0D8E"/>
    <w:rsid w:val="392F2C4B"/>
    <w:rsid w:val="39325651"/>
    <w:rsid w:val="396D1F0F"/>
    <w:rsid w:val="397D464B"/>
    <w:rsid w:val="39803344"/>
    <w:rsid w:val="39916B44"/>
    <w:rsid w:val="39A34951"/>
    <w:rsid w:val="39B24D12"/>
    <w:rsid w:val="39CC6575"/>
    <w:rsid w:val="39DC5ADB"/>
    <w:rsid w:val="39E37FD5"/>
    <w:rsid w:val="39EC6471"/>
    <w:rsid w:val="3A01033C"/>
    <w:rsid w:val="3A2B695F"/>
    <w:rsid w:val="3A2D77DA"/>
    <w:rsid w:val="3A344255"/>
    <w:rsid w:val="3A4D3640"/>
    <w:rsid w:val="3A4E281C"/>
    <w:rsid w:val="3A5D0F3A"/>
    <w:rsid w:val="3A865FA2"/>
    <w:rsid w:val="3A872856"/>
    <w:rsid w:val="3A8E0536"/>
    <w:rsid w:val="3A992026"/>
    <w:rsid w:val="3A9A0908"/>
    <w:rsid w:val="3AC07AA6"/>
    <w:rsid w:val="3AC26C7E"/>
    <w:rsid w:val="3ADB6940"/>
    <w:rsid w:val="3AF82852"/>
    <w:rsid w:val="3AFB0F35"/>
    <w:rsid w:val="3B1309B4"/>
    <w:rsid w:val="3B3748EF"/>
    <w:rsid w:val="3B3763D1"/>
    <w:rsid w:val="3B38684A"/>
    <w:rsid w:val="3B3D4B50"/>
    <w:rsid w:val="3B604598"/>
    <w:rsid w:val="3B6A75AA"/>
    <w:rsid w:val="3B7C716A"/>
    <w:rsid w:val="3BA23236"/>
    <w:rsid w:val="3BAA78CC"/>
    <w:rsid w:val="3BAF12F6"/>
    <w:rsid w:val="3BB3088C"/>
    <w:rsid w:val="3BC0184D"/>
    <w:rsid w:val="3BC10E58"/>
    <w:rsid w:val="3BC208CA"/>
    <w:rsid w:val="3C082077"/>
    <w:rsid w:val="3C157400"/>
    <w:rsid w:val="3C240A39"/>
    <w:rsid w:val="3C2F6E1E"/>
    <w:rsid w:val="3C376A68"/>
    <w:rsid w:val="3C4F64BA"/>
    <w:rsid w:val="3C58488B"/>
    <w:rsid w:val="3C5B58E7"/>
    <w:rsid w:val="3C5C3AAC"/>
    <w:rsid w:val="3C766A18"/>
    <w:rsid w:val="3C7C0CEA"/>
    <w:rsid w:val="3C902AC7"/>
    <w:rsid w:val="3CA619C8"/>
    <w:rsid w:val="3CA813CD"/>
    <w:rsid w:val="3CA9691F"/>
    <w:rsid w:val="3CAB2902"/>
    <w:rsid w:val="3CC2196E"/>
    <w:rsid w:val="3CCA5744"/>
    <w:rsid w:val="3CCE2AD3"/>
    <w:rsid w:val="3CD416C9"/>
    <w:rsid w:val="3CDA245A"/>
    <w:rsid w:val="3D0819C7"/>
    <w:rsid w:val="3D0A791C"/>
    <w:rsid w:val="3D1E06B7"/>
    <w:rsid w:val="3D790817"/>
    <w:rsid w:val="3D7A1A80"/>
    <w:rsid w:val="3D7D4AE2"/>
    <w:rsid w:val="3DBB693C"/>
    <w:rsid w:val="3DBC6467"/>
    <w:rsid w:val="3DCF4EA0"/>
    <w:rsid w:val="3E073C93"/>
    <w:rsid w:val="3E2238C4"/>
    <w:rsid w:val="3E2F3683"/>
    <w:rsid w:val="3E3314C3"/>
    <w:rsid w:val="3E660D33"/>
    <w:rsid w:val="3E754CE4"/>
    <w:rsid w:val="3E9410B0"/>
    <w:rsid w:val="3E967927"/>
    <w:rsid w:val="3E98782D"/>
    <w:rsid w:val="3E9F613B"/>
    <w:rsid w:val="3EAE5A4E"/>
    <w:rsid w:val="3EB00999"/>
    <w:rsid w:val="3EDA0523"/>
    <w:rsid w:val="3EE1055C"/>
    <w:rsid w:val="3EE13230"/>
    <w:rsid w:val="3EFE7CDA"/>
    <w:rsid w:val="3F0E2CA6"/>
    <w:rsid w:val="3F1366B5"/>
    <w:rsid w:val="3F3571AC"/>
    <w:rsid w:val="3F490242"/>
    <w:rsid w:val="3F7660DD"/>
    <w:rsid w:val="3F780403"/>
    <w:rsid w:val="3F891C2A"/>
    <w:rsid w:val="3FB032C6"/>
    <w:rsid w:val="3FB23F93"/>
    <w:rsid w:val="3FBD2D80"/>
    <w:rsid w:val="3FC94FEB"/>
    <w:rsid w:val="3FE545D3"/>
    <w:rsid w:val="3FFB5B15"/>
    <w:rsid w:val="3FFD2BEF"/>
    <w:rsid w:val="4004790F"/>
    <w:rsid w:val="402D7889"/>
    <w:rsid w:val="40456EC3"/>
    <w:rsid w:val="405502F9"/>
    <w:rsid w:val="405C5BA6"/>
    <w:rsid w:val="405F5752"/>
    <w:rsid w:val="4069101A"/>
    <w:rsid w:val="40693846"/>
    <w:rsid w:val="406B0186"/>
    <w:rsid w:val="407A6407"/>
    <w:rsid w:val="40854E6B"/>
    <w:rsid w:val="409262FC"/>
    <w:rsid w:val="40B208BE"/>
    <w:rsid w:val="40C005C6"/>
    <w:rsid w:val="40C03386"/>
    <w:rsid w:val="40C04D2F"/>
    <w:rsid w:val="40CF02AB"/>
    <w:rsid w:val="40D65F15"/>
    <w:rsid w:val="40DA5738"/>
    <w:rsid w:val="40EA3C11"/>
    <w:rsid w:val="40F11DC2"/>
    <w:rsid w:val="411068AA"/>
    <w:rsid w:val="41223652"/>
    <w:rsid w:val="41367327"/>
    <w:rsid w:val="41386CA8"/>
    <w:rsid w:val="41513586"/>
    <w:rsid w:val="41641E0C"/>
    <w:rsid w:val="4186432B"/>
    <w:rsid w:val="418F3A1F"/>
    <w:rsid w:val="41A50BA0"/>
    <w:rsid w:val="41D617B7"/>
    <w:rsid w:val="41DF4DF4"/>
    <w:rsid w:val="41E954FB"/>
    <w:rsid w:val="41F914D4"/>
    <w:rsid w:val="4200449D"/>
    <w:rsid w:val="42096B41"/>
    <w:rsid w:val="423A3BCC"/>
    <w:rsid w:val="42430EC0"/>
    <w:rsid w:val="424E57D2"/>
    <w:rsid w:val="425278D3"/>
    <w:rsid w:val="42873C60"/>
    <w:rsid w:val="428F1B58"/>
    <w:rsid w:val="42B26C49"/>
    <w:rsid w:val="42C3423D"/>
    <w:rsid w:val="42C44BB0"/>
    <w:rsid w:val="42D55C6E"/>
    <w:rsid w:val="42F70A4F"/>
    <w:rsid w:val="42FD5A3B"/>
    <w:rsid w:val="430330BE"/>
    <w:rsid w:val="432A12C5"/>
    <w:rsid w:val="432E2B24"/>
    <w:rsid w:val="433A6FE6"/>
    <w:rsid w:val="43480868"/>
    <w:rsid w:val="434D5127"/>
    <w:rsid w:val="4350713C"/>
    <w:rsid w:val="435C2BBB"/>
    <w:rsid w:val="436653E0"/>
    <w:rsid w:val="438065BE"/>
    <w:rsid w:val="438A0EF7"/>
    <w:rsid w:val="43BE0520"/>
    <w:rsid w:val="43C4431A"/>
    <w:rsid w:val="43C86FAA"/>
    <w:rsid w:val="43CD0FA0"/>
    <w:rsid w:val="43D00D85"/>
    <w:rsid w:val="43D06EB8"/>
    <w:rsid w:val="44041103"/>
    <w:rsid w:val="441F3E1D"/>
    <w:rsid w:val="4429387E"/>
    <w:rsid w:val="44351627"/>
    <w:rsid w:val="44710869"/>
    <w:rsid w:val="44821D53"/>
    <w:rsid w:val="44A02F03"/>
    <w:rsid w:val="44B566D8"/>
    <w:rsid w:val="44B951CC"/>
    <w:rsid w:val="44C36623"/>
    <w:rsid w:val="44CD14E0"/>
    <w:rsid w:val="44DA3BDA"/>
    <w:rsid w:val="44E16052"/>
    <w:rsid w:val="44E946BA"/>
    <w:rsid w:val="44F20B0B"/>
    <w:rsid w:val="44F66736"/>
    <w:rsid w:val="44FF2FDA"/>
    <w:rsid w:val="451236AE"/>
    <w:rsid w:val="45124348"/>
    <w:rsid w:val="4529113C"/>
    <w:rsid w:val="452E5F4C"/>
    <w:rsid w:val="452F697A"/>
    <w:rsid w:val="45324AF5"/>
    <w:rsid w:val="453A6303"/>
    <w:rsid w:val="45564501"/>
    <w:rsid w:val="45612018"/>
    <w:rsid w:val="456816EC"/>
    <w:rsid w:val="458946E9"/>
    <w:rsid w:val="459C6CE8"/>
    <w:rsid w:val="45A47C0E"/>
    <w:rsid w:val="45AA5F1D"/>
    <w:rsid w:val="45C4595F"/>
    <w:rsid w:val="4603688D"/>
    <w:rsid w:val="460904A2"/>
    <w:rsid w:val="460F308D"/>
    <w:rsid w:val="4611016B"/>
    <w:rsid w:val="461E3474"/>
    <w:rsid w:val="46210CE8"/>
    <w:rsid w:val="46577FD6"/>
    <w:rsid w:val="465D2233"/>
    <w:rsid w:val="4676339E"/>
    <w:rsid w:val="46A309FA"/>
    <w:rsid w:val="46A3314C"/>
    <w:rsid w:val="46B307EE"/>
    <w:rsid w:val="46C928C3"/>
    <w:rsid w:val="46D304B9"/>
    <w:rsid w:val="46D955A7"/>
    <w:rsid w:val="46D97A51"/>
    <w:rsid w:val="46E9257A"/>
    <w:rsid w:val="46ED3054"/>
    <w:rsid w:val="46FA34DF"/>
    <w:rsid w:val="47067B9F"/>
    <w:rsid w:val="47133957"/>
    <w:rsid w:val="473577F9"/>
    <w:rsid w:val="474E51F3"/>
    <w:rsid w:val="47552FB3"/>
    <w:rsid w:val="47694F04"/>
    <w:rsid w:val="47722122"/>
    <w:rsid w:val="47A07E0C"/>
    <w:rsid w:val="47A91369"/>
    <w:rsid w:val="47B966BC"/>
    <w:rsid w:val="47DA1C29"/>
    <w:rsid w:val="48221E3C"/>
    <w:rsid w:val="484E4028"/>
    <w:rsid w:val="486D7A14"/>
    <w:rsid w:val="4870272E"/>
    <w:rsid w:val="487D037C"/>
    <w:rsid w:val="48921F28"/>
    <w:rsid w:val="48AB4F23"/>
    <w:rsid w:val="48B658AC"/>
    <w:rsid w:val="48BD28B3"/>
    <w:rsid w:val="49112400"/>
    <w:rsid w:val="49237EA8"/>
    <w:rsid w:val="49344400"/>
    <w:rsid w:val="494A21D1"/>
    <w:rsid w:val="49544B61"/>
    <w:rsid w:val="496A193C"/>
    <w:rsid w:val="497D154B"/>
    <w:rsid w:val="497F1F6E"/>
    <w:rsid w:val="499D6B4B"/>
    <w:rsid w:val="49A11142"/>
    <w:rsid w:val="49A37E83"/>
    <w:rsid w:val="49D51923"/>
    <w:rsid w:val="49DC7715"/>
    <w:rsid w:val="49E25E62"/>
    <w:rsid w:val="49F2609F"/>
    <w:rsid w:val="4A023139"/>
    <w:rsid w:val="4A287C92"/>
    <w:rsid w:val="4A33679C"/>
    <w:rsid w:val="4A531577"/>
    <w:rsid w:val="4A775F7C"/>
    <w:rsid w:val="4A7B576F"/>
    <w:rsid w:val="4A8A2340"/>
    <w:rsid w:val="4AA960C4"/>
    <w:rsid w:val="4AAD73FA"/>
    <w:rsid w:val="4AB12490"/>
    <w:rsid w:val="4AC156BC"/>
    <w:rsid w:val="4AD0278D"/>
    <w:rsid w:val="4AE90738"/>
    <w:rsid w:val="4AF561A9"/>
    <w:rsid w:val="4AF87D03"/>
    <w:rsid w:val="4B463B32"/>
    <w:rsid w:val="4B5A3DEF"/>
    <w:rsid w:val="4B87023F"/>
    <w:rsid w:val="4B872C5E"/>
    <w:rsid w:val="4BA53ED7"/>
    <w:rsid w:val="4BA84145"/>
    <w:rsid w:val="4BBC00C6"/>
    <w:rsid w:val="4BC34673"/>
    <w:rsid w:val="4BC943E4"/>
    <w:rsid w:val="4BD8010B"/>
    <w:rsid w:val="4BD96F36"/>
    <w:rsid w:val="4BEC3E43"/>
    <w:rsid w:val="4C1C2621"/>
    <w:rsid w:val="4C2D28C3"/>
    <w:rsid w:val="4C325336"/>
    <w:rsid w:val="4C3C44EB"/>
    <w:rsid w:val="4C4A0649"/>
    <w:rsid w:val="4C4A325A"/>
    <w:rsid w:val="4C5749C8"/>
    <w:rsid w:val="4C5F280A"/>
    <w:rsid w:val="4C64273C"/>
    <w:rsid w:val="4C68224E"/>
    <w:rsid w:val="4C7E5ECA"/>
    <w:rsid w:val="4C876AA5"/>
    <w:rsid w:val="4C89602F"/>
    <w:rsid w:val="4C8C75D8"/>
    <w:rsid w:val="4CAA190D"/>
    <w:rsid w:val="4CAB73DF"/>
    <w:rsid w:val="4CB23F88"/>
    <w:rsid w:val="4CC640AF"/>
    <w:rsid w:val="4CC95028"/>
    <w:rsid w:val="4CDC3E03"/>
    <w:rsid w:val="4CF41227"/>
    <w:rsid w:val="4D0E00FB"/>
    <w:rsid w:val="4D176606"/>
    <w:rsid w:val="4D1F22ED"/>
    <w:rsid w:val="4D2567E7"/>
    <w:rsid w:val="4D3076E0"/>
    <w:rsid w:val="4D324036"/>
    <w:rsid w:val="4D3818CA"/>
    <w:rsid w:val="4D554927"/>
    <w:rsid w:val="4D5A6C0B"/>
    <w:rsid w:val="4D6F7566"/>
    <w:rsid w:val="4D7F1FBF"/>
    <w:rsid w:val="4D82349F"/>
    <w:rsid w:val="4DBD4CAA"/>
    <w:rsid w:val="4DC81938"/>
    <w:rsid w:val="4DDC5CDE"/>
    <w:rsid w:val="4DEC4FB0"/>
    <w:rsid w:val="4DF12F98"/>
    <w:rsid w:val="4E075D8A"/>
    <w:rsid w:val="4E185931"/>
    <w:rsid w:val="4E3B16A1"/>
    <w:rsid w:val="4E9A3EA0"/>
    <w:rsid w:val="4EC00FAD"/>
    <w:rsid w:val="4EC3027C"/>
    <w:rsid w:val="4EE20DC3"/>
    <w:rsid w:val="4F3E2B89"/>
    <w:rsid w:val="4F676250"/>
    <w:rsid w:val="4F6B64A4"/>
    <w:rsid w:val="4F86399B"/>
    <w:rsid w:val="4F8C7FFF"/>
    <w:rsid w:val="4F94690C"/>
    <w:rsid w:val="4F9843DC"/>
    <w:rsid w:val="4F9B247B"/>
    <w:rsid w:val="4FA53375"/>
    <w:rsid w:val="4FAF1E73"/>
    <w:rsid w:val="4FC62A8C"/>
    <w:rsid w:val="4FC76DCC"/>
    <w:rsid w:val="4FE20F0D"/>
    <w:rsid w:val="4FE51552"/>
    <w:rsid w:val="500238BF"/>
    <w:rsid w:val="5008564A"/>
    <w:rsid w:val="503C6765"/>
    <w:rsid w:val="504D2202"/>
    <w:rsid w:val="50504C4B"/>
    <w:rsid w:val="506D0D24"/>
    <w:rsid w:val="50736AF1"/>
    <w:rsid w:val="5076405B"/>
    <w:rsid w:val="50862BBE"/>
    <w:rsid w:val="509C6E7C"/>
    <w:rsid w:val="50EF080A"/>
    <w:rsid w:val="50F52F01"/>
    <w:rsid w:val="514F6BF7"/>
    <w:rsid w:val="515D758B"/>
    <w:rsid w:val="5162104E"/>
    <w:rsid w:val="51896E68"/>
    <w:rsid w:val="51A416F3"/>
    <w:rsid w:val="51B56A75"/>
    <w:rsid w:val="51F06E3E"/>
    <w:rsid w:val="51FB38BE"/>
    <w:rsid w:val="52137977"/>
    <w:rsid w:val="522E62CD"/>
    <w:rsid w:val="525810D0"/>
    <w:rsid w:val="52904AFC"/>
    <w:rsid w:val="529138CC"/>
    <w:rsid w:val="52C062CC"/>
    <w:rsid w:val="53020DB7"/>
    <w:rsid w:val="53A039CC"/>
    <w:rsid w:val="53A1505A"/>
    <w:rsid w:val="53CA3948"/>
    <w:rsid w:val="53E47E6C"/>
    <w:rsid w:val="53FC2150"/>
    <w:rsid w:val="54063E08"/>
    <w:rsid w:val="5427683E"/>
    <w:rsid w:val="543437E8"/>
    <w:rsid w:val="545A70EC"/>
    <w:rsid w:val="5474748E"/>
    <w:rsid w:val="549D13F6"/>
    <w:rsid w:val="549F5E92"/>
    <w:rsid w:val="54A90FAB"/>
    <w:rsid w:val="54C32227"/>
    <w:rsid w:val="54F73313"/>
    <w:rsid w:val="54F80955"/>
    <w:rsid w:val="55050EF8"/>
    <w:rsid w:val="552036A4"/>
    <w:rsid w:val="552A032B"/>
    <w:rsid w:val="553D4623"/>
    <w:rsid w:val="555170A7"/>
    <w:rsid w:val="55541946"/>
    <w:rsid w:val="55666ED8"/>
    <w:rsid w:val="557E1A2A"/>
    <w:rsid w:val="5587536D"/>
    <w:rsid w:val="55933A8C"/>
    <w:rsid w:val="559B174B"/>
    <w:rsid w:val="55A15F72"/>
    <w:rsid w:val="55CE0CF4"/>
    <w:rsid w:val="55F07F0E"/>
    <w:rsid w:val="55F427CF"/>
    <w:rsid w:val="55F42FF2"/>
    <w:rsid w:val="56150435"/>
    <w:rsid w:val="562A2CE9"/>
    <w:rsid w:val="563C6E39"/>
    <w:rsid w:val="563C7798"/>
    <w:rsid w:val="56491A3B"/>
    <w:rsid w:val="5659306C"/>
    <w:rsid w:val="56875F18"/>
    <w:rsid w:val="56B22A9C"/>
    <w:rsid w:val="56CC6A03"/>
    <w:rsid w:val="56F31707"/>
    <w:rsid w:val="5707051B"/>
    <w:rsid w:val="571F0CB1"/>
    <w:rsid w:val="57210934"/>
    <w:rsid w:val="573F5DB1"/>
    <w:rsid w:val="574C257C"/>
    <w:rsid w:val="57614CFF"/>
    <w:rsid w:val="577077E9"/>
    <w:rsid w:val="577C30E0"/>
    <w:rsid w:val="5788784B"/>
    <w:rsid w:val="57B72A76"/>
    <w:rsid w:val="57BE563F"/>
    <w:rsid w:val="57C2787C"/>
    <w:rsid w:val="57C3426C"/>
    <w:rsid w:val="57CE1F93"/>
    <w:rsid w:val="58101989"/>
    <w:rsid w:val="58275F2F"/>
    <w:rsid w:val="5836771A"/>
    <w:rsid w:val="583C7A8D"/>
    <w:rsid w:val="58497555"/>
    <w:rsid w:val="584C68E6"/>
    <w:rsid w:val="58692CBA"/>
    <w:rsid w:val="587972C4"/>
    <w:rsid w:val="588743D1"/>
    <w:rsid w:val="5887701A"/>
    <w:rsid w:val="589A792A"/>
    <w:rsid w:val="58B35501"/>
    <w:rsid w:val="58C139F4"/>
    <w:rsid w:val="58C63F41"/>
    <w:rsid w:val="58D63878"/>
    <w:rsid w:val="58E95558"/>
    <w:rsid w:val="59511B4A"/>
    <w:rsid w:val="595E6675"/>
    <w:rsid w:val="597E4543"/>
    <w:rsid w:val="598147D3"/>
    <w:rsid w:val="59845BCA"/>
    <w:rsid w:val="598D3F90"/>
    <w:rsid w:val="59936EDC"/>
    <w:rsid w:val="599635D2"/>
    <w:rsid w:val="59C0439F"/>
    <w:rsid w:val="59D50177"/>
    <w:rsid w:val="59D93841"/>
    <w:rsid w:val="5A480656"/>
    <w:rsid w:val="5A5377BA"/>
    <w:rsid w:val="5A581238"/>
    <w:rsid w:val="5A6E45B7"/>
    <w:rsid w:val="5A812A69"/>
    <w:rsid w:val="5A893E45"/>
    <w:rsid w:val="5A9F1062"/>
    <w:rsid w:val="5AAE5BF0"/>
    <w:rsid w:val="5ABB7C64"/>
    <w:rsid w:val="5ABE2233"/>
    <w:rsid w:val="5ACF0364"/>
    <w:rsid w:val="5ADE54D7"/>
    <w:rsid w:val="5AE84ACF"/>
    <w:rsid w:val="5B061E54"/>
    <w:rsid w:val="5B335E53"/>
    <w:rsid w:val="5B5F1291"/>
    <w:rsid w:val="5B63742B"/>
    <w:rsid w:val="5B7401DE"/>
    <w:rsid w:val="5B882D47"/>
    <w:rsid w:val="5B9200CE"/>
    <w:rsid w:val="5B9D5815"/>
    <w:rsid w:val="5BAB22D4"/>
    <w:rsid w:val="5BC36E68"/>
    <w:rsid w:val="5BDF5D95"/>
    <w:rsid w:val="5BE03D67"/>
    <w:rsid w:val="5BED78CD"/>
    <w:rsid w:val="5BFC4F87"/>
    <w:rsid w:val="5BFE7528"/>
    <w:rsid w:val="5C4E0805"/>
    <w:rsid w:val="5C964D33"/>
    <w:rsid w:val="5C9930B4"/>
    <w:rsid w:val="5CA04D2D"/>
    <w:rsid w:val="5CA45A32"/>
    <w:rsid w:val="5CB642DE"/>
    <w:rsid w:val="5CBA25E8"/>
    <w:rsid w:val="5CBF3A85"/>
    <w:rsid w:val="5CE047DB"/>
    <w:rsid w:val="5D052DB6"/>
    <w:rsid w:val="5D0D2190"/>
    <w:rsid w:val="5D234810"/>
    <w:rsid w:val="5D3850E2"/>
    <w:rsid w:val="5D3D68EA"/>
    <w:rsid w:val="5D4635C9"/>
    <w:rsid w:val="5D7E59F8"/>
    <w:rsid w:val="5D98436E"/>
    <w:rsid w:val="5DBC6912"/>
    <w:rsid w:val="5DF03E91"/>
    <w:rsid w:val="5DFF2DE1"/>
    <w:rsid w:val="5E0228E4"/>
    <w:rsid w:val="5E2467F1"/>
    <w:rsid w:val="5E5A0423"/>
    <w:rsid w:val="5E674DC9"/>
    <w:rsid w:val="5EA44A4C"/>
    <w:rsid w:val="5EA958DC"/>
    <w:rsid w:val="5EAB4345"/>
    <w:rsid w:val="5EC1019F"/>
    <w:rsid w:val="5ED47ECF"/>
    <w:rsid w:val="5EE934B9"/>
    <w:rsid w:val="5F024D2B"/>
    <w:rsid w:val="5F0E6CD2"/>
    <w:rsid w:val="5F1A2B43"/>
    <w:rsid w:val="5F1C25A7"/>
    <w:rsid w:val="5F2160EC"/>
    <w:rsid w:val="5F341239"/>
    <w:rsid w:val="5F422B99"/>
    <w:rsid w:val="5F477882"/>
    <w:rsid w:val="5F4910A4"/>
    <w:rsid w:val="5F70213D"/>
    <w:rsid w:val="5F8E0DD0"/>
    <w:rsid w:val="5FB51493"/>
    <w:rsid w:val="5FB837BB"/>
    <w:rsid w:val="5FBB4D1D"/>
    <w:rsid w:val="5FCD25D0"/>
    <w:rsid w:val="5FE502A1"/>
    <w:rsid w:val="5FF16360"/>
    <w:rsid w:val="5FF91A19"/>
    <w:rsid w:val="60185CDD"/>
    <w:rsid w:val="604B7C3C"/>
    <w:rsid w:val="605A6092"/>
    <w:rsid w:val="608A02F3"/>
    <w:rsid w:val="608D7975"/>
    <w:rsid w:val="609D6352"/>
    <w:rsid w:val="60A52CFD"/>
    <w:rsid w:val="60C8256A"/>
    <w:rsid w:val="60CC405A"/>
    <w:rsid w:val="60DF1247"/>
    <w:rsid w:val="60E60C51"/>
    <w:rsid w:val="60FB6339"/>
    <w:rsid w:val="61075236"/>
    <w:rsid w:val="61497B2C"/>
    <w:rsid w:val="614F25AA"/>
    <w:rsid w:val="61740AD9"/>
    <w:rsid w:val="61891E39"/>
    <w:rsid w:val="61923B97"/>
    <w:rsid w:val="619B73E2"/>
    <w:rsid w:val="61AA0DEB"/>
    <w:rsid w:val="61B76886"/>
    <w:rsid w:val="61DC685D"/>
    <w:rsid w:val="61E215D8"/>
    <w:rsid w:val="61E21FA9"/>
    <w:rsid w:val="61F54084"/>
    <w:rsid w:val="620E3A5E"/>
    <w:rsid w:val="621B3775"/>
    <w:rsid w:val="622D2C8B"/>
    <w:rsid w:val="62343D48"/>
    <w:rsid w:val="62364782"/>
    <w:rsid w:val="623709E5"/>
    <w:rsid w:val="626C5880"/>
    <w:rsid w:val="62796BBA"/>
    <w:rsid w:val="62AA19E0"/>
    <w:rsid w:val="62B95DAA"/>
    <w:rsid w:val="62C83944"/>
    <w:rsid w:val="62D03090"/>
    <w:rsid w:val="62F20323"/>
    <w:rsid w:val="62F276B1"/>
    <w:rsid w:val="63072935"/>
    <w:rsid w:val="63234EDD"/>
    <w:rsid w:val="63550DA9"/>
    <w:rsid w:val="63642674"/>
    <w:rsid w:val="63694076"/>
    <w:rsid w:val="638A4CF2"/>
    <w:rsid w:val="6394356A"/>
    <w:rsid w:val="639440E0"/>
    <w:rsid w:val="63A56719"/>
    <w:rsid w:val="63C61B2C"/>
    <w:rsid w:val="63D01F2A"/>
    <w:rsid w:val="63D40BE9"/>
    <w:rsid w:val="63E401E0"/>
    <w:rsid w:val="63EE44F8"/>
    <w:rsid w:val="63F460D4"/>
    <w:rsid w:val="64102431"/>
    <w:rsid w:val="64167AB3"/>
    <w:rsid w:val="64484C89"/>
    <w:rsid w:val="64594476"/>
    <w:rsid w:val="647864C3"/>
    <w:rsid w:val="648C3241"/>
    <w:rsid w:val="64A5243A"/>
    <w:rsid w:val="64A860F4"/>
    <w:rsid w:val="64D51F90"/>
    <w:rsid w:val="64DC259F"/>
    <w:rsid w:val="64E74293"/>
    <w:rsid w:val="64F531DE"/>
    <w:rsid w:val="65216E1C"/>
    <w:rsid w:val="65373578"/>
    <w:rsid w:val="65491655"/>
    <w:rsid w:val="654C1410"/>
    <w:rsid w:val="655509A6"/>
    <w:rsid w:val="65556AA0"/>
    <w:rsid w:val="655A3DBF"/>
    <w:rsid w:val="655D0A3C"/>
    <w:rsid w:val="655D4741"/>
    <w:rsid w:val="657505AD"/>
    <w:rsid w:val="65775CE1"/>
    <w:rsid w:val="657D3F8C"/>
    <w:rsid w:val="65906A86"/>
    <w:rsid w:val="65A4132B"/>
    <w:rsid w:val="65BB4BEA"/>
    <w:rsid w:val="65C15AE7"/>
    <w:rsid w:val="65D069AC"/>
    <w:rsid w:val="65D23352"/>
    <w:rsid w:val="65F02653"/>
    <w:rsid w:val="660E3C5F"/>
    <w:rsid w:val="661B1AC2"/>
    <w:rsid w:val="6635475A"/>
    <w:rsid w:val="663F08DD"/>
    <w:rsid w:val="664178E5"/>
    <w:rsid w:val="6668443D"/>
    <w:rsid w:val="668D3DA1"/>
    <w:rsid w:val="66A445CD"/>
    <w:rsid w:val="66B303E4"/>
    <w:rsid w:val="66B6348E"/>
    <w:rsid w:val="66BF3C86"/>
    <w:rsid w:val="671F124A"/>
    <w:rsid w:val="67241EB6"/>
    <w:rsid w:val="674F3E6F"/>
    <w:rsid w:val="67602B04"/>
    <w:rsid w:val="677A33C6"/>
    <w:rsid w:val="6798370E"/>
    <w:rsid w:val="67A44D54"/>
    <w:rsid w:val="67A57D4D"/>
    <w:rsid w:val="67AF75D1"/>
    <w:rsid w:val="67CA10E9"/>
    <w:rsid w:val="67F22010"/>
    <w:rsid w:val="67F3323F"/>
    <w:rsid w:val="680E64EC"/>
    <w:rsid w:val="68101EB6"/>
    <w:rsid w:val="68160FA6"/>
    <w:rsid w:val="681F6961"/>
    <w:rsid w:val="68610A2F"/>
    <w:rsid w:val="68805514"/>
    <w:rsid w:val="68840009"/>
    <w:rsid w:val="68AE0E23"/>
    <w:rsid w:val="68B90E46"/>
    <w:rsid w:val="68CF2E67"/>
    <w:rsid w:val="68D15979"/>
    <w:rsid w:val="68F64AF3"/>
    <w:rsid w:val="69316E2F"/>
    <w:rsid w:val="694E2071"/>
    <w:rsid w:val="69766163"/>
    <w:rsid w:val="697A3B33"/>
    <w:rsid w:val="698955CA"/>
    <w:rsid w:val="699C4A92"/>
    <w:rsid w:val="69A23A2D"/>
    <w:rsid w:val="69C4382B"/>
    <w:rsid w:val="69D44760"/>
    <w:rsid w:val="69D60195"/>
    <w:rsid w:val="69D83854"/>
    <w:rsid w:val="69F52A27"/>
    <w:rsid w:val="6A0A3065"/>
    <w:rsid w:val="6A244F80"/>
    <w:rsid w:val="6A3F7E58"/>
    <w:rsid w:val="6A520EC7"/>
    <w:rsid w:val="6A7E0B45"/>
    <w:rsid w:val="6A820763"/>
    <w:rsid w:val="6A994AE2"/>
    <w:rsid w:val="6AA66F7C"/>
    <w:rsid w:val="6AB10BD3"/>
    <w:rsid w:val="6AB12D99"/>
    <w:rsid w:val="6AD40E1E"/>
    <w:rsid w:val="6AE34DE1"/>
    <w:rsid w:val="6AF25099"/>
    <w:rsid w:val="6AF705F9"/>
    <w:rsid w:val="6AF87E20"/>
    <w:rsid w:val="6B322639"/>
    <w:rsid w:val="6B576161"/>
    <w:rsid w:val="6B6100CB"/>
    <w:rsid w:val="6B7B3B40"/>
    <w:rsid w:val="6BAB7E58"/>
    <w:rsid w:val="6BB47915"/>
    <w:rsid w:val="6C04436B"/>
    <w:rsid w:val="6C404415"/>
    <w:rsid w:val="6C4B73F8"/>
    <w:rsid w:val="6C4E659A"/>
    <w:rsid w:val="6C62760D"/>
    <w:rsid w:val="6C636C38"/>
    <w:rsid w:val="6C742106"/>
    <w:rsid w:val="6C7B7312"/>
    <w:rsid w:val="6C8167B5"/>
    <w:rsid w:val="6C890B77"/>
    <w:rsid w:val="6CA41FF3"/>
    <w:rsid w:val="6CB21D21"/>
    <w:rsid w:val="6CDE344F"/>
    <w:rsid w:val="6CE43E11"/>
    <w:rsid w:val="6CE56E71"/>
    <w:rsid w:val="6CF65614"/>
    <w:rsid w:val="6D1C561D"/>
    <w:rsid w:val="6D257D4A"/>
    <w:rsid w:val="6D3E0BDB"/>
    <w:rsid w:val="6D4C1A7F"/>
    <w:rsid w:val="6D536BAA"/>
    <w:rsid w:val="6D6249E7"/>
    <w:rsid w:val="6D8667CE"/>
    <w:rsid w:val="6D8810AE"/>
    <w:rsid w:val="6DAD7CA3"/>
    <w:rsid w:val="6DB34098"/>
    <w:rsid w:val="6DB545B6"/>
    <w:rsid w:val="6DB66549"/>
    <w:rsid w:val="6DE02FB4"/>
    <w:rsid w:val="6DFF059B"/>
    <w:rsid w:val="6E1811A2"/>
    <w:rsid w:val="6E211F2B"/>
    <w:rsid w:val="6E2163FE"/>
    <w:rsid w:val="6E2D1323"/>
    <w:rsid w:val="6E514CED"/>
    <w:rsid w:val="6E5B161E"/>
    <w:rsid w:val="6E632992"/>
    <w:rsid w:val="6E643FCD"/>
    <w:rsid w:val="6E8D4441"/>
    <w:rsid w:val="6EA47239"/>
    <w:rsid w:val="6EAA19AE"/>
    <w:rsid w:val="6EAD7EF0"/>
    <w:rsid w:val="6EB43055"/>
    <w:rsid w:val="6EB563D5"/>
    <w:rsid w:val="6ED421B0"/>
    <w:rsid w:val="6ED43FCC"/>
    <w:rsid w:val="6ED92677"/>
    <w:rsid w:val="6EE17ACB"/>
    <w:rsid w:val="6EEB45FF"/>
    <w:rsid w:val="6F225983"/>
    <w:rsid w:val="6F2D2B98"/>
    <w:rsid w:val="6F3A54CF"/>
    <w:rsid w:val="6F3B2175"/>
    <w:rsid w:val="6F927D49"/>
    <w:rsid w:val="6F990653"/>
    <w:rsid w:val="6FE963F8"/>
    <w:rsid w:val="6FEF206C"/>
    <w:rsid w:val="6FF2592F"/>
    <w:rsid w:val="6FF95FC5"/>
    <w:rsid w:val="6FFB385C"/>
    <w:rsid w:val="6FFC5590"/>
    <w:rsid w:val="70210F27"/>
    <w:rsid w:val="702C64C3"/>
    <w:rsid w:val="70550631"/>
    <w:rsid w:val="706D1DD0"/>
    <w:rsid w:val="707709B0"/>
    <w:rsid w:val="707C315E"/>
    <w:rsid w:val="70815EAF"/>
    <w:rsid w:val="70856B87"/>
    <w:rsid w:val="709C2434"/>
    <w:rsid w:val="70AD66BA"/>
    <w:rsid w:val="70D527EE"/>
    <w:rsid w:val="70F92088"/>
    <w:rsid w:val="710D1F4B"/>
    <w:rsid w:val="71177D81"/>
    <w:rsid w:val="71475197"/>
    <w:rsid w:val="714C7BC5"/>
    <w:rsid w:val="715055ED"/>
    <w:rsid w:val="7152179F"/>
    <w:rsid w:val="715B5300"/>
    <w:rsid w:val="717160B8"/>
    <w:rsid w:val="71847067"/>
    <w:rsid w:val="718E603F"/>
    <w:rsid w:val="719654E0"/>
    <w:rsid w:val="7197149A"/>
    <w:rsid w:val="71A67ECD"/>
    <w:rsid w:val="71A71273"/>
    <w:rsid w:val="71A722DE"/>
    <w:rsid w:val="71C3602A"/>
    <w:rsid w:val="71C8627B"/>
    <w:rsid w:val="71CA5019"/>
    <w:rsid w:val="71D27F8A"/>
    <w:rsid w:val="71EC17EA"/>
    <w:rsid w:val="71FB09CF"/>
    <w:rsid w:val="72035CCB"/>
    <w:rsid w:val="72210E8B"/>
    <w:rsid w:val="72287BB2"/>
    <w:rsid w:val="722F09F5"/>
    <w:rsid w:val="72345C8F"/>
    <w:rsid w:val="72352D15"/>
    <w:rsid w:val="724816AF"/>
    <w:rsid w:val="72553024"/>
    <w:rsid w:val="728B76C7"/>
    <w:rsid w:val="72A808CE"/>
    <w:rsid w:val="72AE6359"/>
    <w:rsid w:val="72BB015E"/>
    <w:rsid w:val="72E14E43"/>
    <w:rsid w:val="73010267"/>
    <w:rsid w:val="73122968"/>
    <w:rsid w:val="73124E05"/>
    <w:rsid w:val="731F5D5E"/>
    <w:rsid w:val="732F7BB3"/>
    <w:rsid w:val="733439D7"/>
    <w:rsid w:val="735769E0"/>
    <w:rsid w:val="73610D05"/>
    <w:rsid w:val="736E01C2"/>
    <w:rsid w:val="73803C8C"/>
    <w:rsid w:val="73920B2B"/>
    <w:rsid w:val="739D5F65"/>
    <w:rsid w:val="73AA76C3"/>
    <w:rsid w:val="73C51AD5"/>
    <w:rsid w:val="73C649FF"/>
    <w:rsid w:val="73D131F4"/>
    <w:rsid w:val="73DE3E07"/>
    <w:rsid w:val="73F9696E"/>
    <w:rsid w:val="741E530E"/>
    <w:rsid w:val="741E793C"/>
    <w:rsid w:val="74365CEE"/>
    <w:rsid w:val="745354C8"/>
    <w:rsid w:val="745E3944"/>
    <w:rsid w:val="745F2280"/>
    <w:rsid w:val="74755226"/>
    <w:rsid w:val="747669A3"/>
    <w:rsid w:val="74CB3654"/>
    <w:rsid w:val="74DE2737"/>
    <w:rsid w:val="74EC5D3B"/>
    <w:rsid w:val="74EE4752"/>
    <w:rsid w:val="75494DAE"/>
    <w:rsid w:val="754A01B9"/>
    <w:rsid w:val="75790340"/>
    <w:rsid w:val="75842A89"/>
    <w:rsid w:val="758B2419"/>
    <w:rsid w:val="759479F6"/>
    <w:rsid w:val="75D0384E"/>
    <w:rsid w:val="75D417DC"/>
    <w:rsid w:val="75E8379C"/>
    <w:rsid w:val="75FF758E"/>
    <w:rsid w:val="76017432"/>
    <w:rsid w:val="7607051D"/>
    <w:rsid w:val="760B58AA"/>
    <w:rsid w:val="76112AEB"/>
    <w:rsid w:val="7618711C"/>
    <w:rsid w:val="761E4C44"/>
    <w:rsid w:val="761F4A26"/>
    <w:rsid w:val="761F7CB8"/>
    <w:rsid w:val="76265C1A"/>
    <w:rsid w:val="762A1B21"/>
    <w:rsid w:val="7635099D"/>
    <w:rsid w:val="76514558"/>
    <w:rsid w:val="768238DD"/>
    <w:rsid w:val="769030B5"/>
    <w:rsid w:val="77106A9B"/>
    <w:rsid w:val="771B501D"/>
    <w:rsid w:val="776053F3"/>
    <w:rsid w:val="77762421"/>
    <w:rsid w:val="77774B2A"/>
    <w:rsid w:val="77885C49"/>
    <w:rsid w:val="778B6351"/>
    <w:rsid w:val="779A541A"/>
    <w:rsid w:val="779D2DAD"/>
    <w:rsid w:val="77A0012D"/>
    <w:rsid w:val="77A13454"/>
    <w:rsid w:val="77B56B1F"/>
    <w:rsid w:val="77D5220E"/>
    <w:rsid w:val="77DC54A3"/>
    <w:rsid w:val="77E141C3"/>
    <w:rsid w:val="77E92200"/>
    <w:rsid w:val="77FF5588"/>
    <w:rsid w:val="780F09F4"/>
    <w:rsid w:val="785B6DA1"/>
    <w:rsid w:val="78885037"/>
    <w:rsid w:val="78A90480"/>
    <w:rsid w:val="78C00935"/>
    <w:rsid w:val="78D45603"/>
    <w:rsid w:val="78F4782D"/>
    <w:rsid w:val="791F5D67"/>
    <w:rsid w:val="7922128C"/>
    <w:rsid w:val="79236323"/>
    <w:rsid w:val="792D1F94"/>
    <w:rsid w:val="79306721"/>
    <w:rsid w:val="7940368F"/>
    <w:rsid w:val="79522462"/>
    <w:rsid w:val="796653B0"/>
    <w:rsid w:val="797C1A84"/>
    <w:rsid w:val="798E263E"/>
    <w:rsid w:val="79945603"/>
    <w:rsid w:val="79AE1080"/>
    <w:rsid w:val="79D566AA"/>
    <w:rsid w:val="79F91D7C"/>
    <w:rsid w:val="7A0642F2"/>
    <w:rsid w:val="7A216263"/>
    <w:rsid w:val="7A364017"/>
    <w:rsid w:val="7A3B58BD"/>
    <w:rsid w:val="7A55285F"/>
    <w:rsid w:val="7A64589D"/>
    <w:rsid w:val="7A747699"/>
    <w:rsid w:val="7A7F6EF2"/>
    <w:rsid w:val="7A8265E1"/>
    <w:rsid w:val="7A8A4B16"/>
    <w:rsid w:val="7A933949"/>
    <w:rsid w:val="7AB45BBF"/>
    <w:rsid w:val="7AB718AF"/>
    <w:rsid w:val="7ACE4BAF"/>
    <w:rsid w:val="7B0320BB"/>
    <w:rsid w:val="7B0912C4"/>
    <w:rsid w:val="7B482A53"/>
    <w:rsid w:val="7B4A3E77"/>
    <w:rsid w:val="7B535CF3"/>
    <w:rsid w:val="7B5A29D7"/>
    <w:rsid w:val="7B686D42"/>
    <w:rsid w:val="7B712CBB"/>
    <w:rsid w:val="7B79673B"/>
    <w:rsid w:val="7B841746"/>
    <w:rsid w:val="7B8B6F6F"/>
    <w:rsid w:val="7B967E93"/>
    <w:rsid w:val="7BC96724"/>
    <w:rsid w:val="7C045E47"/>
    <w:rsid w:val="7C156B31"/>
    <w:rsid w:val="7C4C4E83"/>
    <w:rsid w:val="7C6C5AC7"/>
    <w:rsid w:val="7C8A0685"/>
    <w:rsid w:val="7CA60C20"/>
    <w:rsid w:val="7CC6544B"/>
    <w:rsid w:val="7CD05733"/>
    <w:rsid w:val="7CD11DEB"/>
    <w:rsid w:val="7D0239FF"/>
    <w:rsid w:val="7D0E2DC4"/>
    <w:rsid w:val="7D0F6292"/>
    <w:rsid w:val="7D213F67"/>
    <w:rsid w:val="7D2949FE"/>
    <w:rsid w:val="7D366025"/>
    <w:rsid w:val="7D4416E7"/>
    <w:rsid w:val="7D5E40CD"/>
    <w:rsid w:val="7D702FEA"/>
    <w:rsid w:val="7D707897"/>
    <w:rsid w:val="7DC73BEA"/>
    <w:rsid w:val="7DCD56F2"/>
    <w:rsid w:val="7DE45683"/>
    <w:rsid w:val="7DEA63FC"/>
    <w:rsid w:val="7DED696A"/>
    <w:rsid w:val="7DEF72F3"/>
    <w:rsid w:val="7E2236B7"/>
    <w:rsid w:val="7E2F3B8A"/>
    <w:rsid w:val="7E6B1EE9"/>
    <w:rsid w:val="7E6B6D02"/>
    <w:rsid w:val="7E897751"/>
    <w:rsid w:val="7E941052"/>
    <w:rsid w:val="7E962BB7"/>
    <w:rsid w:val="7E992FF9"/>
    <w:rsid w:val="7EB531AF"/>
    <w:rsid w:val="7EDD15CA"/>
    <w:rsid w:val="7EEA248D"/>
    <w:rsid w:val="7EEF35BD"/>
    <w:rsid w:val="7F001CE7"/>
    <w:rsid w:val="7F2826D7"/>
    <w:rsid w:val="7F3D50A1"/>
    <w:rsid w:val="7F551B0F"/>
    <w:rsid w:val="7F777D64"/>
    <w:rsid w:val="7F952830"/>
    <w:rsid w:val="7FAD0148"/>
    <w:rsid w:val="7FB66B42"/>
    <w:rsid w:val="7FD34ADC"/>
    <w:rsid w:val="7FE47E50"/>
    <w:rsid w:val="7FF44CE4"/>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qFormat="1" w:uiPriority="39" w:semiHidden="0" w:name="toc 9"/>
    <w:lsdException w:qFormat="1"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name="toa heading"/>
    <w:lsdException w:qFormat="1" w:unhideWhenUsed="0" w:uiPriority="0" w:semiHidden="0" w:name="List"/>
    <w:lsdException w:qFormat="1"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99"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adjustRightInd w:val="0"/>
      <w:snapToGrid w:val="0"/>
      <w:spacing w:line="360" w:lineRule="auto"/>
      <w:ind w:firstLine="480" w:firstLineChars="200"/>
      <w:jc w:val="both"/>
    </w:pPr>
    <w:rPr>
      <w:rFonts w:ascii="宋体" w:hAnsi="宋体" w:eastAsia="宋体" w:cs="宋体"/>
      <w:bCs/>
      <w:kern w:val="2"/>
      <w:sz w:val="24"/>
      <w:szCs w:val="24"/>
      <w:lang w:val="en-US" w:eastAsia="zh-CN" w:bidi="ar-SA"/>
    </w:rPr>
  </w:style>
  <w:style w:type="paragraph" w:styleId="2">
    <w:name w:val="heading 1"/>
    <w:basedOn w:val="1"/>
    <w:next w:val="1"/>
    <w:autoRedefine/>
    <w:qFormat/>
    <w:uiPriority w:val="0"/>
    <w:pPr>
      <w:widowControl/>
      <w:adjustRightInd/>
      <w:snapToGrid/>
      <w:spacing w:line="240" w:lineRule="auto"/>
      <w:ind w:firstLine="0" w:firstLineChars="0"/>
      <w:jc w:val="center"/>
      <w:outlineLvl w:val="0"/>
    </w:pPr>
    <w:rPr>
      <w:rFonts w:ascii="黑体" w:hAnsi="黑体" w:eastAsia="黑体" w:cs="Times New Roman"/>
      <w:bCs w:val="0"/>
      <w:snapToGrid w:val="0"/>
      <w:kern w:val="0"/>
      <w:sz w:val="30"/>
      <w:szCs w:val="30"/>
    </w:rPr>
  </w:style>
  <w:style w:type="paragraph" w:styleId="3">
    <w:name w:val="heading 2"/>
    <w:basedOn w:val="1"/>
    <w:next w:val="1"/>
    <w:autoRedefine/>
    <w:qFormat/>
    <w:uiPriority w:val="9"/>
    <w:pPr>
      <w:keepNext/>
      <w:keepLines/>
      <w:spacing w:before="260" w:after="260" w:line="416" w:lineRule="auto"/>
      <w:outlineLvl w:val="1"/>
    </w:pPr>
    <w:rPr>
      <w:rFonts w:ascii="Cambria" w:hAnsi="Cambria" w:eastAsia="宋体" w:cs="Times New Roman"/>
      <w:b/>
      <w:sz w:val="32"/>
      <w:szCs w:val="32"/>
    </w:rPr>
  </w:style>
  <w:style w:type="paragraph" w:styleId="4">
    <w:name w:val="heading 3"/>
    <w:basedOn w:val="1"/>
    <w:next w:val="1"/>
    <w:autoRedefine/>
    <w:semiHidden/>
    <w:unhideWhenUsed/>
    <w:qFormat/>
    <w:uiPriority w:val="0"/>
    <w:pPr>
      <w:spacing w:before="0" w:beforeAutospacing="1" w:after="0" w:afterAutospacing="1"/>
      <w:jc w:val="left"/>
    </w:pPr>
    <w:rPr>
      <w:rFonts w:hint="eastAsia" w:ascii="宋体" w:hAnsi="宋体" w:eastAsia="宋体" w:cs="宋体"/>
      <w:b/>
      <w:color w:val="auto"/>
      <w:kern w:val="0"/>
      <w:sz w:val="27"/>
      <w:szCs w:val="27"/>
      <w:lang w:val="en-US" w:eastAsia="zh-CN" w:bidi="ar"/>
    </w:rPr>
  </w:style>
  <w:style w:type="paragraph" w:styleId="5">
    <w:name w:val="heading 4"/>
    <w:basedOn w:val="1"/>
    <w:next w:val="1"/>
    <w:autoRedefine/>
    <w:qFormat/>
    <w:uiPriority w:val="0"/>
    <w:pPr>
      <w:keepNext/>
      <w:keepLines/>
      <w:spacing w:before="280" w:beforeLines="0" w:beforeAutospacing="0" w:after="290" w:afterLines="0" w:afterAutospacing="0" w:line="372" w:lineRule="auto"/>
      <w:jc w:val="center"/>
      <w:outlineLvl w:val="3"/>
    </w:pPr>
    <w:rPr>
      <w:rFonts w:ascii="Times New Roman" w:hAnsi="Times New Roman" w:eastAsia="宋体"/>
      <w:b/>
    </w:rPr>
  </w:style>
  <w:style w:type="character" w:default="1" w:styleId="37">
    <w:name w:val="Default Paragraph Font"/>
    <w:autoRedefine/>
    <w:semiHidden/>
    <w:qFormat/>
    <w:uiPriority w:val="0"/>
  </w:style>
  <w:style w:type="table" w:default="1" w:styleId="35">
    <w:name w:val="Normal Table"/>
    <w:autoRedefine/>
    <w:semiHidden/>
    <w:qFormat/>
    <w:uiPriority w:val="0"/>
    <w:tblPr>
      <w:tblCellMar>
        <w:top w:w="0" w:type="dxa"/>
        <w:left w:w="108" w:type="dxa"/>
        <w:bottom w:w="0" w:type="dxa"/>
        <w:right w:w="108" w:type="dxa"/>
      </w:tblCellMar>
    </w:tblPr>
  </w:style>
  <w:style w:type="paragraph" w:styleId="6">
    <w:name w:val="Normal Indent"/>
    <w:basedOn w:val="1"/>
    <w:autoRedefine/>
    <w:unhideWhenUsed/>
    <w:qFormat/>
    <w:uiPriority w:val="0"/>
    <w:pPr>
      <w:spacing w:line="520" w:lineRule="exact"/>
      <w:ind w:firstLine="624"/>
    </w:pPr>
    <w:rPr>
      <w:rFonts w:ascii="Calibri" w:hAnsi="Calibri" w:eastAsia="宋体" w:cs="Times New Roman"/>
      <w:sz w:val="28"/>
      <w:szCs w:val="22"/>
    </w:rPr>
  </w:style>
  <w:style w:type="paragraph" w:styleId="7">
    <w:name w:val="List Bullet"/>
    <w:basedOn w:val="1"/>
    <w:autoRedefine/>
    <w:qFormat/>
    <w:uiPriority w:val="0"/>
    <w:pPr>
      <w:numPr>
        <w:ilvl w:val="0"/>
        <w:numId w:val="1"/>
      </w:numPr>
    </w:pPr>
  </w:style>
  <w:style w:type="paragraph" w:styleId="8">
    <w:name w:val="Document Map"/>
    <w:basedOn w:val="1"/>
    <w:link w:val="50"/>
    <w:autoRedefine/>
    <w:qFormat/>
    <w:uiPriority w:val="0"/>
    <w:rPr>
      <w:rFonts w:hAnsi="Times New Roman" w:cs="Times New Roman"/>
      <w:bCs w:val="0"/>
      <w:sz w:val="18"/>
      <w:szCs w:val="18"/>
    </w:rPr>
  </w:style>
  <w:style w:type="paragraph" w:styleId="9">
    <w:name w:val="toa heading"/>
    <w:basedOn w:val="1"/>
    <w:next w:val="1"/>
    <w:autoRedefine/>
    <w:semiHidden/>
    <w:qFormat/>
    <w:uiPriority w:val="0"/>
    <w:pPr>
      <w:spacing w:before="120"/>
    </w:pPr>
    <w:rPr>
      <w:rFonts w:ascii="Arial" w:hAnsi="宋体" w:cs="宋体"/>
      <w:kern w:val="0"/>
      <w:sz w:val="24"/>
      <w:szCs w:val="20"/>
    </w:rPr>
  </w:style>
  <w:style w:type="paragraph" w:styleId="10">
    <w:name w:val="annotation text"/>
    <w:basedOn w:val="1"/>
    <w:link w:val="51"/>
    <w:autoRedefine/>
    <w:semiHidden/>
    <w:qFormat/>
    <w:uiPriority w:val="0"/>
    <w:pPr>
      <w:jc w:val="left"/>
    </w:pPr>
    <w:rPr>
      <w:rFonts w:ascii="Times New Roman" w:hAnsi="Times New Roman" w:cs="Times New Roman"/>
      <w:bCs w:val="0"/>
      <w:kern w:val="0"/>
      <w:szCs w:val="20"/>
    </w:rPr>
  </w:style>
  <w:style w:type="paragraph" w:styleId="11">
    <w:name w:val="Body Text"/>
    <w:basedOn w:val="1"/>
    <w:link w:val="49"/>
    <w:autoRedefine/>
    <w:qFormat/>
    <w:uiPriority w:val="0"/>
    <w:pPr>
      <w:widowControl/>
      <w:snapToGrid w:val="0"/>
      <w:spacing w:before="60" w:after="160" w:line="259" w:lineRule="auto"/>
      <w:ind w:right="113"/>
    </w:pPr>
    <w:rPr>
      <w:rFonts w:ascii="Times New Roman" w:hAnsi="Times New Roman" w:cs="Times New Roman"/>
      <w:bCs w:val="0"/>
      <w:kern w:val="0"/>
      <w:sz w:val="18"/>
      <w:szCs w:val="20"/>
    </w:rPr>
  </w:style>
  <w:style w:type="paragraph" w:styleId="12">
    <w:name w:val="Body Text Indent"/>
    <w:basedOn w:val="1"/>
    <w:next w:val="13"/>
    <w:link w:val="52"/>
    <w:autoRedefine/>
    <w:qFormat/>
    <w:uiPriority w:val="0"/>
    <w:pPr>
      <w:spacing w:after="120"/>
      <w:ind w:left="420" w:leftChars="200"/>
    </w:pPr>
    <w:rPr>
      <w:rFonts w:ascii="Times New Roman" w:hAnsi="Times New Roman" w:cs="Times New Roman"/>
      <w:bCs w:val="0"/>
      <w:kern w:val="0"/>
      <w:szCs w:val="20"/>
    </w:rPr>
  </w:style>
  <w:style w:type="paragraph" w:styleId="13">
    <w:name w:val="Body Text First Indent 2"/>
    <w:basedOn w:val="12"/>
    <w:next w:val="1"/>
    <w:autoRedefine/>
    <w:qFormat/>
    <w:uiPriority w:val="0"/>
    <w:pPr>
      <w:ind w:firstLine="420" w:firstLineChars="200"/>
    </w:pPr>
  </w:style>
  <w:style w:type="paragraph" w:styleId="14">
    <w:name w:val="Block Text"/>
    <w:basedOn w:val="1"/>
    <w:next w:val="1"/>
    <w:autoRedefine/>
    <w:qFormat/>
    <w:uiPriority w:val="0"/>
    <w:pPr>
      <w:spacing w:after="120"/>
      <w:ind w:left="1440" w:leftChars="700" w:rightChars="700"/>
    </w:pPr>
    <w:rPr>
      <w:szCs w:val="21"/>
    </w:rPr>
  </w:style>
  <w:style w:type="paragraph" w:styleId="15">
    <w:name w:val="Plain Text"/>
    <w:basedOn w:val="1"/>
    <w:autoRedefine/>
    <w:qFormat/>
    <w:uiPriority w:val="0"/>
    <w:rPr>
      <w:rFonts w:ascii="宋体" w:hAnsi="Courier New" w:eastAsia="仿宋_GB2312"/>
      <w:kern w:val="0"/>
      <w:sz w:val="28"/>
      <w:szCs w:val="20"/>
    </w:rPr>
  </w:style>
  <w:style w:type="paragraph" w:styleId="16">
    <w:name w:val="List Bullet 5"/>
    <w:basedOn w:val="1"/>
    <w:autoRedefine/>
    <w:qFormat/>
    <w:uiPriority w:val="0"/>
    <w:pPr>
      <w:numPr>
        <w:ilvl w:val="0"/>
        <w:numId w:val="2"/>
      </w:numPr>
    </w:pPr>
  </w:style>
  <w:style w:type="paragraph" w:styleId="17">
    <w:name w:val="Date"/>
    <w:basedOn w:val="1"/>
    <w:next w:val="1"/>
    <w:link w:val="53"/>
    <w:autoRedefine/>
    <w:qFormat/>
    <w:uiPriority w:val="0"/>
    <w:pPr>
      <w:ind w:left="100" w:leftChars="2500"/>
    </w:pPr>
    <w:rPr>
      <w:rFonts w:ascii="Times New Roman" w:hAnsi="Times New Roman" w:cs="Times New Roman"/>
      <w:bCs w:val="0"/>
      <w:kern w:val="0"/>
      <w:szCs w:val="20"/>
    </w:rPr>
  </w:style>
  <w:style w:type="paragraph" w:styleId="18">
    <w:name w:val="Body Text Indent 2"/>
    <w:basedOn w:val="1"/>
    <w:autoRedefine/>
    <w:qFormat/>
    <w:uiPriority w:val="0"/>
    <w:pPr>
      <w:spacing w:after="120" w:afterLines="0" w:line="480" w:lineRule="auto"/>
      <w:ind w:left="420" w:leftChars="200"/>
    </w:pPr>
    <w:rPr>
      <w:kern w:val="0"/>
      <w:sz w:val="28"/>
      <w:szCs w:val="20"/>
    </w:rPr>
  </w:style>
  <w:style w:type="paragraph" w:styleId="19">
    <w:name w:val="Balloon Text"/>
    <w:basedOn w:val="1"/>
    <w:link w:val="54"/>
    <w:autoRedefine/>
    <w:semiHidden/>
    <w:qFormat/>
    <w:uiPriority w:val="0"/>
    <w:rPr>
      <w:rFonts w:ascii="Times New Roman" w:hAnsi="Times New Roman" w:cs="Times New Roman"/>
      <w:bCs w:val="0"/>
      <w:kern w:val="0"/>
      <w:sz w:val="18"/>
      <w:szCs w:val="20"/>
    </w:rPr>
  </w:style>
  <w:style w:type="paragraph" w:styleId="20">
    <w:name w:val="footer"/>
    <w:basedOn w:val="1"/>
    <w:link w:val="55"/>
    <w:autoRedefine/>
    <w:qFormat/>
    <w:uiPriority w:val="99"/>
    <w:pPr>
      <w:tabs>
        <w:tab w:val="center" w:pos="4153"/>
        <w:tab w:val="right" w:pos="8306"/>
      </w:tabs>
      <w:snapToGrid w:val="0"/>
      <w:jc w:val="left"/>
    </w:pPr>
    <w:rPr>
      <w:rFonts w:ascii="Times New Roman" w:hAnsi="Times New Roman" w:cs="Times New Roman"/>
      <w:bCs w:val="0"/>
      <w:kern w:val="0"/>
      <w:sz w:val="18"/>
      <w:szCs w:val="20"/>
    </w:rPr>
  </w:style>
  <w:style w:type="paragraph" w:styleId="21">
    <w:name w:val="header"/>
    <w:basedOn w:val="1"/>
    <w:link w:val="56"/>
    <w:autoRedefine/>
    <w:qFormat/>
    <w:uiPriority w:val="0"/>
    <w:pPr>
      <w:pBdr>
        <w:bottom w:val="single" w:color="auto" w:sz="6" w:space="1"/>
      </w:pBdr>
      <w:tabs>
        <w:tab w:val="center" w:pos="4153"/>
        <w:tab w:val="right" w:pos="8306"/>
      </w:tabs>
      <w:snapToGrid w:val="0"/>
      <w:jc w:val="center"/>
    </w:pPr>
    <w:rPr>
      <w:rFonts w:ascii="Times New Roman" w:hAnsi="Times New Roman" w:cs="Times New Roman"/>
      <w:bCs w:val="0"/>
      <w:kern w:val="0"/>
      <w:sz w:val="18"/>
      <w:szCs w:val="20"/>
    </w:rPr>
  </w:style>
  <w:style w:type="paragraph" w:styleId="22">
    <w:name w:val="toc 1"/>
    <w:basedOn w:val="1"/>
    <w:next w:val="1"/>
    <w:autoRedefine/>
    <w:qFormat/>
    <w:uiPriority w:val="39"/>
  </w:style>
  <w:style w:type="paragraph" w:styleId="23">
    <w:name w:val="Subtitle"/>
    <w:basedOn w:val="1"/>
    <w:next w:val="1"/>
    <w:autoRedefine/>
    <w:qFormat/>
    <w:uiPriority w:val="0"/>
    <w:pPr>
      <w:adjustRightInd w:val="0"/>
      <w:snapToGrid w:val="0"/>
      <w:spacing w:before="60"/>
      <w:ind w:firstLine="200" w:firstLineChars="200"/>
      <w:jc w:val="left"/>
    </w:pPr>
    <w:rPr>
      <w:b/>
      <w:kern w:val="28"/>
      <w:sz w:val="24"/>
      <w:szCs w:val="32"/>
    </w:rPr>
  </w:style>
  <w:style w:type="paragraph" w:styleId="24">
    <w:name w:val="List"/>
    <w:basedOn w:val="1"/>
    <w:autoRedefine/>
    <w:qFormat/>
    <w:uiPriority w:val="0"/>
    <w:pPr>
      <w:spacing w:line="360" w:lineRule="exact"/>
      <w:jc w:val="center"/>
    </w:pPr>
    <w:rPr>
      <w:rFonts w:ascii="仿宋_GB2312" w:eastAsia="仿宋_GB2312"/>
      <w:sz w:val="24"/>
      <w:szCs w:val="20"/>
    </w:rPr>
  </w:style>
  <w:style w:type="paragraph" w:styleId="25">
    <w:name w:val="table of figures"/>
    <w:basedOn w:val="1"/>
    <w:next w:val="1"/>
    <w:autoRedefine/>
    <w:qFormat/>
    <w:uiPriority w:val="0"/>
    <w:pPr>
      <w:autoSpaceDE w:val="0"/>
      <w:autoSpaceDN w:val="0"/>
      <w:spacing w:line="360" w:lineRule="auto"/>
      <w:ind w:left="200" w:leftChars="200" w:hanging="200" w:hangingChars="200"/>
    </w:pPr>
    <w:rPr>
      <w:sz w:val="28"/>
      <w:szCs w:val="20"/>
    </w:rPr>
  </w:style>
  <w:style w:type="paragraph" w:styleId="26">
    <w:name w:val="toc 2"/>
    <w:basedOn w:val="1"/>
    <w:next w:val="1"/>
    <w:autoRedefine/>
    <w:unhideWhenUsed/>
    <w:qFormat/>
    <w:uiPriority w:val="39"/>
    <w:pPr>
      <w:widowControl/>
      <w:spacing w:after="100" w:afterLines="0" w:line="276" w:lineRule="auto"/>
      <w:ind w:left="220"/>
      <w:jc w:val="left"/>
    </w:pPr>
    <w:rPr>
      <w:rFonts w:ascii="Calibri" w:hAnsi="Calibri" w:eastAsia="宋体" w:cs="Times New Roman"/>
      <w:kern w:val="0"/>
      <w:sz w:val="22"/>
      <w:szCs w:val="22"/>
    </w:rPr>
  </w:style>
  <w:style w:type="paragraph" w:styleId="27">
    <w:name w:val="toc 9"/>
    <w:basedOn w:val="1"/>
    <w:next w:val="1"/>
    <w:autoRedefine/>
    <w:unhideWhenUsed/>
    <w:qFormat/>
    <w:uiPriority w:val="39"/>
    <w:pPr>
      <w:ind w:left="1680"/>
      <w:jc w:val="left"/>
    </w:pPr>
    <w:rPr>
      <w:rFonts w:ascii="Calibri" w:hAnsi="Calibri" w:cs="Calibri"/>
      <w:sz w:val="20"/>
      <w:szCs w:val="20"/>
    </w:rPr>
  </w:style>
  <w:style w:type="paragraph" w:styleId="28">
    <w:name w:val="Body Text 2"/>
    <w:basedOn w:val="1"/>
    <w:autoRedefine/>
    <w:unhideWhenUsed/>
    <w:qFormat/>
    <w:uiPriority w:val="0"/>
    <w:pPr>
      <w:spacing w:after="120" w:line="480" w:lineRule="auto"/>
    </w:pPr>
  </w:style>
  <w:style w:type="paragraph" w:styleId="29">
    <w:name w:val="Message Header"/>
    <w:basedOn w:val="1"/>
    <w:link w:val="57"/>
    <w:autoRedefine/>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Cambria" w:hAnsi="Cambria" w:eastAsia="宋体" w:cs="Times New Roman"/>
    </w:rPr>
  </w:style>
  <w:style w:type="paragraph" w:styleId="30">
    <w:name w:val="HTML Preformatted"/>
    <w:basedOn w:val="1"/>
    <w:autoRedefine/>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rPr>
  </w:style>
  <w:style w:type="paragraph" w:styleId="31">
    <w:name w:val="Normal (Web)"/>
    <w:basedOn w:val="1"/>
    <w:link w:val="58"/>
    <w:autoRedefine/>
    <w:qFormat/>
    <w:uiPriority w:val="0"/>
    <w:pPr>
      <w:widowControl/>
      <w:spacing w:before="100" w:beforeAutospacing="1" w:after="100" w:afterAutospacing="1"/>
      <w:jc w:val="left"/>
    </w:pPr>
    <w:rPr>
      <w:rFonts w:cs="Times New Roman"/>
      <w:bCs w:val="0"/>
      <w:kern w:val="0"/>
      <w:szCs w:val="20"/>
    </w:rPr>
  </w:style>
  <w:style w:type="paragraph" w:styleId="32">
    <w:name w:val="Title"/>
    <w:basedOn w:val="1"/>
    <w:next w:val="1"/>
    <w:autoRedefine/>
    <w:qFormat/>
    <w:uiPriority w:val="0"/>
    <w:pPr>
      <w:pageBreakBefore/>
      <w:jc w:val="left"/>
      <w:outlineLvl w:val="0"/>
    </w:pPr>
    <w:rPr>
      <w:rFonts w:ascii="Cambria" w:hAnsi="Cambria"/>
      <w:b/>
      <w:sz w:val="32"/>
      <w:szCs w:val="32"/>
    </w:rPr>
  </w:style>
  <w:style w:type="paragraph" w:styleId="33">
    <w:name w:val="annotation subject"/>
    <w:basedOn w:val="10"/>
    <w:next w:val="10"/>
    <w:link w:val="59"/>
    <w:autoRedefine/>
    <w:semiHidden/>
    <w:qFormat/>
    <w:uiPriority w:val="0"/>
    <w:rPr>
      <w:b/>
      <w:kern w:val="2"/>
    </w:rPr>
  </w:style>
  <w:style w:type="paragraph" w:styleId="34">
    <w:name w:val="Body Text First Indent"/>
    <w:basedOn w:val="1"/>
    <w:next w:val="1"/>
    <w:autoRedefine/>
    <w:qFormat/>
    <w:uiPriority w:val="0"/>
    <w:pPr>
      <w:spacing w:after="120"/>
      <w:ind w:firstLine="420" w:firstLineChars="100"/>
    </w:pPr>
  </w:style>
  <w:style w:type="table" w:styleId="36">
    <w:name w:val="Table Grid"/>
    <w:basedOn w:val="35"/>
    <w:autoRedefine/>
    <w:qFormat/>
    <w:uiPriority w:val="99"/>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8">
    <w:name w:val="Strong"/>
    <w:autoRedefine/>
    <w:qFormat/>
    <w:uiPriority w:val="0"/>
    <w:rPr>
      <w:rFonts w:ascii="Times New Roman" w:hAnsi="Times New Roman" w:eastAsia="宋体" w:cs="Times New Roman"/>
      <w:b/>
      <w:bCs/>
      <w:kern w:val="0"/>
      <w:sz w:val="24"/>
      <w:szCs w:val="20"/>
    </w:rPr>
  </w:style>
  <w:style w:type="character" w:styleId="39">
    <w:name w:val="page number"/>
    <w:basedOn w:val="37"/>
    <w:autoRedefine/>
    <w:qFormat/>
    <w:uiPriority w:val="0"/>
  </w:style>
  <w:style w:type="character" w:styleId="40">
    <w:name w:val="Hyperlink"/>
    <w:autoRedefine/>
    <w:unhideWhenUsed/>
    <w:qFormat/>
    <w:uiPriority w:val="99"/>
    <w:rPr>
      <w:color w:val="0000FF"/>
      <w:u w:val="single"/>
    </w:rPr>
  </w:style>
  <w:style w:type="character" w:styleId="41">
    <w:name w:val="annotation reference"/>
    <w:autoRedefine/>
    <w:semiHidden/>
    <w:qFormat/>
    <w:uiPriority w:val="0"/>
    <w:rPr>
      <w:sz w:val="21"/>
    </w:rPr>
  </w:style>
  <w:style w:type="paragraph" w:customStyle="1" w:styleId="42">
    <w:name w:val="Normal (Web)1"/>
    <w:basedOn w:val="1"/>
    <w:next w:val="43"/>
    <w:autoRedefine/>
    <w:qFormat/>
    <w:uiPriority w:val="0"/>
    <w:pPr>
      <w:widowControl/>
    </w:pPr>
    <w:rPr>
      <w:rFonts w:ascii="宋体" w:eastAsia="宋体" w:cs="Times New Roman"/>
      <w:sz w:val="24"/>
      <w:szCs w:val="21"/>
    </w:rPr>
  </w:style>
  <w:style w:type="paragraph" w:customStyle="1" w:styleId="43">
    <w:name w:val="Date1"/>
    <w:basedOn w:val="1"/>
    <w:next w:val="1"/>
    <w:autoRedefine/>
    <w:qFormat/>
    <w:uiPriority w:val="0"/>
    <w:pPr>
      <w:ind w:left="2500" w:leftChars="2500"/>
    </w:pPr>
  </w:style>
  <w:style w:type="paragraph" w:customStyle="1" w:styleId="44">
    <w:name w:val="xl27"/>
    <w:basedOn w:val="1"/>
    <w:next w:val="45"/>
    <w:autoRedefine/>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customStyle="1" w:styleId="45">
    <w:name w:val="A正文"/>
    <w:basedOn w:val="1"/>
    <w:next w:val="11"/>
    <w:autoRedefine/>
    <w:qFormat/>
    <w:uiPriority w:val="0"/>
    <w:pPr>
      <w:widowControl/>
      <w:overflowPunct w:val="0"/>
      <w:autoSpaceDE w:val="0"/>
      <w:autoSpaceDN w:val="0"/>
      <w:jc w:val="left"/>
      <w:textAlignment w:val="baseline"/>
    </w:pPr>
  </w:style>
  <w:style w:type="paragraph" w:customStyle="1" w:styleId="46">
    <w:name w:val="Default"/>
    <w:basedOn w:val="47"/>
    <w:next w:val="1"/>
    <w:autoRedefine/>
    <w:qFormat/>
    <w:uiPriority w:val="0"/>
    <w:pPr>
      <w:widowControl w:val="0"/>
      <w:autoSpaceDE w:val="0"/>
      <w:autoSpaceDN w:val="0"/>
      <w:adjustRightInd w:val="0"/>
    </w:pPr>
    <w:rPr>
      <w:rFonts w:ascii="华文宋体" w:hAnsi="华文宋体" w:cs="华文宋体"/>
      <w:color w:val="000000"/>
      <w:sz w:val="24"/>
      <w:szCs w:val="24"/>
      <w:lang w:val="en-US" w:eastAsia="zh-CN" w:bidi="ar-SA"/>
    </w:rPr>
  </w:style>
  <w:style w:type="paragraph" w:customStyle="1" w:styleId="47">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48">
    <w:name w:val="样式 正文首行缩进 + 首行缩进:  2 字符1"/>
    <w:basedOn w:val="1"/>
    <w:next w:val="22"/>
    <w:autoRedefine/>
    <w:qFormat/>
    <w:uiPriority w:val="0"/>
    <w:pPr>
      <w:spacing w:line="360" w:lineRule="auto"/>
      <w:ind w:firstLine="480" w:firstLineChars="200"/>
    </w:pPr>
    <w:rPr>
      <w:sz w:val="24"/>
    </w:rPr>
  </w:style>
  <w:style w:type="character" w:customStyle="1" w:styleId="49">
    <w:name w:val="正文文本 字符"/>
    <w:link w:val="11"/>
    <w:autoRedefine/>
    <w:qFormat/>
    <w:uiPriority w:val="0"/>
    <w:rPr>
      <w:sz w:val="18"/>
    </w:rPr>
  </w:style>
  <w:style w:type="character" w:customStyle="1" w:styleId="50">
    <w:name w:val="文档结构图 字符"/>
    <w:link w:val="8"/>
    <w:autoRedefine/>
    <w:qFormat/>
    <w:uiPriority w:val="0"/>
    <w:rPr>
      <w:rFonts w:ascii="宋体"/>
      <w:kern w:val="2"/>
      <w:sz w:val="18"/>
      <w:szCs w:val="18"/>
    </w:rPr>
  </w:style>
  <w:style w:type="character" w:customStyle="1" w:styleId="51">
    <w:name w:val="批注文字 字符"/>
    <w:link w:val="10"/>
    <w:autoRedefine/>
    <w:qFormat/>
    <w:uiPriority w:val="0"/>
    <w:rPr>
      <w:rFonts w:ascii="Times New Roman" w:hAnsi="Times New Roman" w:eastAsia="宋体"/>
      <w:sz w:val="24"/>
    </w:rPr>
  </w:style>
  <w:style w:type="character" w:customStyle="1" w:styleId="52">
    <w:name w:val="正文文本缩进 字符"/>
    <w:link w:val="12"/>
    <w:autoRedefine/>
    <w:semiHidden/>
    <w:qFormat/>
    <w:uiPriority w:val="0"/>
    <w:rPr>
      <w:rFonts w:ascii="Times New Roman" w:hAnsi="Times New Roman" w:eastAsia="宋体"/>
      <w:sz w:val="24"/>
    </w:rPr>
  </w:style>
  <w:style w:type="character" w:customStyle="1" w:styleId="53">
    <w:name w:val="日期 字符1"/>
    <w:link w:val="17"/>
    <w:autoRedefine/>
    <w:qFormat/>
    <w:uiPriority w:val="0"/>
    <w:rPr>
      <w:rFonts w:ascii="Times New Roman" w:hAnsi="Times New Roman" w:eastAsia="宋体"/>
      <w:sz w:val="24"/>
    </w:rPr>
  </w:style>
  <w:style w:type="character" w:customStyle="1" w:styleId="54">
    <w:name w:val="批注框文本 字符"/>
    <w:link w:val="19"/>
    <w:autoRedefine/>
    <w:semiHidden/>
    <w:qFormat/>
    <w:uiPriority w:val="0"/>
    <w:rPr>
      <w:rFonts w:ascii="Times New Roman" w:hAnsi="Times New Roman" w:eastAsia="宋体"/>
      <w:sz w:val="18"/>
    </w:rPr>
  </w:style>
  <w:style w:type="character" w:customStyle="1" w:styleId="55">
    <w:name w:val="页脚 字符1"/>
    <w:link w:val="20"/>
    <w:autoRedefine/>
    <w:qFormat/>
    <w:uiPriority w:val="99"/>
    <w:rPr>
      <w:sz w:val="18"/>
    </w:rPr>
  </w:style>
  <w:style w:type="character" w:customStyle="1" w:styleId="56">
    <w:name w:val="页眉 字符"/>
    <w:link w:val="21"/>
    <w:autoRedefine/>
    <w:qFormat/>
    <w:uiPriority w:val="0"/>
    <w:rPr>
      <w:sz w:val="18"/>
    </w:rPr>
  </w:style>
  <w:style w:type="character" w:customStyle="1" w:styleId="57">
    <w:name w:val="信息标题 字符"/>
    <w:link w:val="29"/>
    <w:autoRedefine/>
    <w:qFormat/>
    <w:uiPriority w:val="0"/>
    <w:rPr>
      <w:rFonts w:ascii="Cambria" w:hAnsi="Cambria" w:eastAsia="宋体" w:cs="Times New Roman"/>
      <w:bCs/>
      <w:kern w:val="2"/>
      <w:sz w:val="24"/>
      <w:szCs w:val="24"/>
      <w:shd w:val="pct20" w:color="auto" w:fill="auto"/>
    </w:rPr>
  </w:style>
  <w:style w:type="character" w:customStyle="1" w:styleId="58">
    <w:name w:val="普通(网站) 字符"/>
    <w:link w:val="31"/>
    <w:autoRedefine/>
    <w:qFormat/>
    <w:uiPriority w:val="0"/>
    <w:rPr>
      <w:rFonts w:ascii="宋体" w:hAnsi="宋体" w:eastAsia="宋体"/>
      <w:sz w:val="24"/>
    </w:rPr>
  </w:style>
  <w:style w:type="character" w:customStyle="1" w:styleId="59">
    <w:name w:val="批注主题 字符"/>
    <w:link w:val="33"/>
    <w:autoRedefine/>
    <w:semiHidden/>
    <w:qFormat/>
    <w:uiPriority w:val="0"/>
    <w:rPr>
      <w:rFonts w:ascii="Times New Roman" w:hAnsi="Times New Roman" w:eastAsia="宋体"/>
      <w:b/>
      <w:kern w:val="2"/>
      <w:sz w:val="24"/>
    </w:rPr>
  </w:style>
  <w:style w:type="character" w:customStyle="1" w:styleId="60">
    <w:name w:val="日期 字符"/>
    <w:autoRedefine/>
    <w:semiHidden/>
    <w:qFormat/>
    <w:uiPriority w:val="0"/>
    <w:rPr>
      <w:rFonts w:ascii="Times New Roman" w:hAnsi="Times New Roman" w:eastAsia="宋体"/>
      <w:sz w:val="24"/>
    </w:rPr>
  </w:style>
  <w:style w:type="character" w:customStyle="1" w:styleId="61">
    <w:name w:val="正文文本 (2) Exact"/>
    <w:basedOn w:val="62"/>
    <w:autoRedefine/>
    <w:unhideWhenUsed/>
    <w:qFormat/>
    <w:uiPriority w:val="99"/>
    <w:rPr>
      <w:rFonts w:hint="default" w:ascii="宋体" w:hAnsi="宋体" w:eastAsia="宋体"/>
      <w:sz w:val="22"/>
      <w:lang w:val="en-US" w:eastAsia="en-US"/>
    </w:rPr>
  </w:style>
  <w:style w:type="character" w:customStyle="1" w:styleId="62">
    <w:name w:val="正文文本 (2)_"/>
    <w:basedOn w:val="37"/>
    <w:link w:val="63"/>
    <w:autoRedefine/>
    <w:unhideWhenUsed/>
    <w:qFormat/>
    <w:uiPriority w:val="99"/>
    <w:rPr>
      <w:rFonts w:hint="eastAsia" w:ascii="宋体" w:hAnsi="宋体" w:eastAsia="宋体"/>
      <w:sz w:val="22"/>
    </w:rPr>
  </w:style>
  <w:style w:type="paragraph" w:customStyle="1" w:styleId="63">
    <w:name w:val="正文文本 (2)"/>
    <w:basedOn w:val="1"/>
    <w:link w:val="62"/>
    <w:autoRedefine/>
    <w:unhideWhenUsed/>
    <w:qFormat/>
    <w:uiPriority w:val="99"/>
    <w:pPr>
      <w:shd w:val="clear" w:color="auto" w:fill="FFFFFF"/>
      <w:spacing w:before="720" w:beforeLines="0" w:afterLines="0" w:line="499" w:lineRule="exact"/>
    </w:pPr>
    <w:rPr>
      <w:rFonts w:hint="eastAsia" w:ascii="宋体" w:hAnsi="宋体" w:eastAsia="宋体"/>
      <w:sz w:val="22"/>
    </w:rPr>
  </w:style>
  <w:style w:type="character" w:customStyle="1" w:styleId="64">
    <w:name w:val="NormalCharacter"/>
    <w:autoRedefine/>
    <w:semiHidden/>
    <w:qFormat/>
    <w:uiPriority w:val="0"/>
    <w:rPr>
      <w:rFonts w:ascii="宋体" w:hAnsi="宋体" w:cs="宋体"/>
      <w:bCs/>
      <w:kern w:val="2"/>
      <w:sz w:val="24"/>
      <w:szCs w:val="24"/>
      <w:lang w:val="en-US" w:eastAsia="zh-CN" w:bidi="ar-SA"/>
    </w:rPr>
  </w:style>
  <w:style w:type="character" w:customStyle="1" w:styleId="65">
    <w:name w:val="批注文字 字符1"/>
    <w:autoRedefine/>
    <w:semiHidden/>
    <w:qFormat/>
    <w:uiPriority w:val="0"/>
    <w:rPr>
      <w:rFonts w:ascii="Times New Roman" w:hAnsi="Times New Roman" w:eastAsia="宋体"/>
      <w:sz w:val="24"/>
    </w:rPr>
  </w:style>
  <w:style w:type="character" w:customStyle="1" w:styleId="66">
    <w:name w:val="页脚 字符"/>
    <w:basedOn w:val="37"/>
    <w:autoRedefine/>
    <w:qFormat/>
    <w:uiPriority w:val="99"/>
  </w:style>
  <w:style w:type="character" w:customStyle="1" w:styleId="67">
    <w:name w:val="fontstyle01"/>
    <w:autoRedefine/>
    <w:qFormat/>
    <w:uiPriority w:val="0"/>
    <w:rPr>
      <w:rFonts w:hint="eastAsia" w:ascii="宋体" w:hAnsi="宋体" w:eastAsia="宋体"/>
      <w:color w:val="000000"/>
      <w:sz w:val="24"/>
      <w:szCs w:val="24"/>
    </w:rPr>
  </w:style>
  <w:style w:type="character" w:customStyle="1" w:styleId="68">
    <w:name w:val="【正文】 Char"/>
    <w:autoRedefine/>
    <w:qFormat/>
    <w:uiPriority w:val="0"/>
    <w:rPr>
      <w:sz w:val="24"/>
      <w:szCs w:val="24"/>
    </w:rPr>
  </w:style>
  <w:style w:type="character" w:customStyle="1" w:styleId="69">
    <w:name w:val="表中字 Char"/>
    <w:link w:val="70"/>
    <w:autoRedefine/>
    <w:qFormat/>
    <w:uiPriority w:val="0"/>
    <w:rPr>
      <w:kern w:val="2"/>
      <w:sz w:val="21"/>
      <w:szCs w:val="22"/>
      <w:lang w:val="zh-CN" w:bidi="ar-SA"/>
    </w:rPr>
  </w:style>
  <w:style w:type="paragraph" w:customStyle="1" w:styleId="70">
    <w:name w:val="表中字"/>
    <w:link w:val="69"/>
    <w:autoRedefine/>
    <w:qFormat/>
    <w:uiPriority w:val="0"/>
    <w:pPr>
      <w:jc w:val="center"/>
    </w:pPr>
    <w:rPr>
      <w:rFonts w:ascii="Times New Roman" w:hAnsi="Times New Roman" w:eastAsia="宋体" w:cs="Times New Roman"/>
      <w:kern w:val="2"/>
      <w:sz w:val="21"/>
      <w:szCs w:val="22"/>
      <w:lang w:val="zh-CN" w:eastAsia="zh-CN" w:bidi="ar-SA"/>
    </w:rPr>
  </w:style>
  <w:style w:type="character" w:customStyle="1" w:styleId="71">
    <w:name w:val="正文文本 字符1"/>
    <w:autoRedefine/>
    <w:semiHidden/>
    <w:qFormat/>
    <w:uiPriority w:val="0"/>
    <w:rPr>
      <w:rFonts w:ascii="Times New Roman" w:hAnsi="Times New Roman" w:eastAsia="宋体"/>
      <w:sz w:val="24"/>
    </w:rPr>
  </w:style>
  <w:style w:type="character" w:customStyle="1" w:styleId="72">
    <w:name w:val="表格 Char"/>
    <w:link w:val="73"/>
    <w:autoRedefine/>
    <w:qFormat/>
    <w:uiPriority w:val="0"/>
    <w:rPr>
      <w:rFonts w:ascii="宋体"/>
      <w:sz w:val="21"/>
    </w:rPr>
  </w:style>
  <w:style w:type="paragraph" w:customStyle="1" w:styleId="73">
    <w:name w:val="表格"/>
    <w:basedOn w:val="24"/>
    <w:next w:val="1"/>
    <w:link w:val="72"/>
    <w:autoRedefine/>
    <w:qFormat/>
    <w:uiPriority w:val="0"/>
    <w:pPr>
      <w:adjustRightInd w:val="0"/>
      <w:snapToGrid w:val="0"/>
      <w:spacing w:beforeLines="10" w:afterLines="10" w:line="259" w:lineRule="auto"/>
      <w:jc w:val="center"/>
    </w:pPr>
    <w:rPr>
      <w:rFonts w:hAnsi="Times New Roman" w:cs="Times New Roman"/>
      <w:bCs w:val="0"/>
      <w:kern w:val="0"/>
      <w:sz w:val="21"/>
      <w:szCs w:val="20"/>
    </w:rPr>
  </w:style>
  <w:style w:type="character" w:customStyle="1" w:styleId="74">
    <w:name w:val="【正文】 Char1"/>
    <w:link w:val="75"/>
    <w:autoRedefine/>
    <w:qFormat/>
    <w:uiPriority w:val="0"/>
    <w:rPr>
      <w:kern w:val="2"/>
      <w:sz w:val="24"/>
      <w:szCs w:val="24"/>
    </w:rPr>
  </w:style>
  <w:style w:type="paragraph" w:customStyle="1" w:styleId="75">
    <w:name w:val="【正文】"/>
    <w:basedOn w:val="1"/>
    <w:next w:val="29"/>
    <w:link w:val="74"/>
    <w:autoRedefine/>
    <w:qFormat/>
    <w:uiPriority w:val="0"/>
    <w:pPr>
      <w:adjustRightInd/>
      <w:snapToGrid/>
      <w:ind w:firstLine="200"/>
    </w:pPr>
    <w:rPr>
      <w:rFonts w:ascii="Times New Roman" w:hAnsi="Times New Roman" w:cs="Times New Roman"/>
      <w:bCs w:val="0"/>
      <w:kern w:val="0"/>
    </w:rPr>
  </w:style>
  <w:style w:type="character" w:customStyle="1" w:styleId="76">
    <w:name w:val="表头 Char"/>
    <w:link w:val="77"/>
    <w:autoRedefine/>
    <w:qFormat/>
    <w:uiPriority w:val="0"/>
    <w:rPr>
      <w:rFonts w:cs="宋体"/>
      <w:b/>
      <w:kern w:val="2"/>
      <w:sz w:val="24"/>
      <w:szCs w:val="24"/>
      <w:lang w:val="en-US" w:eastAsia="zh-CN" w:bidi="ar-SA"/>
    </w:rPr>
  </w:style>
  <w:style w:type="paragraph" w:customStyle="1" w:styleId="77">
    <w:name w:val="表头"/>
    <w:basedOn w:val="78"/>
    <w:next w:val="15"/>
    <w:link w:val="76"/>
    <w:autoRedefine/>
    <w:qFormat/>
    <w:uiPriority w:val="0"/>
    <w:pPr>
      <w:adjustRightInd w:val="0"/>
      <w:snapToGrid w:val="0"/>
      <w:jc w:val="center"/>
    </w:pPr>
    <w:rPr>
      <w:rFonts w:cs="宋体"/>
      <w:b/>
      <w:kern w:val="2"/>
      <w:sz w:val="24"/>
      <w:szCs w:val="24"/>
      <w:lang w:val="en-US" w:eastAsia="zh-CN" w:bidi="ar-SA"/>
    </w:rPr>
  </w:style>
  <w:style w:type="paragraph" w:customStyle="1" w:styleId="78">
    <w:name w:val="样式4"/>
    <w:basedOn w:val="1"/>
    <w:autoRedefine/>
    <w:qFormat/>
    <w:uiPriority w:val="0"/>
    <w:pPr>
      <w:adjustRightInd w:val="0"/>
      <w:snapToGrid w:val="0"/>
      <w:jc w:val="center"/>
    </w:pPr>
    <w:rPr>
      <w:sz w:val="24"/>
      <w:szCs w:val="20"/>
    </w:rPr>
  </w:style>
  <w:style w:type="paragraph" w:customStyle="1" w:styleId="79">
    <w:name w:val="②JM正文"/>
    <w:basedOn w:val="80"/>
    <w:autoRedefine/>
    <w:qFormat/>
    <w:uiPriority w:val="0"/>
    <w:pPr>
      <w:ind w:firstLine="720" w:firstLineChars="200"/>
    </w:pPr>
  </w:style>
  <w:style w:type="paragraph" w:customStyle="1" w:styleId="80">
    <w:name w:val="②JM正文 顶格"/>
    <w:basedOn w:val="81"/>
    <w:next w:val="79"/>
    <w:autoRedefine/>
    <w:qFormat/>
    <w:uiPriority w:val="0"/>
    <w:pPr>
      <w:jc w:val="left"/>
    </w:pPr>
  </w:style>
  <w:style w:type="paragraph" w:customStyle="1" w:styleId="81">
    <w:name w:val="①JM表格 居中"/>
    <w:basedOn w:val="1"/>
    <w:next w:val="1"/>
    <w:autoRedefine/>
    <w:qFormat/>
    <w:uiPriority w:val="0"/>
    <w:pPr>
      <w:spacing w:line="240" w:lineRule="auto"/>
      <w:ind w:firstLine="0" w:firstLineChars="0"/>
      <w:jc w:val="center"/>
    </w:pPr>
    <w:rPr>
      <w:rFonts w:ascii="Times New Roman" w:hAnsi="Times New Roman"/>
      <w:sz w:val="21"/>
    </w:rPr>
  </w:style>
  <w:style w:type="paragraph" w:customStyle="1" w:styleId="82">
    <w:name w:val="首行缩进正文"/>
    <w:basedOn w:val="75"/>
    <w:autoRedefine/>
    <w:qFormat/>
    <w:uiPriority w:val="0"/>
    <w:pPr>
      <w:spacing w:line="240" w:lineRule="auto"/>
    </w:pPr>
    <w:rPr>
      <w:sz w:val="21"/>
    </w:rPr>
  </w:style>
  <w:style w:type="paragraph" w:customStyle="1" w:styleId="83">
    <w:name w:val="_Style 75"/>
    <w:autoRedefine/>
    <w:semiHidden/>
    <w:qFormat/>
    <w:uiPriority w:val="99"/>
    <w:rPr>
      <w:rFonts w:ascii="宋体" w:hAnsi="宋体" w:eastAsia="宋体" w:cs="宋体"/>
      <w:bCs/>
      <w:kern w:val="2"/>
      <w:sz w:val="24"/>
      <w:szCs w:val="24"/>
      <w:lang w:val="en-US" w:eastAsia="zh-CN" w:bidi="ar-SA"/>
    </w:rPr>
  </w:style>
  <w:style w:type="paragraph" w:customStyle="1" w:styleId="84">
    <w:name w:val="_Style 76"/>
    <w:basedOn w:val="2"/>
    <w:next w:val="1"/>
    <w:autoRedefine/>
    <w:qFormat/>
    <w:uiPriority w:val="39"/>
    <w:pPr>
      <w:keepLines/>
      <w:widowControl/>
      <w:overflowPunct/>
      <w:snapToGrid/>
      <w:spacing w:before="480" w:after="0" w:line="276" w:lineRule="auto"/>
      <w:ind w:left="0" w:firstLine="0"/>
      <w:jc w:val="left"/>
      <w:outlineLvl w:val="9"/>
    </w:pPr>
    <w:rPr>
      <w:rFonts w:ascii="Cambria" w:hAnsi="Cambria" w:eastAsia="宋体" w:cs="Times New Roman"/>
      <w:color w:val="365F91"/>
      <w:kern w:val="0"/>
      <w:sz w:val="28"/>
      <w:szCs w:val="28"/>
    </w:rPr>
  </w:style>
  <w:style w:type="paragraph" w:customStyle="1" w:styleId="85">
    <w:name w:val="D表内1磅"/>
    <w:basedOn w:val="1"/>
    <w:autoRedefine/>
    <w:qFormat/>
    <w:uiPriority w:val="0"/>
    <w:pPr>
      <w:spacing w:before="20" w:after="20"/>
      <w:jc w:val="center"/>
    </w:pPr>
    <w:rPr>
      <w:szCs w:val="21"/>
    </w:rPr>
  </w:style>
  <w:style w:type="paragraph" w:customStyle="1" w:styleId="86">
    <w:name w:val="ZH表头"/>
    <w:basedOn w:val="1"/>
    <w:autoRedefine/>
    <w:qFormat/>
    <w:uiPriority w:val="0"/>
    <w:pPr>
      <w:spacing w:beforeLines="50" w:after="100" w:afterAutospacing="1" w:line="360" w:lineRule="auto"/>
      <w:jc w:val="center"/>
    </w:pPr>
    <w:rPr>
      <w:b/>
      <w:szCs w:val="21"/>
    </w:rPr>
  </w:style>
  <w:style w:type="paragraph" w:customStyle="1" w:styleId="87">
    <w:name w:val="②JM表格 居中 仿宋"/>
    <w:basedOn w:val="88"/>
    <w:next w:val="79"/>
    <w:autoRedefine/>
    <w:qFormat/>
    <w:uiPriority w:val="0"/>
    <w:rPr>
      <w:b w:val="0"/>
    </w:rPr>
  </w:style>
  <w:style w:type="paragraph" w:customStyle="1" w:styleId="88">
    <w:name w:val="②JM表格小标题 仿宋"/>
    <w:basedOn w:val="81"/>
    <w:next w:val="79"/>
    <w:autoRedefine/>
    <w:qFormat/>
    <w:uiPriority w:val="0"/>
    <w:rPr>
      <w:rFonts w:eastAsia="仿宋"/>
      <w:b/>
    </w:rPr>
  </w:style>
  <w:style w:type="paragraph" w:customStyle="1" w:styleId="89">
    <w:name w:val="设计表格"/>
    <w:basedOn w:val="1"/>
    <w:autoRedefine/>
    <w:qFormat/>
    <w:uiPriority w:val="0"/>
    <w:pPr>
      <w:adjustRightInd w:val="0"/>
      <w:jc w:val="center"/>
    </w:pPr>
    <w:rPr>
      <w:kern w:val="0"/>
      <w:sz w:val="24"/>
    </w:rPr>
  </w:style>
  <w:style w:type="paragraph" w:customStyle="1" w:styleId="90">
    <w:name w:val="内容"/>
    <w:basedOn w:val="1"/>
    <w:autoRedefine/>
    <w:qFormat/>
    <w:uiPriority w:val="0"/>
    <w:pPr>
      <w:spacing w:beforeLines="50" w:afterLines="50"/>
      <w:ind w:firstLine="200" w:firstLineChars="200"/>
    </w:pPr>
    <w:rPr>
      <w:rFonts w:ascii="Times New Roman" w:hAnsi="Times New Roman" w:cs="Times New Roman"/>
      <w:color w:val="000000"/>
      <w:kern w:val="0"/>
      <w:sz w:val="24"/>
      <w:szCs w:val="24"/>
    </w:rPr>
  </w:style>
  <w:style w:type="paragraph" w:customStyle="1" w:styleId="91">
    <w:name w:val="正文样式1"/>
    <w:basedOn w:val="1"/>
    <w:autoRedefine/>
    <w:qFormat/>
    <w:uiPriority w:val="0"/>
    <w:pPr>
      <w:adjustRightInd w:val="0"/>
      <w:spacing w:line="288" w:lineRule="auto"/>
      <w:ind w:firstLine="360" w:firstLineChars="150"/>
      <w:textAlignment w:val="baseline"/>
    </w:pPr>
    <w:rPr>
      <w:kern w:val="0"/>
      <w:sz w:val="24"/>
      <w:szCs w:val="20"/>
    </w:rPr>
  </w:style>
  <w:style w:type="paragraph" w:customStyle="1" w:styleId="92">
    <w:name w:val="BodyTextIndent2"/>
    <w:basedOn w:val="1"/>
    <w:autoRedefine/>
    <w:qFormat/>
    <w:uiPriority w:val="0"/>
    <w:pPr>
      <w:spacing w:after="120" w:line="480" w:lineRule="auto"/>
      <w:ind w:left="420" w:leftChars="200"/>
      <w:jc w:val="both"/>
      <w:textAlignment w:val="baseline"/>
    </w:pPr>
    <w:rPr>
      <w:rFonts w:ascii="Calibri" w:hAnsi="Calibri"/>
      <w:kern w:val="2"/>
      <w:sz w:val="28"/>
      <w:szCs w:val="20"/>
      <w:lang w:val="en-US" w:eastAsia="zh-CN" w:bidi="ar-SA"/>
    </w:rPr>
  </w:style>
  <w:style w:type="paragraph" w:styleId="93">
    <w:name w:val="List Paragraph"/>
    <w:basedOn w:val="1"/>
    <w:autoRedefine/>
    <w:qFormat/>
    <w:uiPriority w:val="34"/>
    <w:pPr>
      <w:ind w:firstLine="420" w:firstLineChars="200"/>
    </w:pPr>
  </w:style>
  <w:style w:type="paragraph" w:customStyle="1" w:styleId="94">
    <w:name w:val="Body text|1"/>
    <w:basedOn w:val="1"/>
    <w:autoRedefine/>
    <w:qFormat/>
    <w:uiPriority w:val="0"/>
    <w:pPr>
      <w:widowControl w:val="0"/>
      <w:shd w:val="clear" w:color="auto" w:fill="auto"/>
      <w:spacing w:line="379" w:lineRule="auto"/>
      <w:ind w:firstLine="70"/>
    </w:pPr>
    <w:rPr>
      <w:rFonts w:ascii="宋体" w:hAnsi="宋体" w:eastAsia="宋体" w:cs="宋体"/>
      <w:sz w:val="20"/>
      <w:szCs w:val="20"/>
      <w:u w:val="none"/>
      <w:shd w:val="clear" w:color="auto" w:fill="auto"/>
      <w:lang w:val="zh-TW" w:eastAsia="zh-TW" w:bidi="zh-TW"/>
    </w:rPr>
  </w:style>
  <w:style w:type="paragraph" w:customStyle="1" w:styleId="95">
    <w:name w:val="报告书正文"/>
    <w:basedOn w:val="1"/>
    <w:autoRedefine/>
    <w:qFormat/>
    <w:uiPriority w:val="0"/>
    <w:pPr>
      <w:adjustRightInd w:val="0"/>
      <w:snapToGrid w:val="0"/>
      <w:spacing w:line="360" w:lineRule="auto"/>
      <w:ind w:firstLine="425"/>
      <w:textAlignment w:val="baseline"/>
    </w:pPr>
    <w:rPr>
      <w:rFonts w:ascii="Arial" w:hAnsi="Arial"/>
      <w:kern w:val="0"/>
      <w:sz w:val="24"/>
    </w:rPr>
  </w:style>
  <w:style w:type="paragraph" w:customStyle="1" w:styleId="96">
    <w:name w:val="正文首行缩进1"/>
    <w:basedOn w:val="11"/>
    <w:next w:val="1"/>
    <w:autoRedefine/>
    <w:qFormat/>
    <w:uiPriority w:val="0"/>
    <w:pPr>
      <w:widowControl w:val="0"/>
      <w:adjustRightInd/>
      <w:snapToGrid/>
      <w:spacing w:before="100" w:beforeAutospacing="1" w:after="120" w:line="240" w:lineRule="auto"/>
      <w:ind w:right="0" w:firstLine="420" w:firstLineChars="100"/>
    </w:pPr>
    <w:rPr>
      <w:kern w:val="2"/>
      <w:sz w:val="21"/>
      <w:szCs w:val="21"/>
      <w:lang w:val="en-US" w:eastAsia="zh-CN"/>
    </w:rPr>
  </w:style>
  <w:style w:type="paragraph" w:customStyle="1" w:styleId="97">
    <w:name w:val="表中文字（工大）"/>
    <w:basedOn w:val="1"/>
    <w:autoRedefine/>
    <w:qFormat/>
    <w:uiPriority w:val="0"/>
    <w:pPr>
      <w:adjustRightInd/>
      <w:snapToGrid/>
      <w:spacing w:line="400" w:lineRule="exact"/>
      <w:ind w:firstLine="0" w:firstLineChars="0"/>
      <w:jc w:val="center"/>
    </w:pPr>
    <w:rPr>
      <w:rFonts w:ascii="Times New Roman" w:hAnsi="Times New Roman" w:cs="Times New Roman"/>
      <w:bCs w:val="0"/>
      <w:sz w:val="21"/>
      <w:szCs w:val="21"/>
    </w:rPr>
  </w:style>
  <w:style w:type="paragraph" w:customStyle="1" w:styleId="98">
    <w:name w:val="文章正文样式"/>
    <w:basedOn w:val="1"/>
    <w:autoRedefine/>
    <w:qFormat/>
    <w:uiPriority w:val="0"/>
    <w:pPr>
      <w:spacing w:line="520" w:lineRule="exact"/>
      <w:ind w:firstLine="480" w:firstLineChars="200"/>
      <w:jc w:val="left"/>
    </w:pPr>
    <w:rPr>
      <w:rFonts w:ascii="宋体" w:hAnsi="宋体"/>
      <w:sz w:val="24"/>
    </w:rPr>
  </w:style>
  <w:style w:type="paragraph" w:customStyle="1" w:styleId="99">
    <w:name w:val="表格题目"/>
    <w:basedOn w:val="1"/>
    <w:autoRedefine/>
    <w:qFormat/>
    <w:uiPriority w:val="0"/>
    <w:pPr>
      <w:spacing w:line="240" w:lineRule="atLeast"/>
      <w:jc w:val="center"/>
    </w:pPr>
    <w:rPr>
      <w:rFonts w:ascii="黑体" w:hAnsi="宋体" w:eastAsia="黑体"/>
      <w:sz w:val="24"/>
    </w:rPr>
  </w:style>
  <w:style w:type="paragraph" w:customStyle="1" w:styleId="100">
    <w:name w:val="UserStyle_3"/>
    <w:autoRedefine/>
    <w:qFormat/>
    <w:uiPriority w:val="0"/>
    <w:pPr>
      <w:widowControl/>
      <w:jc w:val="center"/>
      <w:textAlignment w:val="baseline"/>
    </w:pPr>
    <w:rPr>
      <w:rFonts w:ascii="Times New Roman" w:hAnsi="Times New Roman" w:eastAsia="宋体" w:cs="Times New Roman"/>
      <w:kern w:val="2"/>
      <w:sz w:val="21"/>
      <w:szCs w:val="22"/>
      <w:lang w:val="zh-CN" w:eastAsia="zh-CN" w:bidi="ar-SA"/>
    </w:rPr>
  </w:style>
  <w:style w:type="paragraph" w:customStyle="1" w:styleId="101">
    <w:name w:val="正文1"/>
    <w:basedOn w:val="1"/>
    <w:autoRedefine/>
    <w:qFormat/>
    <w:uiPriority w:val="0"/>
    <w:pPr>
      <w:adjustRightInd w:val="0"/>
      <w:spacing w:line="360" w:lineRule="atLeast"/>
      <w:jc w:val="left"/>
      <w:textAlignment w:val="baseline"/>
    </w:pPr>
    <w:rPr>
      <w:rFonts w:ascii="宋体"/>
      <w:kern w:val="0"/>
      <w:sz w:val="24"/>
      <w:szCs w:val="20"/>
    </w:rPr>
  </w:style>
  <w:style w:type="paragraph" w:customStyle="1" w:styleId="102">
    <w:name w:val="正文_15"/>
    <w:autoRedefine/>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03">
    <w:name w:val="表格内容"/>
    <w:basedOn w:val="1"/>
    <w:autoRedefine/>
    <w:qFormat/>
    <w:uiPriority w:val="0"/>
    <w:pPr>
      <w:adjustRightInd/>
      <w:snapToGrid/>
      <w:ind w:firstLine="0" w:firstLineChars="0"/>
      <w:jc w:val="center"/>
      <w:textAlignment w:val="baseline"/>
    </w:pPr>
    <w:rPr>
      <w:rFonts w:ascii="Times New Roman" w:hAnsi="Times New Roman" w:cs="Times New Roman"/>
      <w:bCs w:val="0"/>
      <w:sz w:val="21"/>
      <w:szCs w:val="21"/>
    </w:rPr>
  </w:style>
  <w:style w:type="paragraph" w:customStyle="1" w:styleId="104">
    <w:name w:val="正文 首行缩进:  2 字符"/>
    <w:basedOn w:val="1"/>
    <w:autoRedefine/>
    <w:qFormat/>
    <w:uiPriority w:val="0"/>
    <w:pPr>
      <w:ind w:firstLine="579" w:firstLineChars="200"/>
    </w:pPr>
    <w:rPr>
      <w:sz w:val="28"/>
      <w:szCs w:val="20"/>
    </w:rPr>
  </w:style>
  <w:style w:type="paragraph" w:customStyle="1" w:styleId="105">
    <w:name w:val="表头和图片"/>
    <w:basedOn w:val="15"/>
    <w:next w:val="1"/>
    <w:autoRedefine/>
    <w:qFormat/>
    <w:uiPriority w:val="0"/>
    <w:pPr>
      <w:spacing w:line="480" w:lineRule="exact"/>
      <w:jc w:val="center"/>
    </w:pPr>
    <w:rPr>
      <w:rFonts w:ascii="Times New Roman" w:hAnsi="Times New Roman" w:eastAsia="黑体"/>
      <w:b/>
      <w:kern w:val="0"/>
      <w:sz w:val="20"/>
      <w:szCs w:val="20"/>
    </w:rPr>
  </w:style>
  <w:style w:type="paragraph" w:customStyle="1" w:styleId="106">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107">
    <w:name w:val="四级标题"/>
    <w:basedOn w:val="5"/>
    <w:next w:val="1"/>
    <w:autoRedefine/>
    <w:qFormat/>
    <w:uiPriority w:val="0"/>
    <w:pPr>
      <w:spacing w:before="0" w:after="0" w:line="480" w:lineRule="exact"/>
    </w:pPr>
    <w:rPr>
      <w:rFonts w:ascii="Times New Roman" w:hAnsi="Times New Roman"/>
      <w:color w:val="0070C0"/>
      <w:sz w:val="24"/>
    </w:rPr>
  </w:style>
  <w:style w:type="paragraph" w:customStyle="1" w:styleId="108">
    <w:name w:val="样式 标题 2"/>
    <w:basedOn w:val="3"/>
    <w:autoRedefine/>
    <w:qFormat/>
    <w:uiPriority w:val="0"/>
    <w:pPr>
      <w:spacing w:before="50" w:beforeLines="0" w:after="50" w:afterLines="0" w:line="416" w:lineRule="auto"/>
      <w:ind w:firstLine="0"/>
    </w:pPr>
    <w:rPr>
      <w:rFonts w:ascii="Arial" w:hAnsi="Arial" w:eastAsia="黑体"/>
      <w:kern w:val="2"/>
      <w:sz w:val="32"/>
      <w:szCs w:val="28"/>
    </w:rPr>
  </w:style>
  <w:style w:type="paragraph" w:customStyle="1" w:styleId="109">
    <w:name w:val="Table Paragraph"/>
    <w:basedOn w:val="1"/>
    <w:autoRedefine/>
    <w:qFormat/>
    <w:uiPriority w:val="0"/>
    <w:pPr>
      <w:jc w:val="left"/>
    </w:pPr>
    <w:rPr>
      <w:rFonts w:ascii="Calibri" w:hAnsi="Calibri"/>
      <w:kern w:val="0"/>
      <w:sz w:val="22"/>
      <w:szCs w:val="22"/>
      <w:lang w:eastAsia="en-US"/>
    </w:rPr>
  </w:style>
  <w:style w:type="paragraph" w:customStyle="1" w:styleId="110">
    <w:name w:val="表格式"/>
    <w:basedOn w:val="24"/>
    <w:autoRedefine/>
    <w:qFormat/>
    <w:uiPriority w:val="0"/>
    <w:pPr>
      <w:widowControl/>
      <w:spacing w:line="400" w:lineRule="exact"/>
      <w:ind w:left="0" w:firstLine="0" w:firstLineChars="0"/>
      <w:jc w:val="center"/>
    </w:pPr>
    <w:rPr>
      <w:rFonts w:ascii="宋体" w:hAnsi="宋体" w:cs="宋体"/>
      <w:kern w:val="0"/>
      <w:sz w:val="24"/>
    </w:rPr>
  </w:style>
  <w:style w:type="paragraph" w:customStyle="1" w:styleId="111">
    <w:name w:val="表格文字"/>
    <w:basedOn w:val="77"/>
    <w:autoRedefine/>
    <w:qFormat/>
    <w:uiPriority w:val="0"/>
    <w:pPr>
      <w:widowControl/>
      <w:adjustRightInd/>
      <w:snapToGrid/>
      <w:spacing w:line="240" w:lineRule="auto"/>
      <w:ind w:firstLine="0" w:firstLineChars="0"/>
      <w:jc w:val="center"/>
    </w:pPr>
    <w:rPr>
      <w:kern w:val="0"/>
      <w:sz w:val="21"/>
      <w:szCs w:val="21"/>
    </w:rPr>
  </w:style>
  <w:style w:type="paragraph" w:customStyle="1" w:styleId="112">
    <w:name w:val="11111"/>
    <w:basedOn w:val="1"/>
    <w:next w:val="1"/>
    <w:autoRedefine/>
    <w:qFormat/>
    <w:uiPriority w:val="0"/>
    <w:pPr>
      <w:adjustRightInd/>
      <w:snapToGrid/>
      <w:ind w:firstLine="200"/>
    </w:pPr>
    <w:rPr>
      <w:bCs w:val="0"/>
    </w:rPr>
  </w:style>
  <w:style w:type="paragraph" w:customStyle="1" w:styleId="113">
    <w:name w:val="C【表中文字】-"/>
    <w:basedOn w:val="1"/>
    <w:autoRedefine/>
    <w:qFormat/>
    <w:uiPriority w:val="0"/>
    <w:pPr>
      <w:adjustRightInd w:val="0"/>
      <w:snapToGrid w:val="0"/>
      <w:jc w:val="center"/>
    </w:pPr>
    <w:rPr>
      <w:kern w:val="0"/>
      <w:sz w:val="18"/>
      <w:szCs w:val="20"/>
    </w:rPr>
  </w:style>
  <w:style w:type="paragraph" w:customStyle="1" w:styleId="114">
    <w:name w:val="C首行缩进正文"/>
    <w:basedOn w:val="75"/>
    <w:autoRedefine/>
    <w:qFormat/>
    <w:uiPriority w:val="0"/>
  </w:style>
  <w:style w:type="paragraph" w:customStyle="1" w:styleId="115">
    <w:name w:val="样式 标题 1 + 首行缩进:  2 字符"/>
    <w:basedOn w:val="2"/>
    <w:autoRedefine/>
    <w:qFormat/>
    <w:uiPriority w:val="0"/>
    <w:pPr>
      <w:tabs>
        <w:tab w:val="left" w:leader="middleDot" w:pos="7371"/>
      </w:tabs>
      <w:ind w:firstLine="200" w:firstLineChars="200"/>
    </w:pPr>
    <w:rPr>
      <w:rFonts w:cs="宋体"/>
      <w:szCs w:val="20"/>
    </w:rPr>
  </w:style>
  <w:style w:type="paragraph" w:customStyle="1" w:styleId="116">
    <w:name w:val="表格正文"/>
    <w:basedOn w:val="1"/>
    <w:autoRedefine/>
    <w:qFormat/>
    <w:uiPriority w:val="0"/>
    <w:pPr>
      <w:jc w:val="center"/>
    </w:pPr>
    <w:rPr>
      <w:rFonts w:ascii="Times New Roman" w:hAnsi="Times New Roman"/>
      <w:szCs w:val="20"/>
    </w:rPr>
  </w:style>
  <w:style w:type="paragraph" w:customStyle="1" w:styleId="117">
    <w:name w:val="报告表正文"/>
    <w:basedOn w:val="1"/>
    <w:autoRedefine/>
    <w:qFormat/>
    <w:uiPriority w:val="0"/>
    <w:pPr>
      <w:adjustRightInd w:val="0"/>
      <w:spacing w:line="312" w:lineRule="auto"/>
      <w:ind w:left="113" w:right="113" w:firstLine="482"/>
      <w:jc w:val="left"/>
      <w:textAlignment w:val="baseline"/>
    </w:pPr>
    <w:rPr>
      <w:rFonts w:ascii="Times New Roman" w:hAnsi="Times New Roman" w:eastAsia="宋体" w:cs="Times New Roman"/>
    </w:rPr>
  </w:style>
  <w:style w:type="paragraph" w:customStyle="1" w:styleId="118">
    <w:name w:val="【表头】"/>
    <w:basedOn w:val="119"/>
    <w:autoRedefine/>
    <w:qFormat/>
    <w:uiPriority w:val="0"/>
    <w:pPr>
      <w:keepNext/>
      <w:adjustRightInd w:val="0"/>
      <w:snapToGrid w:val="0"/>
      <w:jc w:val="center"/>
    </w:pPr>
    <w:rPr>
      <w:rFonts w:eastAsia="黑体"/>
      <w:b/>
      <w:kern w:val="0"/>
      <w:szCs w:val="20"/>
    </w:rPr>
  </w:style>
  <w:style w:type="paragraph" w:customStyle="1" w:styleId="119">
    <w:name w:val="0"/>
    <w:basedOn w:val="1"/>
    <w:autoRedefine/>
    <w:qFormat/>
    <w:uiPriority w:val="99"/>
    <w:pPr>
      <w:widowControl/>
      <w:snapToGrid w:val="0"/>
      <w:jc w:val="left"/>
    </w:pPr>
    <w:rPr>
      <w:rFonts w:ascii="宋体"/>
      <w:kern w:val="0"/>
      <w:sz w:val="20"/>
    </w:rPr>
  </w:style>
  <w:style w:type="paragraph" w:customStyle="1" w:styleId="120">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121">
    <w:name w:val="【正文四号】"/>
    <w:basedOn w:val="1"/>
    <w:autoRedefine/>
    <w:qFormat/>
    <w:uiPriority w:val="0"/>
    <w:pPr>
      <w:spacing w:line="360" w:lineRule="auto"/>
      <w:ind w:firstLine="480" w:firstLineChars="200"/>
    </w:pPr>
    <w:rPr>
      <w:rFonts w:ascii="Times New Roman" w:hAnsi="Times New Roman"/>
      <w:sz w:val="28"/>
      <w:szCs w:val="24"/>
    </w:rPr>
  </w:style>
  <w:style w:type="paragraph" w:customStyle="1" w:styleId="122">
    <w:name w:val="正文五号缩进正文（首行缩进两字） + 宋体 行距: 1.5 倍行距"/>
    <w:basedOn w:val="6"/>
    <w:autoRedefine/>
    <w:qFormat/>
    <w:uiPriority w:val="0"/>
    <w:pPr>
      <w:spacing w:after="120" w:afterLines="50" w:line="300" w:lineRule="auto"/>
      <w:ind w:firstLine="482"/>
      <w:jc w:val="left"/>
    </w:pPr>
    <w:rPr>
      <w:rFonts w:ascii="宋体" w:hAnsi="宋体" w:eastAsia="宋体"/>
      <w:sz w:val="21"/>
      <w:szCs w:val="28"/>
    </w:rPr>
  </w:style>
  <w:style w:type="paragraph" w:customStyle="1" w:styleId="123">
    <w:name w:val="文本"/>
    <w:basedOn w:val="1"/>
    <w:autoRedefine/>
    <w:qFormat/>
    <w:uiPriority w:val="0"/>
    <w:pPr>
      <w:adjustRightInd w:val="0"/>
      <w:jc w:val="left"/>
      <w:textAlignment w:val="baseline"/>
    </w:pPr>
    <w:rPr>
      <w:rFonts w:ascii="宋体"/>
      <w:kern w:val="0"/>
      <w:sz w:val="28"/>
      <w:szCs w:val="20"/>
    </w:rPr>
  </w:style>
  <w:style w:type="paragraph" w:customStyle="1" w:styleId="124">
    <w:name w:val="我的正文"/>
    <w:basedOn w:val="1"/>
    <w:autoRedefine/>
    <w:qFormat/>
    <w:uiPriority w:val="0"/>
    <w:pPr>
      <w:adjustRightInd w:val="0"/>
      <w:snapToGrid w:val="0"/>
      <w:spacing w:line="480" w:lineRule="exact"/>
      <w:ind w:firstLine="720" w:firstLineChars="200"/>
      <w:jc w:val="left"/>
    </w:pPr>
    <w:rPr>
      <w:rFonts w:cs="宋体"/>
      <w:kern w:val="0"/>
      <w:sz w:val="20"/>
      <w:szCs w:val="21"/>
    </w:rPr>
  </w:style>
  <w:style w:type="paragraph" w:customStyle="1" w:styleId="125">
    <w:name w:val="【表中文字】-"/>
    <w:basedOn w:val="1"/>
    <w:autoRedefine/>
    <w:qFormat/>
    <w:uiPriority w:val="0"/>
    <w:pPr>
      <w:jc w:val="center"/>
    </w:pPr>
    <w:rPr>
      <w:kern w:val="0"/>
      <w:sz w:val="20"/>
      <w:szCs w:val="20"/>
    </w:rPr>
  </w:style>
  <w:style w:type="paragraph" w:customStyle="1" w:styleId="126">
    <w:name w:val="_Style 4"/>
    <w:autoRedefine/>
    <w:qFormat/>
    <w:uiPriority w:val="0"/>
    <w:pPr>
      <w:widowControl w:val="0"/>
      <w:jc w:val="both"/>
    </w:pPr>
    <w:rPr>
      <w:rFonts w:ascii="Times New Roman" w:hAnsi="Times New Roman" w:eastAsia="仿宋_GB2312" w:cs="Times New Roman"/>
      <w:kern w:val="2"/>
      <w:sz w:val="24"/>
      <w:szCs w:val="22"/>
      <w:lang w:val="en-US" w:eastAsia="zh-CN" w:bidi="ar-SA"/>
    </w:rPr>
  </w:style>
  <w:style w:type="paragraph" w:customStyle="1" w:styleId="127">
    <w:name w:val="表格填充项"/>
    <w:basedOn w:val="1"/>
    <w:autoRedefine/>
    <w:qFormat/>
    <w:uiPriority w:val="0"/>
    <w:pPr>
      <w:spacing w:line="240" w:lineRule="atLeast"/>
      <w:jc w:val="center"/>
    </w:pPr>
    <w:rPr>
      <w:rFonts w:ascii="宋体" w:hAnsi="宋体"/>
      <w:b/>
      <w:szCs w:val="24"/>
    </w:rPr>
  </w:style>
  <w:style w:type="paragraph" w:customStyle="1" w:styleId="128">
    <w:name w:val="我的表格"/>
    <w:basedOn w:val="1"/>
    <w:next w:val="1"/>
    <w:autoRedefine/>
    <w:qFormat/>
    <w:uiPriority w:val="0"/>
    <w:pPr>
      <w:adjustRightInd w:val="0"/>
      <w:snapToGrid w:val="0"/>
      <w:spacing w:before="10" w:beforeLines="10" w:after="10" w:afterLines="10" w:line="240" w:lineRule="atLeast"/>
      <w:jc w:val="center"/>
    </w:pPr>
    <w:rPr>
      <w:kern w:val="0"/>
      <w:szCs w:val="20"/>
    </w:rPr>
  </w:style>
  <w:style w:type="paragraph" w:customStyle="1" w:styleId="129">
    <w:name w:val="【表中文字】"/>
    <w:basedOn w:val="1"/>
    <w:autoRedefine/>
    <w:qFormat/>
    <w:uiPriority w:val="0"/>
    <w:pPr>
      <w:adjustRightInd/>
      <w:snapToGrid/>
      <w:spacing w:line="240" w:lineRule="auto"/>
      <w:ind w:firstLine="0" w:firstLineChars="0"/>
      <w:jc w:val="center"/>
    </w:pPr>
    <w:rPr>
      <w:rFonts w:ascii="Times New Roman" w:hAnsi="Times New Roman" w:cs="Times New Roman"/>
      <w:bCs w:val="0"/>
      <w:sz w:val="21"/>
      <w:szCs w:val="21"/>
    </w:rPr>
  </w:style>
  <w:style w:type="paragraph" w:customStyle="1" w:styleId="130">
    <w:name w:val="正文首行缩进 21"/>
    <w:basedOn w:val="12"/>
    <w:autoRedefine/>
    <w:qFormat/>
    <w:uiPriority w:val="0"/>
    <w:pPr>
      <w:adjustRightInd/>
      <w:snapToGrid/>
      <w:spacing w:before="100" w:beforeAutospacing="1"/>
      <w:ind w:firstLine="420"/>
    </w:pPr>
    <w:rPr>
      <w:kern w:val="2"/>
      <w:sz w:val="21"/>
      <w:szCs w:val="21"/>
      <w:lang w:val="en-US" w:eastAsia="zh-CN"/>
    </w:rPr>
  </w:style>
  <w:style w:type="paragraph" w:customStyle="1" w:styleId="131">
    <w:name w:val="首行缩进表格正文"/>
    <w:basedOn w:val="1"/>
    <w:autoRedefine/>
    <w:qFormat/>
    <w:uiPriority w:val="0"/>
    <w:pPr>
      <w:spacing w:line="360" w:lineRule="auto"/>
      <w:ind w:firstLine="720" w:firstLineChars="200"/>
      <w:jc w:val="left"/>
    </w:pPr>
  </w:style>
  <w:style w:type="paragraph" w:customStyle="1" w:styleId="132">
    <w:name w:val="正文_14"/>
    <w:autoRedefine/>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33">
    <w:name w:val="Char Char Char Char1"/>
    <w:basedOn w:val="1"/>
    <w:autoRedefine/>
    <w:qFormat/>
    <w:uiPriority w:val="0"/>
    <w:pPr>
      <w:tabs>
        <w:tab w:val="left" w:pos="1080"/>
      </w:tabs>
      <w:jc w:val="left"/>
    </w:pPr>
    <w:rPr>
      <w:szCs w:val="21"/>
    </w:rPr>
  </w:style>
  <w:style w:type="paragraph" w:customStyle="1" w:styleId="134">
    <w:name w:val="表中文字"/>
    <w:basedOn w:val="1"/>
    <w:autoRedefine/>
    <w:qFormat/>
    <w:uiPriority w:val="0"/>
    <w:pPr>
      <w:snapToGrid w:val="0"/>
      <w:spacing w:line="300" w:lineRule="exact"/>
      <w:jc w:val="center"/>
    </w:pPr>
    <w:rPr>
      <w:sz w:val="18"/>
      <w:szCs w:val="18"/>
    </w:rPr>
  </w:style>
  <w:style w:type="character" w:customStyle="1" w:styleId="135">
    <w:name w:val="font11"/>
    <w:basedOn w:val="37"/>
    <w:autoRedefine/>
    <w:qFormat/>
    <w:uiPriority w:val="0"/>
    <w:rPr>
      <w:rFonts w:hint="eastAsia" w:ascii="宋体" w:hAnsi="宋体" w:eastAsia="宋体" w:cs="宋体"/>
      <w:color w:val="000000"/>
      <w:sz w:val="24"/>
      <w:szCs w:val="24"/>
      <w:u w:val="none"/>
    </w:rPr>
  </w:style>
  <w:style w:type="character" w:customStyle="1" w:styleId="136">
    <w:name w:val="font21"/>
    <w:basedOn w:val="37"/>
    <w:autoRedefine/>
    <w:qFormat/>
    <w:uiPriority w:val="0"/>
    <w:rPr>
      <w:rFonts w:hint="eastAsia" w:ascii="宋体" w:hAnsi="宋体" w:eastAsia="宋体" w:cs="宋体"/>
      <w:color w:val="000000"/>
      <w:sz w:val="24"/>
      <w:szCs w:val="24"/>
      <w:u w:val="none"/>
    </w:rPr>
  </w:style>
  <w:style w:type="paragraph" w:customStyle="1" w:styleId="137">
    <w:name w:val="表文"/>
    <w:basedOn w:val="15"/>
    <w:next w:val="1"/>
    <w:autoRedefine/>
    <w:qFormat/>
    <w:uiPriority w:val="0"/>
    <w:pPr>
      <w:jc w:val="center"/>
    </w:pPr>
    <w:rPr>
      <w:szCs w:val="21"/>
    </w:rPr>
  </w:style>
  <w:style w:type="paragraph" w:customStyle="1" w:styleId="138">
    <w:name w:val="正文格式"/>
    <w:basedOn w:val="1"/>
    <w:autoRedefine/>
    <w:qFormat/>
    <w:uiPriority w:val="0"/>
    <w:pPr>
      <w:spacing w:line="360" w:lineRule="auto"/>
      <w:ind w:firstLine="482"/>
    </w:pPr>
    <w:rPr>
      <w:sz w:val="24"/>
    </w:rPr>
  </w:style>
  <w:style w:type="paragraph" w:customStyle="1" w:styleId="139">
    <w:name w:val="正文3"/>
    <w:basedOn w:val="1"/>
    <w:autoRedefine/>
    <w:qFormat/>
    <w:uiPriority w:val="0"/>
    <w:pPr>
      <w:keepNext/>
      <w:adjustRightInd w:val="0"/>
      <w:jc w:val="center"/>
      <w:textAlignment w:val="baseline"/>
    </w:pPr>
    <w:rPr>
      <w:kern w:val="0"/>
      <w:sz w:val="28"/>
    </w:rPr>
  </w:style>
  <w:style w:type="character" w:customStyle="1" w:styleId="140">
    <w:name w:val="font31"/>
    <w:basedOn w:val="37"/>
    <w:autoRedefine/>
    <w:qFormat/>
    <w:uiPriority w:val="0"/>
    <w:rPr>
      <w:rFonts w:ascii="宋体" w:hAnsi="宋体" w:eastAsia="宋体" w:cs="宋体"/>
      <w:color w:val="000000"/>
      <w:sz w:val="34"/>
      <w:szCs w:val="34"/>
      <w:u w:val="none"/>
    </w:rPr>
  </w:style>
  <w:style w:type="character" w:customStyle="1" w:styleId="141">
    <w:name w:val="font41"/>
    <w:basedOn w:val="37"/>
    <w:autoRedefine/>
    <w:qFormat/>
    <w:uiPriority w:val="0"/>
    <w:rPr>
      <w:rFonts w:ascii="黑体" w:hAnsi="宋体" w:eastAsia="黑体" w:cs="黑体"/>
      <w:color w:val="000000"/>
      <w:sz w:val="34"/>
      <w:szCs w:val="34"/>
      <w:u w:val="none"/>
    </w:rPr>
  </w:style>
  <w:style w:type="character" w:customStyle="1" w:styleId="142">
    <w:name w:val="font51"/>
    <w:basedOn w:val="37"/>
    <w:autoRedefine/>
    <w:qFormat/>
    <w:uiPriority w:val="0"/>
    <w:rPr>
      <w:rFonts w:ascii="黑体" w:hAnsi="宋体" w:eastAsia="黑体" w:cs="黑体"/>
      <w:color w:val="000000"/>
      <w:sz w:val="30"/>
      <w:szCs w:val="30"/>
      <w:u w:val="none"/>
    </w:rPr>
  </w:style>
  <w:style w:type="character" w:customStyle="1" w:styleId="143">
    <w:name w:val="font61"/>
    <w:basedOn w:val="37"/>
    <w:autoRedefine/>
    <w:qFormat/>
    <w:uiPriority w:val="0"/>
    <w:rPr>
      <w:rFonts w:hint="default" w:ascii="Arial" w:hAnsi="Arial" w:cs="Arial"/>
      <w:color w:val="000000"/>
      <w:sz w:val="30"/>
      <w:szCs w:val="30"/>
      <w:u w:val="none"/>
    </w:rPr>
  </w:style>
  <w:style w:type="character" w:customStyle="1" w:styleId="144">
    <w:name w:val="font71"/>
    <w:basedOn w:val="37"/>
    <w:autoRedefine/>
    <w:qFormat/>
    <w:uiPriority w:val="0"/>
    <w:rPr>
      <w:rFonts w:hint="default" w:ascii="Arial" w:hAnsi="Arial" w:cs="Arial"/>
      <w:color w:val="000000"/>
      <w:sz w:val="34"/>
      <w:szCs w:val="34"/>
      <w:u w:val="none"/>
    </w:rPr>
  </w:style>
  <w:style w:type="character" w:customStyle="1" w:styleId="145">
    <w:name w:val="font81"/>
    <w:basedOn w:val="37"/>
    <w:autoRedefine/>
    <w:qFormat/>
    <w:uiPriority w:val="0"/>
    <w:rPr>
      <w:rFonts w:ascii="宋体" w:hAnsi="宋体" w:eastAsia="宋体" w:cs="宋体"/>
      <w:color w:val="000000"/>
      <w:sz w:val="40"/>
      <w:szCs w:val="40"/>
      <w:u w:val="none"/>
    </w:rPr>
  </w:style>
  <w:style w:type="character" w:customStyle="1" w:styleId="146">
    <w:name w:val="font91"/>
    <w:basedOn w:val="37"/>
    <w:autoRedefine/>
    <w:qFormat/>
    <w:uiPriority w:val="0"/>
    <w:rPr>
      <w:rFonts w:ascii="宋体" w:hAnsi="宋体" w:eastAsia="宋体" w:cs="宋体"/>
      <w:color w:val="000000"/>
      <w:sz w:val="30"/>
      <w:szCs w:val="30"/>
      <w:u w:val="none"/>
    </w:rPr>
  </w:style>
  <w:style w:type="character" w:customStyle="1" w:styleId="147">
    <w:name w:val="font101"/>
    <w:basedOn w:val="37"/>
    <w:autoRedefine/>
    <w:qFormat/>
    <w:uiPriority w:val="0"/>
    <w:rPr>
      <w:rFonts w:hint="default" w:ascii="Arial" w:hAnsi="Arial" w:cs="Arial"/>
      <w:color w:val="2BC6FF"/>
      <w:sz w:val="34"/>
      <w:szCs w:val="34"/>
      <w:u w:val="none"/>
    </w:rPr>
  </w:style>
  <w:style w:type="paragraph" w:customStyle="1" w:styleId="148">
    <w:name w:val="Table Text"/>
    <w:basedOn w:val="1"/>
    <w:autoRedefine/>
    <w:semiHidden/>
    <w:qFormat/>
    <w:uiPriority w:val="0"/>
    <w:rPr>
      <w:rFonts w:ascii="宋体" w:hAnsi="宋体" w:eastAsia="宋体" w:cs="宋体"/>
      <w:sz w:val="20"/>
      <w:szCs w:val="20"/>
      <w:lang w:val="en-US" w:eastAsia="en-US" w:bidi="ar-SA"/>
    </w:rPr>
  </w:style>
  <w:style w:type="table" w:customStyle="1" w:styleId="149">
    <w:name w:val="Table Normal"/>
    <w:autoRedefine/>
    <w:unhideWhenUsed/>
    <w:qFormat/>
    <w:uiPriority w:val="0"/>
    <w:tblPr>
      <w:tblCellMar>
        <w:top w:w="0" w:type="dxa"/>
        <w:left w:w="0" w:type="dxa"/>
        <w:bottom w:w="0" w:type="dxa"/>
        <w:right w:w="0" w:type="dxa"/>
      </w:tblCellMar>
    </w:tblPr>
  </w:style>
  <w:style w:type="character" w:customStyle="1" w:styleId="150">
    <w:name w:val="zhengwencolor1"/>
    <w:autoRedefine/>
    <w:qFormat/>
    <w:uiPriority w:val="0"/>
    <w:rPr>
      <w:color w:val="000000"/>
      <w:sz w:val="18"/>
      <w:szCs w:val="18"/>
    </w:rPr>
  </w:style>
  <w:style w:type="paragraph" w:customStyle="1" w:styleId="151">
    <w:name w:val="表格内"/>
    <w:basedOn w:val="1"/>
    <w:autoRedefine/>
    <w:qFormat/>
    <w:uiPriority w:val="99"/>
    <w:pPr>
      <w:adjustRightInd w:val="0"/>
      <w:spacing w:line="240" w:lineRule="atLeast"/>
      <w:jc w:val="center"/>
      <w:textAlignment w:val="baseline"/>
    </w:pPr>
    <w:rPr>
      <w:rFonts w:ascii="宋体"/>
      <w:kern w:val="0"/>
      <w:sz w:val="28"/>
      <w:szCs w:val="28"/>
    </w:rPr>
  </w:style>
  <w:style w:type="paragraph" w:customStyle="1" w:styleId="152">
    <w:name w:val="表头文字"/>
    <w:basedOn w:val="1"/>
    <w:autoRedefine/>
    <w:qFormat/>
    <w:uiPriority w:val="0"/>
    <w:pPr>
      <w:adjustRightInd w:val="0"/>
      <w:spacing w:line="360" w:lineRule="auto"/>
      <w:jc w:val="center"/>
    </w:pPr>
    <w:rPr>
      <w:rFonts w:ascii="宋体"/>
      <w:kern w:val="0"/>
      <w:sz w:val="28"/>
      <w:szCs w:val="20"/>
    </w:rPr>
  </w:style>
  <w:style w:type="paragraph" w:customStyle="1" w:styleId="153">
    <w:name w:val="样式 正文文本缩进 + 行距: 1.5 倍行距"/>
    <w:basedOn w:val="154"/>
    <w:autoRedefine/>
    <w:qFormat/>
    <w:uiPriority w:val="0"/>
    <w:pPr>
      <w:spacing w:after="120"/>
      <w:ind w:left="90" w:leftChars="32" w:firstLine="560"/>
    </w:pPr>
    <w:rPr>
      <w:rFonts w:ascii="Times New Roman" w:hAnsi="Times New Roman"/>
      <w:lang w:val="en-US"/>
    </w:rPr>
  </w:style>
  <w:style w:type="paragraph" w:customStyle="1" w:styleId="154">
    <w:name w:val="Body Text Indent"/>
    <w:basedOn w:val="1"/>
    <w:next w:val="153"/>
    <w:autoRedefine/>
    <w:qFormat/>
    <w:uiPriority w:val="0"/>
    <w:pPr>
      <w:spacing w:after="120" w:afterLines="0"/>
      <w:ind w:left="420" w:leftChars="200"/>
    </w:pPr>
    <w:rPr>
      <w:rFonts w:ascii="Times New Roman" w:hAnsi="Times New Roman" w:eastAsia="宋体"/>
      <w:sz w:val="24"/>
    </w:rPr>
  </w:style>
  <w:style w:type="paragraph" w:customStyle="1" w:styleId="155">
    <w:name w:val="【表格】"/>
    <w:next w:val="1"/>
    <w:autoRedefine/>
    <w:qFormat/>
    <w:uiPriority w:val="0"/>
    <w:pPr>
      <w:spacing w:line="0" w:lineRule="atLeast"/>
      <w:jc w:val="center"/>
    </w:pPr>
    <w:rPr>
      <w:rFonts w:ascii="Times New Roman" w:hAnsi="Times New Roman" w:eastAsia="宋体" w:cs="Times New Roman"/>
      <w:sz w:val="21"/>
      <w:szCs w:val="24"/>
      <w:lang w:val="en-US" w:eastAsia="zh-CN" w:bidi="ar-SA"/>
    </w:rPr>
  </w:style>
  <w:style w:type="paragraph" w:customStyle="1" w:styleId="156">
    <w:name w:val="表内容"/>
    <w:basedOn w:val="1"/>
    <w:next w:val="1"/>
    <w:autoRedefine/>
    <w:qFormat/>
    <w:uiPriority w:val="0"/>
    <w:pPr>
      <w:spacing w:line="360" w:lineRule="exact"/>
      <w:ind w:firstLine="0" w:firstLineChars="0"/>
      <w:jc w:val="center"/>
    </w:pPr>
    <w:rPr>
      <w:sz w:val="21"/>
      <w:szCs w:val="20"/>
    </w:rPr>
  </w:style>
  <w:style w:type="paragraph" w:customStyle="1" w:styleId="157">
    <w:name w:val="777777777777"/>
    <w:basedOn w:val="1"/>
    <w:autoRedefine/>
    <w:qFormat/>
    <w:uiPriority w:val="0"/>
    <w:pPr>
      <w:widowControl w:val="0"/>
      <w:adjustRightInd/>
      <w:snapToGrid/>
      <w:spacing w:line="440" w:lineRule="exact"/>
      <w:ind w:firstLine="420"/>
      <w:jc w:val="left"/>
    </w:pPr>
    <w:rPr>
      <w:rFonts w:eastAsia="宋体"/>
      <w:sz w:val="24"/>
    </w:rPr>
  </w:style>
  <w:style w:type="paragraph" w:customStyle="1" w:styleId="158">
    <w:name w:val="《正文》"/>
    <w:basedOn w:val="1"/>
    <w:autoRedefine/>
    <w:qFormat/>
    <w:uiPriority w:val="0"/>
    <w:pPr>
      <w:spacing w:line="360" w:lineRule="auto"/>
      <w:ind w:firstLine="200" w:firstLineChars="200"/>
    </w:pPr>
    <w:rPr>
      <w:sz w:val="24"/>
    </w:rPr>
  </w:style>
  <w:style w:type="paragraph" w:customStyle="1" w:styleId="159">
    <w:name w:val="内容列表"/>
    <w:basedOn w:val="1"/>
    <w:qFormat/>
    <w:uiPriority w:val="0"/>
    <w:pPr>
      <w:spacing w:line="480" w:lineRule="exact"/>
      <w:ind w:firstLine="560" w:firstLineChars="200"/>
    </w:pPr>
    <w:rPr>
      <w:rFonts w:ascii="仿宋_GB2312" w:eastAsia="仿宋_GB2312"/>
      <w:sz w:val="28"/>
      <w:szCs w:val="28"/>
    </w:rPr>
  </w:style>
</w:styles>
</file>

<file path=word/_rels/document.xml.rels><?xml version="1.0" encoding="UTF-8" standalone="yes"?>
<Relationships xmlns="http://schemas.openxmlformats.org/package/2006/relationships"><Relationship Id="rId93" Type="http://schemas.openxmlformats.org/officeDocument/2006/relationships/fontTable" Target="fontTable.xml"/><Relationship Id="rId92" Type="http://schemas.openxmlformats.org/officeDocument/2006/relationships/numbering" Target="numbering.xml"/><Relationship Id="rId91" Type="http://schemas.openxmlformats.org/officeDocument/2006/relationships/customXml" Target="../customXml/item1.xml"/><Relationship Id="rId90" Type="http://schemas.openxmlformats.org/officeDocument/2006/relationships/image" Target="media/image68.png"/><Relationship Id="rId9" Type="http://schemas.openxmlformats.org/officeDocument/2006/relationships/footer" Target="footer2.xml"/><Relationship Id="rId89" Type="http://schemas.openxmlformats.org/officeDocument/2006/relationships/image" Target="media/image67.png"/><Relationship Id="rId88" Type="http://schemas.openxmlformats.org/officeDocument/2006/relationships/image" Target="media/image66.png"/><Relationship Id="rId87" Type="http://schemas.openxmlformats.org/officeDocument/2006/relationships/image" Target="media/image65.png"/><Relationship Id="rId86" Type="http://schemas.openxmlformats.org/officeDocument/2006/relationships/image" Target="media/image64.png"/><Relationship Id="rId85" Type="http://schemas.openxmlformats.org/officeDocument/2006/relationships/image" Target="media/image63.png"/><Relationship Id="rId84" Type="http://schemas.openxmlformats.org/officeDocument/2006/relationships/image" Target="media/image62.png"/><Relationship Id="rId83" Type="http://schemas.openxmlformats.org/officeDocument/2006/relationships/image" Target="media/image61.png"/><Relationship Id="rId82" Type="http://schemas.openxmlformats.org/officeDocument/2006/relationships/image" Target="media/image60.png"/><Relationship Id="rId81" Type="http://schemas.openxmlformats.org/officeDocument/2006/relationships/image" Target="media/image59.png"/><Relationship Id="rId80" Type="http://schemas.openxmlformats.org/officeDocument/2006/relationships/image" Target="media/image58.png"/><Relationship Id="rId8" Type="http://schemas.openxmlformats.org/officeDocument/2006/relationships/footer" Target="footer1.xml"/><Relationship Id="rId79" Type="http://schemas.openxmlformats.org/officeDocument/2006/relationships/image" Target="media/image57.png"/><Relationship Id="rId78" Type="http://schemas.openxmlformats.org/officeDocument/2006/relationships/image" Target="media/image56.png"/><Relationship Id="rId77" Type="http://schemas.openxmlformats.org/officeDocument/2006/relationships/image" Target="media/image55.png"/><Relationship Id="rId76" Type="http://schemas.openxmlformats.org/officeDocument/2006/relationships/image" Target="media/image54.png"/><Relationship Id="rId75" Type="http://schemas.openxmlformats.org/officeDocument/2006/relationships/image" Target="media/image53.png"/><Relationship Id="rId74" Type="http://schemas.openxmlformats.org/officeDocument/2006/relationships/image" Target="media/image52.png"/><Relationship Id="rId73" Type="http://schemas.openxmlformats.org/officeDocument/2006/relationships/image" Target="media/image51.png"/><Relationship Id="rId72" Type="http://schemas.openxmlformats.org/officeDocument/2006/relationships/image" Target="media/image50.png"/><Relationship Id="rId71" Type="http://schemas.openxmlformats.org/officeDocument/2006/relationships/image" Target="media/image49.png"/><Relationship Id="rId70" Type="http://schemas.openxmlformats.org/officeDocument/2006/relationships/image" Target="media/image48.png"/><Relationship Id="rId7" Type="http://schemas.openxmlformats.org/officeDocument/2006/relationships/header" Target="header3.xml"/><Relationship Id="rId69" Type="http://schemas.openxmlformats.org/officeDocument/2006/relationships/image" Target="media/image47.png"/><Relationship Id="rId68" Type="http://schemas.openxmlformats.org/officeDocument/2006/relationships/image" Target="media/image46.png"/><Relationship Id="rId67" Type="http://schemas.openxmlformats.org/officeDocument/2006/relationships/image" Target="media/image45.png"/><Relationship Id="rId66" Type="http://schemas.openxmlformats.org/officeDocument/2006/relationships/image" Target="media/image44.png"/><Relationship Id="rId65" Type="http://schemas.openxmlformats.org/officeDocument/2006/relationships/image" Target="media/image43.png"/><Relationship Id="rId64" Type="http://schemas.openxmlformats.org/officeDocument/2006/relationships/image" Target="media/image42.png"/><Relationship Id="rId63" Type="http://schemas.openxmlformats.org/officeDocument/2006/relationships/image" Target="media/image41.png"/><Relationship Id="rId62" Type="http://schemas.openxmlformats.org/officeDocument/2006/relationships/image" Target="media/image40.png"/><Relationship Id="rId61" Type="http://schemas.openxmlformats.org/officeDocument/2006/relationships/image" Target="media/image39.png"/><Relationship Id="rId60" Type="http://schemas.openxmlformats.org/officeDocument/2006/relationships/image" Target="media/image38.png"/><Relationship Id="rId6" Type="http://schemas.openxmlformats.org/officeDocument/2006/relationships/header" Target="header2.xml"/><Relationship Id="rId59" Type="http://schemas.openxmlformats.org/officeDocument/2006/relationships/image" Target="media/image37.png"/><Relationship Id="rId58" Type="http://schemas.openxmlformats.org/officeDocument/2006/relationships/image" Target="media/image36.png"/><Relationship Id="rId57" Type="http://schemas.openxmlformats.org/officeDocument/2006/relationships/image" Target="media/image35.png"/><Relationship Id="rId56" Type="http://schemas.openxmlformats.org/officeDocument/2006/relationships/image" Target="media/image34.png"/><Relationship Id="rId55" Type="http://schemas.openxmlformats.org/officeDocument/2006/relationships/image" Target="media/image33.png"/><Relationship Id="rId54" Type="http://schemas.openxmlformats.org/officeDocument/2006/relationships/image" Target="media/image32.png"/><Relationship Id="rId53" Type="http://schemas.openxmlformats.org/officeDocument/2006/relationships/image" Target="media/image31.png"/><Relationship Id="rId52" Type="http://schemas.openxmlformats.org/officeDocument/2006/relationships/image" Target="media/image30.png"/><Relationship Id="rId51" Type="http://schemas.openxmlformats.org/officeDocument/2006/relationships/image" Target="media/image29.png"/><Relationship Id="rId50" Type="http://schemas.openxmlformats.org/officeDocument/2006/relationships/image" Target="media/image28.png"/><Relationship Id="rId5" Type="http://schemas.openxmlformats.org/officeDocument/2006/relationships/header" Target="header1.xml"/><Relationship Id="rId49" Type="http://schemas.openxmlformats.org/officeDocument/2006/relationships/image" Target="media/image27.png"/><Relationship Id="rId48" Type="http://schemas.openxmlformats.org/officeDocument/2006/relationships/image" Target="media/image26.jpeg"/><Relationship Id="rId47" Type="http://schemas.openxmlformats.org/officeDocument/2006/relationships/image" Target="media/image25.png"/><Relationship Id="rId46" Type="http://schemas.openxmlformats.org/officeDocument/2006/relationships/image" Target="media/image24.emf"/><Relationship Id="rId45" Type="http://schemas.openxmlformats.org/officeDocument/2006/relationships/oleObject" Target="embeddings/oleObject7.bin"/><Relationship Id="rId44" Type="http://schemas.openxmlformats.org/officeDocument/2006/relationships/image" Target="media/image23.jpeg"/><Relationship Id="rId43" Type="http://schemas.openxmlformats.org/officeDocument/2006/relationships/image" Target="media/image22.png"/><Relationship Id="rId42" Type="http://schemas.openxmlformats.org/officeDocument/2006/relationships/image" Target="media/image21.png"/><Relationship Id="rId41" Type="http://schemas.openxmlformats.org/officeDocument/2006/relationships/image" Target="media/image20.png"/><Relationship Id="rId40" Type="http://schemas.openxmlformats.org/officeDocument/2006/relationships/image" Target="media/image19.wmf"/><Relationship Id="rId4" Type="http://schemas.openxmlformats.org/officeDocument/2006/relationships/endnotes" Target="endnotes.xml"/><Relationship Id="rId39" Type="http://schemas.openxmlformats.org/officeDocument/2006/relationships/oleObject" Target="embeddings/oleObject6.bin"/><Relationship Id="rId38" Type="http://schemas.openxmlformats.org/officeDocument/2006/relationships/image" Target="media/image18.wmf"/><Relationship Id="rId37" Type="http://schemas.openxmlformats.org/officeDocument/2006/relationships/oleObject" Target="embeddings/oleObject5.bin"/><Relationship Id="rId36" Type="http://schemas.openxmlformats.org/officeDocument/2006/relationships/image" Target="media/image17.wmf"/><Relationship Id="rId35" Type="http://schemas.openxmlformats.org/officeDocument/2006/relationships/oleObject" Target="embeddings/oleObject4.bin"/><Relationship Id="rId34" Type="http://schemas.openxmlformats.org/officeDocument/2006/relationships/image" Target="media/image16.wmf"/><Relationship Id="rId33" Type="http://schemas.openxmlformats.org/officeDocument/2006/relationships/oleObject" Target="embeddings/oleObject3.bin"/><Relationship Id="rId32" Type="http://schemas.openxmlformats.org/officeDocument/2006/relationships/image" Target="media/image15.wmf"/><Relationship Id="rId31" Type="http://schemas.openxmlformats.org/officeDocument/2006/relationships/oleObject" Target="embeddings/oleObject2.bin"/><Relationship Id="rId30" Type="http://schemas.openxmlformats.org/officeDocument/2006/relationships/image" Target="media/image14.wmf"/><Relationship Id="rId3" Type="http://schemas.openxmlformats.org/officeDocument/2006/relationships/footnotes" Target="footnotes.xml"/><Relationship Id="rId29" Type="http://schemas.openxmlformats.org/officeDocument/2006/relationships/oleObject" Target="embeddings/oleObject1.bin"/><Relationship Id="rId28" Type="http://schemas.openxmlformats.org/officeDocument/2006/relationships/image" Target="media/image13.png"/><Relationship Id="rId27" Type="http://schemas.openxmlformats.org/officeDocument/2006/relationships/image" Target="media/image12.jpeg"/><Relationship Id="rId26" Type="http://schemas.openxmlformats.org/officeDocument/2006/relationships/image" Target="media/image11.jpeg"/><Relationship Id="rId25"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8.png"/><Relationship Id="rId22" Type="http://schemas.openxmlformats.org/officeDocument/2006/relationships/image" Target="media/image7.png"/><Relationship Id="rId21" Type="http://schemas.openxmlformats.org/officeDocument/2006/relationships/image" Target="media/image6.pn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1.png"/><Relationship Id="rId15" Type="http://schemas.openxmlformats.org/officeDocument/2006/relationships/theme" Target="theme/theme1.xml"/><Relationship Id="rId14" Type="http://schemas.openxmlformats.org/officeDocument/2006/relationships/footer" Target="footer7.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80"/>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Microsoft</Company>
  <Pages>114</Pages>
  <Words>13722</Words>
  <Characters>14316</Characters>
  <Lines>1</Lines>
  <Paragraphs>1</Paragraphs>
  <TotalTime>22</TotalTime>
  <ScaleCrop>false</ScaleCrop>
  <LinksUpToDate>false</LinksUpToDate>
  <CharactersWithSpaces>14363</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2021-05-06T01:44:00Z</dcterms:created>
  <dc:creator>lhj</dc:creator>
  <cp:lastModifiedBy> Y树y菩¿提</cp:lastModifiedBy>
  <cp:lastPrinted>2022-12-12T03:53:00Z</cp:lastPrinted>
  <dcterms:modified xsi:type="dcterms:W3CDTF">2026-01-27T07:34:43Z</dcterms:modified>
  <dc:title>附件2</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4D5B30DDD1DA4E03AE538FFA01DB69D6_13</vt:lpwstr>
  </property>
  <property fmtid="{D5CDD505-2E9C-101B-9397-08002B2CF9AE}" pid="4" name="KSOTemplateDocerSaveRecord">
    <vt:lpwstr>eyJoZGlkIjoiZmFmZWE3ZDY3MDdhOWYwZGVkYzA2MTM2YTc0ZGE1ZGUiLCJ1c2VySWQiOiIzNDI2Njc5NjcifQ==</vt:lpwstr>
  </property>
</Properties>
</file>